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24"/>
          <w:szCs w:val="24"/>
          <w:b w:val="1"/>
          <w:bCs w:val="1"/>
          <w:color w:val="auto"/>
        </w:rPr>
        <w:t>UNITED STATES</w:t>
      </w:r>
    </w:p>
    <w:p>
      <w:pPr>
        <w:spacing w:after="0" w:line="25"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109220</wp:posOffset>
            </wp:positionV>
            <wp:extent cx="1089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13" w:lineRule="exact"/>
        <w:rPr>
          <w:sz w:val="24"/>
          <w:szCs w:val="24"/>
          <w:color w:val="auto"/>
        </w:rPr>
      </w:pPr>
    </w:p>
    <w:p>
      <w:pPr>
        <w:jc w:val="center"/>
        <w:ind w:right="-59"/>
        <w:spacing w:after="0"/>
        <w:rPr>
          <w:sz w:val="20"/>
          <w:szCs w:val="20"/>
          <w:color w:val="auto"/>
        </w:rPr>
      </w:pPr>
      <w:r>
        <w:rPr>
          <w:rFonts w:ascii="Arial" w:cs="Arial" w:eastAsia="Arial" w:hAnsi="Arial"/>
          <w:sz w:val="24"/>
          <w:szCs w:val="24"/>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129540</wp:posOffset>
            </wp:positionV>
            <wp:extent cx="1089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5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72"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fiscal year ended: December 31, 2010</w:t>
      </w:r>
    </w:p>
    <w:p>
      <w:pPr>
        <w:spacing w:after="0" w:line="63" w:lineRule="exact"/>
        <w:rPr>
          <w:sz w:val="24"/>
          <w:szCs w:val="24"/>
          <w:color w:val="auto"/>
        </w:rPr>
      </w:pPr>
    </w:p>
    <w:p>
      <w:pPr>
        <w:ind w:left="460" w:right="380" w:hanging="452"/>
        <w:spacing w:after="0" w:line="261"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31" w:lineRule="exact"/>
        <w:rPr>
          <w:sz w:val="24"/>
          <w:szCs w:val="24"/>
          <w:color w:val="auto"/>
        </w:rPr>
      </w:pPr>
    </w:p>
    <w:p>
      <w:pPr>
        <w:ind w:left="460"/>
        <w:spacing w:after="0"/>
        <w:tabs>
          <w:tab w:leader="none" w:pos="32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1929765</wp:posOffset>
            </wp:positionH>
            <wp:positionV relativeFrom="paragraph">
              <wp:posOffset>-7620</wp:posOffset>
            </wp:positionV>
            <wp:extent cx="1238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825" cy="8890"/>
                    </a:xfrm>
                    <a:prstGeom prst="rect">
                      <a:avLst/>
                    </a:prstGeom>
                    <a:noFill/>
                  </pic:spPr>
                </pic:pic>
              </a:graphicData>
            </a:graphic>
          </wp:anchor>
        </w:drawing>
        <w:drawing>
          <wp:anchor simplePos="0" relativeHeight="251657728" behindDoc="1" locked="0" layoutInCell="0" allowOverlap="1">
            <wp:simplePos x="0" y="0"/>
            <wp:positionH relativeFrom="column">
              <wp:posOffset>2220595</wp:posOffset>
            </wp:positionH>
            <wp:positionV relativeFrom="paragraph">
              <wp:posOffset>-7620</wp:posOffset>
            </wp:positionV>
            <wp:extent cx="24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7650" cy="8890"/>
                    </a:xfrm>
                    <a:prstGeom prst="rect">
                      <a:avLst/>
                    </a:prstGeom>
                    <a:noFill/>
                  </pic:spPr>
                </pic:pic>
              </a:graphicData>
            </a:graphic>
          </wp:anchor>
        </w:drawing>
      </w:r>
    </w:p>
    <w:p>
      <w:pPr>
        <w:spacing w:after="0" w:line="57" w:lineRule="exact"/>
        <w:rPr>
          <w:sz w:val="24"/>
          <w:szCs w:val="24"/>
          <w:color w:val="auto"/>
        </w:rPr>
      </w:pPr>
    </w:p>
    <w:tbl>
      <w:tblPr>
        <w:tblLayout w:type="fixed"/>
        <w:tblInd w:w="2120" w:type="dxa"/>
        <w:tblCellMar>
          <w:top w:w="0" w:type="dxa"/>
          <w:left w:w="0" w:type="dxa"/>
          <w:bottom w:w="0" w:type="dxa"/>
          <w:right w:w="0" w:type="dxa"/>
        </w:tblCellMar>
      </w:tblPr>
      <w:tr>
        <w:trPr>
          <w:trHeight w:val="233"/>
        </w:trPr>
        <w:tc>
          <w:tcPr>
            <w:tcW w:w="1720" w:type="dxa"/>
            <w:vAlign w:val="bottom"/>
          </w:tcPr>
          <w:p>
            <w:pPr>
              <w:spacing w:after="0"/>
              <w:rPr>
                <w:sz w:val="20"/>
                <w:szCs w:val="20"/>
                <w:color w:val="auto"/>
              </w:rPr>
            </w:pPr>
          </w:p>
        </w:tc>
        <w:tc>
          <w:tcPr>
            <w:tcW w:w="5960" w:type="dxa"/>
            <w:vAlign w:val="bottom"/>
            <w:gridSpan w:val="3"/>
          </w:tcPr>
          <w:p>
            <w:pPr>
              <w:jc w:val="center"/>
              <w:ind w:right="2132"/>
              <w:spacing w:after="0"/>
              <w:rPr>
                <w:sz w:val="20"/>
                <w:szCs w:val="20"/>
                <w:color w:val="auto"/>
              </w:rPr>
            </w:pPr>
            <w:r>
              <w:rPr>
                <w:rFonts w:ascii="Arial" w:cs="Arial" w:eastAsia="Arial" w:hAnsi="Arial"/>
                <w:sz w:val="18"/>
                <w:szCs w:val="18"/>
                <w:b w:val="1"/>
                <w:bCs w:val="1"/>
                <w:color w:val="auto"/>
                <w:w w:val="97"/>
              </w:rPr>
              <w:t>001-04471 (Commission File Number)</w:t>
            </w:r>
          </w:p>
        </w:tc>
      </w:tr>
      <w:tr>
        <w:trPr>
          <w:trHeight w:val="151"/>
        </w:trPr>
        <w:tc>
          <w:tcPr>
            <w:tcW w:w="17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700" w:type="dxa"/>
            <w:vAlign w:val="bottom"/>
            <w:tcBorders>
              <w:bottom w:val="single" w:sz="8" w:color="auto"/>
            </w:tcBorders>
          </w:tcPr>
          <w:p>
            <w:pPr>
              <w:spacing w:after="0"/>
              <w:rPr>
                <w:sz w:val="13"/>
                <w:szCs w:val="13"/>
                <w:color w:val="auto"/>
              </w:rPr>
            </w:pPr>
          </w:p>
        </w:tc>
        <w:tc>
          <w:tcPr>
            <w:tcW w:w="3240" w:type="dxa"/>
            <w:vAlign w:val="bottom"/>
          </w:tcPr>
          <w:p>
            <w:pPr>
              <w:spacing w:after="0"/>
              <w:rPr>
                <w:sz w:val="13"/>
                <w:szCs w:val="13"/>
                <w:color w:val="auto"/>
              </w:rPr>
            </w:pPr>
          </w:p>
        </w:tc>
      </w:tr>
      <w:tr>
        <w:trPr>
          <w:trHeight w:val="341"/>
        </w:trPr>
        <w:tc>
          <w:tcPr>
            <w:tcW w:w="1720" w:type="dxa"/>
            <w:vAlign w:val="bottom"/>
          </w:tcPr>
          <w:p>
            <w:pPr>
              <w:spacing w:after="0"/>
              <w:rPr>
                <w:sz w:val="24"/>
                <w:szCs w:val="24"/>
                <w:color w:val="auto"/>
              </w:rPr>
            </w:pPr>
          </w:p>
        </w:tc>
        <w:tc>
          <w:tcPr>
            <w:tcW w:w="5960" w:type="dxa"/>
            <w:vAlign w:val="bottom"/>
            <w:gridSpan w:val="3"/>
          </w:tcPr>
          <w:p>
            <w:pPr>
              <w:jc w:val="center"/>
              <w:ind w:right="2132"/>
              <w:spacing w:after="0"/>
              <w:rPr>
                <w:sz w:val="20"/>
                <w:szCs w:val="20"/>
                <w:color w:val="auto"/>
              </w:rPr>
            </w:pPr>
            <w:r>
              <w:rPr>
                <w:rFonts w:ascii="Arial" w:cs="Arial" w:eastAsia="Arial" w:hAnsi="Arial"/>
                <w:sz w:val="24"/>
                <w:szCs w:val="24"/>
                <w:b w:val="1"/>
                <w:bCs w:val="1"/>
                <w:color w:val="auto"/>
              </w:rPr>
              <w:t>XEROX CORPORATION</w:t>
            </w:r>
          </w:p>
        </w:tc>
      </w:tr>
      <w:tr>
        <w:trPr>
          <w:trHeight w:val="178"/>
        </w:trPr>
        <w:tc>
          <w:tcPr>
            <w:tcW w:w="1720" w:type="dxa"/>
            <w:vAlign w:val="bottom"/>
          </w:tcPr>
          <w:p>
            <w:pPr>
              <w:spacing w:after="0"/>
              <w:rPr>
                <w:sz w:val="15"/>
                <w:szCs w:val="15"/>
                <w:color w:val="auto"/>
              </w:rPr>
            </w:pPr>
          </w:p>
        </w:tc>
        <w:tc>
          <w:tcPr>
            <w:tcW w:w="5960" w:type="dxa"/>
            <w:vAlign w:val="bottom"/>
            <w:gridSpan w:val="3"/>
          </w:tcPr>
          <w:p>
            <w:pPr>
              <w:jc w:val="center"/>
              <w:ind w:right="2132"/>
              <w:spacing w:after="0"/>
              <w:rPr>
                <w:sz w:val="20"/>
                <w:szCs w:val="20"/>
                <w:color w:val="auto"/>
              </w:rPr>
            </w:pPr>
            <w:r>
              <w:rPr>
                <w:rFonts w:ascii="Arial" w:cs="Arial" w:eastAsia="Arial" w:hAnsi="Arial"/>
                <w:sz w:val="14"/>
                <w:szCs w:val="14"/>
                <w:b w:val="1"/>
                <w:bCs w:val="1"/>
                <w:color w:val="auto"/>
                <w:w w:val="96"/>
              </w:rPr>
              <w:t>(Exact name of registrant as specified in its charter)</w:t>
            </w:r>
          </w:p>
        </w:tc>
      </w:tr>
      <w:tr>
        <w:trPr>
          <w:trHeight w:val="254"/>
        </w:trPr>
        <w:tc>
          <w:tcPr>
            <w:tcW w:w="1720" w:type="dxa"/>
            <w:vAlign w:val="bottom"/>
          </w:tcPr>
          <w:p>
            <w:pPr>
              <w:jc w:val="center"/>
              <w:ind w:right="142"/>
              <w:spacing w:after="0"/>
              <w:rPr>
                <w:sz w:val="20"/>
                <w:szCs w:val="20"/>
                <w:color w:val="auto"/>
              </w:rPr>
            </w:pPr>
            <w:r>
              <w:rPr>
                <w:rFonts w:ascii="Arial" w:cs="Arial" w:eastAsia="Arial" w:hAnsi="Arial"/>
                <w:sz w:val="18"/>
                <w:szCs w:val="18"/>
                <w:b w:val="1"/>
                <w:bCs w:val="1"/>
                <w:color w:val="auto"/>
                <w:w w:val="95"/>
              </w:rPr>
              <w:t>New York</w:t>
            </w:r>
          </w:p>
        </w:tc>
        <w:tc>
          <w:tcPr>
            <w:tcW w:w="5960" w:type="dxa"/>
            <w:vAlign w:val="bottom"/>
            <w:gridSpan w:val="3"/>
          </w:tcPr>
          <w:p>
            <w:pPr>
              <w:jc w:val="right"/>
              <w:ind w:right="572"/>
              <w:spacing w:after="0"/>
              <w:rPr>
                <w:sz w:val="20"/>
                <w:szCs w:val="20"/>
                <w:color w:val="auto"/>
              </w:rPr>
            </w:pPr>
            <w:r>
              <w:rPr>
                <w:rFonts w:ascii="Arial" w:cs="Arial" w:eastAsia="Arial" w:hAnsi="Arial"/>
                <w:sz w:val="18"/>
                <w:szCs w:val="18"/>
                <w:b w:val="1"/>
                <w:bCs w:val="1"/>
                <w:color w:val="auto"/>
              </w:rPr>
              <w:t>16-0468020</w:t>
            </w:r>
          </w:p>
        </w:tc>
      </w:tr>
      <w:tr>
        <w:trPr>
          <w:trHeight w:val="178"/>
        </w:trPr>
        <w:tc>
          <w:tcPr>
            <w:tcW w:w="1720" w:type="dxa"/>
            <w:vAlign w:val="bottom"/>
          </w:tcPr>
          <w:p>
            <w:pPr>
              <w:jc w:val="center"/>
              <w:ind w:right="142"/>
              <w:spacing w:after="0"/>
              <w:rPr>
                <w:sz w:val="20"/>
                <w:szCs w:val="20"/>
                <w:color w:val="auto"/>
              </w:rPr>
            </w:pPr>
            <w:r>
              <w:rPr>
                <w:rFonts w:ascii="Arial" w:cs="Arial" w:eastAsia="Arial" w:hAnsi="Arial"/>
                <w:sz w:val="14"/>
                <w:szCs w:val="14"/>
                <w:b w:val="1"/>
                <w:bCs w:val="1"/>
                <w:color w:val="auto"/>
                <w:w w:val="96"/>
              </w:rPr>
              <w:t>(State of incorporation)</w:t>
            </w:r>
          </w:p>
        </w:tc>
        <w:tc>
          <w:tcPr>
            <w:tcW w:w="10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240" w:type="dxa"/>
            <w:vAlign w:val="bottom"/>
          </w:tcPr>
          <w:p>
            <w:pPr>
              <w:jc w:val="center"/>
              <w:ind w:left="952"/>
              <w:spacing w:after="0"/>
              <w:rPr>
                <w:sz w:val="20"/>
                <w:szCs w:val="20"/>
                <w:color w:val="auto"/>
              </w:rPr>
            </w:pPr>
            <w:r>
              <w:rPr>
                <w:rFonts w:ascii="Arial" w:cs="Arial" w:eastAsia="Arial" w:hAnsi="Arial"/>
                <w:sz w:val="14"/>
                <w:szCs w:val="14"/>
                <w:b w:val="1"/>
                <w:bCs w:val="1"/>
                <w:color w:val="auto"/>
                <w:w w:val="96"/>
              </w:rPr>
              <w:t>(I.R.S. Employer Identification No.)</w:t>
            </w:r>
          </w:p>
        </w:tc>
      </w:tr>
    </w:tbl>
    <w:p>
      <w:pPr>
        <w:spacing w:after="0" w:line="4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P.O. Box 4505, 45 Glover Avenue, Norwalk, Connecticut 06856-4505 (Address of principal executive offices)</w:t>
      </w:r>
    </w:p>
    <w:p>
      <w:pPr>
        <w:spacing w:after="0" w:line="1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(203) 968-3000</w:t>
      </w:r>
    </w:p>
    <w:p>
      <w:pPr>
        <w:spacing w:after="0" w:line="5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79" w:lineRule="exact"/>
        <w:rPr>
          <w:sz w:val="24"/>
          <w:szCs w:val="24"/>
          <w:color w:val="auto"/>
        </w:rPr>
      </w:pPr>
    </w:p>
    <w:tbl>
      <w:tblPr>
        <w:tblLayout w:type="fixed"/>
        <w:tblInd w:w="460" w:type="dxa"/>
        <w:tblCellMar>
          <w:top w:w="0" w:type="dxa"/>
          <w:left w:w="0" w:type="dxa"/>
          <w:bottom w:w="0" w:type="dxa"/>
          <w:right w:w="0" w:type="dxa"/>
        </w:tblCellMar>
      </w:tblPr>
      <w:tr>
        <w:trPr>
          <w:trHeight w:val="165"/>
        </w:trPr>
        <w:tc>
          <w:tcPr>
            <w:tcW w:w="1280" w:type="dxa"/>
            <w:vAlign w:val="bottom"/>
          </w:tcPr>
          <w:p>
            <w:pPr>
              <w:spacing w:after="0"/>
              <w:rPr>
                <w:sz w:val="14"/>
                <w:szCs w:val="14"/>
                <w:color w:val="auto"/>
              </w:rPr>
            </w:pPr>
          </w:p>
        </w:tc>
        <w:tc>
          <w:tcPr>
            <w:tcW w:w="226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Title of each class</w:t>
            </w:r>
          </w:p>
        </w:tc>
        <w:tc>
          <w:tcPr>
            <w:tcW w:w="8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9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6"/>
              </w:rPr>
              <w:t>Name of each exchange on which registered</w:t>
            </w: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3540" w:type="dxa"/>
            <w:vAlign w:val="bottom"/>
            <w:gridSpan w:val="2"/>
          </w:tcPr>
          <w:p>
            <w:pPr>
              <w:ind w:left="1280"/>
              <w:spacing w:after="0"/>
              <w:rPr>
                <w:sz w:val="20"/>
                <w:szCs w:val="20"/>
                <w:color w:val="auto"/>
              </w:rPr>
            </w:pPr>
            <w:r>
              <w:rPr>
                <w:rFonts w:ascii="Arial" w:cs="Arial" w:eastAsia="Arial" w:hAnsi="Arial"/>
                <w:sz w:val="18"/>
                <w:szCs w:val="18"/>
                <w:color w:val="auto"/>
                <w:w w:val="96"/>
              </w:rPr>
              <w:t>Common Stock, $1 par value</w:t>
            </w:r>
          </w:p>
        </w:tc>
        <w:tc>
          <w:tcPr>
            <w:tcW w:w="8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940" w:type="dxa"/>
            <w:vAlign w:val="bottom"/>
            <w:gridSpan w:val="2"/>
          </w:tcPr>
          <w:p>
            <w:pPr>
              <w:jc w:val="center"/>
              <w:spacing w:after="0"/>
              <w:rPr>
                <w:sz w:val="20"/>
                <w:szCs w:val="20"/>
                <w:color w:val="auto"/>
              </w:rPr>
            </w:pPr>
            <w:r>
              <w:rPr>
                <w:rFonts w:ascii="Arial" w:cs="Arial" w:eastAsia="Arial" w:hAnsi="Arial"/>
                <w:sz w:val="18"/>
                <w:szCs w:val="18"/>
                <w:color w:val="auto"/>
                <w:w w:val="96"/>
              </w:rPr>
              <w:t>New York Stock Exchange</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2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60" w:type="dxa"/>
            <w:vAlign w:val="bottom"/>
          </w:tcPr>
          <w:p>
            <w:pPr>
              <w:jc w:val="center"/>
              <w:ind w:left="379"/>
              <w:spacing w:after="0"/>
              <w:rPr>
                <w:sz w:val="20"/>
                <w:szCs w:val="20"/>
                <w:color w:val="auto"/>
              </w:rPr>
            </w:pPr>
            <w:r>
              <w:rPr>
                <w:rFonts w:ascii="Arial" w:cs="Arial" w:eastAsia="Arial" w:hAnsi="Arial"/>
                <w:sz w:val="18"/>
                <w:szCs w:val="18"/>
                <w:color w:val="auto"/>
                <w:w w:val="97"/>
              </w:rPr>
              <w:t>Chicago Stock Exchange</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9"/>
        </w:trPr>
        <w:tc>
          <w:tcPr>
            <w:tcW w:w="1280" w:type="dxa"/>
            <w:vAlign w:val="bottom"/>
          </w:tcPr>
          <w:p>
            <w:pPr>
              <w:spacing w:after="0"/>
              <w:rPr>
                <w:sz w:val="24"/>
                <w:szCs w:val="24"/>
                <w:color w:val="auto"/>
              </w:rPr>
            </w:pPr>
          </w:p>
        </w:tc>
        <w:tc>
          <w:tcPr>
            <w:tcW w:w="7940" w:type="dxa"/>
            <w:vAlign w:val="bottom"/>
            <w:gridSpan w:val="5"/>
          </w:tcPr>
          <w:p>
            <w:pPr>
              <w:jc w:val="center"/>
              <w:spacing w:after="0"/>
              <w:rPr>
                <w:sz w:val="20"/>
                <w:szCs w:val="20"/>
                <w:color w:val="auto"/>
              </w:rPr>
            </w:pPr>
            <w:r>
              <w:rPr>
                <w:rFonts w:ascii="Arial" w:cs="Arial" w:eastAsia="Arial" w:hAnsi="Arial"/>
                <w:sz w:val="18"/>
                <w:szCs w:val="18"/>
                <w:b w:val="1"/>
                <w:bCs w:val="1"/>
                <w:color w:val="auto"/>
                <w:w w:val="97"/>
              </w:rPr>
              <w:t>Securities registered pursuant to Section 12(g) of the Act:</w:t>
            </w: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2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20" w:type="dxa"/>
            <w:vAlign w:val="bottom"/>
            <w:gridSpan w:val="3"/>
          </w:tcPr>
          <w:p>
            <w:pPr>
              <w:jc w:val="center"/>
              <w:ind w:right="3039"/>
              <w:spacing w:after="0"/>
              <w:rPr>
                <w:sz w:val="20"/>
                <w:szCs w:val="20"/>
                <w:color w:val="auto"/>
              </w:rPr>
            </w:pPr>
            <w:r>
              <w:rPr>
                <w:rFonts w:ascii="Arial" w:cs="Arial" w:eastAsia="Arial" w:hAnsi="Arial"/>
                <w:sz w:val="18"/>
                <w:szCs w:val="18"/>
                <w:color w:val="auto"/>
                <w:w w:val="97"/>
              </w:rPr>
              <w:t>None</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4400" w:type="dxa"/>
            <w:vAlign w:val="bottom"/>
            <w:gridSpan w:val="3"/>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3100" w:type="dxa"/>
            <w:vAlign w:val="bottom"/>
            <w:gridSpan w:val="2"/>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vMerge w:val="restart"/>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380" w:type="dxa"/>
            <w:vAlign w:val="bottom"/>
          </w:tcPr>
          <w:p>
            <w:pPr>
              <w:spacing w:after="0"/>
              <w:rPr>
                <w:sz w:val="14"/>
                <w:szCs w:val="14"/>
                <w:color w:val="auto"/>
              </w:rPr>
            </w:pPr>
          </w:p>
        </w:tc>
        <w:tc>
          <w:tcPr>
            <w:tcW w:w="220" w:type="dxa"/>
            <w:vAlign w:val="bottom"/>
            <w:vMerge w:val="restart"/>
          </w:tcPr>
          <w:p>
            <w:pPr>
              <w:ind w:left="4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09"/>
        </w:trPr>
        <w:tc>
          <w:tcPr>
            <w:tcW w:w="9220" w:type="dxa"/>
            <w:vAlign w:val="bottom"/>
            <w:gridSpan w:val="6"/>
          </w:tcPr>
          <w:p>
            <w:pPr>
              <w:spacing w:after="0"/>
              <w:rPr>
                <w:sz w:val="20"/>
                <w:szCs w:val="20"/>
                <w:color w:val="auto"/>
              </w:rPr>
            </w:pPr>
            <w:r>
              <w:rPr>
                <w:rFonts w:ascii="Arial" w:cs="Arial" w:eastAsia="Arial" w:hAnsi="Arial"/>
                <w:sz w:val="18"/>
                <w:szCs w:val="18"/>
                <w:color w:val="auto"/>
                <w:w w:val="98"/>
              </w:rPr>
              <w:t>Indicate by check mark if the registrant is a well-known seasoned issuer, as defined in Rule 405 of the Securities Act.</w:t>
            </w:r>
          </w:p>
        </w:tc>
        <w:tc>
          <w:tcPr>
            <w:tcW w:w="480" w:type="dxa"/>
            <w:vAlign w:val="bottom"/>
          </w:tcPr>
          <w:p>
            <w:pPr>
              <w:ind w:left="40"/>
              <w:spacing w:after="0"/>
              <w:rPr>
                <w:sz w:val="20"/>
                <w:szCs w:val="20"/>
                <w:color w:val="auto"/>
              </w:rPr>
            </w:pPr>
            <w:r>
              <w:rPr>
                <w:rFonts w:ascii="Arial" w:cs="Arial" w:eastAsia="Arial" w:hAnsi="Arial"/>
                <w:sz w:val="18"/>
                <w:szCs w:val="18"/>
                <w:color w:val="auto"/>
              </w:rPr>
              <w:t>Yes</w:t>
            </w:r>
          </w:p>
        </w:tc>
        <w:tc>
          <w:tcPr>
            <w:tcW w:w="300" w:type="dxa"/>
            <w:vAlign w:val="bottom"/>
            <w:vMerge w:val="continue"/>
          </w:tcPr>
          <w:p>
            <w:pPr>
              <w:spacing w:after="0"/>
              <w:rPr>
                <w:sz w:val="24"/>
                <w:szCs w:val="24"/>
                <w:color w:val="auto"/>
              </w:rPr>
            </w:pPr>
          </w:p>
        </w:tc>
        <w:tc>
          <w:tcPr>
            <w:tcW w:w="380" w:type="dxa"/>
            <w:vAlign w:val="bottom"/>
          </w:tcPr>
          <w:p>
            <w:pPr>
              <w:ind w:left="100"/>
              <w:spacing w:after="0"/>
              <w:rPr>
                <w:sz w:val="20"/>
                <w:szCs w:val="20"/>
                <w:color w:val="auto"/>
              </w:rPr>
            </w:pPr>
            <w:r>
              <w:rPr>
                <w:rFonts w:ascii="Arial" w:cs="Arial" w:eastAsia="Arial" w:hAnsi="Arial"/>
                <w:sz w:val="18"/>
                <w:szCs w:val="18"/>
                <w:color w:val="auto"/>
              </w:rPr>
              <w:t>No</w:t>
            </w:r>
          </w:p>
        </w:tc>
        <w:tc>
          <w:tcPr>
            <w:tcW w:w="2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220" w:type="dxa"/>
            <w:vAlign w:val="bottom"/>
            <w:gridSpan w:val="6"/>
          </w:tcPr>
          <w:p>
            <w:pPr>
              <w:spacing w:after="0"/>
              <w:rPr>
                <w:sz w:val="20"/>
                <w:szCs w:val="20"/>
                <w:color w:val="auto"/>
              </w:rPr>
            </w:pPr>
            <w:r>
              <w:rPr>
                <w:rFonts w:ascii="Arial" w:cs="Arial" w:eastAsia="Arial" w:hAnsi="Arial"/>
                <w:sz w:val="18"/>
                <w:szCs w:val="18"/>
                <w:color w:val="auto"/>
                <w:w w:val="97"/>
              </w:rPr>
              <w:t>Indicate by check mark if the registrant is not required to file reports pursuant to Section 13 or Section 15(d) of the Act.</w:t>
            </w:r>
          </w:p>
        </w:tc>
        <w:tc>
          <w:tcPr>
            <w:tcW w:w="480" w:type="dxa"/>
            <w:vAlign w:val="bottom"/>
          </w:tcPr>
          <w:p>
            <w:pPr>
              <w:ind w:left="140"/>
              <w:spacing w:after="0"/>
              <w:rPr>
                <w:sz w:val="20"/>
                <w:szCs w:val="20"/>
                <w:color w:val="auto"/>
              </w:rPr>
            </w:pPr>
            <w:r>
              <w:rPr>
                <w:rFonts w:ascii="Arial" w:cs="Arial" w:eastAsia="Arial" w:hAnsi="Arial"/>
                <w:sz w:val="18"/>
                <w:szCs w:val="18"/>
                <w:color w:val="auto"/>
              </w:rPr>
              <w:t>Yes</w:t>
            </w:r>
          </w:p>
        </w:tc>
        <w:tc>
          <w:tcPr>
            <w:tcW w:w="30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380" w:type="dxa"/>
            <w:vAlign w:val="bottom"/>
          </w:tcPr>
          <w:p>
            <w:pPr>
              <w:ind w:left="120"/>
              <w:spacing w:after="0"/>
              <w:rPr>
                <w:sz w:val="20"/>
                <w:szCs w:val="20"/>
                <w:color w:val="auto"/>
              </w:rPr>
            </w:pPr>
            <w:r>
              <w:rPr>
                <w:rFonts w:ascii="Arial" w:cs="Arial" w:eastAsia="Arial" w:hAnsi="Arial"/>
                <w:sz w:val="18"/>
                <w:szCs w:val="18"/>
                <w:color w:val="auto"/>
              </w:rPr>
              <w:t>No</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66" w:lineRule="exact"/>
        <w:rPr>
          <w:sz w:val="24"/>
          <w:szCs w:val="24"/>
          <w:color w:val="auto"/>
        </w:rPr>
      </w:pPr>
    </w:p>
    <w:p>
      <w:pPr>
        <w:ind w:right="180" w:firstLine="456"/>
        <w:spacing w:after="0" w:line="21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8" w:lineRule="exact"/>
        <w:rPr>
          <w:sz w:val="24"/>
          <w:szCs w:val="24"/>
          <w:color w:val="auto"/>
        </w:rPr>
      </w:pPr>
    </w:p>
    <w:p>
      <w:pPr>
        <w:ind w:firstLine="456"/>
        <w:spacing w:after="0" w:line="212"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8" w:lineRule="exact"/>
        <w:rPr>
          <w:sz w:val="24"/>
          <w:szCs w:val="24"/>
          <w:color w:val="auto"/>
        </w:rPr>
      </w:pPr>
    </w:p>
    <w:p>
      <w:pPr>
        <w:ind w:right="20" w:firstLine="456"/>
        <w:spacing w:after="0" w:line="212"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68" w:lineRule="exact"/>
        <w:rPr>
          <w:sz w:val="24"/>
          <w:szCs w:val="24"/>
          <w:color w:val="auto"/>
        </w:rPr>
      </w:pPr>
    </w:p>
    <w:p>
      <w:pPr>
        <w:ind w:right="80" w:firstLine="456"/>
        <w:spacing w:after="0" w:line="288" w:lineRule="auto"/>
        <w:rPr>
          <w:sz w:val="20"/>
          <w:szCs w:val="20"/>
          <w:color w:val="auto"/>
        </w:rPr>
      </w:pPr>
      <w:r>
        <w:rPr>
          <w:rFonts w:ascii="Arial" w:cs="Arial" w:eastAsia="Arial" w:hAnsi="Arial"/>
          <w:sz w:val="16"/>
          <w:szCs w:val="16"/>
          <w:color w:val="auto"/>
        </w:rPr>
        <w:t>Indicate by a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1" w:lineRule="exact"/>
        <w:rPr>
          <w:sz w:val="24"/>
          <w:szCs w:val="24"/>
          <w:color w:val="auto"/>
        </w:rPr>
      </w:pPr>
    </w:p>
    <w:p>
      <w:pPr>
        <w:spacing w:after="0" w:line="207" w:lineRule="exact"/>
        <w:tabs>
          <w:tab w:leader="none" w:pos="1920" w:val="left"/>
          <w:tab w:leader="none" w:pos="2460" w:val="left"/>
          <w:tab w:leader="none" w:pos="3920" w:val="left"/>
          <w:tab w:leader="none" w:pos="4460" w:val="left"/>
          <w:tab w:leader="none" w:pos="6280" w:val="left"/>
          <w:tab w:leader="none" w:pos="6840" w:val="left"/>
          <w:tab w:leader="none" w:pos="912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Non-accelerated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Smaller reporting company</w:t>
      </w:r>
      <w:r>
        <w:rPr>
          <w:sz w:val="20"/>
          <w:szCs w:val="20"/>
          <w:color w:val="auto"/>
        </w:rPr>
        <w:tab/>
      </w:r>
      <w:r>
        <w:rPr>
          <w:rFonts w:ascii="MS PGothic" w:cs="MS PGothic" w:eastAsia="MS PGothic" w:hAnsi="MS PGothic"/>
          <w:sz w:val="16"/>
          <w:szCs w:val="16"/>
          <w:color w:val="auto"/>
        </w:rPr>
        <w:t>☐</w:t>
      </w:r>
    </w:p>
    <w:p>
      <w:pPr>
        <w:spacing w:after="0" w:line="90" w:lineRule="exact"/>
        <w:rPr>
          <w:sz w:val="24"/>
          <w:szCs w:val="24"/>
          <w:color w:val="auto"/>
        </w:rPr>
      </w:pPr>
    </w:p>
    <w:p>
      <w:pPr>
        <w:ind w:left="460"/>
        <w:spacing w:after="0" w:line="207" w:lineRule="exact"/>
        <w:tabs>
          <w:tab w:leader="none" w:pos="9540" w:val="left"/>
          <w:tab w:leader="none" w:pos="10020" w:val="left"/>
        </w:tabs>
        <w:rPr>
          <w:sz w:val="20"/>
          <w:szCs w:val="20"/>
          <w:color w:val="auto"/>
        </w:rPr>
      </w:pPr>
      <w:r>
        <w:rPr>
          <w:rFonts w:ascii="Arial" w:cs="Arial" w:eastAsia="Arial" w:hAnsi="Arial"/>
          <w:sz w:val="18"/>
          <w:szCs w:val="18"/>
          <w:color w:val="auto"/>
        </w:rPr>
        <w:t>Indicate by a check mark whether the registrant is a shell company (as defined in Rule 12b-2 of the Exchange Act).</w:t>
        <w:tab/>
        <w:t>Yes</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No</w:t>
      </w:r>
      <w:r>
        <w:rPr>
          <w:rFonts w:ascii="MS PGothic" w:cs="MS PGothic" w:eastAsia="MS PGothic" w:hAnsi="MS PGothic"/>
          <w:sz w:val="18"/>
          <w:szCs w:val="18"/>
          <w:color w:val="auto"/>
        </w:rPr>
        <w:t xml:space="preserve"> ☒</w:t>
      </w:r>
    </w:p>
    <w:p>
      <w:pPr>
        <w:sectPr>
          <w:pgSz w:w="11900" w:h="16838" w:orient="portrait"/>
          <w:cols w:equalWidth="0" w:num="1">
            <w:col w:w="11380"/>
          </w:cols>
          <w:pgMar w:left="240" w:top="230" w:right="27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aggregate market value of the voting stock of the registrant held by non-affiliates as of June 30, 2010 was: $11,119,697,695.</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w:t>
      </w:r>
    </w:p>
    <w:p>
      <w:pPr>
        <w:spacing w:after="0" w:line="57" w:lineRule="exact"/>
        <w:rPr>
          <w:sz w:val="20"/>
          <w:szCs w:val="20"/>
          <w:color w:val="auto"/>
        </w:rPr>
      </w:pPr>
    </w:p>
    <w:tbl>
      <w:tblPr>
        <w:tblLayout w:type="fixed"/>
        <w:tblInd w:w="1740" w:type="dxa"/>
        <w:tblCellMar>
          <w:top w:w="0" w:type="dxa"/>
          <w:left w:w="0" w:type="dxa"/>
          <w:bottom w:w="0" w:type="dxa"/>
          <w:right w:w="0" w:type="dxa"/>
        </w:tblCellMar>
      </w:tblPr>
      <w:tr>
        <w:trPr>
          <w:trHeight w:val="165"/>
        </w:trPr>
        <w:tc>
          <w:tcPr>
            <w:tcW w:w="40" w:type="dxa"/>
            <w:vAlign w:val="bottom"/>
          </w:tcPr>
          <w:p>
            <w:pPr>
              <w:spacing w:after="0"/>
              <w:rPr>
                <w:sz w:val="14"/>
                <w:szCs w:val="14"/>
                <w:color w:val="auto"/>
              </w:rPr>
            </w:pPr>
          </w:p>
        </w:tc>
        <w:tc>
          <w:tcPr>
            <w:tcW w:w="2180" w:type="dxa"/>
            <w:vAlign w:val="bottom"/>
            <w:tcBorders>
              <w:bottom w:val="single" w:sz="8" w:color="auto"/>
            </w:tcBorders>
          </w:tcPr>
          <w:p>
            <w:pPr>
              <w:ind w:left="1000"/>
              <w:spacing w:after="0"/>
              <w:rPr>
                <w:sz w:val="20"/>
                <w:szCs w:val="20"/>
                <w:color w:val="auto"/>
              </w:rPr>
            </w:pPr>
            <w:r>
              <w:rPr>
                <w:rFonts w:ascii="Arial" w:cs="Arial" w:eastAsia="Arial" w:hAnsi="Arial"/>
                <w:sz w:val="14"/>
                <w:szCs w:val="14"/>
                <w:b w:val="1"/>
                <w:bCs w:val="1"/>
                <w:color w:val="auto"/>
              </w:rPr>
              <w:t>Class</w:t>
            </w:r>
          </w:p>
        </w:tc>
        <w:tc>
          <w:tcPr>
            <w:tcW w:w="3680" w:type="dxa"/>
            <w:vAlign w:val="bottom"/>
          </w:tcPr>
          <w:p>
            <w:pPr>
              <w:spacing w:after="0"/>
              <w:rPr>
                <w:sz w:val="14"/>
                <w:szCs w:val="14"/>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Outstanding at January 31, 2011</w:t>
            </w:r>
          </w:p>
        </w:tc>
      </w:tr>
      <w:tr>
        <w:trPr>
          <w:trHeight w:val="343"/>
        </w:trPr>
        <w:tc>
          <w:tcPr>
            <w:tcW w:w="5900" w:type="dxa"/>
            <w:vAlign w:val="bottom"/>
            <w:gridSpan w:val="3"/>
          </w:tcPr>
          <w:p>
            <w:pPr>
              <w:spacing w:after="0"/>
              <w:rPr>
                <w:sz w:val="20"/>
                <w:szCs w:val="20"/>
                <w:color w:val="auto"/>
              </w:rPr>
            </w:pPr>
            <w:r>
              <w:rPr>
                <w:rFonts w:ascii="Arial" w:cs="Arial" w:eastAsia="Arial" w:hAnsi="Arial"/>
                <w:sz w:val="18"/>
                <w:szCs w:val="18"/>
                <w:color w:val="auto"/>
              </w:rPr>
              <w:t>Common Stock, $1 par value</w:t>
            </w:r>
          </w:p>
        </w:tc>
        <w:tc>
          <w:tcPr>
            <w:tcW w:w="2100" w:type="dxa"/>
            <w:vAlign w:val="bottom"/>
          </w:tcPr>
          <w:p>
            <w:pPr>
              <w:jc w:val="center"/>
              <w:spacing w:after="0"/>
              <w:rPr>
                <w:sz w:val="20"/>
                <w:szCs w:val="20"/>
                <w:color w:val="auto"/>
              </w:rPr>
            </w:pPr>
            <w:r>
              <w:rPr>
                <w:rFonts w:ascii="Arial" w:cs="Arial" w:eastAsia="Arial" w:hAnsi="Arial"/>
                <w:sz w:val="18"/>
                <w:szCs w:val="18"/>
                <w:color w:val="auto"/>
                <w:w w:val="97"/>
              </w:rPr>
              <w:t>1,399,441,447 Shares</w:t>
            </w:r>
          </w:p>
        </w:tc>
      </w:tr>
    </w:tbl>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009CDA"/>
        </w:rPr>
        <w:t>DOCUMENTS INCORPORATED BY REFERENCE</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Portions of the following documents are incorporated herein by reference:</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6"/>
              </w:rPr>
              <w:t>Part of Form</w:t>
            </w:r>
          </w:p>
        </w:tc>
      </w:tr>
      <w:tr>
        <w:trPr>
          <w:trHeight w:val="149"/>
        </w:trPr>
        <w:tc>
          <w:tcPr>
            <w:tcW w:w="10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10-K in Which</w:t>
            </w:r>
          </w:p>
        </w:tc>
      </w:tr>
      <w:tr>
        <w:trPr>
          <w:trHeight w:val="178"/>
        </w:trPr>
        <w:tc>
          <w:tcPr>
            <w:tcW w:w="10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Document</w:t>
            </w:r>
          </w:p>
        </w:tc>
        <w:tc>
          <w:tcPr>
            <w:tcW w:w="12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Incorporated</w:t>
            </w:r>
          </w:p>
        </w:tc>
      </w:tr>
      <w:tr>
        <w:trPr>
          <w:trHeight w:val="200"/>
        </w:trPr>
        <w:tc>
          <w:tcPr>
            <w:tcW w:w="10280" w:type="dxa"/>
            <w:vAlign w:val="bottom"/>
          </w:tcPr>
          <w:p>
            <w:pPr>
              <w:spacing w:after="0" w:line="200" w:lineRule="exact"/>
              <w:rPr>
                <w:sz w:val="20"/>
                <w:szCs w:val="20"/>
                <w:color w:val="auto"/>
              </w:rPr>
            </w:pPr>
            <w:r>
              <w:rPr>
                <w:rFonts w:ascii="Arial" w:cs="Arial" w:eastAsia="Arial" w:hAnsi="Arial"/>
                <w:sz w:val="18"/>
                <w:szCs w:val="18"/>
                <w:color w:val="auto"/>
              </w:rPr>
              <w:t>Xerox Corporation 2010 Annual Report to Shareholders</w:t>
            </w:r>
          </w:p>
        </w:tc>
        <w:tc>
          <w:tcPr>
            <w:tcW w:w="120" w:type="dxa"/>
            <w:vAlign w:val="bottom"/>
          </w:tcPr>
          <w:p>
            <w:pPr>
              <w:spacing w:after="0"/>
              <w:rPr>
                <w:sz w:val="17"/>
                <w:szCs w:val="17"/>
                <w:color w:val="auto"/>
              </w:rPr>
            </w:pPr>
          </w:p>
        </w:tc>
        <w:tc>
          <w:tcPr>
            <w:tcW w:w="1020" w:type="dxa"/>
            <w:vAlign w:val="bottom"/>
          </w:tcPr>
          <w:p>
            <w:pPr>
              <w:jc w:val="center"/>
              <w:spacing w:after="0" w:line="200" w:lineRule="exact"/>
              <w:rPr>
                <w:sz w:val="20"/>
                <w:szCs w:val="20"/>
                <w:color w:val="auto"/>
              </w:rPr>
            </w:pPr>
            <w:r>
              <w:rPr>
                <w:rFonts w:ascii="Arial" w:cs="Arial" w:eastAsia="Arial" w:hAnsi="Arial"/>
                <w:sz w:val="18"/>
                <w:szCs w:val="18"/>
                <w:color w:val="auto"/>
                <w:w w:val="97"/>
              </w:rPr>
              <w:t>I &amp; II</w:t>
            </w:r>
          </w:p>
        </w:tc>
      </w:tr>
      <w:tr>
        <w:trPr>
          <w:trHeight w:val="203"/>
        </w:trPr>
        <w:tc>
          <w:tcPr>
            <w:tcW w:w="10280" w:type="dxa"/>
            <w:vAlign w:val="bottom"/>
          </w:tcPr>
          <w:p>
            <w:pPr>
              <w:spacing w:after="0" w:line="202" w:lineRule="exact"/>
              <w:rPr>
                <w:sz w:val="20"/>
                <w:szCs w:val="20"/>
                <w:color w:val="auto"/>
              </w:rPr>
            </w:pPr>
            <w:r>
              <w:rPr>
                <w:rFonts w:ascii="Arial" w:cs="Arial" w:eastAsia="Arial" w:hAnsi="Arial"/>
                <w:sz w:val="18"/>
                <w:szCs w:val="18"/>
                <w:color w:val="auto"/>
                <w:w w:val="97"/>
              </w:rPr>
              <w:t>Xerox Corporation Notice of 2011 Annual Meeting of Shareholders and Proxy Statement (to be filed not later than 120 days after the</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1"/>
        </w:trPr>
        <w:tc>
          <w:tcPr>
            <w:tcW w:w="10280" w:type="dxa"/>
            <w:vAlign w:val="bottom"/>
          </w:tcPr>
          <w:p>
            <w:pPr>
              <w:spacing w:after="0"/>
              <w:rPr>
                <w:sz w:val="20"/>
                <w:szCs w:val="20"/>
                <w:color w:val="auto"/>
              </w:rPr>
            </w:pPr>
            <w:r>
              <w:rPr>
                <w:rFonts w:ascii="Arial" w:cs="Arial" w:eastAsia="Arial" w:hAnsi="Arial"/>
                <w:sz w:val="18"/>
                <w:szCs w:val="18"/>
                <w:color w:val="auto"/>
              </w:rPr>
              <w:t>close of the fiscal year covered by this report on Form 10-K)</w:t>
            </w: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2"/>
              </w:rPr>
              <w:t>III</w:t>
            </w:r>
          </w:p>
        </w:tc>
      </w:tr>
      <w:tr>
        <w:trPr>
          <w:trHeight w:val="232"/>
        </w:trPr>
        <w:tc>
          <w:tcPr>
            <w:tcW w:w="10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r>
      <w:tr>
        <w:trPr>
          <w:trHeight w:val="34"/>
        </w:trPr>
        <w:tc>
          <w:tcPr>
            <w:tcW w:w="10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009CDA"/>
        </w:rPr>
        <w:t>FORWARD-LOOKING STATEMENTS</w:t>
      </w:r>
    </w:p>
    <w:p>
      <w:pPr>
        <w:spacing w:after="0" w:line="188" w:lineRule="exact"/>
        <w:rPr>
          <w:sz w:val="20"/>
          <w:szCs w:val="20"/>
          <w:color w:val="auto"/>
        </w:rPr>
      </w:pPr>
    </w:p>
    <w:p>
      <w:pPr>
        <w:jc w:val="both"/>
        <w:ind w:right="340"/>
        <w:spacing w:after="0" w:line="237" w:lineRule="auto"/>
        <w:rPr>
          <w:sz w:val="20"/>
          <w:szCs w:val="20"/>
          <w:color w:val="auto"/>
        </w:rPr>
      </w:pPr>
      <w:r>
        <w:rPr>
          <w:rFonts w:ascii="Arial" w:cs="Arial" w:eastAsia="Arial" w:hAnsi="Arial"/>
          <w:sz w:val="18"/>
          <w:szCs w:val="18"/>
          <w:color w:val="auto"/>
        </w:rPr>
        <w:t>From time to time, we and our representatives may provide information, whether orally or in writing, including certain statements in this Annual Report on Form 10-K, which are deemed to be “forward-looking” within the meaning of the Private Securities Litigation Reform Act of 1995 (the “Litigation Reform Act”). These forward-looking statements and other information are based on our beliefs as well as assumptions made by us using information currently available.</w:t>
      </w:r>
    </w:p>
    <w:p>
      <w:pPr>
        <w:spacing w:after="0" w:line="155"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words “anticipate,” “believe,” “estimate,” “expect,” “intend,” “will,” “should” and similar expressions, as they relate to us, are intended to identify forward-looking statements. Such statements reflect our current views with respect to future events and are subject to certain risks, uncertainties and assumptions. Should one or more of these risks or uncertainties materialize, or should underlying assumptions prove incorrect, actual results may vary materially from those described herein as anticipated, believed, estimated, expected or intended or using other similar expressions. We do not intend to update these forward-looking statements, except as required by law.</w:t>
      </w:r>
    </w:p>
    <w:p>
      <w:pPr>
        <w:spacing w:after="0" w:line="157"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In accordance with the provisions of the Litigation Reform Act, we are making investors aware that such forward-looking statements, because they relate to future events, are by their very nature subject to many important factors that could cause actual results to differ materially from those contemplated by the forward-looking statements contained in this Annual Report on Form 10-K, any exhibits to this Form 10-K and other public statements we make. Such factors include, but are not limited to: changes in economic conditions, political conditions, trade protection measures, licensing requirements, environmental regulations and tax matters in the United States and in the foreign countries in which we do business; changes in foreign currency exchange rates; the outcome of litigation and regulatory proceedings to which we may be a party; actions of competitors; our ability to expand equipment placements and to drive the expanded use of color in printing and copying; development of new products and services; interest rates, cost of borrowing and access to credit markets; our ability to protect our intellectual property rights; our ability to obtain adequate pricing for our products and services and to maintain and improve cost efficiency of operations, including savings from restructuring actions; the risk that unexpected costs will be incurred; reliance on third parties for manufacturing of products and provision of services; the risk that we will not realize all of the anticipated benefits from the acquisition of Affiliated Computer Services, Inc.; our ability to recover capital investments; the risk that subcontractors, software vendors and utility and network providers will not perform in a timely, quality manner; the risk that multi-year contracts with governmental entities could be terminated prior to the end of the contract term; the risk that individually identifiable information of customers, clients and employees could be inadvertently disclosed or disclosed as a result of a breach of our security; and other factors that are set forth in the “Risk Factors” section, the “Legal Proceedings” section, the “Management’s Discussion and Analysis of Financial Condition and Results of Operations” section and other sections of this Annual Report on Form 10-K, as well as in our Quarterly Reports on Form 10-Q and Current Reports on Form 8-K.</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009DDB"/>
        </w:rPr>
        <w:t>TABLE of CONTENTS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40" w:type="dxa"/>
            <w:vAlign w:val="bottom"/>
            <w:gridSpan w:val="2"/>
          </w:tcPr>
          <w:p>
            <w:pPr>
              <w:spacing w:after="0"/>
              <w:rPr>
                <w:sz w:val="20"/>
                <w:szCs w:val="20"/>
                <w:color w:val="auto"/>
              </w:rPr>
            </w:pPr>
            <w:r>
              <w:rPr>
                <w:rFonts w:ascii="Arial" w:cs="Arial" w:eastAsia="Arial" w:hAnsi="Arial"/>
                <w:sz w:val="18"/>
                <w:szCs w:val="18"/>
                <w:color w:val="auto"/>
              </w:rPr>
              <w:t>Part I</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72"/>
        </w:trPr>
        <w:tc>
          <w:tcPr>
            <w:tcW w:w="1340" w:type="dxa"/>
            <w:vAlign w:val="bottom"/>
            <w:gridSpan w:val="2"/>
          </w:tcPr>
          <w:p>
            <w:pPr>
              <w:ind w:left="540"/>
              <w:spacing w:after="0" w:line="172" w:lineRule="exact"/>
              <w:rPr>
                <w:sz w:val="20"/>
                <w:szCs w:val="20"/>
                <w:color w:val="auto"/>
              </w:rPr>
            </w:pPr>
            <w:r>
              <w:rPr>
                <w:rFonts w:ascii="Arial" w:cs="Arial" w:eastAsia="Arial" w:hAnsi="Arial"/>
                <w:sz w:val="18"/>
                <w:szCs w:val="18"/>
                <w:color w:val="auto"/>
              </w:rPr>
              <w:t>Item 1.</w:t>
            </w:r>
          </w:p>
        </w:tc>
        <w:tc>
          <w:tcPr>
            <w:tcW w:w="8940" w:type="dxa"/>
            <w:vAlign w:val="bottom"/>
            <w:gridSpan w:val="18"/>
          </w:tcPr>
          <w:p>
            <w:pPr>
              <w:spacing w:after="0" w:line="172" w:lineRule="exact"/>
              <w:rPr>
                <w:rFonts w:ascii="Arial" w:cs="Arial" w:eastAsia="Arial" w:hAnsi="Arial"/>
                <w:sz w:val="18"/>
                <w:szCs w:val="18"/>
                <w:color w:val="0000EE"/>
              </w:rPr>
            </w:pPr>
            <w:hyperlink w:anchor="page4">
              <w:r>
                <w:rPr>
                  <w:rFonts w:ascii="Arial" w:cs="Arial" w:eastAsia="Arial" w:hAnsi="Arial"/>
                  <w:sz w:val="18"/>
                  <w:szCs w:val="18"/>
                  <w:color w:val="0000EE"/>
                </w:rPr>
                <w:t>Business Overview</w:t>
              </w:r>
            </w:hyperlink>
          </w:p>
        </w:tc>
        <w:tc>
          <w:tcPr>
            <w:tcW w:w="1040" w:type="dxa"/>
            <w:vAlign w:val="bottom"/>
          </w:tcPr>
          <w:p>
            <w:pPr>
              <w:jc w:val="right"/>
              <w:spacing w:after="0" w:line="172" w:lineRule="exact"/>
              <w:rPr>
                <w:sz w:val="20"/>
                <w:szCs w:val="20"/>
                <w:color w:val="auto"/>
              </w:rPr>
            </w:pPr>
            <w:r>
              <w:rPr>
                <w:rFonts w:ascii="Arial" w:cs="Arial" w:eastAsia="Arial" w:hAnsi="Arial"/>
                <w:sz w:val="18"/>
                <w:szCs w:val="18"/>
                <w:color w:val="auto"/>
              </w:rPr>
              <w:t>1</w:t>
            </w:r>
          </w:p>
        </w:tc>
      </w:tr>
      <w:tr>
        <w:trPr>
          <w:trHeight w:val="183"/>
        </w:trPr>
        <w:tc>
          <w:tcPr>
            <w:tcW w:w="1340" w:type="dxa"/>
            <w:vAlign w:val="bottom"/>
            <w:gridSpan w:val="2"/>
          </w:tcPr>
          <w:p>
            <w:pPr>
              <w:ind w:left="540"/>
              <w:spacing w:after="0" w:line="182" w:lineRule="exact"/>
              <w:rPr>
                <w:sz w:val="20"/>
                <w:szCs w:val="20"/>
                <w:color w:val="auto"/>
              </w:rPr>
            </w:pPr>
            <w:r>
              <w:rPr>
                <w:rFonts w:ascii="Arial" w:cs="Arial" w:eastAsia="Arial" w:hAnsi="Arial"/>
                <w:sz w:val="18"/>
                <w:szCs w:val="18"/>
                <w:color w:val="auto"/>
              </w:rPr>
              <w:t>Item 1A.</w:t>
            </w:r>
          </w:p>
        </w:tc>
        <w:tc>
          <w:tcPr>
            <w:tcW w:w="1480" w:type="dxa"/>
            <w:vAlign w:val="bottom"/>
            <w:tcBorders>
              <w:top w:val="single" w:sz="8" w:color="0000EE"/>
            </w:tcBorders>
            <w:gridSpan w:val="5"/>
          </w:tcPr>
          <w:p>
            <w:pPr>
              <w:spacing w:after="0" w:line="182" w:lineRule="exact"/>
              <w:rPr>
                <w:rFonts w:ascii="Arial" w:cs="Arial" w:eastAsia="Arial" w:hAnsi="Arial"/>
                <w:sz w:val="18"/>
                <w:szCs w:val="18"/>
                <w:color w:val="0000EE"/>
              </w:rPr>
            </w:pPr>
            <w:hyperlink w:anchor="page25">
              <w:r>
                <w:rPr>
                  <w:rFonts w:ascii="Arial" w:cs="Arial" w:eastAsia="Arial" w:hAnsi="Arial"/>
                  <w:sz w:val="18"/>
                  <w:szCs w:val="18"/>
                  <w:color w:val="0000EE"/>
                </w:rPr>
                <w:t>Risk Factors</w:t>
              </w:r>
            </w:hyperlink>
          </w:p>
        </w:tc>
        <w:tc>
          <w:tcPr>
            <w:tcW w:w="7460" w:type="dxa"/>
            <w:vAlign w:val="bottom"/>
            <w:gridSpan w:val="13"/>
          </w:tcPr>
          <w:p>
            <w:pPr>
              <w:spacing w:after="0"/>
              <w:rPr>
                <w:sz w:val="15"/>
                <w:szCs w:val="15"/>
                <w:color w:val="auto"/>
              </w:rPr>
            </w:pPr>
          </w:p>
        </w:tc>
        <w:tc>
          <w:tcPr>
            <w:tcW w:w="1040" w:type="dxa"/>
            <w:vAlign w:val="bottom"/>
          </w:tcPr>
          <w:p>
            <w:pPr>
              <w:jc w:val="right"/>
              <w:spacing w:after="0" w:line="182" w:lineRule="exact"/>
              <w:rPr>
                <w:sz w:val="20"/>
                <w:szCs w:val="20"/>
                <w:color w:val="auto"/>
              </w:rPr>
            </w:pPr>
            <w:r>
              <w:rPr>
                <w:rFonts w:ascii="Arial" w:cs="Arial" w:eastAsia="Arial" w:hAnsi="Arial"/>
                <w:sz w:val="18"/>
                <w:szCs w:val="18"/>
                <w:color w:val="auto"/>
              </w:rPr>
              <w:t>22</w:t>
            </w:r>
          </w:p>
        </w:tc>
      </w:tr>
      <w:tr>
        <w:trPr>
          <w:trHeight w:val="20"/>
        </w:trPr>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3"/>
        </w:trPr>
        <w:tc>
          <w:tcPr>
            <w:tcW w:w="1340" w:type="dxa"/>
            <w:vAlign w:val="bottom"/>
            <w:gridSpan w:val="2"/>
          </w:tcPr>
          <w:p>
            <w:pPr>
              <w:ind w:left="540"/>
              <w:spacing w:after="0" w:line="182" w:lineRule="exact"/>
              <w:rPr>
                <w:sz w:val="20"/>
                <w:szCs w:val="20"/>
                <w:color w:val="auto"/>
              </w:rPr>
            </w:pPr>
            <w:r>
              <w:rPr>
                <w:rFonts w:ascii="Arial" w:cs="Arial" w:eastAsia="Arial" w:hAnsi="Arial"/>
                <w:sz w:val="18"/>
                <w:szCs w:val="18"/>
                <w:color w:val="auto"/>
              </w:rPr>
              <w:t>Item 1B.</w:t>
            </w:r>
          </w:p>
        </w:tc>
        <w:tc>
          <w:tcPr>
            <w:tcW w:w="8940" w:type="dxa"/>
            <w:vAlign w:val="bottom"/>
            <w:gridSpan w:val="18"/>
          </w:tcPr>
          <w:p>
            <w:pPr>
              <w:spacing w:after="0" w:line="182" w:lineRule="exact"/>
              <w:rPr>
                <w:rFonts w:ascii="Arial" w:cs="Arial" w:eastAsia="Arial" w:hAnsi="Arial"/>
                <w:sz w:val="18"/>
                <w:szCs w:val="18"/>
                <w:color w:val="0000EE"/>
              </w:rPr>
            </w:pPr>
            <w:hyperlink w:anchor="page30">
              <w:r>
                <w:rPr>
                  <w:rFonts w:ascii="Arial" w:cs="Arial" w:eastAsia="Arial" w:hAnsi="Arial"/>
                  <w:sz w:val="18"/>
                  <w:szCs w:val="18"/>
                  <w:color w:val="0000EE"/>
                </w:rPr>
                <w:t>Unresolved Staff Comments</w:t>
              </w:r>
            </w:hyperlink>
          </w:p>
        </w:tc>
        <w:tc>
          <w:tcPr>
            <w:tcW w:w="1040" w:type="dxa"/>
            <w:vAlign w:val="bottom"/>
          </w:tcPr>
          <w:p>
            <w:pPr>
              <w:jc w:val="right"/>
              <w:spacing w:after="0" w:line="182" w:lineRule="exact"/>
              <w:rPr>
                <w:sz w:val="20"/>
                <w:szCs w:val="20"/>
                <w:color w:val="auto"/>
              </w:rPr>
            </w:pPr>
            <w:r>
              <w:rPr>
                <w:rFonts w:ascii="Arial" w:cs="Arial" w:eastAsia="Arial" w:hAnsi="Arial"/>
                <w:sz w:val="18"/>
                <w:szCs w:val="18"/>
                <w:color w:val="auto"/>
              </w:rPr>
              <w:t>27</w:t>
            </w:r>
          </w:p>
        </w:tc>
      </w:tr>
      <w:tr>
        <w:trPr>
          <w:trHeight w:val="183"/>
        </w:trPr>
        <w:tc>
          <w:tcPr>
            <w:tcW w:w="1340" w:type="dxa"/>
            <w:vAlign w:val="bottom"/>
            <w:gridSpan w:val="2"/>
          </w:tcPr>
          <w:p>
            <w:pPr>
              <w:ind w:left="540"/>
              <w:spacing w:after="0" w:line="182" w:lineRule="exact"/>
              <w:rPr>
                <w:sz w:val="20"/>
                <w:szCs w:val="20"/>
                <w:color w:val="auto"/>
              </w:rPr>
            </w:pPr>
            <w:r>
              <w:rPr>
                <w:rFonts w:ascii="Arial" w:cs="Arial" w:eastAsia="Arial" w:hAnsi="Arial"/>
                <w:sz w:val="18"/>
                <w:szCs w:val="18"/>
                <w:color w:val="auto"/>
              </w:rPr>
              <w:t>Item 2.</w:t>
            </w:r>
          </w:p>
        </w:tc>
        <w:tc>
          <w:tcPr>
            <w:tcW w:w="80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5"/>
              </w:rPr>
            </w:pPr>
            <w:hyperlink w:anchor="page30">
              <w:r>
                <w:rPr>
                  <w:rFonts w:ascii="Arial" w:cs="Arial" w:eastAsia="Arial" w:hAnsi="Arial"/>
                  <w:sz w:val="18"/>
                  <w:szCs w:val="18"/>
                  <w:color w:val="0000EE"/>
                  <w:w w:val="95"/>
                </w:rPr>
                <w:t>Properties</w:t>
              </w:r>
            </w:hyperlink>
          </w:p>
        </w:tc>
        <w:tc>
          <w:tcPr>
            <w:tcW w:w="1380" w:type="dxa"/>
            <w:vAlign w:val="bottom"/>
            <w:tcBorders>
              <w:top w:val="single" w:sz="8" w:color="0000EE"/>
            </w:tcBorders>
            <w:gridSpan w:val="7"/>
          </w:tcPr>
          <w:p>
            <w:pPr>
              <w:spacing w:after="0"/>
              <w:rPr>
                <w:sz w:val="15"/>
                <w:szCs w:val="15"/>
                <w:color w:val="auto"/>
              </w:rPr>
            </w:pPr>
          </w:p>
        </w:tc>
        <w:tc>
          <w:tcPr>
            <w:tcW w:w="6760" w:type="dxa"/>
            <w:vAlign w:val="bottom"/>
            <w:gridSpan w:val="10"/>
          </w:tcPr>
          <w:p>
            <w:pPr>
              <w:spacing w:after="0"/>
              <w:rPr>
                <w:sz w:val="15"/>
                <w:szCs w:val="15"/>
                <w:color w:val="auto"/>
              </w:rPr>
            </w:pPr>
          </w:p>
        </w:tc>
        <w:tc>
          <w:tcPr>
            <w:tcW w:w="1040" w:type="dxa"/>
            <w:vAlign w:val="bottom"/>
          </w:tcPr>
          <w:p>
            <w:pPr>
              <w:jc w:val="right"/>
              <w:spacing w:after="0" w:line="182" w:lineRule="exact"/>
              <w:rPr>
                <w:sz w:val="20"/>
                <w:szCs w:val="20"/>
                <w:color w:val="auto"/>
              </w:rPr>
            </w:pPr>
            <w:r>
              <w:rPr>
                <w:rFonts w:ascii="Arial" w:cs="Arial" w:eastAsia="Arial" w:hAnsi="Arial"/>
                <w:sz w:val="18"/>
                <w:szCs w:val="18"/>
                <w:color w:val="auto"/>
              </w:rPr>
              <w:t>27</w:t>
            </w:r>
          </w:p>
        </w:tc>
      </w:tr>
      <w:tr>
        <w:trPr>
          <w:trHeight w:val="183"/>
        </w:trPr>
        <w:tc>
          <w:tcPr>
            <w:tcW w:w="1340" w:type="dxa"/>
            <w:vAlign w:val="bottom"/>
            <w:gridSpan w:val="2"/>
          </w:tcPr>
          <w:p>
            <w:pPr>
              <w:ind w:left="540"/>
              <w:spacing w:after="0" w:line="182" w:lineRule="exact"/>
              <w:rPr>
                <w:sz w:val="20"/>
                <w:szCs w:val="20"/>
                <w:color w:val="auto"/>
              </w:rPr>
            </w:pPr>
            <w:r>
              <w:rPr>
                <w:rFonts w:ascii="Arial" w:cs="Arial" w:eastAsia="Arial" w:hAnsi="Arial"/>
                <w:sz w:val="18"/>
                <w:szCs w:val="18"/>
                <w:color w:val="auto"/>
              </w:rPr>
              <w:t>Item 3.</w:t>
            </w:r>
          </w:p>
        </w:tc>
        <w:tc>
          <w:tcPr>
            <w:tcW w:w="8940" w:type="dxa"/>
            <w:vAlign w:val="bottom"/>
            <w:gridSpan w:val="18"/>
          </w:tcPr>
          <w:p>
            <w:pPr>
              <w:spacing w:after="0" w:line="182" w:lineRule="exact"/>
              <w:rPr>
                <w:rFonts w:ascii="Arial" w:cs="Arial" w:eastAsia="Arial" w:hAnsi="Arial"/>
                <w:sz w:val="18"/>
                <w:szCs w:val="18"/>
                <w:color w:val="0000EE"/>
              </w:rPr>
            </w:pPr>
            <w:hyperlink w:anchor="page31">
              <w:r>
                <w:rPr>
                  <w:rFonts w:ascii="Arial" w:cs="Arial" w:eastAsia="Arial" w:hAnsi="Arial"/>
                  <w:sz w:val="18"/>
                  <w:szCs w:val="18"/>
                  <w:color w:val="0000EE"/>
                </w:rPr>
                <w:t>Legal Proceedings</w:t>
              </w:r>
            </w:hyperlink>
          </w:p>
        </w:tc>
        <w:tc>
          <w:tcPr>
            <w:tcW w:w="1040" w:type="dxa"/>
            <w:vAlign w:val="bottom"/>
          </w:tcPr>
          <w:p>
            <w:pPr>
              <w:jc w:val="right"/>
              <w:spacing w:after="0" w:line="182" w:lineRule="exact"/>
              <w:rPr>
                <w:sz w:val="20"/>
                <w:szCs w:val="20"/>
                <w:color w:val="auto"/>
              </w:rPr>
            </w:pPr>
            <w:r>
              <w:rPr>
                <w:rFonts w:ascii="Arial" w:cs="Arial" w:eastAsia="Arial" w:hAnsi="Arial"/>
                <w:sz w:val="18"/>
                <w:szCs w:val="18"/>
                <w:color w:val="auto"/>
              </w:rPr>
              <w:t>28</w:t>
            </w:r>
          </w:p>
        </w:tc>
      </w:tr>
      <w:tr>
        <w:trPr>
          <w:trHeight w:val="20"/>
        </w:trPr>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3"/>
        </w:trPr>
        <w:tc>
          <w:tcPr>
            <w:tcW w:w="1340" w:type="dxa"/>
            <w:vAlign w:val="bottom"/>
            <w:gridSpan w:val="2"/>
          </w:tcPr>
          <w:p>
            <w:pPr>
              <w:ind w:left="540"/>
              <w:spacing w:after="0"/>
              <w:rPr>
                <w:sz w:val="20"/>
                <w:szCs w:val="20"/>
                <w:color w:val="auto"/>
              </w:rPr>
            </w:pPr>
            <w:r>
              <w:rPr>
                <w:rFonts w:ascii="Arial" w:cs="Arial" w:eastAsia="Arial" w:hAnsi="Arial"/>
                <w:sz w:val="18"/>
                <w:szCs w:val="18"/>
                <w:color w:val="auto"/>
              </w:rPr>
              <w:t>Item 4.</w:t>
            </w:r>
          </w:p>
        </w:tc>
        <w:tc>
          <w:tcPr>
            <w:tcW w:w="8940" w:type="dxa"/>
            <w:vAlign w:val="bottom"/>
            <w:gridSpan w:val="18"/>
          </w:tcPr>
          <w:p>
            <w:pPr>
              <w:spacing w:after="0"/>
              <w:rPr>
                <w:sz w:val="20"/>
                <w:szCs w:val="20"/>
                <w:color w:val="auto"/>
              </w:rPr>
            </w:pPr>
            <w:r>
              <w:rPr>
                <w:rFonts w:ascii="Arial" w:cs="Arial" w:eastAsia="Arial" w:hAnsi="Arial"/>
                <w:sz w:val="18"/>
                <w:szCs w:val="18"/>
                <w:color w:val="auto"/>
              </w:rPr>
              <w:t>(Removed and Reserved)</w:t>
            </w:r>
          </w:p>
        </w:tc>
        <w:tc>
          <w:tcPr>
            <w:tcW w:w="1040" w:type="dxa"/>
            <w:vAlign w:val="bottom"/>
          </w:tcPr>
          <w:p>
            <w:pPr>
              <w:spacing w:after="0"/>
              <w:rPr>
                <w:sz w:val="18"/>
                <w:szCs w:val="18"/>
                <w:color w:val="auto"/>
              </w:rPr>
            </w:pPr>
          </w:p>
        </w:tc>
      </w:tr>
      <w:tr>
        <w:trPr>
          <w:trHeight w:val="203"/>
        </w:trPr>
        <w:tc>
          <w:tcPr>
            <w:tcW w:w="1340" w:type="dxa"/>
            <w:vAlign w:val="bottom"/>
            <w:gridSpan w:val="2"/>
          </w:tcPr>
          <w:p>
            <w:pPr>
              <w:spacing w:after="0" w:line="202" w:lineRule="exact"/>
              <w:rPr>
                <w:sz w:val="20"/>
                <w:szCs w:val="20"/>
                <w:color w:val="auto"/>
              </w:rPr>
            </w:pPr>
            <w:r>
              <w:rPr>
                <w:rFonts w:ascii="Arial" w:cs="Arial" w:eastAsia="Arial" w:hAnsi="Arial"/>
                <w:sz w:val="18"/>
                <w:szCs w:val="18"/>
                <w:color w:val="auto"/>
              </w:rPr>
              <w:t>Part II</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72"/>
        </w:trPr>
        <w:tc>
          <w:tcPr>
            <w:tcW w:w="1340" w:type="dxa"/>
            <w:vAlign w:val="bottom"/>
            <w:gridSpan w:val="2"/>
          </w:tcPr>
          <w:p>
            <w:pPr>
              <w:ind w:left="540"/>
              <w:spacing w:after="0" w:line="172" w:lineRule="exact"/>
              <w:rPr>
                <w:sz w:val="20"/>
                <w:szCs w:val="20"/>
                <w:color w:val="auto"/>
              </w:rPr>
            </w:pPr>
            <w:r>
              <w:rPr>
                <w:rFonts w:ascii="Arial" w:cs="Arial" w:eastAsia="Arial" w:hAnsi="Arial"/>
                <w:sz w:val="18"/>
                <w:szCs w:val="18"/>
                <w:color w:val="auto"/>
              </w:rPr>
              <w:t>Item 5.</w:t>
            </w:r>
          </w:p>
        </w:tc>
        <w:tc>
          <w:tcPr>
            <w:tcW w:w="8940" w:type="dxa"/>
            <w:vAlign w:val="bottom"/>
            <w:tcBorders>
              <w:bottom w:val="single" w:sz="8" w:color="0000EE"/>
            </w:tcBorders>
            <w:gridSpan w:val="18"/>
          </w:tcPr>
          <w:p>
            <w:pPr>
              <w:spacing w:after="0" w:line="172" w:lineRule="exact"/>
              <w:rPr>
                <w:rFonts w:ascii="Arial" w:cs="Arial" w:eastAsia="Arial" w:hAnsi="Arial"/>
                <w:sz w:val="18"/>
                <w:szCs w:val="18"/>
                <w:color w:val="0000EE"/>
                <w:w w:val="97"/>
              </w:rPr>
            </w:pPr>
            <w:hyperlink w:anchor="page31">
              <w:r>
                <w:rPr>
                  <w:rFonts w:ascii="Arial" w:cs="Arial" w:eastAsia="Arial" w:hAnsi="Arial"/>
                  <w:sz w:val="18"/>
                  <w:szCs w:val="18"/>
                  <w:color w:val="0000EE"/>
                  <w:w w:val="97"/>
                </w:rPr>
                <w:t>Market for the Registrant’s Common Equity, Related Stockholder Matters and Issuer Purchases of Equity Securities</w:t>
              </w:r>
            </w:hyperlink>
          </w:p>
        </w:tc>
        <w:tc>
          <w:tcPr>
            <w:tcW w:w="1040" w:type="dxa"/>
            <w:vAlign w:val="bottom"/>
          </w:tcPr>
          <w:p>
            <w:pPr>
              <w:jc w:val="right"/>
              <w:spacing w:after="0" w:line="172" w:lineRule="exact"/>
              <w:rPr>
                <w:sz w:val="20"/>
                <w:szCs w:val="20"/>
                <w:color w:val="auto"/>
              </w:rPr>
            </w:pPr>
            <w:r>
              <w:rPr>
                <w:rFonts w:ascii="Arial" w:cs="Arial" w:eastAsia="Arial" w:hAnsi="Arial"/>
                <w:sz w:val="18"/>
                <w:szCs w:val="18"/>
                <w:color w:val="auto"/>
              </w:rPr>
              <w:t>28</w:t>
            </w:r>
          </w:p>
        </w:tc>
      </w:tr>
      <w:tr>
        <w:trPr>
          <w:trHeight w:val="183"/>
        </w:trPr>
        <w:tc>
          <w:tcPr>
            <w:tcW w:w="1340" w:type="dxa"/>
            <w:vAlign w:val="bottom"/>
            <w:gridSpan w:val="2"/>
          </w:tcPr>
          <w:p>
            <w:pPr>
              <w:ind w:left="540"/>
              <w:spacing w:after="0" w:line="182" w:lineRule="exact"/>
              <w:rPr>
                <w:sz w:val="20"/>
                <w:szCs w:val="20"/>
                <w:color w:val="auto"/>
              </w:rPr>
            </w:pPr>
            <w:r>
              <w:rPr>
                <w:rFonts w:ascii="Arial" w:cs="Arial" w:eastAsia="Arial" w:hAnsi="Arial"/>
                <w:sz w:val="18"/>
                <w:szCs w:val="18"/>
                <w:color w:val="auto"/>
              </w:rPr>
              <w:t>Item 6.</w:t>
            </w:r>
          </w:p>
        </w:tc>
        <w:tc>
          <w:tcPr>
            <w:tcW w:w="8940" w:type="dxa"/>
            <w:vAlign w:val="bottom"/>
            <w:gridSpan w:val="18"/>
          </w:tcPr>
          <w:p>
            <w:pPr>
              <w:spacing w:after="0" w:line="182" w:lineRule="exact"/>
              <w:rPr>
                <w:rFonts w:ascii="Arial" w:cs="Arial" w:eastAsia="Arial" w:hAnsi="Arial"/>
                <w:sz w:val="18"/>
                <w:szCs w:val="18"/>
                <w:color w:val="0000EE"/>
              </w:rPr>
            </w:pPr>
            <w:hyperlink w:anchor="page32">
              <w:r>
                <w:rPr>
                  <w:rFonts w:ascii="Arial" w:cs="Arial" w:eastAsia="Arial" w:hAnsi="Arial"/>
                  <w:sz w:val="18"/>
                  <w:szCs w:val="18"/>
                  <w:color w:val="0000EE"/>
                </w:rPr>
                <w:t>Selected Financial Data</w:t>
              </w:r>
            </w:hyperlink>
          </w:p>
        </w:tc>
        <w:tc>
          <w:tcPr>
            <w:tcW w:w="1040" w:type="dxa"/>
            <w:vAlign w:val="bottom"/>
          </w:tcPr>
          <w:p>
            <w:pPr>
              <w:jc w:val="right"/>
              <w:spacing w:after="0" w:line="182" w:lineRule="exact"/>
              <w:rPr>
                <w:sz w:val="20"/>
                <w:szCs w:val="20"/>
                <w:color w:val="auto"/>
              </w:rPr>
            </w:pPr>
            <w:r>
              <w:rPr>
                <w:rFonts w:ascii="Arial" w:cs="Arial" w:eastAsia="Arial" w:hAnsi="Arial"/>
                <w:sz w:val="18"/>
                <w:szCs w:val="18"/>
                <w:color w:val="auto"/>
              </w:rPr>
              <w:t>29</w:t>
            </w:r>
          </w:p>
        </w:tc>
      </w:tr>
      <w:tr>
        <w:trPr>
          <w:trHeight w:val="20"/>
        </w:trPr>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3"/>
        </w:trPr>
        <w:tc>
          <w:tcPr>
            <w:tcW w:w="1340" w:type="dxa"/>
            <w:vAlign w:val="bottom"/>
            <w:gridSpan w:val="2"/>
          </w:tcPr>
          <w:p>
            <w:pPr>
              <w:ind w:left="540"/>
              <w:spacing w:after="0" w:line="182" w:lineRule="exact"/>
              <w:rPr>
                <w:sz w:val="20"/>
                <w:szCs w:val="20"/>
                <w:color w:val="auto"/>
              </w:rPr>
            </w:pPr>
            <w:r>
              <w:rPr>
                <w:rFonts w:ascii="Arial" w:cs="Arial" w:eastAsia="Arial" w:hAnsi="Arial"/>
                <w:sz w:val="18"/>
                <w:szCs w:val="18"/>
                <w:color w:val="auto"/>
              </w:rPr>
              <w:t>Item 7.</w:t>
            </w:r>
          </w:p>
        </w:tc>
        <w:tc>
          <w:tcPr>
            <w:tcW w:w="6900" w:type="dxa"/>
            <w:vAlign w:val="bottom"/>
            <w:tcBorders>
              <w:bottom w:val="single" w:sz="8" w:color="0000EE"/>
            </w:tcBorders>
            <w:gridSpan w:val="15"/>
          </w:tcPr>
          <w:p>
            <w:pPr>
              <w:spacing w:after="0" w:line="182" w:lineRule="exact"/>
              <w:rPr>
                <w:rFonts w:ascii="Arial" w:cs="Arial" w:eastAsia="Arial" w:hAnsi="Arial"/>
                <w:sz w:val="18"/>
                <w:szCs w:val="18"/>
                <w:color w:val="0000EE"/>
                <w:w w:val="97"/>
              </w:rPr>
            </w:pPr>
            <w:hyperlink w:anchor="page32">
              <w:r>
                <w:rPr>
                  <w:rFonts w:ascii="Arial" w:cs="Arial" w:eastAsia="Arial" w:hAnsi="Arial"/>
                  <w:sz w:val="18"/>
                  <w:szCs w:val="18"/>
                  <w:color w:val="0000EE"/>
                  <w:w w:val="97"/>
                </w:rPr>
                <w:t>Management’s Discussion and Analysis of Financial Condition and Results of Operations</w:t>
              </w:r>
            </w:hyperlink>
          </w:p>
        </w:tc>
        <w:tc>
          <w:tcPr>
            <w:tcW w:w="2040" w:type="dxa"/>
            <w:vAlign w:val="bottom"/>
            <w:gridSpan w:val="3"/>
          </w:tcPr>
          <w:p>
            <w:pPr>
              <w:spacing w:after="0"/>
              <w:rPr>
                <w:sz w:val="15"/>
                <w:szCs w:val="15"/>
                <w:color w:val="auto"/>
              </w:rPr>
            </w:pPr>
          </w:p>
        </w:tc>
        <w:tc>
          <w:tcPr>
            <w:tcW w:w="1040" w:type="dxa"/>
            <w:vAlign w:val="bottom"/>
          </w:tcPr>
          <w:p>
            <w:pPr>
              <w:jc w:val="right"/>
              <w:spacing w:after="0" w:line="182" w:lineRule="exact"/>
              <w:rPr>
                <w:sz w:val="20"/>
                <w:szCs w:val="20"/>
                <w:color w:val="auto"/>
              </w:rPr>
            </w:pPr>
            <w:r>
              <w:rPr>
                <w:rFonts w:ascii="Arial" w:cs="Arial" w:eastAsia="Arial" w:hAnsi="Arial"/>
                <w:sz w:val="18"/>
                <w:szCs w:val="18"/>
                <w:color w:val="auto"/>
              </w:rPr>
              <w:t>29</w:t>
            </w:r>
          </w:p>
        </w:tc>
      </w:tr>
      <w:tr>
        <w:trPr>
          <w:trHeight w:val="183"/>
        </w:trPr>
        <w:tc>
          <w:tcPr>
            <w:tcW w:w="1340" w:type="dxa"/>
            <w:vAlign w:val="bottom"/>
            <w:gridSpan w:val="2"/>
          </w:tcPr>
          <w:p>
            <w:pPr>
              <w:ind w:left="540"/>
              <w:spacing w:after="0" w:line="182" w:lineRule="exact"/>
              <w:rPr>
                <w:sz w:val="20"/>
                <w:szCs w:val="20"/>
                <w:color w:val="auto"/>
              </w:rPr>
            </w:pPr>
            <w:r>
              <w:rPr>
                <w:rFonts w:ascii="Arial" w:cs="Arial" w:eastAsia="Arial" w:hAnsi="Arial"/>
                <w:sz w:val="18"/>
                <w:szCs w:val="18"/>
                <w:color w:val="auto"/>
              </w:rPr>
              <w:t>Item 7A.</w:t>
            </w:r>
          </w:p>
        </w:tc>
        <w:tc>
          <w:tcPr>
            <w:tcW w:w="8940" w:type="dxa"/>
            <w:vAlign w:val="bottom"/>
            <w:gridSpan w:val="18"/>
          </w:tcPr>
          <w:p>
            <w:pPr>
              <w:spacing w:after="0" w:line="182" w:lineRule="exact"/>
              <w:rPr>
                <w:rFonts w:ascii="Arial" w:cs="Arial" w:eastAsia="Arial" w:hAnsi="Arial"/>
                <w:sz w:val="18"/>
                <w:szCs w:val="18"/>
                <w:color w:val="0000EE"/>
              </w:rPr>
            </w:pPr>
            <w:hyperlink w:anchor="page32">
              <w:r>
                <w:rPr>
                  <w:rFonts w:ascii="Arial" w:cs="Arial" w:eastAsia="Arial" w:hAnsi="Arial"/>
                  <w:sz w:val="18"/>
                  <w:szCs w:val="18"/>
                  <w:color w:val="0000EE"/>
                </w:rPr>
                <w:t>Quantitative and Qualitative Disclosures About Market Risk</w:t>
              </w:r>
            </w:hyperlink>
          </w:p>
        </w:tc>
        <w:tc>
          <w:tcPr>
            <w:tcW w:w="1040" w:type="dxa"/>
            <w:vAlign w:val="bottom"/>
          </w:tcPr>
          <w:p>
            <w:pPr>
              <w:jc w:val="right"/>
              <w:spacing w:after="0" w:line="182" w:lineRule="exact"/>
              <w:rPr>
                <w:sz w:val="20"/>
                <w:szCs w:val="20"/>
                <w:color w:val="auto"/>
              </w:rPr>
            </w:pPr>
            <w:r>
              <w:rPr>
                <w:rFonts w:ascii="Arial" w:cs="Arial" w:eastAsia="Arial" w:hAnsi="Arial"/>
                <w:sz w:val="18"/>
                <w:szCs w:val="18"/>
                <w:color w:val="auto"/>
              </w:rPr>
              <w:t>29</w:t>
            </w:r>
          </w:p>
        </w:tc>
      </w:tr>
      <w:tr>
        <w:trPr>
          <w:trHeight w:val="183"/>
        </w:trPr>
        <w:tc>
          <w:tcPr>
            <w:tcW w:w="1340" w:type="dxa"/>
            <w:vAlign w:val="bottom"/>
            <w:gridSpan w:val="2"/>
          </w:tcPr>
          <w:p>
            <w:pPr>
              <w:ind w:left="540"/>
              <w:spacing w:after="0" w:line="182" w:lineRule="exact"/>
              <w:rPr>
                <w:sz w:val="20"/>
                <w:szCs w:val="20"/>
                <w:color w:val="auto"/>
              </w:rPr>
            </w:pPr>
            <w:r>
              <w:rPr>
                <w:rFonts w:ascii="Arial" w:cs="Arial" w:eastAsia="Arial" w:hAnsi="Arial"/>
                <w:sz w:val="18"/>
                <w:szCs w:val="18"/>
                <w:color w:val="auto"/>
              </w:rPr>
              <w:t>Item 8.</w:t>
            </w:r>
          </w:p>
        </w:tc>
        <w:tc>
          <w:tcPr>
            <w:tcW w:w="4580" w:type="dxa"/>
            <w:vAlign w:val="bottom"/>
            <w:tcBorders>
              <w:top w:val="single" w:sz="8" w:color="0000EE"/>
            </w:tcBorders>
            <w:gridSpan w:val="13"/>
          </w:tcPr>
          <w:p>
            <w:pPr>
              <w:spacing w:after="0" w:line="182" w:lineRule="exact"/>
              <w:rPr>
                <w:rFonts w:ascii="Arial" w:cs="Arial" w:eastAsia="Arial" w:hAnsi="Arial"/>
                <w:sz w:val="18"/>
                <w:szCs w:val="18"/>
                <w:color w:val="0000EE"/>
              </w:rPr>
            </w:pPr>
            <w:hyperlink w:anchor="page33">
              <w:r>
                <w:rPr>
                  <w:rFonts w:ascii="Arial" w:cs="Arial" w:eastAsia="Arial" w:hAnsi="Arial"/>
                  <w:sz w:val="18"/>
                  <w:szCs w:val="18"/>
                  <w:color w:val="0000EE"/>
                </w:rPr>
                <w:t>Financial Statements and Supplementary Data</w:t>
              </w:r>
            </w:hyperlink>
          </w:p>
        </w:tc>
        <w:tc>
          <w:tcPr>
            <w:tcW w:w="4360" w:type="dxa"/>
            <w:vAlign w:val="bottom"/>
            <w:gridSpan w:val="5"/>
          </w:tcPr>
          <w:p>
            <w:pPr>
              <w:spacing w:after="0"/>
              <w:rPr>
                <w:sz w:val="15"/>
                <w:szCs w:val="15"/>
                <w:color w:val="auto"/>
              </w:rPr>
            </w:pPr>
          </w:p>
        </w:tc>
        <w:tc>
          <w:tcPr>
            <w:tcW w:w="1040" w:type="dxa"/>
            <w:vAlign w:val="bottom"/>
          </w:tcPr>
          <w:p>
            <w:pPr>
              <w:jc w:val="right"/>
              <w:spacing w:after="0" w:line="182" w:lineRule="exact"/>
              <w:rPr>
                <w:sz w:val="20"/>
                <w:szCs w:val="20"/>
                <w:color w:val="auto"/>
              </w:rPr>
            </w:pPr>
            <w:r>
              <w:rPr>
                <w:rFonts w:ascii="Arial" w:cs="Arial" w:eastAsia="Arial" w:hAnsi="Arial"/>
                <w:sz w:val="18"/>
                <w:szCs w:val="18"/>
                <w:color w:val="auto"/>
              </w:rPr>
              <w:t>30</w:t>
            </w:r>
          </w:p>
        </w:tc>
      </w:tr>
      <w:tr>
        <w:trPr>
          <w:trHeight w:val="20"/>
        </w:trPr>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3"/>
        </w:trPr>
        <w:tc>
          <w:tcPr>
            <w:tcW w:w="1340" w:type="dxa"/>
            <w:vAlign w:val="bottom"/>
            <w:gridSpan w:val="2"/>
          </w:tcPr>
          <w:p>
            <w:pPr>
              <w:ind w:left="540"/>
              <w:spacing w:after="0" w:line="182" w:lineRule="exact"/>
              <w:rPr>
                <w:sz w:val="20"/>
                <w:szCs w:val="20"/>
                <w:color w:val="auto"/>
              </w:rPr>
            </w:pPr>
            <w:r>
              <w:rPr>
                <w:rFonts w:ascii="Arial" w:cs="Arial" w:eastAsia="Arial" w:hAnsi="Arial"/>
                <w:sz w:val="18"/>
                <w:szCs w:val="18"/>
                <w:color w:val="auto"/>
              </w:rPr>
              <w:t>Item 9.</w:t>
            </w:r>
          </w:p>
        </w:tc>
        <w:tc>
          <w:tcPr>
            <w:tcW w:w="8940" w:type="dxa"/>
            <w:vAlign w:val="bottom"/>
            <w:gridSpan w:val="18"/>
          </w:tcPr>
          <w:p>
            <w:pPr>
              <w:spacing w:after="0" w:line="182" w:lineRule="exact"/>
              <w:rPr>
                <w:rFonts w:ascii="Arial" w:cs="Arial" w:eastAsia="Arial" w:hAnsi="Arial"/>
                <w:sz w:val="18"/>
                <w:szCs w:val="18"/>
                <w:color w:val="0000EE"/>
              </w:rPr>
            </w:pPr>
            <w:hyperlink w:anchor="page33">
              <w:r>
                <w:rPr>
                  <w:rFonts w:ascii="Arial" w:cs="Arial" w:eastAsia="Arial" w:hAnsi="Arial"/>
                  <w:sz w:val="18"/>
                  <w:szCs w:val="18"/>
                  <w:color w:val="0000EE"/>
                </w:rPr>
                <w:t>Changes in and Disagreements with Accountants on Accounting and Financial Disclosure</w:t>
              </w:r>
            </w:hyperlink>
          </w:p>
        </w:tc>
        <w:tc>
          <w:tcPr>
            <w:tcW w:w="1040" w:type="dxa"/>
            <w:vAlign w:val="bottom"/>
          </w:tcPr>
          <w:p>
            <w:pPr>
              <w:jc w:val="right"/>
              <w:spacing w:after="0" w:line="182" w:lineRule="exact"/>
              <w:rPr>
                <w:sz w:val="20"/>
                <w:szCs w:val="20"/>
                <w:color w:val="auto"/>
              </w:rPr>
            </w:pPr>
            <w:r>
              <w:rPr>
                <w:rFonts w:ascii="Arial" w:cs="Arial" w:eastAsia="Arial" w:hAnsi="Arial"/>
                <w:sz w:val="18"/>
                <w:szCs w:val="18"/>
                <w:color w:val="auto"/>
              </w:rPr>
              <w:t>30</w:t>
            </w:r>
          </w:p>
        </w:tc>
      </w:tr>
      <w:tr>
        <w:trPr>
          <w:trHeight w:val="183"/>
        </w:trPr>
        <w:tc>
          <w:tcPr>
            <w:tcW w:w="1340" w:type="dxa"/>
            <w:vAlign w:val="bottom"/>
            <w:gridSpan w:val="2"/>
          </w:tcPr>
          <w:p>
            <w:pPr>
              <w:ind w:left="540"/>
              <w:spacing w:after="0" w:line="182" w:lineRule="exact"/>
              <w:rPr>
                <w:sz w:val="20"/>
                <w:szCs w:val="20"/>
                <w:color w:val="auto"/>
              </w:rPr>
            </w:pPr>
            <w:r>
              <w:rPr>
                <w:rFonts w:ascii="Arial" w:cs="Arial" w:eastAsia="Arial" w:hAnsi="Arial"/>
                <w:sz w:val="18"/>
                <w:szCs w:val="18"/>
                <w:color w:val="auto"/>
              </w:rPr>
              <w:t>Item 9A.</w:t>
            </w:r>
          </w:p>
        </w:tc>
        <w:tc>
          <w:tcPr>
            <w:tcW w:w="194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color w:val="0000EE"/>
                <w:w w:val="96"/>
              </w:rPr>
            </w:pPr>
            <w:hyperlink w:anchor="page33">
              <w:r>
                <w:rPr>
                  <w:rFonts w:ascii="Arial" w:cs="Arial" w:eastAsia="Arial" w:hAnsi="Arial"/>
                  <w:sz w:val="18"/>
                  <w:szCs w:val="18"/>
                  <w:color w:val="0000EE"/>
                  <w:w w:val="96"/>
                </w:rPr>
                <w:t>Controls and Procedures</w:t>
              </w:r>
            </w:hyperlink>
          </w:p>
        </w:tc>
        <w:tc>
          <w:tcPr>
            <w:tcW w:w="5000" w:type="dxa"/>
            <w:vAlign w:val="bottom"/>
            <w:tcBorders>
              <w:top w:val="single" w:sz="8" w:color="0000EE"/>
            </w:tcBorders>
            <w:gridSpan w:val="9"/>
          </w:tcPr>
          <w:p>
            <w:pPr>
              <w:spacing w:after="0"/>
              <w:rPr>
                <w:sz w:val="15"/>
                <w:szCs w:val="15"/>
                <w:color w:val="auto"/>
              </w:rPr>
            </w:pPr>
          </w:p>
        </w:tc>
        <w:tc>
          <w:tcPr>
            <w:tcW w:w="2000" w:type="dxa"/>
            <w:vAlign w:val="bottom"/>
            <w:gridSpan w:val="2"/>
          </w:tcPr>
          <w:p>
            <w:pPr>
              <w:spacing w:after="0"/>
              <w:rPr>
                <w:sz w:val="15"/>
                <w:szCs w:val="15"/>
                <w:color w:val="auto"/>
              </w:rPr>
            </w:pPr>
          </w:p>
        </w:tc>
        <w:tc>
          <w:tcPr>
            <w:tcW w:w="1040" w:type="dxa"/>
            <w:vAlign w:val="bottom"/>
          </w:tcPr>
          <w:p>
            <w:pPr>
              <w:jc w:val="right"/>
              <w:spacing w:after="0" w:line="182" w:lineRule="exact"/>
              <w:rPr>
                <w:sz w:val="20"/>
                <w:szCs w:val="20"/>
                <w:color w:val="auto"/>
              </w:rPr>
            </w:pPr>
            <w:r>
              <w:rPr>
                <w:rFonts w:ascii="Arial" w:cs="Arial" w:eastAsia="Arial" w:hAnsi="Arial"/>
                <w:sz w:val="18"/>
                <w:szCs w:val="18"/>
                <w:color w:val="auto"/>
              </w:rPr>
              <w:t>30</w:t>
            </w:r>
          </w:p>
        </w:tc>
      </w:tr>
      <w:tr>
        <w:trPr>
          <w:trHeight w:val="183"/>
        </w:trPr>
        <w:tc>
          <w:tcPr>
            <w:tcW w:w="1340" w:type="dxa"/>
            <w:vAlign w:val="bottom"/>
            <w:gridSpan w:val="2"/>
          </w:tcPr>
          <w:p>
            <w:pPr>
              <w:ind w:left="540"/>
              <w:spacing w:after="0" w:line="182" w:lineRule="exact"/>
              <w:rPr>
                <w:sz w:val="20"/>
                <w:szCs w:val="20"/>
                <w:color w:val="auto"/>
              </w:rPr>
            </w:pPr>
            <w:r>
              <w:rPr>
                <w:rFonts w:ascii="Arial" w:cs="Arial" w:eastAsia="Arial" w:hAnsi="Arial"/>
                <w:sz w:val="18"/>
                <w:szCs w:val="18"/>
                <w:color w:val="auto"/>
              </w:rPr>
              <w:t>Item 9B.</w:t>
            </w:r>
          </w:p>
        </w:tc>
        <w:tc>
          <w:tcPr>
            <w:tcW w:w="8940" w:type="dxa"/>
            <w:vAlign w:val="bottom"/>
            <w:gridSpan w:val="18"/>
          </w:tcPr>
          <w:p>
            <w:pPr>
              <w:spacing w:after="0" w:line="182" w:lineRule="exact"/>
              <w:rPr>
                <w:rFonts w:ascii="Arial" w:cs="Arial" w:eastAsia="Arial" w:hAnsi="Arial"/>
                <w:sz w:val="18"/>
                <w:szCs w:val="18"/>
                <w:color w:val="0000EE"/>
              </w:rPr>
            </w:pPr>
            <w:hyperlink w:anchor="page34">
              <w:r>
                <w:rPr>
                  <w:rFonts w:ascii="Arial" w:cs="Arial" w:eastAsia="Arial" w:hAnsi="Arial"/>
                  <w:sz w:val="18"/>
                  <w:szCs w:val="18"/>
                  <w:color w:val="0000EE"/>
                </w:rPr>
                <w:t>Other Information</w:t>
              </w:r>
            </w:hyperlink>
          </w:p>
        </w:tc>
        <w:tc>
          <w:tcPr>
            <w:tcW w:w="1040" w:type="dxa"/>
            <w:vAlign w:val="bottom"/>
          </w:tcPr>
          <w:p>
            <w:pPr>
              <w:jc w:val="right"/>
              <w:spacing w:after="0" w:line="182" w:lineRule="exact"/>
              <w:rPr>
                <w:sz w:val="20"/>
                <w:szCs w:val="20"/>
                <w:color w:val="auto"/>
              </w:rPr>
            </w:pPr>
            <w:r>
              <w:rPr>
                <w:rFonts w:ascii="Arial" w:cs="Arial" w:eastAsia="Arial" w:hAnsi="Arial"/>
                <w:sz w:val="18"/>
                <w:szCs w:val="18"/>
                <w:color w:val="auto"/>
              </w:rPr>
              <w:t>31</w:t>
            </w:r>
          </w:p>
        </w:tc>
      </w:tr>
      <w:tr>
        <w:trPr>
          <w:trHeight w:val="213"/>
        </w:trPr>
        <w:tc>
          <w:tcPr>
            <w:tcW w:w="1340" w:type="dxa"/>
            <w:vAlign w:val="bottom"/>
            <w:gridSpan w:val="2"/>
          </w:tcPr>
          <w:p>
            <w:pPr>
              <w:spacing w:after="0"/>
              <w:rPr>
                <w:sz w:val="20"/>
                <w:szCs w:val="20"/>
                <w:color w:val="auto"/>
              </w:rPr>
            </w:pPr>
            <w:r>
              <w:rPr>
                <w:rFonts w:ascii="Arial" w:cs="Arial" w:eastAsia="Arial" w:hAnsi="Arial"/>
                <w:sz w:val="18"/>
                <w:szCs w:val="18"/>
                <w:color w:val="auto"/>
              </w:rPr>
              <w:t>Part III</w:t>
            </w:r>
          </w:p>
        </w:tc>
        <w:tc>
          <w:tcPr>
            <w:tcW w:w="8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172"/>
        </w:trPr>
        <w:tc>
          <w:tcPr>
            <w:tcW w:w="1340" w:type="dxa"/>
            <w:vAlign w:val="bottom"/>
            <w:gridSpan w:val="2"/>
          </w:tcPr>
          <w:p>
            <w:pPr>
              <w:ind w:left="540"/>
              <w:spacing w:after="0" w:line="172" w:lineRule="exact"/>
              <w:rPr>
                <w:sz w:val="20"/>
                <w:szCs w:val="20"/>
                <w:color w:val="auto"/>
              </w:rPr>
            </w:pPr>
            <w:r>
              <w:rPr>
                <w:rFonts w:ascii="Arial" w:cs="Arial" w:eastAsia="Arial" w:hAnsi="Arial"/>
                <w:sz w:val="18"/>
                <w:szCs w:val="18"/>
                <w:color w:val="auto"/>
              </w:rPr>
              <w:t>Item 10.</w:t>
            </w:r>
          </w:p>
        </w:tc>
        <w:tc>
          <w:tcPr>
            <w:tcW w:w="4380" w:type="dxa"/>
            <w:vAlign w:val="bottom"/>
            <w:tcBorders>
              <w:bottom w:val="single" w:sz="8" w:color="0000EE"/>
            </w:tcBorders>
            <w:gridSpan w:val="12"/>
          </w:tcPr>
          <w:p>
            <w:pPr>
              <w:spacing w:after="0" w:line="172" w:lineRule="exact"/>
              <w:rPr>
                <w:rFonts w:ascii="Arial" w:cs="Arial" w:eastAsia="Arial" w:hAnsi="Arial"/>
                <w:sz w:val="18"/>
                <w:szCs w:val="18"/>
                <w:color w:val="0000EE"/>
                <w:w w:val="96"/>
              </w:rPr>
            </w:pPr>
            <w:hyperlink w:anchor="page35">
              <w:r>
                <w:rPr>
                  <w:rFonts w:ascii="Arial" w:cs="Arial" w:eastAsia="Arial" w:hAnsi="Arial"/>
                  <w:sz w:val="18"/>
                  <w:szCs w:val="18"/>
                  <w:color w:val="0000EE"/>
                  <w:w w:val="96"/>
                </w:rPr>
                <w:t>Directors, Executive Officers and Corporate Governance</w:t>
              </w:r>
            </w:hyperlink>
          </w:p>
        </w:tc>
        <w:tc>
          <w:tcPr>
            <w:tcW w:w="4560" w:type="dxa"/>
            <w:vAlign w:val="bottom"/>
            <w:gridSpan w:val="6"/>
          </w:tcPr>
          <w:p>
            <w:pPr>
              <w:spacing w:after="0"/>
              <w:rPr>
                <w:sz w:val="14"/>
                <w:szCs w:val="14"/>
                <w:color w:val="auto"/>
              </w:rPr>
            </w:pPr>
          </w:p>
        </w:tc>
        <w:tc>
          <w:tcPr>
            <w:tcW w:w="1040" w:type="dxa"/>
            <w:vAlign w:val="bottom"/>
          </w:tcPr>
          <w:p>
            <w:pPr>
              <w:jc w:val="right"/>
              <w:spacing w:after="0" w:line="172" w:lineRule="exact"/>
              <w:rPr>
                <w:sz w:val="20"/>
                <w:szCs w:val="20"/>
                <w:color w:val="auto"/>
              </w:rPr>
            </w:pPr>
            <w:r>
              <w:rPr>
                <w:rFonts w:ascii="Arial" w:cs="Arial" w:eastAsia="Arial" w:hAnsi="Arial"/>
                <w:sz w:val="18"/>
                <w:szCs w:val="18"/>
                <w:color w:val="auto"/>
              </w:rPr>
              <w:t>32</w:t>
            </w:r>
          </w:p>
        </w:tc>
      </w:tr>
      <w:tr>
        <w:trPr>
          <w:trHeight w:val="183"/>
        </w:trPr>
        <w:tc>
          <w:tcPr>
            <w:tcW w:w="1340" w:type="dxa"/>
            <w:vAlign w:val="bottom"/>
            <w:gridSpan w:val="2"/>
          </w:tcPr>
          <w:p>
            <w:pPr>
              <w:ind w:left="540"/>
              <w:spacing w:after="0" w:line="182" w:lineRule="exact"/>
              <w:rPr>
                <w:sz w:val="20"/>
                <w:szCs w:val="20"/>
                <w:color w:val="auto"/>
              </w:rPr>
            </w:pPr>
            <w:r>
              <w:rPr>
                <w:rFonts w:ascii="Arial" w:cs="Arial" w:eastAsia="Arial" w:hAnsi="Arial"/>
                <w:sz w:val="18"/>
                <w:szCs w:val="18"/>
                <w:color w:val="auto"/>
              </w:rPr>
              <w:t>Item 11.</w:t>
            </w:r>
          </w:p>
        </w:tc>
        <w:tc>
          <w:tcPr>
            <w:tcW w:w="1940" w:type="dxa"/>
            <w:vAlign w:val="bottom"/>
            <w:tcBorders>
              <w:bottom w:val="single" w:sz="8" w:color="0000EE"/>
            </w:tcBorders>
            <w:gridSpan w:val="7"/>
          </w:tcPr>
          <w:p>
            <w:pPr>
              <w:spacing w:after="0" w:line="182" w:lineRule="exact"/>
              <w:rPr>
                <w:rFonts w:ascii="Arial" w:cs="Arial" w:eastAsia="Arial" w:hAnsi="Arial"/>
                <w:sz w:val="18"/>
                <w:szCs w:val="18"/>
                <w:color w:val="0000EE"/>
                <w:w w:val="96"/>
              </w:rPr>
            </w:pPr>
            <w:hyperlink w:anchor="page37">
              <w:r>
                <w:rPr>
                  <w:rFonts w:ascii="Arial" w:cs="Arial" w:eastAsia="Arial" w:hAnsi="Arial"/>
                  <w:sz w:val="18"/>
                  <w:szCs w:val="18"/>
                  <w:color w:val="0000EE"/>
                  <w:w w:val="96"/>
                </w:rPr>
                <w:t>Executive Compensation</w:t>
              </w:r>
            </w:hyperlink>
          </w:p>
        </w:tc>
        <w:tc>
          <w:tcPr>
            <w:tcW w:w="7000" w:type="dxa"/>
            <w:vAlign w:val="bottom"/>
            <w:gridSpan w:val="11"/>
          </w:tcPr>
          <w:p>
            <w:pPr>
              <w:spacing w:after="0"/>
              <w:rPr>
                <w:sz w:val="15"/>
                <w:szCs w:val="15"/>
                <w:color w:val="auto"/>
              </w:rPr>
            </w:pPr>
          </w:p>
        </w:tc>
        <w:tc>
          <w:tcPr>
            <w:tcW w:w="1040" w:type="dxa"/>
            <w:vAlign w:val="bottom"/>
          </w:tcPr>
          <w:p>
            <w:pPr>
              <w:jc w:val="right"/>
              <w:spacing w:after="0" w:line="182" w:lineRule="exact"/>
              <w:rPr>
                <w:sz w:val="20"/>
                <w:szCs w:val="20"/>
                <w:color w:val="auto"/>
              </w:rPr>
            </w:pPr>
            <w:r>
              <w:rPr>
                <w:rFonts w:ascii="Arial" w:cs="Arial" w:eastAsia="Arial" w:hAnsi="Arial"/>
                <w:sz w:val="18"/>
                <w:szCs w:val="18"/>
                <w:color w:val="auto"/>
              </w:rPr>
              <w:t>34</w:t>
            </w:r>
          </w:p>
        </w:tc>
      </w:tr>
      <w:tr>
        <w:trPr>
          <w:trHeight w:val="183"/>
        </w:trPr>
        <w:tc>
          <w:tcPr>
            <w:tcW w:w="1340" w:type="dxa"/>
            <w:vAlign w:val="bottom"/>
            <w:gridSpan w:val="2"/>
          </w:tcPr>
          <w:p>
            <w:pPr>
              <w:ind w:left="540"/>
              <w:spacing w:after="0" w:line="182" w:lineRule="exact"/>
              <w:rPr>
                <w:sz w:val="20"/>
                <w:szCs w:val="20"/>
                <w:color w:val="auto"/>
              </w:rPr>
            </w:pPr>
            <w:r>
              <w:rPr>
                <w:rFonts w:ascii="Arial" w:cs="Arial" w:eastAsia="Arial" w:hAnsi="Arial"/>
                <w:sz w:val="18"/>
                <w:szCs w:val="18"/>
                <w:color w:val="auto"/>
              </w:rPr>
              <w:t>Item 12.</w:t>
            </w:r>
          </w:p>
        </w:tc>
        <w:tc>
          <w:tcPr>
            <w:tcW w:w="8940" w:type="dxa"/>
            <w:vAlign w:val="bottom"/>
            <w:gridSpan w:val="18"/>
          </w:tcPr>
          <w:p>
            <w:pPr>
              <w:spacing w:after="0" w:line="182" w:lineRule="exact"/>
              <w:rPr>
                <w:rFonts w:ascii="Arial" w:cs="Arial" w:eastAsia="Arial" w:hAnsi="Arial"/>
                <w:sz w:val="18"/>
                <w:szCs w:val="18"/>
                <w:color w:val="0000EE"/>
              </w:rPr>
            </w:pPr>
            <w:hyperlink w:anchor="page37">
              <w:r>
                <w:rPr>
                  <w:rFonts w:ascii="Arial" w:cs="Arial" w:eastAsia="Arial" w:hAnsi="Arial"/>
                  <w:sz w:val="18"/>
                  <w:szCs w:val="18"/>
                  <w:color w:val="0000EE"/>
                </w:rPr>
                <w:t>Security Ownership of Certain Beneficial Owners and Management and Related Stockholder Matters</w:t>
              </w:r>
            </w:hyperlink>
          </w:p>
        </w:tc>
        <w:tc>
          <w:tcPr>
            <w:tcW w:w="1040" w:type="dxa"/>
            <w:vAlign w:val="bottom"/>
          </w:tcPr>
          <w:p>
            <w:pPr>
              <w:jc w:val="right"/>
              <w:spacing w:after="0" w:line="182" w:lineRule="exact"/>
              <w:rPr>
                <w:sz w:val="20"/>
                <w:szCs w:val="20"/>
                <w:color w:val="auto"/>
              </w:rPr>
            </w:pPr>
            <w:r>
              <w:rPr>
                <w:rFonts w:ascii="Arial" w:cs="Arial" w:eastAsia="Arial" w:hAnsi="Arial"/>
                <w:sz w:val="18"/>
                <w:szCs w:val="18"/>
                <w:color w:val="auto"/>
              </w:rPr>
              <w:t>34</w:t>
            </w:r>
          </w:p>
        </w:tc>
      </w:tr>
      <w:tr>
        <w:trPr>
          <w:trHeight w:val="183"/>
        </w:trPr>
        <w:tc>
          <w:tcPr>
            <w:tcW w:w="1340" w:type="dxa"/>
            <w:vAlign w:val="bottom"/>
            <w:gridSpan w:val="2"/>
          </w:tcPr>
          <w:p>
            <w:pPr>
              <w:ind w:left="540"/>
              <w:spacing w:after="0" w:line="182" w:lineRule="exact"/>
              <w:rPr>
                <w:sz w:val="20"/>
                <w:szCs w:val="20"/>
                <w:color w:val="auto"/>
              </w:rPr>
            </w:pPr>
            <w:r>
              <w:rPr>
                <w:rFonts w:ascii="Arial" w:cs="Arial" w:eastAsia="Arial" w:hAnsi="Arial"/>
                <w:sz w:val="18"/>
                <w:szCs w:val="18"/>
                <w:color w:val="auto"/>
              </w:rPr>
              <w:t>Item 13.</w:t>
            </w:r>
          </w:p>
        </w:tc>
        <w:tc>
          <w:tcPr>
            <w:tcW w:w="5580" w:type="dxa"/>
            <w:vAlign w:val="bottom"/>
            <w:tcBorders>
              <w:top w:val="single" w:sz="8" w:color="0000EE"/>
              <w:bottom w:val="single" w:sz="8" w:color="0000EE"/>
            </w:tcBorders>
            <w:gridSpan w:val="14"/>
          </w:tcPr>
          <w:p>
            <w:pPr>
              <w:spacing w:after="0" w:line="182" w:lineRule="exact"/>
              <w:rPr>
                <w:rFonts w:ascii="Arial" w:cs="Arial" w:eastAsia="Arial" w:hAnsi="Arial"/>
                <w:sz w:val="18"/>
                <w:szCs w:val="18"/>
                <w:color w:val="0000EE"/>
                <w:w w:val="96"/>
              </w:rPr>
            </w:pPr>
            <w:hyperlink w:anchor="page37">
              <w:r>
                <w:rPr>
                  <w:rFonts w:ascii="Arial" w:cs="Arial" w:eastAsia="Arial" w:hAnsi="Arial"/>
                  <w:sz w:val="18"/>
                  <w:szCs w:val="18"/>
                  <w:color w:val="0000EE"/>
                  <w:w w:val="96"/>
                </w:rPr>
                <w:t>Certain Relationships, Related Transactions and Director Independence</w:t>
              </w:r>
            </w:hyperlink>
          </w:p>
        </w:tc>
        <w:tc>
          <w:tcPr>
            <w:tcW w:w="2220" w:type="dxa"/>
            <w:vAlign w:val="bottom"/>
            <w:tcBorders>
              <w:top w:val="single" w:sz="8" w:color="0000EE"/>
            </w:tcBorders>
            <w:gridSpan w:val="3"/>
          </w:tcPr>
          <w:p>
            <w:pPr>
              <w:spacing w:after="0"/>
              <w:rPr>
                <w:sz w:val="15"/>
                <w:szCs w:val="15"/>
                <w:color w:val="auto"/>
              </w:rPr>
            </w:pPr>
          </w:p>
        </w:tc>
        <w:tc>
          <w:tcPr>
            <w:tcW w:w="1140" w:type="dxa"/>
            <w:vAlign w:val="bottom"/>
          </w:tcPr>
          <w:p>
            <w:pPr>
              <w:spacing w:after="0"/>
              <w:rPr>
                <w:sz w:val="15"/>
                <w:szCs w:val="15"/>
                <w:color w:val="auto"/>
              </w:rPr>
            </w:pPr>
          </w:p>
        </w:tc>
        <w:tc>
          <w:tcPr>
            <w:tcW w:w="1040" w:type="dxa"/>
            <w:vAlign w:val="bottom"/>
          </w:tcPr>
          <w:p>
            <w:pPr>
              <w:jc w:val="right"/>
              <w:spacing w:after="0" w:line="182" w:lineRule="exact"/>
              <w:rPr>
                <w:sz w:val="20"/>
                <w:szCs w:val="20"/>
                <w:color w:val="auto"/>
              </w:rPr>
            </w:pPr>
            <w:r>
              <w:rPr>
                <w:rFonts w:ascii="Arial" w:cs="Arial" w:eastAsia="Arial" w:hAnsi="Arial"/>
                <w:sz w:val="18"/>
                <w:szCs w:val="18"/>
                <w:color w:val="auto"/>
              </w:rPr>
              <w:t>34</w:t>
            </w:r>
          </w:p>
        </w:tc>
      </w:tr>
      <w:tr>
        <w:trPr>
          <w:trHeight w:val="183"/>
        </w:trPr>
        <w:tc>
          <w:tcPr>
            <w:tcW w:w="1340" w:type="dxa"/>
            <w:vAlign w:val="bottom"/>
            <w:gridSpan w:val="2"/>
          </w:tcPr>
          <w:p>
            <w:pPr>
              <w:ind w:left="540"/>
              <w:spacing w:after="0" w:line="182" w:lineRule="exact"/>
              <w:rPr>
                <w:sz w:val="20"/>
                <w:szCs w:val="20"/>
                <w:color w:val="auto"/>
              </w:rPr>
            </w:pPr>
            <w:r>
              <w:rPr>
                <w:rFonts w:ascii="Arial" w:cs="Arial" w:eastAsia="Arial" w:hAnsi="Arial"/>
                <w:sz w:val="18"/>
                <w:szCs w:val="18"/>
                <w:color w:val="auto"/>
              </w:rPr>
              <w:t>Item 14.</w:t>
            </w:r>
          </w:p>
        </w:tc>
        <w:tc>
          <w:tcPr>
            <w:tcW w:w="8940" w:type="dxa"/>
            <w:vAlign w:val="bottom"/>
            <w:gridSpan w:val="18"/>
          </w:tcPr>
          <w:p>
            <w:pPr>
              <w:spacing w:after="0" w:line="182" w:lineRule="exact"/>
              <w:rPr>
                <w:rFonts w:ascii="Arial" w:cs="Arial" w:eastAsia="Arial" w:hAnsi="Arial"/>
                <w:sz w:val="18"/>
                <w:szCs w:val="18"/>
                <w:color w:val="0000EE"/>
              </w:rPr>
            </w:pPr>
            <w:hyperlink w:anchor="page37">
              <w:r>
                <w:rPr>
                  <w:rFonts w:ascii="Arial" w:cs="Arial" w:eastAsia="Arial" w:hAnsi="Arial"/>
                  <w:sz w:val="18"/>
                  <w:szCs w:val="18"/>
                  <w:color w:val="0000EE"/>
                </w:rPr>
                <w:t>Principal Auditor Fees and Services</w:t>
              </w:r>
            </w:hyperlink>
          </w:p>
        </w:tc>
        <w:tc>
          <w:tcPr>
            <w:tcW w:w="1040" w:type="dxa"/>
            <w:vAlign w:val="bottom"/>
          </w:tcPr>
          <w:p>
            <w:pPr>
              <w:jc w:val="right"/>
              <w:spacing w:after="0" w:line="182" w:lineRule="exact"/>
              <w:rPr>
                <w:sz w:val="20"/>
                <w:szCs w:val="20"/>
                <w:color w:val="auto"/>
              </w:rPr>
            </w:pPr>
            <w:r>
              <w:rPr>
                <w:rFonts w:ascii="Arial" w:cs="Arial" w:eastAsia="Arial" w:hAnsi="Arial"/>
                <w:sz w:val="18"/>
                <w:szCs w:val="18"/>
                <w:color w:val="auto"/>
              </w:rPr>
              <w:t>34</w:t>
            </w:r>
          </w:p>
        </w:tc>
      </w:tr>
      <w:tr>
        <w:trPr>
          <w:trHeight w:val="213"/>
        </w:trPr>
        <w:tc>
          <w:tcPr>
            <w:tcW w:w="1340" w:type="dxa"/>
            <w:vAlign w:val="bottom"/>
            <w:gridSpan w:val="2"/>
          </w:tcPr>
          <w:p>
            <w:pPr>
              <w:spacing w:after="0"/>
              <w:rPr>
                <w:sz w:val="20"/>
                <w:szCs w:val="20"/>
                <w:color w:val="auto"/>
              </w:rPr>
            </w:pPr>
            <w:r>
              <w:rPr>
                <w:rFonts w:ascii="Arial" w:cs="Arial" w:eastAsia="Arial" w:hAnsi="Arial"/>
                <w:sz w:val="18"/>
                <w:szCs w:val="18"/>
                <w:color w:val="auto"/>
              </w:rPr>
              <w:t>Part IV</w:t>
            </w:r>
          </w:p>
        </w:tc>
        <w:tc>
          <w:tcPr>
            <w:tcW w:w="8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172"/>
        </w:trPr>
        <w:tc>
          <w:tcPr>
            <w:tcW w:w="1340" w:type="dxa"/>
            <w:vAlign w:val="bottom"/>
            <w:gridSpan w:val="2"/>
          </w:tcPr>
          <w:p>
            <w:pPr>
              <w:ind w:left="540"/>
              <w:spacing w:after="0" w:line="172" w:lineRule="exact"/>
              <w:rPr>
                <w:sz w:val="20"/>
                <w:szCs w:val="20"/>
                <w:color w:val="auto"/>
              </w:rPr>
            </w:pPr>
            <w:r>
              <w:rPr>
                <w:rFonts w:ascii="Arial" w:cs="Arial" w:eastAsia="Arial" w:hAnsi="Arial"/>
                <w:sz w:val="18"/>
                <w:szCs w:val="18"/>
                <w:color w:val="auto"/>
              </w:rPr>
              <w:t>Item 15.</w:t>
            </w:r>
          </w:p>
        </w:tc>
        <w:tc>
          <w:tcPr>
            <w:tcW w:w="8940" w:type="dxa"/>
            <w:vAlign w:val="bottom"/>
            <w:gridSpan w:val="18"/>
          </w:tcPr>
          <w:p>
            <w:pPr>
              <w:spacing w:after="0" w:line="172" w:lineRule="exact"/>
              <w:rPr>
                <w:rFonts w:ascii="Arial" w:cs="Arial" w:eastAsia="Arial" w:hAnsi="Arial"/>
                <w:sz w:val="18"/>
                <w:szCs w:val="18"/>
                <w:color w:val="0000EE"/>
              </w:rPr>
            </w:pPr>
            <w:hyperlink w:anchor="page38">
              <w:r>
                <w:rPr>
                  <w:rFonts w:ascii="Arial" w:cs="Arial" w:eastAsia="Arial" w:hAnsi="Arial"/>
                  <w:sz w:val="18"/>
                  <w:szCs w:val="18"/>
                  <w:color w:val="0000EE"/>
                </w:rPr>
                <w:t>Exhibits and Financial Statement Schedules</w:t>
              </w:r>
            </w:hyperlink>
          </w:p>
        </w:tc>
        <w:tc>
          <w:tcPr>
            <w:tcW w:w="1040" w:type="dxa"/>
            <w:vAlign w:val="bottom"/>
          </w:tcPr>
          <w:p>
            <w:pPr>
              <w:jc w:val="right"/>
              <w:spacing w:after="0" w:line="172" w:lineRule="exact"/>
              <w:rPr>
                <w:sz w:val="20"/>
                <w:szCs w:val="20"/>
                <w:color w:val="auto"/>
              </w:rPr>
            </w:pPr>
            <w:r>
              <w:rPr>
                <w:rFonts w:ascii="Arial" w:cs="Arial" w:eastAsia="Arial" w:hAnsi="Arial"/>
                <w:sz w:val="18"/>
                <w:szCs w:val="18"/>
                <w:color w:val="auto"/>
              </w:rPr>
              <w:t>35</w:t>
            </w:r>
          </w:p>
        </w:tc>
      </w:tr>
      <w:tr>
        <w:trPr>
          <w:trHeight w:val="183"/>
        </w:trPr>
        <w:tc>
          <w:tcPr>
            <w:tcW w:w="1340" w:type="dxa"/>
            <w:vAlign w:val="bottom"/>
            <w:gridSpan w:val="2"/>
          </w:tcPr>
          <w:p>
            <w:pPr>
              <w:spacing w:after="0" w:line="182" w:lineRule="exact"/>
              <w:rPr>
                <w:rFonts w:ascii="Arial" w:cs="Arial" w:eastAsia="Arial" w:hAnsi="Arial"/>
                <w:sz w:val="18"/>
                <w:szCs w:val="18"/>
                <w:color w:val="0000EE"/>
              </w:rPr>
            </w:pPr>
            <w:hyperlink w:anchor="page39">
              <w:r>
                <w:rPr>
                  <w:rFonts w:ascii="Arial" w:cs="Arial" w:eastAsia="Arial" w:hAnsi="Arial"/>
                  <w:sz w:val="18"/>
                  <w:szCs w:val="18"/>
                  <w:color w:val="0000EE"/>
                </w:rPr>
                <w:t>Signatures</w:t>
              </w:r>
            </w:hyperlink>
          </w:p>
        </w:tc>
        <w:tc>
          <w:tcPr>
            <w:tcW w:w="80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40" w:type="dxa"/>
            <w:vAlign w:val="bottom"/>
          </w:tcPr>
          <w:p>
            <w:pPr>
              <w:jc w:val="right"/>
              <w:spacing w:after="0" w:line="182" w:lineRule="exact"/>
              <w:rPr>
                <w:sz w:val="20"/>
                <w:szCs w:val="20"/>
                <w:color w:val="auto"/>
              </w:rPr>
            </w:pPr>
            <w:r>
              <w:rPr>
                <w:rFonts w:ascii="Arial" w:cs="Arial" w:eastAsia="Arial" w:hAnsi="Arial"/>
                <w:sz w:val="18"/>
                <w:szCs w:val="18"/>
                <w:color w:val="auto"/>
              </w:rPr>
              <w:t>36</w:t>
            </w:r>
          </w:p>
        </w:tc>
      </w:tr>
      <w:tr>
        <w:trPr>
          <w:trHeight w:val="20"/>
        </w:trPr>
        <w:tc>
          <w:tcPr>
            <w:tcW w:w="8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24"/>
          <w:szCs w:val="24"/>
          <w:b w:val="1"/>
          <w:bCs w:val="1"/>
          <w:color w:val="009CDA"/>
        </w:rPr>
        <w:t>PART I</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color w:val="009CDA"/>
        </w:rPr>
        <w:t>ITEM 1.</w:t>
      </w:r>
      <w:r>
        <w:rPr>
          <w:sz w:val="20"/>
          <w:szCs w:val="20"/>
          <w:color w:val="auto"/>
        </w:rPr>
        <w:tab/>
      </w:r>
      <w:r>
        <w:rPr>
          <w:rFonts w:ascii="Arial" w:cs="Arial" w:eastAsia="Arial" w:hAnsi="Arial"/>
          <w:sz w:val="21"/>
          <w:szCs w:val="21"/>
          <w:b w:val="1"/>
          <w:bCs w:val="1"/>
          <w:color w:val="009CDA"/>
        </w:rPr>
        <w:t>BUSINESS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6089015" cy="8578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89015" cy="857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We provide the industry’s broadest portfolio of document technology, services and software; and the most diverse array of business process and IT outsourcing support. Our document technology offerings serve businesses of all sizes and across industries to deliver solutions for both the workplace and production print environments. We leverage our technology and the document expertise of our employees to deliver further value for our customers through our document outsourcing solutions, which help customers improve their productivity and reduce costs. We have transformed our business with the acquisition of Affiliated Computer Services, Inc. (“ACS”) in February 2010, which allows Xerox to capitalize on the rapidly growing services market. Through our business process and IT outsourcing we offer global services from claims reimbursement and electronic toll transactions to the management of HR benefits and customer care centers to the operation of a company’s technology infrastructure.</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4"/>
          <w:szCs w:val="14"/>
          <w:color w:val="009CDA"/>
        </w:rPr>
        <w:t>Xerox 2010 Form 10-K 1</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3044190" cy="6123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44190" cy="6123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b w:val="1"/>
          <w:bCs w:val="1"/>
          <w:color w:val="009CDA"/>
        </w:rPr>
        <w:t>Our Strategy</w:t>
      </w:r>
    </w:p>
    <w:p>
      <w:pPr>
        <w:spacing w:after="0" w:line="215" w:lineRule="exact"/>
        <w:rPr>
          <w:sz w:val="20"/>
          <w:szCs w:val="20"/>
          <w:color w:val="auto"/>
        </w:rPr>
      </w:pPr>
    </w:p>
    <w:p>
      <w:pPr>
        <w:ind w:right="760"/>
        <w:spacing w:after="0" w:line="239" w:lineRule="auto"/>
        <w:rPr>
          <w:sz w:val="20"/>
          <w:szCs w:val="20"/>
          <w:color w:val="auto"/>
        </w:rPr>
      </w:pPr>
      <w:r>
        <w:rPr>
          <w:rFonts w:ascii="Arial" w:cs="Arial" w:eastAsia="Arial" w:hAnsi="Arial"/>
          <w:sz w:val="18"/>
          <w:szCs w:val="18"/>
          <w:color w:val="auto"/>
        </w:rPr>
        <w:t>We are well-positioned to lead in the markets in which we participate. Our strategy leverages our core strengths to drive growth within our segments and lines of businesses.</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4"/>
          <w:szCs w:val="14"/>
          <w:color w:val="009CDA"/>
        </w:rPr>
        <w:t>Xerox 2010 Form 10-K 2</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2992755" cy="32759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992755" cy="327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Our core strengths include:</w:t>
      </w:r>
    </w:p>
    <w:p>
      <w:pPr>
        <w:spacing w:after="0" w:line="176" w:lineRule="exact"/>
        <w:rPr>
          <w:sz w:val="20"/>
          <w:szCs w:val="20"/>
          <w:color w:val="auto"/>
        </w:rPr>
      </w:pPr>
    </w:p>
    <w:p>
      <w:pPr>
        <w:ind w:left="460" w:right="200" w:hanging="446"/>
        <w:spacing w:after="0" w:line="264" w:lineRule="auto"/>
        <w:rPr>
          <w:sz w:val="20"/>
          <w:szCs w:val="20"/>
          <w:color w:val="auto"/>
        </w:rPr>
      </w:pPr>
      <w:r>
        <w:rPr>
          <w:rFonts w:ascii="Arial" w:cs="Arial" w:eastAsia="Arial" w:hAnsi="Arial"/>
          <w:sz w:val="18"/>
          <w:szCs w:val="18"/>
          <w:b w:val="1"/>
          <w:bCs w:val="1"/>
          <w:color w:val="009CDA"/>
        </w:rPr>
        <w:t xml:space="preserve">–Our Brand </w:t>
      </w:r>
      <w:r>
        <w:rPr>
          <w:rFonts w:ascii="Arial" w:cs="Arial" w:eastAsia="Arial" w:hAnsi="Arial"/>
          <w:sz w:val="18"/>
          <w:szCs w:val="18"/>
          <w:color w:val="000000"/>
        </w:rPr>
        <w:t>– We have a strong and well-recognized brand that is known by businesses worldwide for delivering industry-leading document</w:t>
      </w:r>
      <w:r>
        <w:rPr>
          <w:rFonts w:ascii="Arial" w:cs="Arial" w:eastAsia="Arial" w:hAnsi="Arial"/>
          <w:sz w:val="18"/>
          <w:szCs w:val="18"/>
          <w:b w:val="1"/>
          <w:bCs w:val="1"/>
          <w:color w:val="009CDA"/>
        </w:rPr>
        <w:t xml:space="preserve"> </w:t>
      </w:r>
      <w:r>
        <w:rPr>
          <w:rFonts w:ascii="Arial" w:cs="Arial" w:eastAsia="Arial" w:hAnsi="Arial"/>
          <w:sz w:val="18"/>
          <w:szCs w:val="18"/>
          <w:color w:val="000000"/>
        </w:rPr>
        <w:t>technology, services and solutions.</w:t>
      </w:r>
    </w:p>
    <w:p>
      <w:pPr>
        <w:spacing w:after="0" w:line="152" w:lineRule="exact"/>
        <w:rPr>
          <w:sz w:val="20"/>
          <w:szCs w:val="20"/>
          <w:color w:val="auto"/>
        </w:rPr>
      </w:pPr>
    </w:p>
    <w:p>
      <w:pPr>
        <w:ind w:left="460" w:right="20" w:hanging="446"/>
        <w:spacing w:after="0" w:line="264" w:lineRule="auto"/>
        <w:rPr>
          <w:sz w:val="20"/>
          <w:szCs w:val="20"/>
          <w:color w:val="auto"/>
        </w:rPr>
      </w:pPr>
      <w:r>
        <w:rPr>
          <w:rFonts w:ascii="Arial" w:cs="Arial" w:eastAsia="Arial" w:hAnsi="Arial"/>
          <w:sz w:val="18"/>
          <w:szCs w:val="18"/>
          <w:b w:val="1"/>
          <w:bCs w:val="1"/>
          <w:color w:val="009CDA"/>
        </w:rPr>
        <w:t xml:space="preserve">–Global Presence </w:t>
      </w:r>
      <w:r>
        <w:rPr>
          <w:rFonts w:ascii="Arial" w:cs="Arial" w:eastAsia="Arial" w:hAnsi="Arial"/>
          <w:sz w:val="18"/>
          <w:szCs w:val="18"/>
          <w:color w:val="000000"/>
        </w:rPr>
        <w:t>– Our geographic footprint spans 160 countries and allows us to serve customers of all sizes to deliver superior technology</w:t>
      </w:r>
      <w:r>
        <w:rPr>
          <w:rFonts w:ascii="Arial" w:cs="Arial" w:eastAsia="Arial" w:hAnsi="Arial"/>
          <w:sz w:val="18"/>
          <w:szCs w:val="18"/>
          <w:b w:val="1"/>
          <w:bCs w:val="1"/>
          <w:color w:val="009CDA"/>
        </w:rPr>
        <w:t xml:space="preserve"> </w:t>
      </w:r>
      <w:r>
        <w:rPr>
          <w:rFonts w:ascii="Arial" w:cs="Arial" w:eastAsia="Arial" w:hAnsi="Arial"/>
          <w:sz w:val="18"/>
          <w:szCs w:val="18"/>
          <w:color w:val="000000"/>
        </w:rPr>
        <w:t>and services regardless of complexity or number of customer locations.</w:t>
      </w:r>
    </w:p>
    <w:p>
      <w:pPr>
        <w:spacing w:after="0" w:line="152" w:lineRule="exact"/>
        <w:rPr>
          <w:sz w:val="20"/>
          <w:szCs w:val="20"/>
          <w:color w:val="auto"/>
        </w:rPr>
      </w:pPr>
    </w:p>
    <w:p>
      <w:pPr>
        <w:ind w:left="460" w:right="220" w:hanging="446"/>
        <w:spacing w:after="0" w:line="328" w:lineRule="auto"/>
        <w:rPr>
          <w:sz w:val="20"/>
          <w:szCs w:val="20"/>
          <w:color w:val="auto"/>
        </w:rPr>
      </w:pPr>
      <w:r>
        <w:rPr>
          <w:rFonts w:ascii="Arial" w:cs="Arial" w:eastAsia="Arial" w:hAnsi="Arial"/>
          <w:sz w:val="18"/>
          <w:szCs w:val="18"/>
          <w:b w:val="1"/>
          <w:bCs w:val="1"/>
          <w:color w:val="009CDA"/>
        </w:rPr>
        <w:t>–</w:t>
      </w:r>
      <w:r>
        <w:rPr>
          <w:rFonts w:ascii="Arial" w:cs="Arial" w:eastAsia="Arial" w:hAnsi="Arial"/>
          <w:sz w:val="16"/>
          <w:szCs w:val="16"/>
          <w:b w:val="1"/>
          <w:bCs w:val="1"/>
          <w:color w:val="009CDA"/>
        </w:rPr>
        <w:t xml:space="preserve">Renowned Innovation </w:t>
      </w:r>
      <w:r>
        <w:rPr>
          <w:rFonts w:ascii="Arial" w:cs="Arial" w:eastAsia="Arial" w:hAnsi="Arial"/>
          <w:sz w:val="16"/>
          <w:szCs w:val="16"/>
          <w:color w:val="000000"/>
        </w:rPr>
        <w:t>– We have a history of innovation and, with more than 10,200 active U.S. patents and five global research centers,</w:t>
      </w:r>
      <w:r>
        <w:rPr>
          <w:rFonts w:ascii="Arial" w:cs="Arial" w:eastAsia="Arial" w:hAnsi="Arial"/>
          <w:sz w:val="16"/>
          <w:szCs w:val="16"/>
          <w:b w:val="1"/>
          <w:bCs w:val="1"/>
          <w:color w:val="009CDA"/>
        </w:rPr>
        <w:t xml:space="preserve"> </w:t>
      </w:r>
      <w:r>
        <w:rPr>
          <w:rFonts w:ascii="Arial" w:cs="Arial" w:eastAsia="Arial" w:hAnsi="Arial"/>
          <w:sz w:val="16"/>
          <w:szCs w:val="16"/>
          <w:color w:val="000000"/>
        </w:rPr>
        <w:t>we are committed to continuing to lead in the document technology industry and to leverage our technology into new service areas.</w:t>
      </w:r>
    </w:p>
    <w:p>
      <w:pPr>
        <w:spacing w:after="0" w:line="104" w:lineRule="exact"/>
        <w:rPr>
          <w:sz w:val="20"/>
          <w:szCs w:val="20"/>
          <w:color w:val="auto"/>
        </w:rPr>
      </w:pPr>
    </w:p>
    <w:p>
      <w:pPr>
        <w:ind w:left="460" w:right="360" w:hanging="446"/>
        <w:spacing w:after="0" w:line="249" w:lineRule="auto"/>
        <w:rPr>
          <w:sz w:val="20"/>
          <w:szCs w:val="20"/>
          <w:color w:val="auto"/>
        </w:rPr>
      </w:pPr>
      <w:r>
        <w:rPr>
          <w:rFonts w:ascii="Arial" w:cs="Arial" w:eastAsia="Arial" w:hAnsi="Arial"/>
          <w:sz w:val="18"/>
          <w:szCs w:val="18"/>
          <w:b w:val="1"/>
          <w:bCs w:val="1"/>
          <w:color w:val="009CDA"/>
        </w:rPr>
        <w:t xml:space="preserve">–Services Operational Excellence </w:t>
      </w:r>
      <w:r>
        <w:rPr>
          <w:rFonts w:ascii="Arial" w:cs="Arial" w:eastAsia="Arial" w:hAnsi="Arial"/>
          <w:sz w:val="18"/>
          <w:szCs w:val="18"/>
          <w:color w:val="000000"/>
        </w:rPr>
        <w:t>– We have an operational excellence model that leverages our global delivery capabilities, production</w:t>
      </w:r>
      <w:r>
        <w:rPr>
          <w:rFonts w:ascii="Arial" w:cs="Arial" w:eastAsia="Arial" w:hAnsi="Arial"/>
          <w:sz w:val="18"/>
          <w:szCs w:val="18"/>
          <w:b w:val="1"/>
          <w:bCs w:val="1"/>
          <w:color w:val="009CDA"/>
        </w:rPr>
        <w:t xml:space="preserve"> </w:t>
      </w:r>
      <w:r>
        <w:rPr>
          <w:rFonts w:ascii="Arial" w:cs="Arial" w:eastAsia="Arial" w:hAnsi="Arial"/>
          <w:sz w:val="18"/>
          <w:szCs w:val="18"/>
          <w:color w:val="000000"/>
        </w:rPr>
        <w:t>model, incentive-based compensation process, proprietary systems and financial discipline to deliver productivity and lower costs for our customers.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 organize our business around two segments: </w:t>
      </w:r>
      <w:r>
        <w:rPr>
          <w:rFonts w:ascii="Arial" w:cs="Arial" w:eastAsia="Arial" w:hAnsi="Arial"/>
          <w:sz w:val="18"/>
          <w:szCs w:val="18"/>
          <w:b w:val="1"/>
          <w:bCs w:val="1"/>
          <w:color w:val="009CDA"/>
        </w:rPr>
        <w:t>Technology</w:t>
      </w:r>
      <w:r>
        <w:rPr>
          <w:rFonts w:ascii="Arial" w:cs="Arial" w:eastAsia="Arial" w:hAnsi="Arial"/>
          <w:sz w:val="18"/>
          <w:szCs w:val="18"/>
          <w:color w:val="auto"/>
        </w:rPr>
        <w:t xml:space="preserve"> and </w:t>
      </w:r>
      <w:r>
        <w:rPr>
          <w:rFonts w:ascii="Arial" w:cs="Arial" w:eastAsia="Arial" w:hAnsi="Arial"/>
          <w:sz w:val="18"/>
          <w:szCs w:val="18"/>
          <w:b w:val="1"/>
          <w:bCs w:val="1"/>
          <w:color w:val="009CDA"/>
        </w:rPr>
        <w:t>Services</w:t>
      </w:r>
      <w:r>
        <w:rPr>
          <w:rFonts w:ascii="Arial" w:cs="Arial" w:eastAsia="Arial" w:hAnsi="Arial"/>
          <w:sz w:val="18"/>
          <w:szCs w:val="18"/>
          <w:color w:val="auto"/>
        </w:rPr>
        <w:t>.</w:t>
      </w:r>
    </w:p>
    <w:p>
      <w:pPr>
        <w:spacing w:after="0" w:line="198" w:lineRule="exact"/>
        <w:rPr>
          <w:sz w:val="20"/>
          <w:szCs w:val="20"/>
          <w:color w:val="auto"/>
        </w:rPr>
      </w:pPr>
    </w:p>
    <w:p>
      <w:pPr>
        <w:ind w:left="460" w:right="120" w:hanging="446"/>
        <w:spacing w:after="0" w:line="264" w:lineRule="auto"/>
        <w:rPr>
          <w:sz w:val="20"/>
          <w:szCs w:val="20"/>
          <w:color w:val="auto"/>
        </w:rPr>
      </w:pPr>
      <w:r>
        <w:rPr>
          <w:rFonts w:ascii="Arial" w:cs="Arial" w:eastAsia="Arial" w:hAnsi="Arial"/>
          <w:sz w:val="18"/>
          <w:szCs w:val="18"/>
          <w:color w:val="009CDA"/>
        </w:rPr>
        <w:t>–</w:t>
      </w:r>
      <w:r>
        <w:rPr>
          <w:rFonts w:ascii="Arial" w:cs="Arial" w:eastAsia="Arial" w:hAnsi="Arial"/>
          <w:sz w:val="18"/>
          <w:szCs w:val="18"/>
          <w:color w:val="auto"/>
        </w:rPr>
        <w:t xml:space="preserve">Our </w:t>
      </w:r>
      <w:r>
        <w:rPr>
          <w:rFonts w:ascii="Arial" w:cs="Arial" w:eastAsia="Arial" w:hAnsi="Arial"/>
          <w:sz w:val="18"/>
          <w:szCs w:val="18"/>
          <w:b w:val="1"/>
          <w:bCs w:val="1"/>
          <w:color w:val="009CDA"/>
        </w:rPr>
        <w:t>Technology</w:t>
      </w:r>
      <w:r>
        <w:rPr>
          <w:rFonts w:ascii="Arial" w:cs="Arial" w:eastAsia="Arial" w:hAnsi="Arial"/>
          <w:sz w:val="18"/>
          <w:szCs w:val="18"/>
          <w:color w:val="auto"/>
        </w:rPr>
        <w:t xml:space="preserve"> segment comprises our business of providing customers with document technology and related supplies, technical service and equipment financing. Our product categories within this segment include Entry, Mid-range and High-end products.</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4"/>
          <w:szCs w:val="14"/>
          <w:color w:val="009CDA"/>
        </w:rPr>
        <w:t>Xerox 2010 Form 10-K 3</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60" w:hanging="446"/>
        <w:spacing w:after="0" w:line="249" w:lineRule="auto"/>
        <w:rPr>
          <w:sz w:val="20"/>
          <w:szCs w:val="20"/>
          <w:color w:val="auto"/>
        </w:rPr>
      </w:pPr>
      <w:r>
        <w:rPr>
          <w:rFonts w:ascii="Arial" w:cs="Arial" w:eastAsia="Arial" w:hAnsi="Arial"/>
          <w:sz w:val="18"/>
          <w:szCs w:val="18"/>
          <w:color w:val="009CDA"/>
        </w:rPr>
        <w:t>–</w:t>
      </w:r>
      <w:r>
        <w:rPr>
          <w:rFonts w:ascii="Arial" w:cs="Arial" w:eastAsia="Arial" w:hAnsi="Arial"/>
          <w:sz w:val="18"/>
          <w:szCs w:val="18"/>
          <w:color w:val="auto"/>
        </w:rPr>
        <w:t xml:space="preserve">Our </w:t>
      </w:r>
      <w:r>
        <w:rPr>
          <w:rFonts w:ascii="Arial" w:cs="Arial" w:eastAsia="Arial" w:hAnsi="Arial"/>
          <w:sz w:val="18"/>
          <w:szCs w:val="18"/>
          <w:b w:val="1"/>
          <w:bCs w:val="1"/>
          <w:color w:val="009CDA"/>
        </w:rPr>
        <w:t>Services</w:t>
      </w:r>
      <w:r>
        <w:rPr>
          <w:rFonts w:ascii="Arial" w:cs="Arial" w:eastAsia="Arial" w:hAnsi="Arial"/>
          <w:sz w:val="18"/>
          <w:szCs w:val="18"/>
          <w:color w:val="auto"/>
        </w:rPr>
        <w:t xml:space="preserve"> segment is comprised of business process outsourcing, information technology outsourcing and document outsourcing services. Because we provide all three of these business services, we are uniquely positioned in the industry, and we believe this allows us to provide a differentiated solution and deliver greater value to our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4210685" cy="3319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210685" cy="3319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We will leverage our core strengths and market opportunities to grow our businesses by executing on the following growth initiatives:</w:t>
      </w:r>
    </w:p>
    <w:p>
      <w:pPr>
        <w:spacing w:after="0" w:line="176" w:lineRule="exact"/>
        <w:rPr>
          <w:sz w:val="20"/>
          <w:szCs w:val="20"/>
          <w:color w:val="auto"/>
        </w:rPr>
      </w:pPr>
    </w:p>
    <w:p>
      <w:pPr>
        <w:jc w:val="both"/>
        <w:ind w:left="460" w:right="20" w:hanging="446"/>
        <w:spacing w:after="0" w:line="296" w:lineRule="auto"/>
        <w:rPr>
          <w:sz w:val="20"/>
          <w:szCs w:val="20"/>
          <w:color w:val="auto"/>
        </w:rPr>
      </w:pPr>
      <w:r>
        <w:rPr>
          <w:rFonts w:ascii="Arial" w:cs="Arial" w:eastAsia="Arial" w:hAnsi="Arial"/>
          <w:sz w:val="18"/>
          <w:szCs w:val="18"/>
          <w:b w:val="1"/>
          <w:bCs w:val="1"/>
          <w:color w:val="009CDA"/>
        </w:rPr>
        <w:t>–</w:t>
      </w:r>
      <w:r>
        <w:rPr>
          <w:rFonts w:ascii="Arial" w:cs="Arial" w:eastAsia="Arial" w:hAnsi="Arial"/>
          <w:sz w:val="16"/>
          <w:szCs w:val="16"/>
          <w:b w:val="1"/>
          <w:bCs w:val="1"/>
          <w:color w:val="009CDA"/>
        </w:rPr>
        <w:t xml:space="preserve">Accelerating the Transition to Color </w:t>
      </w:r>
      <w:r>
        <w:rPr>
          <w:rFonts w:ascii="Arial" w:cs="Arial" w:eastAsia="Arial" w:hAnsi="Arial"/>
          <w:sz w:val="16"/>
          <w:szCs w:val="16"/>
          <w:color w:val="000000"/>
        </w:rPr>
        <w:t>– We have the broadest color portfolio in the industry and leading technologies to help customers</w:t>
      </w:r>
      <w:r>
        <w:rPr>
          <w:rFonts w:ascii="Arial" w:cs="Arial" w:eastAsia="Arial" w:hAnsi="Arial"/>
          <w:sz w:val="16"/>
          <w:szCs w:val="16"/>
          <w:b w:val="1"/>
          <w:bCs w:val="1"/>
          <w:color w:val="009CDA"/>
        </w:rPr>
        <w:t xml:space="preserve"> </w:t>
      </w:r>
      <w:r>
        <w:rPr>
          <w:rFonts w:ascii="Arial" w:cs="Arial" w:eastAsia="Arial" w:hAnsi="Arial"/>
          <w:sz w:val="16"/>
          <w:szCs w:val="16"/>
          <w:color w:val="000000"/>
        </w:rPr>
        <w:t>realize the communication benefits of printing in color. Cost and quality improvements are driving the transition from black-and-white to color. With only 23% of Xerox pages printed on color devices, we believe there remains tremendous opportunity to grow color pages and revenues.</w:t>
      </w:r>
    </w:p>
    <w:p>
      <w:pPr>
        <w:spacing w:after="0" w:line="129" w:lineRule="exact"/>
        <w:rPr>
          <w:sz w:val="20"/>
          <w:szCs w:val="20"/>
          <w:color w:val="auto"/>
        </w:rPr>
      </w:pPr>
    </w:p>
    <w:p>
      <w:pPr>
        <w:ind w:left="460" w:right="160" w:hanging="446"/>
        <w:spacing w:after="0" w:line="244" w:lineRule="auto"/>
        <w:rPr>
          <w:sz w:val="20"/>
          <w:szCs w:val="20"/>
          <w:color w:val="auto"/>
        </w:rPr>
      </w:pPr>
      <w:r>
        <w:rPr>
          <w:rFonts w:ascii="Arial" w:cs="Arial" w:eastAsia="Arial" w:hAnsi="Arial"/>
          <w:sz w:val="18"/>
          <w:szCs w:val="18"/>
          <w:b w:val="1"/>
          <w:bCs w:val="1"/>
          <w:color w:val="009CDA"/>
        </w:rPr>
        <w:t xml:space="preserve">–Advancing Customized Digital Printing </w:t>
      </w:r>
      <w:r>
        <w:rPr>
          <w:rFonts w:ascii="Arial" w:cs="Arial" w:eastAsia="Arial" w:hAnsi="Arial"/>
          <w:sz w:val="18"/>
          <w:szCs w:val="18"/>
          <w:color w:val="000000"/>
        </w:rPr>
        <w:t>– We are the leader in digital production printing, and we continue to create new market</w:t>
      </w:r>
      <w:r>
        <w:rPr>
          <w:rFonts w:ascii="Arial" w:cs="Arial" w:eastAsia="Arial" w:hAnsi="Arial"/>
          <w:sz w:val="18"/>
          <w:szCs w:val="18"/>
          <w:b w:val="1"/>
          <w:bCs w:val="1"/>
          <w:color w:val="009CDA"/>
        </w:rPr>
        <w:t xml:space="preserve"> </w:t>
      </w:r>
      <w:r>
        <w:rPr>
          <w:rFonts w:ascii="Arial" w:cs="Arial" w:eastAsia="Arial" w:hAnsi="Arial"/>
          <w:sz w:val="18"/>
          <w:szCs w:val="18"/>
          <w:color w:val="000000"/>
        </w:rPr>
        <w:t>opportunities for digital printing through technology that enables personalized promotional and transactional documents, short-run book publishing, cross-media customized campaigns and more. Color digital production pages are estimated to grow over 20% CAGR from 2009 to 2014, according to internal market estimates.</w:t>
      </w:r>
    </w:p>
    <w:p>
      <w:pPr>
        <w:spacing w:after="0" w:line="171" w:lineRule="exact"/>
        <w:rPr>
          <w:sz w:val="20"/>
          <w:szCs w:val="20"/>
          <w:color w:val="auto"/>
        </w:rPr>
      </w:pPr>
    </w:p>
    <w:p>
      <w:pPr>
        <w:ind w:left="460" w:right="160" w:hanging="446"/>
        <w:spacing w:after="0" w:line="296" w:lineRule="auto"/>
        <w:rPr>
          <w:sz w:val="20"/>
          <w:szCs w:val="20"/>
          <w:color w:val="auto"/>
        </w:rPr>
      </w:pPr>
      <w:r>
        <w:rPr>
          <w:rFonts w:ascii="Arial" w:cs="Arial" w:eastAsia="Arial" w:hAnsi="Arial"/>
          <w:sz w:val="18"/>
          <w:szCs w:val="18"/>
          <w:b w:val="1"/>
          <w:bCs w:val="1"/>
          <w:color w:val="009CDA"/>
        </w:rPr>
        <w:t>–</w:t>
      </w:r>
      <w:r>
        <w:rPr>
          <w:rFonts w:ascii="Arial" w:cs="Arial" w:eastAsia="Arial" w:hAnsi="Arial"/>
          <w:sz w:val="16"/>
          <w:szCs w:val="16"/>
          <w:b w:val="1"/>
          <w:bCs w:val="1"/>
          <w:color w:val="009CDA"/>
        </w:rPr>
        <w:t xml:space="preserve">Expand Distribution </w:t>
      </w:r>
      <w:r>
        <w:rPr>
          <w:rFonts w:ascii="Arial" w:cs="Arial" w:eastAsia="Arial" w:hAnsi="Arial"/>
          <w:sz w:val="16"/>
          <w:szCs w:val="16"/>
          <w:color w:val="000000"/>
        </w:rPr>
        <w:t>– We strive to ensure Xerox is considered by every customer and potential customer. We will continue to broaden our</w:t>
      </w:r>
      <w:r>
        <w:rPr>
          <w:rFonts w:ascii="Arial" w:cs="Arial" w:eastAsia="Arial" w:hAnsi="Arial"/>
          <w:sz w:val="16"/>
          <w:szCs w:val="16"/>
          <w:b w:val="1"/>
          <w:bCs w:val="1"/>
          <w:color w:val="009CDA"/>
        </w:rPr>
        <w:t xml:space="preserve"> </w:t>
      </w:r>
      <w:r>
        <w:rPr>
          <w:rFonts w:ascii="Arial" w:cs="Arial" w:eastAsia="Arial" w:hAnsi="Arial"/>
          <w:sz w:val="16"/>
          <w:szCs w:val="16"/>
          <w:color w:val="000000"/>
        </w:rPr>
        <w:t>distribution capacity through acquisitions and channel partnerships targeted at expanding our presence in the small and mid-size business (“SMB”) market and we will capitalize on our coverage investments and partnerships to drive growth in digital production printing.</w:t>
      </w:r>
    </w:p>
    <w:p>
      <w:pPr>
        <w:spacing w:after="0" w:line="129" w:lineRule="exact"/>
        <w:rPr>
          <w:sz w:val="20"/>
          <w:szCs w:val="20"/>
          <w:color w:val="auto"/>
        </w:rPr>
      </w:pPr>
    </w:p>
    <w:p>
      <w:pPr>
        <w:ind w:left="460" w:right="220" w:hanging="446"/>
        <w:spacing w:after="0" w:line="242" w:lineRule="auto"/>
        <w:rPr>
          <w:sz w:val="20"/>
          <w:szCs w:val="20"/>
          <w:color w:val="auto"/>
        </w:rPr>
      </w:pPr>
      <w:r>
        <w:rPr>
          <w:rFonts w:ascii="Arial" w:cs="Arial" w:eastAsia="Arial" w:hAnsi="Arial"/>
          <w:sz w:val="18"/>
          <w:szCs w:val="18"/>
          <w:b w:val="1"/>
          <w:bCs w:val="1"/>
          <w:color w:val="009CDA"/>
        </w:rPr>
        <w:t xml:space="preserve">–Extending Lead in Document Outsourcing </w:t>
      </w:r>
      <w:r>
        <w:rPr>
          <w:rFonts w:ascii="Arial" w:cs="Arial" w:eastAsia="Arial" w:hAnsi="Arial"/>
          <w:sz w:val="18"/>
          <w:szCs w:val="18"/>
          <w:color w:val="000000"/>
        </w:rPr>
        <w:t>– We lead the industry with end-to-end Document Management Services. Through offerings</w:t>
      </w:r>
      <w:r>
        <w:rPr>
          <w:rFonts w:ascii="Arial" w:cs="Arial" w:eastAsia="Arial" w:hAnsi="Arial"/>
          <w:sz w:val="18"/>
          <w:szCs w:val="18"/>
          <w:b w:val="1"/>
          <w:bCs w:val="1"/>
          <w:color w:val="009CDA"/>
        </w:rPr>
        <w:t xml:space="preserve"> </w:t>
      </w:r>
      <w:r>
        <w:rPr>
          <w:rFonts w:ascii="Arial" w:cs="Arial" w:eastAsia="Arial" w:hAnsi="Arial"/>
          <w:sz w:val="18"/>
          <w:szCs w:val="18"/>
          <w:color w:val="000000"/>
        </w:rPr>
        <w:t>such as managed print services, we can help our customers save up to 30% on printing costs by optimizing their use of document systems across an entire enterprise. We will seek to grow our document outsourcing revenue by expanding our print services offerings to smaller companies, delivering solutions in new service categories such as multi-channel marketing communications, and leveraging our BPO and ITO presence to deliver even greater value to our customers.</w:t>
      </w:r>
    </w:p>
    <w:p>
      <w:pPr>
        <w:spacing w:after="0" w:line="136" w:lineRule="exact"/>
        <w:rPr>
          <w:sz w:val="20"/>
          <w:szCs w:val="20"/>
          <w:color w:val="auto"/>
        </w:rPr>
      </w:pPr>
    </w:p>
    <w:p>
      <w:pPr>
        <w:jc w:val="right"/>
        <w:spacing w:after="0"/>
        <w:rPr>
          <w:sz w:val="20"/>
          <w:szCs w:val="20"/>
          <w:color w:val="auto"/>
        </w:rPr>
      </w:pPr>
      <w:r>
        <w:rPr>
          <w:rFonts w:ascii="Arial" w:cs="Arial" w:eastAsia="Arial" w:hAnsi="Arial"/>
          <w:sz w:val="14"/>
          <w:szCs w:val="14"/>
          <w:color w:val="009CDA"/>
        </w:rPr>
        <w:t>Xerox 2010 Form 10-K 4</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60" w:right="40" w:hanging="446"/>
        <w:spacing w:after="0" w:line="249" w:lineRule="auto"/>
        <w:rPr>
          <w:sz w:val="20"/>
          <w:szCs w:val="20"/>
          <w:color w:val="auto"/>
        </w:rPr>
      </w:pPr>
      <w:r>
        <w:rPr>
          <w:rFonts w:ascii="Arial" w:cs="Arial" w:eastAsia="Arial" w:hAnsi="Arial"/>
          <w:sz w:val="18"/>
          <w:szCs w:val="18"/>
          <w:b w:val="1"/>
          <w:bCs w:val="1"/>
          <w:color w:val="009CDA"/>
        </w:rPr>
        <w:t xml:space="preserve">–Expand BPO and ITO Globally </w:t>
      </w:r>
      <w:r>
        <w:rPr>
          <w:rFonts w:ascii="Arial" w:cs="Arial" w:eastAsia="Arial" w:hAnsi="Arial"/>
          <w:sz w:val="18"/>
          <w:szCs w:val="18"/>
          <w:color w:val="000000"/>
        </w:rPr>
        <w:t>– In 2010, approximately 90% of our BPO and ITO revenues were from services provided to customers in</w:t>
      </w:r>
      <w:r>
        <w:rPr>
          <w:rFonts w:ascii="Arial" w:cs="Arial" w:eastAsia="Arial" w:hAnsi="Arial"/>
          <w:sz w:val="18"/>
          <w:szCs w:val="18"/>
          <w:b w:val="1"/>
          <w:bCs w:val="1"/>
          <w:color w:val="009CDA"/>
        </w:rPr>
        <w:t xml:space="preserve"> </w:t>
      </w:r>
      <w:r>
        <w:rPr>
          <w:rFonts w:ascii="Arial" w:cs="Arial" w:eastAsia="Arial" w:hAnsi="Arial"/>
          <w:sz w:val="18"/>
          <w:szCs w:val="18"/>
          <w:color w:val="000000"/>
        </w:rPr>
        <w:t>the United States. We believe there is tremendous opportunity to leverage Xerox’s global presence and customer relationships to expand our BPO and ITO services internationally.</w:t>
      </w:r>
    </w:p>
    <w:p>
      <w:pPr>
        <w:spacing w:after="0" w:line="166" w:lineRule="exact"/>
        <w:rPr>
          <w:sz w:val="20"/>
          <w:szCs w:val="20"/>
          <w:color w:val="auto"/>
        </w:rPr>
      </w:pPr>
    </w:p>
    <w:p>
      <w:pPr>
        <w:ind w:left="460" w:right="300" w:hanging="446"/>
        <w:spacing w:after="0" w:line="244" w:lineRule="auto"/>
        <w:rPr>
          <w:sz w:val="20"/>
          <w:szCs w:val="20"/>
          <w:color w:val="auto"/>
        </w:rPr>
      </w:pPr>
      <w:r>
        <w:rPr>
          <w:rFonts w:ascii="Arial" w:cs="Arial" w:eastAsia="Arial" w:hAnsi="Arial"/>
          <w:sz w:val="18"/>
          <w:szCs w:val="18"/>
          <w:b w:val="1"/>
          <w:bCs w:val="1"/>
          <w:color w:val="009CDA"/>
        </w:rPr>
        <w:t xml:space="preserve">–Leverage Innovation </w:t>
      </w:r>
      <w:r>
        <w:rPr>
          <w:rFonts w:ascii="Arial" w:cs="Arial" w:eastAsia="Arial" w:hAnsi="Arial"/>
          <w:sz w:val="18"/>
          <w:szCs w:val="18"/>
          <w:color w:val="000000"/>
        </w:rPr>
        <w:t>– We have a strong heritage in innovation and we continue to invest heavily in research and development. In 2010,</w:t>
      </w:r>
      <w:r>
        <w:rPr>
          <w:rFonts w:ascii="Arial" w:cs="Arial" w:eastAsia="Arial" w:hAnsi="Arial"/>
          <w:sz w:val="18"/>
          <w:szCs w:val="18"/>
          <w:b w:val="1"/>
          <w:bCs w:val="1"/>
          <w:color w:val="009CDA"/>
        </w:rPr>
        <w:t xml:space="preserve"> </w:t>
      </w:r>
      <w:r>
        <w:rPr>
          <w:rFonts w:ascii="Arial" w:cs="Arial" w:eastAsia="Arial" w:hAnsi="Arial"/>
          <w:sz w:val="18"/>
          <w:szCs w:val="18"/>
          <w:color w:val="000000"/>
        </w:rPr>
        <w:t>together with Fuji Xerox, our research and development spending was $1,602 million. We see great opportunity in applying our document management technology to deliver industry-leading document solutions to the market, to increase ACS’s existing BPO capabilities, and to deliver new services to help customers better manage their document-intensive business processes.</w:t>
      </w: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b w:val="1"/>
          <w:bCs w:val="1"/>
          <w:color w:val="009CDA"/>
        </w:rPr>
        <w:t>Acquisitions</w:t>
      </w:r>
    </w:p>
    <w:p>
      <w:pPr>
        <w:spacing w:after="0" w:line="328"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 xml:space="preserve">In February 2010, we acquired </w:t>
      </w:r>
      <w:r>
        <w:rPr>
          <w:rFonts w:ascii="Arial" w:cs="Arial" w:eastAsia="Arial" w:hAnsi="Arial"/>
          <w:sz w:val="18"/>
          <w:szCs w:val="18"/>
          <w:b w:val="1"/>
          <w:bCs w:val="1"/>
          <w:color w:val="009CDA"/>
        </w:rPr>
        <w:t>Affiliated Computer Services, Inc.</w:t>
      </w:r>
      <w:r>
        <w:rPr>
          <w:rFonts w:ascii="Arial" w:cs="Arial" w:eastAsia="Arial" w:hAnsi="Arial"/>
          <w:sz w:val="18"/>
          <w:szCs w:val="18"/>
          <w:color w:val="auto"/>
        </w:rPr>
        <w:t xml:space="preserve"> ACS is a premier provider of diversified business process outsourcing and information technology services and solutions to commercial and government clients worldwide.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Subsequent to the acquisition of ACS, we acquired three additional service companies, further expanding our BPO capabilities:</w:t>
      </w:r>
    </w:p>
    <w:p>
      <w:pPr>
        <w:spacing w:after="0" w:line="176" w:lineRule="exact"/>
        <w:rPr>
          <w:sz w:val="20"/>
          <w:szCs w:val="20"/>
          <w:color w:val="auto"/>
        </w:rPr>
      </w:pPr>
    </w:p>
    <w:p>
      <w:pPr>
        <w:ind w:left="460" w:right="20" w:hanging="446"/>
        <w:spacing w:after="0" w:line="249" w:lineRule="auto"/>
        <w:rPr>
          <w:sz w:val="20"/>
          <w:szCs w:val="20"/>
          <w:color w:val="auto"/>
        </w:rPr>
      </w:pPr>
      <w:r>
        <w:rPr>
          <w:rFonts w:ascii="Arial" w:cs="Arial" w:eastAsia="Arial" w:hAnsi="Arial"/>
          <w:sz w:val="18"/>
          <w:szCs w:val="18"/>
          <w:color w:val="009CDA"/>
        </w:rPr>
        <w:t>–</w:t>
      </w:r>
      <w:r>
        <w:rPr>
          <w:rFonts w:ascii="Arial" w:cs="Arial" w:eastAsia="Arial" w:hAnsi="Arial"/>
          <w:sz w:val="18"/>
          <w:szCs w:val="18"/>
          <w:color w:val="auto"/>
        </w:rPr>
        <w:t xml:space="preserve">In July 2010, we acquired </w:t>
      </w:r>
      <w:r>
        <w:rPr>
          <w:rFonts w:ascii="Arial" w:cs="Arial" w:eastAsia="Arial" w:hAnsi="Arial"/>
          <w:sz w:val="18"/>
          <w:szCs w:val="18"/>
          <w:b w:val="1"/>
          <w:bCs w:val="1"/>
          <w:color w:val="009CDA"/>
        </w:rPr>
        <w:t>ExcellerateHRO, LLP</w:t>
      </w:r>
      <w:r>
        <w:rPr>
          <w:rFonts w:ascii="Arial" w:cs="Arial" w:eastAsia="Arial" w:hAnsi="Arial"/>
          <w:sz w:val="18"/>
          <w:szCs w:val="18"/>
          <w:color w:val="auto"/>
        </w:rPr>
        <w:t xml:space="preserve"> (“EHRO”), a global benefits administration and relocation services provider. This acquisition establishes ACS as one of the world’s largest pension plan administrators and a leading provider of outsourced health, welfare and relocation services.</w:t>
      </w:r>
    </w:p>
    <w:p>
      <w:pPr>
        <w:spacing w:after="0" w:line="166" w:lineRule="exact"/>
        <w:rPr>
          <w:sz w:val="20"/>
          <w:szCs w:val="20"/>
          <w:color w:val="auto"/>
        </w:rPr>
      </w:pPr>
    </w:p>
    <w:p>
      <w:pPr>
        <w:ind w:left="460" w:right="120" w:hanging="446"/>
        <w:spacing w:after="0" w:line="244" w:lineRule="auto"/>
        <w:rPr>
          <w:sz w:val="20"/>
          <w:szCs w:val="20"/>
          <w:color w:val="auto"/>
        </w:rPr>
      </w:pPr>
      <w:r>
        <w:rPr>
          <w:rFonts w:ascii="Arial" w:cs="Arial" w:eastAsia="Arial" w:hAnsi="Arial"/>
          <w:sz w:val="18"/>
          <w:szCs w:val="18"/>
          <w:b w:val="1"/>
          <w:bCs w:val="1"/>
          <w:color w:val="009CDA"/>
        </w:rPr>
        <w:t>–</w:t>
      </w:r>
      <w:r>
        <w:rPr>
          <w:rFonts w:ascii="Arial" w:cs="Arial" w:eastAsia="Arial" w:hAnsi="Arial"/>
          <w:sz w:val="18"/>
          <w:szCs w:val="18"/>
          <w:color w:val="auto"/>
        </w:rPr>
        <w:t xml:space="preserve">In October 2010, we acquired </w:t>
      </w:r>
      <w:r>
        <w:rPr>
          <w:rFonts w:ascii="Arial" w:cs="Arial" w:eastAsia="Arial" w:hAnsi="Arial"/>
          <w:sz w:val="18"/>
          <w:szCs w:val="18"/>
          <w:b w:val="1"/>
          <w:bCs w:val="1"/>
          <w:color w:val="009CDA"/>
        </w:rPr>
        <w:t>TMS Health, LLC</w:t>
      </w:r>
      <w:r>
        <w:rPr>
          <w:rFonts w:ascii="Arial" w:cs="Arial" w:eastAsia="Arial" w:hAnsi="Arial"/>
          <w:sz w:val="18"/>
          <w:szCs w:val="18"/>
          <w:color w:val="auto"/>
        </w:rPr>
        <w:t xml:space="preserve"> (“TMS”), a U.S.-based teleservices company that provides customer care services to the pharmaceutical, biotech and healthcare industries. Through TMS, we will improve communication between pharmaceutical companies, physicians, consumers and pharmacists. By providing customer education, product sales and marketing, and clinical trial solutions, we build on our ITO and BPO services we are already delivering to the healthcare and pharmaceutical industries.</w:t>
      </w:r>
    </w:p>
    <w:p>
      <w:pPr>
        <w:spacing w:after="0" w:line="171" w:lineRule="exact"/>
        <w:rPr>
          <w:sz w:val="20"/>
          <w:szCs w:val="20"/>
          <w:color w:val="auto"/>
        </w:rPr>
      </w:pPr>
    </w:p>
    <w:p>
      <w:pPr>
        <w:ind w:left="460" w:right="280" w:hanging="446"/>
        <w:spacing w:after="0" w:line="249" w:lineRule="auto"/>
        <w:rPr>
          <w:sz w:val="20"/>
          <w:szCs w:val="20"/>
          <w:color w:val="auto"/>
        </w:rPr>
      </w:pPr>
      <w:r>
        <w:rPr>
          <w:rFonts w:ascii="Arial" w:cs="Arial" w:eastAsia="Arial" w:hAnsi="Arial"/>
          <w:sz w:val="18"/>
          <w:szCs w:val="18"/>
          <w:color w:val="009CDA"/>
        </w:rPr>
        <w:t>–</w:t>
      </w:r>
      <w:r>
        <w:rPr>
          <w:rFonts w:ascii="Arial" w:cs="Arial" w:eastAsia="Arial" w:hAnsi="Arial"/>
          <w:sz w:val="18"/>
          <w:szCs w:val="18"/>
          <w:color w:val="auto"/>
        </w:rPr>
        <w:t xml:space="preserve">In November 2010, we acquired </w:t>
      </w:r>
      <w:r>
        <w:rPr>
          <w:rFonts w:ascii="Arial" w:cs="Arial" w:eastAsia="Arial" w:hAnsi="Arial"/>
          <w:sz w:val="18"/>
          <w:szCs w:val="18"/>
          <w:b w:val="1"/>
          <w:bCs w:val="1"/>
          <w:color w:val="009CDA"/>
        </w:rPr>
        <w:t>Spur Information Solutions, Limited</w:t>
      </w:r>
      <w:r>
        <w:rPr>
          <w:rFonts w:ascii="Arial" w:cs="Arial" w:eastAsia="Arial" w:hAnsi="Arial"/>
          <w:sz w:val="18"/>
          <w:szCs w:val="18"/>
          <w:color w:val="auto"/>
        </w:rPr>
        <w:t xml:space="preserve"> (“Spur”), one of the United Kingdom’s leading providers of parking enforcement computer software used. Spur’s core software helps governments implement and enforce local parking codes across municipalities. The acquisition strengthens our broad portfolio of services that support the transportation industry.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Additionally in 2010, we acquired two companies to further expand our distribution capacity:</w:t>
      </w:r>
    </w:p>
    <w:p>
      <w:pPr>
        <w:spacing w:after="0" w:line="176" w:lineRule="exact"/>
        <w:rPr>
          <w:sz w:val="20"/>
          <w:szCs w:val="20"/>
          <w:color w:val="auto"/>
        </w:rPr>
      </w:pPr>
    </w:p>
    <w:p>
      <w:pPr>
        <w:ind w:left="460" w:right="100" w:hanging="446"/>
        <w:spacing w:after="0" w:line="249" w:lineRule="auto"/>
        <w:rPr>
          <w:sz w:val="20"/>
          <w:szCs w:val="20"/>
          <w:color w:val="auto"/>
        </w:rPr>
      </w:pPr>
      <w:r>
        <w:rPr>
          <w:rFonts w:ascii="Arial" w:cs="Arial" w:eastAsia="Arial" w:hAnsi="Arial"/>
          <w:sz w:val="18"/>
          <w:szCs w:val="18"/>
          <w:color w:val="009CDA"/>
        </w:rPr>
        <w:t>–</w:t>
      </w:r>
      <w:r>
        <w:rPr>
          <w:rFonts w:ascii="Arial" w:cs="Arial" w:eastAsia="Arial" w:hAnsi="Arial"/>
          <w:sz w:val="18"/>
          <w:szCs w:val="18"/>
          <w:color w:val="auto"/>
        </w:rPr>
        <w:t xml:space="preserve">In January 2010, we acquired </w:t>
      </w:r>
      <w:r>
        <w:rPr>
          <w:rFonts w:ascii="Arial" w:cs="Arial" w:eastAsia="Arial" w:hAnsi="Arial"/>
          <w:sz w:val="18"/>
          <w:szCs w:val="18"/>
          <w:b w:val="1"/>
          <w:bCs w:val="1"/>
          <w:color w:val="009CDA"/>
        </w:rPr>
        <w:t>Irish Business Systems Limited</w:t>
      </w:r>
      <w:r>
        <w:rPr>
          <w:rFonts w:ascii="Arial" w:cs="Arial" w:eastAsia="Arial" w:hAnsi="Arial"/>
          <w:sz w:val="18"/>
          <w:szCs w:val="18"/>
          <w:color w:val="auto"/>
        </w:rPr>
        <w:t xml:space="preserve"> (“IBS”) to expand our reach into the small and mid-size business market in Ireland. IBS, a managed print services provider, has eight offices located throughout Ireland and is the largest independent supplier of digital imaging and printing solutions in Ireland.</w:t>
      </w:r>
    </w:p>
    <w:p>
      <w:pPr>
        <w:spacing w:after="0" w:line="166" w:lineRule="exact"/>
        <w:rPr>
          <w:sz w:val="20"/>
          <w:szCs w:val="20"/>
          <w:color w:val="auto"/>
        </w:rPr>
      </w:pPr>
    </w:p>
    <w:p>
      <w:pPr>
        <w:ind w:left="460" w:right="100" w:hanging="446"/>
        <w:spacing w:after="0" w:line="264" w:lineRule="auto"/>
        <w:rPr>
          <w:sz w:val="20"/>
          <w:szCs w:val="20"/>
          <w:color w:val="auto"/>
        </w:rPr>
      </w:pPr>
      <w:r>
        <w:rPr>
          <w:rFonts w:ascii="Arial" w:cs="Arial" w:eastAsia="Arial" w:hAnsi="Arial"/>
          <w:sz w:val="18"/>
          <w:szCs w:val="18"/>
          <w:color w:val="009CDA"/>
        </w:rPr>
        <w:t>–</w:t>
      </w:r>
      <w:r>
        <w:rPr>
          <w:rFonts w:ascii="Arial" w:cs="Arial" w:eastAsia="Arial" w:hAnsi="Arial"/>
          <w:sz w:val="18"/>
          <w:szCs w:val="18"/>
          <w:color w:val="auto"/>
        </w:rPr>
        <w:t xml:space="preserve">In September 2010, we acquired </w:t>
      </w:r>
      <w:r>
        <w:rPr>
          <w:rFonts w:ascii="Arial" w:cs="Arial" w:eastAsia="Arial" w:hAnsi="Arial"/>
          <w:sz w:val="18"/>
          <w:szCs w:val="18"/>
          <w:b w:val="1"/>
          <w:bCs w:val="1"/>
          <w:color w:val="009CDA"/>
        </w:rPr>
        <w:t>Georgia Duplicating Products, Inc.</w:t>
      </w:r>
      <w:r>
        <w:rPr>
          <w:rFonts w:ascii="Arial" w:cs="Arial" w:eastAsia="Arial" w:hAnsi="Arial"/>
          <w:sz w:val="18"/>
          <w:szCs w:val="18"/>
          <w:color w:val="auto"/>
        </w:rPr>
        <w:t>, an office equipment supplier. This acquisition furthers our strategy of supporting business customers across the U.S. with an expanding network of office technology providers.</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009CDA"/>
        </w:rPr>
        <w:t>Business Model Fundamentals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6089015" cy="5657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8901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540"/>
        <w:spacing w:after="0" w:line="239" w:lineRule="auto"/>
        <w:rPr>
          <w:sz w:val="20"/>
          <w:szCs w:val="20"/>
          <w:color w:val="auto"/>
        </w:rPr>
      </w:pPr>
      <w:r>
        <w:rPr>
          <w:rFonts w:ascii="Arial" w:cs="Arial" w:eastAsia="Arial" w:hAnsi="Arial"/>
          <w:sz w:val="18"/>
          <w:szCs w:val="18"/>
          <w:color w:val="auto"/>
        </w:rPr>
        <w:t>Through our annuity-based business model, we deliver significant cash generation and have a strong foundation upon which we can expand earnings.</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4"/>
          <w:szCs w:val="14"/>
          <w:color w:val="009CDA"/>
        </w:rPr>
        <w:t>Xerox 2010 Form 10-K 5</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009CDA"/>
        </w:rPr>
        <w:t>Annuity Model</w:t>
      </w:r>
    </w:p>
    <w:p>
      <w:pPr>
        <w:spacing w:after="0" w:line="18"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fundamentals of our business rest upon an annuity model that drives significant recurring revenue and cash generation. Over 80% of our 2010 total revenue was annuity based revenue that includes contracted services, equipment maintenance and consumable supplies, among other elements. Some of the key indicators of annuity revenue growth include: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number of page-producing machines in the field (“MIF”) which is impacted by the number of equipment installations</w:t>
      </w:r>
    </w:p>
    <w:p>
      <w:pPr>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Page volume and the mix of color pages, as color pages generate more revenue per page than black-and-white</w:t>
      </w:r>
    </w:p>
    <w:p>
      <w:pPr>
        <w:ind w:left="460" w:right="80" w:hanging="446"/>
        <w:spacing w:after="0" w:line="234" w:lineRule="auto"/>
        <w:rPr>
          <w:sz w:val="20"/>
          <w:szCs w:val="20"/>
          <w:color w:val="auto"/>
        </w:rPr>
      </w:pPr>
      <w:r>
        <w:rPr>
          <w:rFonts w:ascii="Arial" w:cs="Arial" w:eastAsia="Arial" w:hAnsi="Arial"/>
          <w:sz w:val="18"/>
          <w:szCs w:val="18"/>
          <w:color w:val="auto"/>
        </w:rPr>
        <w:t>–Services signings growth, which reflects the year-over-year increase in estimated future revenues from contracts signed during the period as measured on a trailing 12 month basis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Services pipeline growth, which measures the year-over-year increase in new business opportunities</w:t>
      </w:r>
    </w:p>
    <w:p>
      <w:pPr>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Expanding the digital production printing market, as this is key to increasing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2984500" cy="33788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984500" cy="337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009CDA"/>
        </w:rPr>
        <w:t>Cash Generation</w:t>
      </w:r>
    </w:p>
    <w:p>
      <w:pPr>
        <w:spacing w:after="0" w:line="18" w:lineRule="exact"/>
        <w:rPr>
          <w:sz w:val="20"/>
          <w:szCs w:val="20"/>
          <w:color w:val="auto"/>
        </w:rPr>
      </w:pPr>
    </w:p>
    <w:p>
      <w:pPr>
        <w:ind w:right="320"/>
        <w:spacing w:after="0" w:line="299" w:lineRule="auto"/>
        <w:rPr>
          <w:sz w:val="20"/>
          <w:szCs w:val="20"/>
          <w:color w:val="auto"/>
        </w:rPr>
      </w:pPr>
      <w:r>
        <w:rPr>
          <w:rFonts w:ascii="Arial" w:cs="Arial" w:eastAsia="Arial" w:hAnsi="Arial"/>
          <w:sz w:val="16"/>
          <w:szCs w:val="16"/>
          <w:color w:val="auto"/>
        </w:rPr>
        <w:t>The combination of consistent strong cash flow from operations and modest capital investments enabled us in 2010 to pay down a significant amount of the debt associated with the ACS acquisition. Cash generation in the future will continue to provide a return to shareholders through:</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Buying back shares under our share repurchase program once debt leverage targets are met</w:t>
      </w:r>
    </w:p>
    <w:p>
      <w:pPr>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Expanding our distribution and business process outsourcing capabilities through acquisitions</w:t>
      </w:r>
    </w:p>
    <w:p>
      <w:pPr>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Maintaining and, over time, increasing our quarterly dividend.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009CDA"/>
        </w:rPr>
        <w:t>Expanded Earnings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We will expand our operating margin and future earnings through:</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Modest revenue growth</w:t>
      </w:r>
    </w:p>
    <w:p>
      <w:pPr>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Driving cost efficiencies to balance gross profit and expense</w:t>
      </w:r>
    </w:p>
    <w:p>
      <w:pPr>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Repurchasing shares</w:t>
      </w:r>
    </w:p>
    <w:p>
      <w:pPr>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Making accretive acquisitions.</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4"/>
          <w:szCs w:val="14"/>
          <w:color w:val="009CDA"/>
        </w:rPr>
        <w:t>Xerox 2010 Form 10-K 6</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009CDA"/>
        </w:rPr>
        <w:t>Segment Information</w:t>
      </w:r>
    </w:p>
    <w:p>
      <w:pPr>
        <w:spacing w:after="0" w:line="180"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Our reportable segments are Technology, Services and Other. We present operating segment financial information in Note 2 – Segment Reporting in the Consolidated Financial Statements, which we incorporate by reference here. We have a very broad and diverse base of customers by both geography and industry, ranging from SMB to graphic communications companies, governmental entities, educational institutions and Fortune 1000 corporate accounts. None of our business segments depends upon a single customer, or a few customers, the loss of which would have a material adverse effect on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2967355" cy="4202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967355" cy="4202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009CDA"/>
        </w:rPr>
        <w:t>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6089015" cy="8578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89015" cy="857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Arial" w:cs="Arial" w:eastAsia="Arial" w:hAnsi="Arial"/>
          <w:sz w:val="14"/>
          <w:szCs w:val="14"/>
          <w:color w:val="009CDA"/>
        </w:rPr>
        <w:t>Xerox 2010 Form 10-K 7</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2984500" cy="20669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984500" cy="206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right="920"/>
        <w:spacing w:after="0" w:line="299" w:lineRule="auto"/>
        <w:rPr>
          <w:sz w:val="20"/>
          <w:szCs w:val="20"/>
          <w:color w:val="auto"/>
        </w:rPr>
      </w:pPr>
      <w:r>
        <w:rPr>
          <w:rFonts w:ascii="Arial" w:cs="Arial" w:eastAsia="Arial" w:hAnsi="Arial"/>
          <w:sz w:val="16"/>
          <w:szCs w:val="16"/>
          <w:color w:val="auto"/>
        </w:rPr>
        <w:t>Technology includes the sale of products and supplies, as well as the associated technical service and financing of those products. The Technology segment is centered around strategic product groups that share common technology, manufacturing and product platforms.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2967355" cy="39706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967355" cy="3970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4"/>
          <w:szCs w:val="14"/>
          <w:color w:val="009CDA"/>
        </w:rPr>
        <w:t>Xerox 2010 Form 10-K 8</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Our strategic product groups are as follows:</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009CDA"/>
        </w:rPr>
        <w:t>Entry</w:t>
      </w:r>
    </w:p>
    <w:p>
      <w:pPr>
        <w:spacing w:after="0" w:line="269" w:lineRule="exact"/>
        <w:rPr>
          <w:sz w:val="20"/>
          <w:szCs w:val="20"/>
          <w:color w:val="auto"/>
        </w:rPr>
      </w:pPr>
    </w:p>
    <w:p>
      <w:pPr>
        <w:ind w:right="320"/>
        <w:spacing w:after="0" w:line="238" w:lineRule="auto"/>
        <w:rPr>
          <w:sz w:val="20"/>
          <w:szCs w:val="20"/>
          <w:color w:val="auto"/>
        </w:rPr>
      </w:pPr>
      <w:r>
        <w:rPr>
          <w:rFonts w:ascii="Arial" w:cs="Arial" w:eastAsia="Arial" w:hAnsi="Arial"/>
          <w:sz w:val="18"/>
          <w:szCs w:val="18"/>
          <w:color w:val="auto"/>
        </w:rPr>
        <w:t>Entry comprises products sold principally to small and mid-size businesses through a worldwide network of independent resellers, and includes desktop monochrome and color printers and multifunction printers (MFPs) ranging from small personal devices to larger workgroup printers designed to serve the needs of demanding office users. In 2010, we continued to build on our position in the market by: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Leveraging the market transition from larger centralized devices to more-affordable desktop-centric devices with a full portfolio of products</w:t>
      </w:r>
    </w:p>
    <w:p>
      <w:pPr>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Making high-quality desktop color more affordable and easier to use for small businesses and large enterprises alike</w:t>
      </w:r>
    </w:p>
    <w:p>
      <w:pPr>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Expanding our channel reach, partner programs and capacity to support the needs of the SMB market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Our Entry business products include:</w:t>
      </w:r>
    </w:p>
    <w:p>
      <w:pPr>
        <w:spacing w:after="0" w:line="176" w:lineRule="exact"/>
        <w:rPr>
          <w:sz w:val="20"/>
          <w:szCs w:val="20"/>
          <w:color w:val="auto"/>
        </w:rPr>
      </w:pPr>
    </w:p>
    <w:p>
      <w:pPr>
        <w:ind w:left="460" w:right="80" w:hanging="446"/>
        <w:spacing w:after="0" w:line="243" w:lineRule="auto"/>
        <w:rPr>
          <w:sz w:val="20"/>
          <w:szCs w:val="20"/>
          <w:color w:val="auto"/>
        </w:rPr>
      </w:pPr>
      <w:r>
        <w:rPr>
          <w:rFonts w:ascii="Arial" w:cs="Arial" w:eastAsia="Arial" w:hAnsi="Arial"/>
          <w:sz w:val="18"/>
          <w:szCs w:val="18"/>
          <w:b w:val="1"/>
          <w:bCs w:val="1"/>
          <w:color w:val="009CDA"/>
        </w:rPr>
        <w:t xml:space="preserve">–ColorQube 8570/8870: </w:t>
      </w:r>
      <w:r>
        <w:rPr>
          <w:rFonts w:ascii="Arial" w:cs="Arial" w:eastAsia="Arial" w:hAnsi="Arial"/>
          <w:sz w:val="18"/>
          <w:szCs w:val="18"/>
          <w:color w:val="000000"/>
        </w:rPr>
        <w:t>Featuring advanced cartridge-free solid ink, the ColorQube 8570 and ColorQube 8870 color printers are powerful,</w:t>
      </w:r>
      <w:r>
        <w:rPr>
          <w:rFonts w:ascii="Arial" w:cs="Arial" w:eastAsia="Arial" w:hAnsi="Arial"/>
          <w:sz w:val="18"/>
          <w:szCs w:val="18"/>
          <w:b w:val="1"/>
          <w:bCs w:val="1"/>
          <w:color w:val="009CDA"/>
        </w:rPr>
        <w:t xml:space="preserve"> </w:t>
      </w:r>
      <w:r>
        <w:rPr>
          <w:rFonts w:ascii="Arial" w:cs="Arial" w:eastAsia="Arial" w:hAnsi="Arial"/>
          <w:sz w:val="18"/>
          <w:szCs w:val="18"/>
          <w:color w:val="000000"/>
        </w:rPr>
        <w:t>no-fuss and waste-conscious printing solutions that are simple, highly productive and affordable, with the advantage of superior color output. At 40 pages-per-minute (“ppm”), these products are perfect for small to mid-size workgroups.</w:t>
      </w:r>
    </w:p>
    <w:p>
      <w:pPr>
        <w:spacing w:after="0" w:line="1" w:lineRule="exact"/>
        <w:rPr>
          <w:sz w:val="20"/>
          <w:szCs w:val="20"/>
          <w:color w:val="auto"/>
        </w:rPr>
      </w:pPr>
    </w:p>
    <w:p>
      <w:pPr>
        <w:ind w:left="460" w:right="380" w:hanging="446"/>
        <w:spacing w:after="0" w:line="264" w:lineRule="auto"/>
        <w:rPr>
          <w:sz w:val="20"/>
          <w:szCs w:val="20"/>
          <w:color w:val="auto"/>
        </w:rPr>
      </w:pPr>
      <w:r>
        <w:rPr>
          <w:rFonts w:ascii="Arial" w:cs="Arial" w:eastAsia="Arial" w:hAnsi="Arial"/>
          <w:sz w:val="18"/>
          <w:szCs w:val="18"/>
          <w:b w:val="1"/>
          <w:bCs w:val="1"/>
          <w:color w:val="009CDA"/>
        </w:rPr>
        <w:t>–</w:t>
      </w:r>
      <w:r>
        <w:rPr>
          <w:rFonts w:ascii="Arial" w:cs="Arial" w:eastAsia="Arial" w:hAnsi="Arial"/>
          <w:sz w:val="16"/>
          <w:szCs w:val="16"/>
          <w:b w:val="1"/>
          <w:bCs w:val="1"/>
          <w:color w:val="009CDA"/>
        </w:rPr>
        <w:t xml:space="preserve">Phaser 7500: </w:t>
      </w:r>
      <w:r>
        <w:rPr>
          <w:rFonts w:ascii="Arial" w:cs="Arial" w:eastAsia="Arial" w:hAnsi="Arial"/>
          <w:sz w:val="16"/>
          <w:szCs w:val="16"/>
          <w:color w:val="000000"/>
        </w:rPr>
        <w:t>This 35 ppm color laser printer allows small and mid-size workgroups to attain professional-quality results. Key features</w:t>
      </w:r>
      <w:r>
        <w:rPr>
          <w:rFonts w:ascii="Arial" w:cs="Arial" w:eastAsia="Arial" w:hAnsi="Arial"/>
          <w:sz w:val="16"/>
          <w:szCs w:val="16"/>
          <w:b w:val="1"/>
          <w:bCs w:val="1"/>
          <w:color w:val="009CDA"/>
        </w:rPr>
        <w:t xml:space="preserve"> </w:t>
      </w:r>
      <w:r>
        <w:rPr>
          <w:rFonts w:ascii="Arial" w:cs="Arial" w:eastAsia="Arial" w:hAnsi="Arial"/>
          <w:sz w:val="16"/>
          <w:szCs w:val="16"/>
          <w:color w:val="000000"/>
        </w:rPr>
        <w:t>include improved print quality as a function of 1200 dpi, new “Color by Words” Xerox technology, a natural language technology enabling easy and intuitive color adjustments, enhanced media handling capabilities and longer lives on customer replaceable parts.</w:t>
      </w:r>
    </w:p>
    <w:p>
      <w:pPr>
        <w:ind w:left="460" w:right="20" w:hanging="446"/>
        <w:spacing w:after="0" w:line="238" w:lineRule="auto"/>
        <w:rPr>
          <w:sz w:val="20"/>
          <w:szCs w:val="20"/>
          <w:color w:val="auto"/>
        </w:rPr>
      </w:pPr>
      <w:r>
        <w:rPr>
          <w:rFonts w:ascii="Arial" w:cs="Arial" w:eastAsia="Arial" w:hAnsi="Arial"/>
          <w:sz w:val="18"/>
          <w:szCs w:val="18"/>
          <w:b w:val="1"/>
          <w:bCs w:val="1"/>
          <w:color w:val="009CDA"/>
        </w:rPr>
        <w:t xml:space="preserve">–WorkCentre 6400: </w:t>
      </w:r>
      <w:r>
        <w:rPr>
          <w:rFonts w:ascii="Arial" w:cs="Arial" w:eastAsia="Arial" w:hAnsi="Arial"/>
          <w:sz w:val="18"/>
          <w:szCs w:val="18"/>
          <w:color w:val="000000"/>
        </w:rPr>
        <w:t>The WC6400 is Xerox’s first desktop multifunction printer that utilizes Xerox’s Smart Controller platform and supports EIP,</w:t>
      </w:r>
      <w:r>
        <w:rPr>
          <w:rFonts w:ascii="Arial" w:cs="Arial" w:eastAsia="Arial" w:hAnsi="Arial"/>
          <w:sz w:val="18"/>
          <w:szCs w:val="18"/>
          <w:b w:val="1"/>
          <w:bCs w:val="1"/>
          <w:color w:val="009CDA"/>
        </w:rPr>
        <w:t xml:space="preserve"> </w:t>
      </w:r>
      <w:r>
        <w:rPr>
          <w:rFonts w:ascii="Arial" w:cs="Arial" w:eastAsia="Arial" w:hAnsi="Arial"/>
          <w:sz w:val="18"/>
          <w:szCs w:val="18"/>
          <w:color w:val="000000"/>
        </w:rPr>
        <w:t>Xerox’s open platform allowing customization of applications on the MFP. The WorkCentre 6400 is also able to handle busy volumes with print speeds up to 32 ppm color/37 ppm mono and offers basic finishing, Print Around and ID Card Copy.</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009CDA"/>
        </w:rPr>
        <w:t>Mid-range</w:t>
      </w:r>
    </w:p>
    <w:p>
      <w:pPr>
        <w:spacing w:after="0" w:line="188"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Mid-range comprises products sold to enterprises of all sizes, principally through dedicated Xerox-branded partners and our direct sales force. We offer a wide range of multifunction printers, copiers, digital printing presses and light production devices that deliver flexibility and advanced features.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In 2010, our Mid-range business continued to build on our position in the market by:</w:t>
      </w:r>
    </w:p>
    <w:p>
      <w:pPr>
        <w:spacing w:after="0" w:line="198" w:lineRule="exact"/>
        <w:rPr>
          <w:sz w:val="20"/>
          <w:szCs w:val="20"/>
          <w:color w:val="auto"/>
        </w:rPr>
      </w:pPr>
    </w:p>
    <w:p>
      <w:pPr>
        <w:ind w:left="460" w:right="260" w:hanging="446"/>
        <w:spacing w:after="0" w:line="234" w:lineRule="auto"/>
        <w:rPr>
          <w:sz w:val="20"/>
          <w:szCs w:val="20"/>
          <w:color w:val="auto"/>
        </w:rPr>
      </w:pPr>
      <w:r>
        <w:rPr>
          <w:rFonts w:ascii="Arial" w:cs="Arial" w:eastAsia="Arial" w:hAnsi="Arial"/>
          <w:sz w:val="18"/>
          <w:szCs w:val="18"/>
          <w:color w:val="auto"/>
        </w:rPr>
        <w:t>–Enhancing our already strong product portfolio, making color more affordable, easier to use, faster and more reliable while maintaining our leadership position in black-and-white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Driving to a leadership position in the combined color page printer and color MFP market segments</w:t>
      </w:r>
    </w:p>
    <w:p>
      <w:pPr>
        <w:ind w:left="460" w:right="220" w:hanging="446"/>
        <w:spacing w:after="0" w:line="239" w:lineRule="auto"/>
        <w:rPr>
          <w:sz w:val="20"/>
          <w:szCs w:val="20"/>
          <w:color w:val="auto"/>
        </w:rPr>
      </w:pPr>
      <w:r>
        <w:rPr>
          <w:rFonts w:ascii="Arial" w:cs="Arial" w:eastAsia="Arial" w:hAnsi="Arial"/>
          <w:sz w:val="18"/>
          <w:szCs w:val="18"/>
          <w:color w:val="auto"/>
        </w:rPr>
        <w:t>–Offering a complete range of services and solutions in partnership with independent software partners that allow our customers to analyze, streamline, automate, secure and track their document workflows.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breadth of our Mid-range product portfolio is unmatched. We continued to build on this portfolio in 2010 with the launches of:</w:t>
      </w:r>
    </w:p>
    <w:p>
      <w:pPr>
        <w:spacing w:after="0" w:line="176" w:lineRule="exact"/>
        <w:rPr>
          <w:sz w:val="20"/>
          <w:szCs w:val="20"/>
          <w:color w:val="auto"/>
        </w:rPr>
      </w:pPr>
    </w:p>
    <w:p>
      <w:pPr>
        <w:ind w:left="460" w:right="20" w:hanging="446"/>
        <w:spacing w:after="0" w:line="243" w:lineRule="auto"/>
        <w:rPr>
          <w:sz w:val="20"/>
          <w:szCs w:val="20"/>
          <w:color w:val="auto"/>
        </w:rPr>
      </w:pPr>
      <w:r>
        <w:rPr>
          <w:rFonts w:ascii="Arial" w:cs="Arial" w:eastAsia="Arial" w:hAnsi="Arial"/>
          <w:sz w:val="18"/>
          <w:szCs w:val="18"/>
          <w:b w:val="1"/>
          <w:bCs w:val="1"/>
          <w:color w:val="009CDA"/>
        </w:rPr>
        <w:t xml:space="preserve">–Xerox WorkCentre 7120: </w:t>
      </w:r>
      <w:r>
        <w:rPr>
          <w:rFonts w:ascii="Arial" w:cs="Arial" w:eastAsia="Arial" w:hAnsi="Arial"/>
          <w:sz w:val="18"/>
          <w:szCs w:val="18"/>
          <w:color w:val="000000"/>
        </w:rPr>
        <w:t>Xerox’s new multifunction printer combines affordable color with high-productivity workflow tools. Today’s MFPs do</w:t>
      </w:r>
      <w:r>
        <w:rPr>
          <w:rFonts w:ascii="Arial" w:cs="Arial" w:eastAsia="Arial" w:hAnsi="Arial"/>
          <w:sz w:val="18"/>
          <w:szCs w:val="18"/>
          <w:b w:val="1"/>
          <w:bCs w:val="1"/>
          <w:color w:val="009CDA"/>
        </w:rPr>
        <w:t xml:space="preserve"> </w:t>
      </w:r>
      <w:r>
        <w:rPr>
          <w:rFonts w:ascii="Arial" w:cs="Arial" w:eastAsia="Arial" w:hAnsi="Arial"/>
          <w:sz w:val="18"/>
          <w:szCs w:val="18"/>
          <w:color w:val="000000"/>
        </w:rPr>
        <w:t>far more than copy and print – they improve the way work gets done; the WorkCentre 7120 helps SMBs maximize office productivity and produce affordable, impactful color documents.</w:t>
      </w:r>
    </w:p>
    <w:p>
      <w:pPr>
        <w:spacing w:after="0" w:line="1" w:lineRule="exact"/>
        <w:rPr>
          <w:sz w:val="20"/>
          <w:szCs w:val="20"/>
          <w:color w:val="auto"/>
        </w:rPr>
      </w:pPr>
    </w:p>
    <w:p>
      <w:pPr>
        <w:ind w:left="460" w:right="40" w:hanging="446"/>
        <w:spacing w:after="0" w:line="237" w:lineRule="auto"/>
        <w:rPr>
          <w:sz w:val="20"/>
          <w:szCs w:val="20"/>
          <w:color w:val="auto"/>
        </w:rPr>
      </w:pPr>
      <w:r>
        <w:rPr>
          <w:rFonts w:ascii="Arial" w:cs="Arial" w:eastAsia="Arial" w:hAnsi="Arial"/>
          <w:sz w:val="18"/>
          <w:szCs w:val="18"/>
          <w:b w:val="1"/>
          <w:bCs w:val="1"/>
          <w:color w:val="009CDA"/>
        </w:rPr>
        <w:t xml:space="preserve">–WorkCentre 7545 and 7556: </w:t>
      </w:r>
      <w:r>
        <w:rPr>
          <w:rFonts w:ascii="Arial" w:cs="Arial" w:eastAsia="Arial" w:hAnsi="Arial"/>
          <w:sz w:val="18"/>
          <w:szCs w:val="18"/>
          <w:color w:val="000000"/>
        </w:rPr>
        <w:t>These new multifunction printers are equipped with features to help mid-size businesses and large workgroups</w:t>
      </w:r>
      <w:r>
        <w:rPr>
          <w:rFonts w:ascii="Arial" w:cs="Arial" w:eastAsia="Arial" w:hAnsi="Arial"/>
          <w:sz w:val="18"/>
          <w:szCs w:val="18"/>
          <w:b w:val="1"/>
          <w:bCs w:val="1"/>
          <w:color w:val="009CDA"/>
        </w:rPr>
        <w:t xml:space="preserve"> </w:t>
      </w:r>
      <w:r>
        <w:rPr>
          <w:rFonts w:ascii="Arial" w:cs="Arial" w:eastAsia="Arial" w:hAnsi="Arial"/>
          <w:sz w:val="18"/>
          <w:szCs w:val="18"/>
          <w:color w:val="000000"/>
        </w:rPr>
        <w:t>boost productivity and meet their sustainability goals. They offer speeds up to 45 and 50 ppm color and 45 and 55 ppm black-and-white, respectively. The MFPs, which can copy, scan, fax and email, include advanced document management and workflow tools to make office work easier.</w:t>
      </w:r>
    </w:p>
    <w:p>
      <w:pPr>
        <w:spacing w:after="0" w:line="137" w:lineRule="exact"/>
        <w:rPr>
          <w:sz w:val="20"/>
          <w:szCs w:val="20"/>
          <w:color w:val="auto"/>
        </w:rPr>
      </w:pPr>
    </w:p>
    <w:p>
      <w:pPr>
        <w:jc w:val="right"/>
        <w:spacing w:after="0"/>
        <w:rPr>
          <w:sz w:val="20"/>
          <w:szCs w:val="20"/>
          <w:color w:val="auto"/>
        </w:rPr>
      </w:pPr>
      <w:r>
        <w:rPr>
          <w:rFonts w:ascii="Arial" w:cs="Arial" w:eastAsia="Arial" w:hAnsi="Arial"/>
          <w:sz w:val="14"/>
          <w:szCs w:val="14"/>
          <w:color w:val="009CDA"/>
        </w:rPr>
        <w:t>Xerox 2010 Form 10-K 9</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60" w:right="120" w:hanging="446"/>
        <w:spacing w:after="0" w:line="244" w:lineRule="auto"/>
        <w:rPr>
          <w:sz w:val="20"/>
          <w:szCs w:val="20"/>
          <w:color w:val="auto"/>
        </w:rPr>
      </w:pPr>
      <w:r>
        <w:rPr>
          <w:rFonts w:ascii="Arial" w:cs="Arial" w:eastAsia="Arial" w:hAnsi="Arial"/>
          <w:sz w:val="18"/>
          <w:szCs w:val="18"/>
          <w:b w:val="1"/>
          <w:bCs w:val="1"/>
          <w:color w:val="009CDA"/>
        </w:rPr>
        <w:t xml:space="preserve">–Xerox Color 550/560 Digital Color Printer: </w:t>
      </w:r>
      <w:r>
        <w:rPr>
          <w:rFonts w:ascii="Arial" w:cs="Arial" w:eastAsia="Arial" w:hAnsi="Arial"/>
          <w:sz w:val="18"/>
          <w:szCs w:val="18"/>
          <w:color w:val="000000"/>
        </w:rPr>
        <w:t>The new Xerox Color 550/560 printer, with an easy-to-use color touch-screen, benchmark</w:t>
      </w:r>
      <w:r>
        <w:rPr>
          <w:rFonts w:ascii="Arial" w:cs="Arial" w:eastAsia="Arial" w:hAnsi="Arial"/>
          <w:sz w:val="18"/>
          <w:szCs w:val="18"/>
          <w:b w:val="1"/>
          <w:bCs w:val="1"/>
          <w:color w:val="009CDA"/>
        </w:rPr>
        <w:t xml:space="preserve"> </w:t>
      </w:r>
      <w:r>
        <w:rPr>
          <w:rFonts w:ascii="Arial" w:cs="Arial" w:eastAsia="Arial" w:hAnsi="Arial"/>
          <w:sz w:val="18"/>
          <w:szCs w:val="18"/>
          <w:color w:val="000000"/>
        </w:rPr>
        <w:t>image quality and flexible finishing options, is an efficient choice for quick-print shops, small commercial printers, in-plant operations, advertising agencies, creative shops and office settings. It is the perfect fit in any print setting for applications ranging from marketing pieces to office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6089015" cy="34220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89015" cy="3422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color w:val="009CDA"/>
        </w:rPr>
        <w:t>High-end</w:t>
      </w:r>
    </w:p>
    <w:p>
      <w:pPr>
        <w:spacing w:after="0" w:line="188"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We provide High-end digital monochrome and color systems designed for customers in the graphic communications industry and for large enterprises. These High-end devices enable digital on-demand printing, digital full-color printing and enterprise printing. We are the leading provider in the market offering a complete family of monochrome and color production systems, business development tools and workflow solutions. We are creating new market opportunities in targeted application areas with digital printing as a complement to traditional offset printing.</w:t>
      </w:r>
    </w:p>
    <w:p>
      <w:pPr>
        <w:spacing w:after="0" w:line="48"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For more than two decades, we have delivered innovative technologies that have revolutionized the production printing industry. We are the industry leader in the number of pages produced on digital production color presses. We continued to build on our award-winning lineup in 2010 with the launches of:</w:t>
      </w:r>
    </w:p>
    <w:p>
      <w:pPr>
        <w:spacing w:after="0" w:line="51" w:lineRule="exact"/>
        <w:rPr>
          <w:sz w:val="20"/>
          <w:szCs w:val="20"/>
          <w:color w:val="auto"/>
        </w:rPr>
      </w:pPr>
    </w:p>
    <w:p>
      <w:pPr>
        <w:ind w:left="460" w:right="20" w:hanging="446"/>
        <w:spacing w:after="0" w:line="242" w:lineRule="auto"/>
        <w:rPr>
          <w:sz w:val="20"/>
          <w:szCs w:val="20"/>
          <w:color w:val="auto"/>
        </w:rPr>
      </w:pPr>
      <w:r>
        <w:rPr>
          <w:rFonts w:ascii="Arial" w:cs="Arial" w:eastAsia="Arial" w:hAnsi="Arial"/>
          <w:sz w:val="18"/>
          <w:szCs w:val="18"/>
          <w:b w:val="1"/>
          <w:bCs w:val="1"/>
          <w:color w:val="009CDA"/>
        </w:rPr>
        <w:t xml:space="preserve">–Xerox Color Press 800 and 1000: </w:t>
      </w:r>
      <w:r>
        <w:rPr>
          <w:rFonts w:ascii="Arial" w:cs="Arial" w:eastAsia="Arial" w:hAnsi="Arial"/>
          <w:sz w:val="18"/>
          <w:szCs w:val="18"/>
          <w:color w:val="000000"/>
        </w:rPr>
        <w:t>These new products are additions to the portfolio and are positioned below iGen4, and above the</w:t>
      </w:r>
      <w:r>
        <w:rPr>
          <w:rFonts w:ascii="Arial" w:cs="Arial" w:eastAsia="Arial" w:hAnsi="Arial"/>
          <w:sz w:val="18"/>
          <w:szCs w:val="18"/>
          <w:b w:val="1"/>
          <w:bCs w:val="1"/>
          <w:color w:val="009CDA"/>
        </w:rPr>
        <w:t xml:space="preserve"> </w:t>
      </w:r>
      <w:r>
        <w:rPr>
          <w:rFonts w:ascii="Arial" w:cs="Arial" w:eastAsia="Arial" w:hAnsi="Arial"/>
          <w:sz w:val="18"/>
          <w:szCs w:val="18"/>
          <w:color w:val="000000"/>
        </w:rPr>
        <w:t>DocuColor 8002. They offer customers a set of new innovative features. The optional fifth housing for clear dry ink allows users to create new applications and/or add value to existing work. The clear dry ink allows for images and text to be highlighted for visual impact, or digital watermarks applied for artistic effect. Flexible finishing options include high-capacity stackers, booklet makers and a tape bind option exclusive to Xerox</w:t>
      </w:r>
    </w:p>
    <w:p>
      <w:pPr>
        <w:spacing w:after="0" w:line="171" w:lineRule="exact"/>
        <w:rPr>
          <w:sz w:val="20"/>
          <w:szCs w:val="20"/>
          <w:color w:val="auto"/>
        </w:rPr>
      </w:pPr>
    </w:p>
    <w:p>
      <w:pPr>
        <w:ind w:left="460" w:right="40" w:hanging="446"/>
        <w:spacing w:after="0"/>
        <w:rPr>
          <w:sz w:val="20"/>
          <w:szCs w:val="20"/>
          <w:color w:val="auto"/>
        </w:rPr>
      </w:pPr>
      <w:r>
        <w:rPr>
          <w:rFonts w:ascii="Arial" w:cs="Arial" w:eastAsia="Arial" w:hAnsi="Arial"/>
          <w:sz w:val="18"/>
          <w:szCs w:val="18"/>
          <w:b w:val="1"/>
          <w:bCs w:val="1"/>
          <w:color w:val="009CDA"/>
        </w:rPr>
        <w:t xml:space="preserve">–Xerox iGen4 EXP: </w:t>
      </w:r>
      <w:r>
        <w:rPr>
          <w:rFonts w:ascii="Arial" w:cs="Arial" w:eastAsia="Arial" w:hAnsi="Arial"/>
          <w:sz w:val="18"/>
          <w:szCs w:val="18"/>
          <w:color w:val="000000"/>
        </w:rPr>
        <w:t>We added more capabilities to the flagship of the production color portfolio, iGen4. The industry’s most reliable and</w:t>
      </w:r>
      <w:r>
        <w:rPr>
          <w:rFonts w:ascii="Arial" w:cs="Arial" w:eastAsia="Arial" w:hAnsi="Arial"/>
          <w:sz w:val="18"/>
          <w:szCs w:val="18"/>
          <w:b w:val="1"/>
          <w:bCs w:val="1"/>
          <w:color w:val="009CDA"/>
        </w:rPr>
        <w:t xml:space="preserve"> </w:t>
      </w:r>
      <w:r>
        <w:rPr>
          <w:rFonts w:ascii="Arial" w:cs="Arial" w:eastAsia="Arial" w:hAnsi="Arial"/>
          <w:sz w:val="18"/>
          <w:szCs w:val="18"/>
          <w:color w:val="000000"/>
        </w:rPr>
        <w:t>productive press added a number of new options that expand the reach of iGen, enabling new applications that were previously done only on offset presses. The expanded sheet size of 26”, or 660mm, allows print providers to produce full-size trifold brochures and more multi-up images such as postcards and business cards per page. A new touchless workflow allows for jobs to be completed without manual intervention or setup, saving time, reducing errors and producing more-sellable prints. Integrating with the Adobe PDF print engine drives quick and reliable printing of native Adobe PDF files.</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4"/>
          <w:szCs w:val="14"/>
          <w:color w:val="009CDA"/>
        </w:rPr>
        <w:t>Xerox 2010 Form 10-K 10</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We are enabling print providers in graphic communications, service bureaus and large enterprises to profit and grow by meeting their customers’ specific business needs with just-in-time, one-to-one and e-based services – rather than simply manufacturing a printed piece.</w:t>
      </w:r>
    </w:p>
    <w:p>
      <w:pPr>
        <w:spacing w:after="0" w:line="133"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b w:val="1"/>
          <w:bCs w:val="1"/>
          <w:color w:val="009CDA"/>
        </w:rPr>
        <w:t xml:space="preserve">FreeFlow Digital Workflow: </w:t>
      </w:r>
      <w:r>
        <w:rPr>
          <w:rFonts w:ascii="Arial" w:cs="Arial" w:eastAsia="Arial" w:hAnsi="Arial"/>
          <w:sz w:val="18"/>
          <w:szCs w:val="18"/>
          <w:color w:val="000000"/>
        </w:rPr>
        <w:t>Our FreeFlow digital workflow is a collection of software technology solutions that our customers can use to improve</w:t>
      </w:r>
      <w:r>
        <w:rPr>
          <w:rFonts w:ascii="Arial" w:cs="Arial" w:eastAsia="Arial" w:hAnsi="Arial"/>
          <w:sz w:val="18"/>
          <w:szCs w:val="18"/>
          <w:b w:val="1"/>
          <w:bCs w:val="1"/>
          <w:color w:val="009CDA"/>
        </w:rPr>
        <w:t xml:space="preserve"> </w:t>
      </w:r>
      <w:r>
        <w:rPr>
          <w:rFonts w:ascii="Arial" w:cs="Arial" w:eastAsia="Arial" w:hAnsi="Arial"/>
          <w:sz w:val="18"/>
          <w:szCs w:val="18"/>
          <w:color w:val="000000"/>
        </w:rPr>
        <w:t>all aspects of their processes, from content creation and management to production and fulfillment. Our digital technology combined with total document solutions and services that enable personalization and printing on demand, delivers value that improves our customers’ business results.</w:t>
      </w:r>
    </w:p>
    <w:p>
      <w:pPr>
        <w:spacing w:after="0" w:line="153"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Through our industry-leading FreeFlow Digital Workflow collection and FreeFlow Print Server, we deliver three primary values to our customers - the ability to Connect, Control and Enable. Our solutions: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Connect our customers to their customers 24/7, enabling them to be open for business around the clock</w:t>
      </w:r>
    </w:p>
    <w:p>
      <w:pPr>
        <w:ind w:left="460" w:right="400" w:hanging="446"/>
        <w:spacing w:after="0" w:line="234" w:lineRule="auto"/>
        <w:rPr>
          <w:sz w:val="20"/>
          <w:szCs w:val="20"/>
          <w:color w:val="auto"/>
        </w:rPr>
      </w:pPr>
      <w:r>
        <w:rPr>
          <w:rFonts w:ascii="Arial" w:cs="Arial" w:eastAsia="Arial" w:hAnsi="Arial"/>
          <w:sz w:val="18"/>
          <w:szCs w:val="18"/>
          <w:color w:val="auto"/>
        </w:rPr>
        <w:t>–Control our customers’ costs, environmental impacts and security. Automated workflows provide extensive productivity gains and greatly increase document integrity by eliminating manual processes.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Enable new applications and revenue streams such as photo books, secure event tickets and packaging.</w:t>
      </w:r>
    </w:p>
    <w:p>
      <w:pPr>
        <w:spacing w:after="0" w:line="284" w:lineRule="exact"/>
        <w:rPr>
          <w:sz w:val="20"/>
          <w:szCs w:val="20"/>
          <w:color w:val="auto"/>
        </w:rPr>
      </w:pPr>
    </w:p>
    <w:p>
      <w:pPr>
        <w:spacing w:after="0"/>
        <w:rPr>
          <w:sz w:val="20"/>
          <w:szCs w:val="20"/>
          <w:color w:val="auto"/>
        </w:rPr>
      </w:pPr>
      <w:r>
        <w:rPr>
          <w:rFonts w:ascii="Arial" w:cs="Arial" w:eastAsia="Arial" w:hAnsi="Arial"/>
          <w:sz w:val="22"/>
          <w:szCs w:val="22"/>
          <w:b w:val="1"/>
          <w:bCs w:val="1"/>
          <w:color w:val="009CDA"/>
        </w:rPr>
        <w:t>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6089015" cy="29159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89015" cy="291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Our Services segment comprises three service offerings: Business Process Outsourcing (“BPO”), Document Outsourcing (“DO”) and Information Technology Outsourcing (“ITO”). We provide non-core, mission-critical services that our clients need to run their day-to-day business. The services we provide enable our clients to concentrate on their core operations, respond rapidly to changing technologies and reduce expenses associated with their business processes and information processing.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majority of our Services business is the result of our acquisition of ACS in February 2010.</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4"/>
          <w:szCs w:val="14"/>
          <w:color w:val="009CDA"/>
        </w:rPr>
        <w:t>Xerox 2010 Form 10-K 11</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2967355" cy="37134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967355" cy="3713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009CDA"/>
        </w:rPr>
        <w:t>Business Process Outsourcing</w:t>
      </w:r>
    </w:p>
    <w:p>
      <w:pPr>
        <w:spacing w:after="0" w:line="188"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We are the largest worldwide diversified business process outsourcing company, with focused offerings in education, transportation, communication, healthcare, government, finance and accounting services, manufacturing, consumer goods and retail. Our BPO service offerings are focused, transaction-intensive, back-office functions. Our BPO services include:</w:t>
      </w:r>
    </w:p>
    <w:p>
      <w:pPr>
        <w:spacing w:after="0" w:line="173" w:lineRule="exact"/>
        <w:rPr>
          <w:sz w:val="20"/>
          <w:szCs w:val="20"/>
          <w:color w:val="auto"/>
        </w:rPr>
      </w:pPr>
    </w:p>
    <w:p>
      <w:pPr>
        <w:ind w:left="460" w:right="60" w:hanging="446"/>
        <w:spacing w:after="0" w:line="247" w:lineRule="auto"/>
        <w:rPr>
          <w:sz w:val="20"/>
          <w:szCs w:val="20"/>
          <w:color w:val="auto"/>
        </w:rPr>
      </w:pPr>
      <w:r>
        <w:rPr>
          <w:rFonts w:ascii="Arial" w:cs="Arial" w:eastAsia="Arial" w:hAnsi="Arial"/>
          <w:sz w:val="18"/>
          <w:szCs w:val="18"/>
          <w:b w:val="1"/>
          <w:bCs w:val="1"/>
          <w:color w:val="009CDA"/>
        </w:rPr>
        <w:t xml:space="preserve">–Human Resources Services: </w:t>
      </w:r>
      <w:r>
        <w:rPr>
          <w:rFonts w:ascii="Arial" w:cs="Arial" w:eastAsia="Arial" w:hAnsi="Arial"/>
          <w:sz w:val="18"/>
          <w:szCs w:val="18"/>
          <w:color w:val="000000"/>
        </w:rPr>
        <w:t>We provide a comprehensive portfolio of human resources solutions that allow our clients to benefit from best</w:t>
      </w:r>
      <w:r>
        <w:rPr>
          <w:rFonts w:ascii="Arial" w:cs="Arial" w:eastAsia="Arial" w:hAnsi="Arial"/>
          <w:sz w:val="18"/>
          <w:szCs w:val="18"/>
          <w:b w:val="1"/>
          <w:bCs w:val="1"/>
          <w:color w:val="009CDA"/>
        </w:rPr>
        <w:t xml:space="preserve"> </w:t>
      </w:r>
      <w:r>
        <w:rPr>
          <w:rFonts w:ascii="Arial" w:cs="Arial" w:eastAsia="Arial" w:hAnsi="Arial"/>
          <w:sz w:val="18"/>
          <w:szCs w:val="18"/>
          <w:color w:val="000000"/>
        </w:rPr>
        <w:t>practices, our subject matter expertise, consulting and technological solutions. Our human resources services include:</w:t>
      </w:r>
    </w:p>
    <w:p>
      <w:pPr>
        <w:spacing w:after="0" w:line="1" w:lineRule="exact"/>
        <w:rPr>
          <w:sz w:val="20"/>
          <w:szCs w:val="20"/>
          <w:color w:val="auto"/>
        </w:rPr>
      </w:pPr>
    </w:p>
    <w:p>
      <w:pPr>
        <w:ind w:left="900" w:hanging="446"/>
        <w:spacing w:after="0" w:line="234"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HR consulting</w:t>
      </w:r>
    </w:p>
    <w:p>
      <w:pPr>
        <w:ind w:left="900" w:hanging="446"/>
        <w:spacing w:after="0" w:line="234"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HR Outsourcing</w:t>
      </w:r>
    </w:p>
    <w:p>
      <w:pPr>
        <w:ind w:left="900" w:hanging="446"/>
        <w:spacing w:after="0" w:line="234"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Total Benefits Outsourcing</w:t>
      </w:r>
    </w:p>
    <w:p>
      <w:pPr>
        <w:ind w:left="900" w:hanging="446"/>
        <w:spacing w:after="0"/>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Learning</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4"/>
          <w:szCs w:val="14"/>
          <w:color w:val="009CDA"/>
        </w:rPr>
        <w:t>Xerox 2010 Form 10-K 12</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60" w:right="80" w:hanging="446"/>
        <w:spacing w:after="0" w:line="247" w:lineRule="auto"/>
        <w:rPr>
          <w:sz w:val="20"/>
          <w:szCs w:val="20"/>
          <w:color w:val="auto"/>
        </w:rPr>
      </w:pPr>
      <w:r>
        <w:rPr>
          <w:rFonts w:ascii="Arial" w:cs="Arial" w:eastAsia="Arial" w:hAnsi="Arial"/>
          <w:sz w:val="18"/>
          <w:szCs w:val="18"/>
          <w:b w:val="1"/>
          <w:bCs w:val="1"/>
          <w:color w:val="009CDA"/>
        </w:rPr>
        <w:t xml:space="preserve">–Customer Care: </w:t>
      </w:r>
      <w:r>
        <w:rPr>
          <w:rFonts w:ascii="Arial" w:cs="Arial" w:eastAsia="Arial" w:hAnsi="Arial"/>
          <w:sz w:val="18"/>
          <w:szCs w:val="18"/>
          <w:color w:val="000000"/>
        </w:rPr>
        <w:t>One of our core values is delivering a positive customer care experience. We have years of experience providing customer</w:t>
      </w:r>
      <w:r>
        <w:rPr>
          <w:rFonts w:ascii="Arial" w:cs="Arial" w:eastAsia="Arial" w:hAnsi="Arial"/>
          <w:sz w:val="18"/>
          <w:szCs w:val="18"/>
          <w:b w:val="1"/>
          <w:bCs w:val="1"/>
          <w:color w:val="009CDA"/>
        </w:rPr>
        <w:t xml:space="preserve"> </w:t>
      </w:r>
      <w:r>
        <w:rPr>
          <w:rFonts w:ascii="Arial" w:cs="Arial" w:eastAsia="Arial" w:hAnsi="Arial"/>
          <w:sz w:val="18"/>
          <w:szCs w:val="18"/>
          <w:color w:val="000000"/>
        </w:rPr>
        <w:t>care outsourcing services that can improve productivity, efficiency and customer retention. Services include:</w:t>
      </w:r>
    </w:p>
    <w:p>
      <w:pPr>
        <w:spacing w:after="0" w:line="1" w:lineRule="exact"/>
        <w:rPr>
          <w:sz w:val="20"/>
          <w:szCs w:val="20"/>
          <w:color w:val="auto"/>
        </w:rPr>
      </w:pPr>
    </w:p>
    <w:p>
      <w:pPr>
        <w:ind w:left="900" w:hanging="446"/>
        <w:spacing w:after="0" w:line="234"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Strategic Advisory Services</w:t>
      </w:r>
    </w:p>
    <w:p>
      <w:pPr>
        <w:ind w:left="900" w:hanging="446"/>
        <w:spacing w:after="0" w:line="234"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Account Activations</w:t>
      </w:r>
    </w:p>
    <w:p>
      <w:pPr>
        <w:ind w:left="900" w:hanging="446"/>
        <w:spacing w:after="0" w:line="234"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Collections</w:t>
      </w:r>
    </w:p>
    <w:p>
      <w:pPr>
        <w:ind w:left="900" w:hanging="446"/>
        <w:spacing w:after="0"/>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Device/Technical Support</w:t>
      </w:r>
    </w:p>
    <w:p>
      <w:pPr>
        <w:spacing w:after="0" w:line="176" w:lineRule="exact"/>
        <w:rPr>
          <w:rFonts w:ascii="Arial" w:cs="Arial" w:eastAsia="Arial" w:hAnsi="Arial"/>
          <w:sz w:val="18"/>
          <w:szCs w:val="18"/>
          <w:color w:val="auto"/>
        </w:rPr>
      </w:pPr>
    </w:p>
    <w:p>
      <w:pPr>
        <w:ind w:left="460" w:right="80" w:hanging="446"/>
        <w:spacing w:after="0" w:line="247" w:lineRule="auto"/>
        <w:rPr>
          <w:rFonts w:ascii="Arial" w:cs="Arial" w:eastAsia="Arial" w:hAnsi="Arial"/>
          <w:sz w:val="18"/>
          <w:szCs w:val="18"/>
          <w:color w:val="auto"/>
        </w:rPr>
      </w:pPr>
      <w:r>
        <w:rPr>
          <w:rFonts w:ascii="Arial" w:cs="Arial" w:eastAsia="Arial" w:hAnsi="Arial"/>
          <w:sz w:val="18"/>
          <w:szCs w:val="18"/>
          <w:b w:val="1"/>
          <w:bCs w:val="1"/>
          <w:color w:val="009CDA"/>
        </w:rPr>
        <w:t xml:space="preserve">–Finance and Accounting Outsourcing: </w:t>
      </w:r>
      <w:r>
        <w:rPr>
          <w:rFonts w:ascii="Arial" w:cs="Arial" w:eastAsia="Arial" w:hAnsi="Arial"/>
          <w:sz w:val="18"/>
          <w:szCs w:val="18"/>
          <w:color w:val="000000"/>
        </w:rPr>
        <w:t>Our finance and accounting services allow our clients to benefit from our global delivery model and</w:t>
      </w:r>
      <w:r>
        <w:rPr>
          <w:rFonts w:ascii="Arial" w:cs="Arial" w:eastAsia="Arial" w:hAnsi="Arial"/>
          <w:sz w:val="18"/>
          <w:szCs w:val="18"/>
          <w:b w:val="1"/>
          <w:bCs w:val="1"/>
          <w:color w:val="009CDA"/>
        </w:rPr>
        <w:t xml:space="preserve"> </w:t>
      </w:r>
      <w:r>
        <w:rPr>
          <w:rFonts w:ascii="Arial" w:cs="Arial" w:eastAsia="Arial" w:hAnsi="Arial"/>
          <w:sz w:val="18"/>
          <w:szCs w:val="18"/>
          <w:color w:val="000000"/>
        </w:rPr>
        <w:t>our quality management systems, resulting in better accuracy and, timeliness, and reduced risk for our clients. Services include:</w:t>
      </w:r>
    </w:p>
    <w:p>
      <w:pPr>
        <w:spacing w:after="0" w:line="1" w:lineRule="exact"/>
        <w:rPr>
          <w:rFonts w:ascii="Arial" w:cs="Arial" w:eastAsia="Arial" w:hAnsi="Arial"/>
          <w:sz w:val="18"/>
          <w:szCs w:val="18"/>
          <w:color w:val="auto"/>
        </w:rPr>
      </w:pPr>
    </w:p>
    <w:p>
      <w:pPr>
        <w:ind w:left="900" w:hanging="446"/>
        <w:spacing w:after="0" w:line="234"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Accounts Payable, Accounts Receivable</w:t>
      </w:r>
    </w:p>
    <w:p>
      <w:pPr>
        <w:ind w:left="900" w:hanging="446"/>
        <w:spacing w:after="0" w:line="234"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Billing</w:t>
      </w:r>
    </w:p>
    <w:p>
      <w:pPr>
        <w:ind w:left="900" w:hanging="446"/>
        <w:spacing w:after="0" w:line="234"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General Accounting</w:t>
      </w:r>
    </w:p>
    <w:p>
      <w:pPr>
        <w:ind w:left="900" w:hanging="446"/>
        <w:spacing w:after="0" w:line="234"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Tax Management</w:t>
      </w:r>
    </w:p>
    <w:p>
      <w:pPr>
        <w:ind w:left="900" w:hanging="446"/>
        <w:spacing w:after="0" w:line="234"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Treasury and Risk Management</w:t>
      </w:r>
    </w:p>
    <w:p>
      <w:pPr>
        <w:ind w:left="900" w:hanging="446"/>
        <w:spacing w:after="0"/>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Time and Expense Reporting</w:t>
      </w:r>
    </w:p>
    <w:p>
      <w:pPr>
        <w:spacing w:after="0" w:line="176" w:lineRule="exact"/>
        <w:rPr>
          <w:rFonts w:ascii="Arial" w:cs="Arial" w:eastAsia="Arial" w:hAnsi="Arial"/>
          <w:sz w:val="18"/>
          <w:szCs w:val="18"/>
          <w:color w:val="auto"/>
        </w:rPr>
      </w:pPr>
    </w:p>
    <w:p>
      <w:pPr>
        <w:jc w:val="right"/>
        <w:ind w:left="460" w:right="340" w:hanging="446"/>
        <w:spacing w:after="0" w:line="278" w:lineRule="auto"/>
        <w:rPr>
          <w:rFonts w:ascii="Arial" w:cs="Arial" w:eastAsia="Arial" w:hAnsi="Arial"/>
          <w:sz w:val="18"/>
          <w:szCs w:val="18"/>
          <w:color w:val="auto"/>
        </w:rPr>
      </w:pPr>
      <w:r>
        <w:rPr>
          <w:rFonts w:ascii="Arial" w:cs="Arial" w:eastAsia="Arial" w:hAnsi="Arial"/>
          <w:sz w:val="18"/>
          <w:szCs w:val="18"/>
          <w:b w:val="1"/>
          <w:bCs w:val="1"/>
          <w:color w:val="009CDA"/>
        </w:rPr>
        <w:t>–</w:t>
      </w:r>
      <w:r>
        <w:rPr>
          <w:rFonts w:ascii="Arial" w:cs="Arial" w:eastAsia="Arial" w:hAnsi="Arial"/>
          <w:sz w:val="16"/>
          <w:szCs w:val="16"/>
          <w:b w:val="1"/>
          <w:bCs w:val="1"/>
          <w:color w:val="009CDA"/>
        </w:rPr>
        <w:t xml:space="preserve">Healthcare Payer and Insurance: </w:t>
      </w:r>
      <w:r>
        <w:rPr>
          <w:rFonts w:ascii="Arial" w:cs="Arial" w:eastAsia="Arial" w:hAnsi="Arial"/>
          <w:sz w:val="16"/>
          <w:szCs w:val="16"/>
          <w:color w:val="000000"/>
        </w:rPr>
        <w:t>We deliver administrative efficiencies to our healthcare payer clients through our scalable and flexible</w:t>
      </w:r>
      <w:r>
        <w:rPr>
          <w:rFonts w:ascii="Arial" w:cs="Arial" w:eastAsia="Arial" w:hAnsi="Arial"/>
          <w:sz w:val="16"/>
          <w:szCs w:val="16"/>
          <w:b w:val="1"/>
          <w:bCs w:val="1"/>
          <w:color w:val="009CDA"/>
        </w:rPr>
        <w:t xml:space="preserve"> </w:t>
      </w:r>
      <w:r>
        <w:rPr>
          <w:rFonts w:ascii="Arial" w:cs="Arial" w:eastAsia="Arial" w:hAnsi="Arial"/>
          <w:sz w:val="16"/>
          <w:szCs w:val="16"/>
          <w:color w:val="000000"/>
        </w:rPr>
        <w:t>transactional business solutions, which encompass both our global delivery model and domestic payer service centers. Services include:</w:t>
      </w:r>
    </w:p>
    <w:p>
      <w:pPr>
        <w:ind w:left="900" w:hanging="446"/>
        <w:spacing w:after="0" w:line="234"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Healthcare Payer Claim Processing</w:t>
      </w:r>
    </w:p>
    <w:p>
      <w:pPr>
        <w:ind w:left="900" w:hanging="446"/>
        <w:spacing w:after="0" w:line="234"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Healthcare Payer Customer Care</w:t>
      </w:r>
    </w:p>
    <w:p>
      <w:pPr>
        <w:ind w:left="900" w:hanging="446"/>
        <w:spacing w:after="0"/>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Cost Recovery, Audit, Cost Avoidance</w:t>
      </w:r>
    </w:p>
    <w:p>
      <w:pPr>
        <w:spacing w:after="0" w:line="176" w:lineRule="exact"/>
        <w:rPr>
          <w:rFonts w:ascii="Arial" w:cs="Arial" w:eastAsia="Arial" w:hAnsi="Arial"/>
          <w:sz w:val="18"/>
          <w:szCs w:val="18"/>
          <w:color w:val="auto"/>
        </w:rPr>
      </w:pPr>
    </w:p>
    <w:p>
      <w:pPr>
        <w:ind w:left="460" w:right="300" w:hanging="446"/>
        <w:spacing w:after="0" w:line="247" w:lineRule="auto"/>
        <w:rPr>
          <w:rFonts w:ascii="Arial" w:cs="Arial" w:eastAsia="Arial" w:hAnsi="Arial"/>
          <w:sz w:val="18"/>
          <w:szCs w:val="18"/>
          <w:color w:val="auto"/>
        </w:rPr>
      </w:pPr>
      <w:r>
        <w:rPr>
          <w:rFonts w:ascii="Arial" w:cs="Arial" w:eastAsia="Arial" w:hAnsi="Arial"/>
          <w:sz w:val="18"/>
          <w:szCs w:val="18"/>
          <w:b w:val="1"/>
          <w:bCs w:val="1"/>
          <w:color w:val="009CDA"/>
        </w:rPr>
        <w:t xml:space="preserve">–Healthcare Provider: </w:t>
      </w:r>
      <w:r>
        <w:rPr>
          <w:rFonts w:ascii="Arial" w:cs="Arial" w:eastAsia="Arial" w:hAnsi="Arial"/>
          <w:sz w:val="18"/>
          <w:szCs w:val="18"/>
          <w:color w:val="000000"/>
        </w:rPr>
        <w:t>Our healthcare provider business offers services and solutions to meet the critical financial, operational and clinical</w:t>
      </w:r>
      <w:r>
        <w:rPr>
          <w:rFonts w:ascii="Arial" w:cs="Arial" w:eastAsia="Arial" w:hAnsi="Arial"/>
          <w:sz w:val="18"/>
          <w:szCs w:val="18"/>
          <w:b w:val="1"/>
          <w:bCs w:val="1"/>
          <w:color w:val="009CDA"/>
        </w:rPr>
        <w:t xml:space="preserve"> </w:t>
      </w:r>
      <w:r>
        <w:rPr>
          <w:rFonts w:ascii="Arial" w:cs="Arial" w:eastAsia="Arial" w:hAnsi="Arial"/>
          <w:sz w:val="18"/>
          <w:szCs w:val="18"/>
          <w:color w:val="000000"/>
        </w:rPr>
        <w:t>needs of the healthcare provider industry. We offer a full range of services, including:</w:t>
      </w:r>
    </w:p>
    <w:p>
      <w:pPr>
        <w:spacing w:after="0" w:line="1" w:lineRule="exact"/>
        <w:rPr>
          <w:rFonts w:ascii="Arial" w:cs="Arial" w:eastAsia="Arial" w:hAnsi="Arial"/>
          <w:sz w:val="18"/>
          <w:szCs w:val="18"/>
          <w:color w:val="auto"/>
        </w:rPr>
      </w:pPr>
    </w:p>
    <w:p>
      <w:pPr>
        <w:ind w:left="900" w:hanging="446"/>
        <w:spacing w:after="0" w:line="234"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Consulting Solutions</w:t>
      </w:r>
    </w:p>
    <w:p>
      <w:pPr>
        <w:ind w:left="900" w:hanging="446"/>
        <w:spacing w:after="0" w:line="234"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Revenue Cycle Management</w:t>
      </w:r>
    </w:p>
    <w:p>
      <w:pPr>
        <w:ind w:left="900" w:hanging="446"/>
        <w:spacing w:after="0"/>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Application Services</w:t>
      </w:r>
    </w:p>
    <w:p>
      <w:pPr>
        <w:spacing w:after="0" w:line="176" w:lineRule="exact"/>
        <w:rPr>
          <w:rFonts w:ascii="Arial" w:cs="Arial" w:eastAsia="Arial" w:hAnsi="Arial"/>
          <w:sz w:val="18"/>
          <w:szCs w:val="18"/>
          <w:color w:val="auto"/>
        </w:rPr>
      </w:pPr>
    </w:p>
    <w:p>
      <w:pPr>
        <w:ind w:left="460" w:right="140" w:hanging="446"/>
        <w:spacing w:after="0" w:line="243" w:lineRule="auto"/>
        <w:rPr>
          <w:rFonts w:ascii="Arial" w:cs="Arial" w:eastAsia="Arial" w:hAnsi="Arial"/>
          <w:sz w:val="18"/>
          <w:szCs w:val="18"/>
          <w:color w:val="auto"/>
        </w:rPr>
      </w:pPr>
      <w:r>
        <w:rPr>
          <w:rFonts w:ascii="Arial" w:cs="Arial" w:eastAsia="Arial" w:hAnsi="Arial"/>
          <w:sz w:val="18"/>
          <w:szCs w:val="18"/>
          <w:b w:val="1"/>
          <w:bCs w:val="1"/>
          <w:color w:val="009CDA"/>
        </w:rPr>
        <w:t xml:space="preserve">–Government Services and Solutions: </w:t>
      </w:r>
      <w:r>
        <w:rPr>
          <w:rFonts w:ascii="Arial" w:cs="Arial" w:eastAsia="Arial" w:hAnsi="Arial"/>
          <w:sz w:val="18"/>
          <w:szCs w:val="18"/>
          <w:color w:val="000000"/>
        </w:rPr>
        <w:t>We help federal, state and local government agencies by providing services that improve their</w:t>
      </w:r>
      <w:r>
        <w:rPr>
          <w:rFonts w:ascii="Arial" w:cs="Arial" w:eastAsia="Arial" w:hAnsi="Arial"/>
          <w:sz w:val="18"/>
          <w:szCs w:val="18"/>
          <w:b w:val="1"/>
          <w:bCs w:val="1"/>
          <w:color w:val="009CDA"/>
        </w:rPr>
        <w:t xml:space="preserve"> </w:t>
      </w:r>
      <w:r>
        <w:rPr>
          <w:rFonts w:ascii="Arial" w:cs="Arial" w:eastAsia="Arial" w:hAnsi="Arial"/>
          <w:sz w:val="18"/>
          <w:szCs w:val="18"/>
          <w:color w:val="000000"/>
        </w:rPr>
        <w:t>operating efficiency, increase the level of service provided to their constituents, increase their revenue streams and reduce overall operating costs of service delivery. Our service offerings include:</w:t>
      </w:r>
    </w:p>
    <w:p>
      <w:pPr>
        <w:spacing w:after="0" w:line="1" w:lineRule="exact"/>
        <w:rPr>
          <w:rFonts w:ascii="Arial" w:cs="Arial" w:eastAsia="Arial" w:hAnsi="Arial"/>
          <w:sz w:val="18"/>
          <w:szCs w:val="18"/>
          <w:color w:val="auto"/>
        </w:rPr>
      </w:pPr>
    </w:p>
    <w:p>
      <w:pPr>
        <w:ind w:left="900" w:hanging="446"/>
        <w:spacing w:after="0" w:line="234"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Child Support Payment Processing</w:t>
      </w:r>
    </w:p>
    <w:p>
      <w:pPr>
        <w:ind w:left="900" w:hanging="446"/>
        <w:spacing w:after="0" w:line="234"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Electronic Benefits Transfer</w:t>
      </w:r>
    </w:p>
    <w:p>
      <w:pPr>
        <w:ind w:left="900" w:hanging="446"/>
        <w:spacing w:after="0" w:line="234"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Student Loan Servicing</w:t>
      </w:r>
    </w:p>
    <w:p>
      <w:pPr>
        <w:ind w:left="900" w:hanging="446"/>
        <w:spacing w:after="0" w:line="234"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Government Records Management</w:t>
      </w:r>
    </w:p>
    <w:p>
      <w:pPr>
        <w:ind w:left="900" w:hanging="446"/>
        <w:spacing w:after="0"/>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Electronic Payment Cards</w:t>
      </w:r>
    </w:p>
    <w:p>
      <w:pPr>
        <w:spacing w:after="0" w:line="176" w:lineRule="exact"/>
        <w:rPr>
          <w:rFonts w:ascii="Arial" w:cs="Arial" w:eastAsia="Arial" w:hAnsi="Arial"/>
          <w:sz w:val="18"/>
          <w:szCs w:val="18"/>
          <w:color w:val="auto"/>
        </w:rPr>
      </w:pPr>
    </w:p>
    <w:p>
      <w:pPr>
        <w:ind w:left="460" w:right="80" w:hanging="446"/>
        <w:spacing w:after="0" w:line="243" w:lineRule="auto"/>
        <w:rPr>
          <w:rFonts w:ascii="Arial" w:cs="Arial" w:eastAsia="Arial" w:hAnsi="Arial"/>
          <w:sz w:val="18"/>
          <w:szCs w:val="18"/>
          <w:color w:val="auto"/>
        </w:rPr>
      </w:pPr>
      <w:r>
        <w:rPr>
          <w:rFonts w:ascii="Arial" w:cs="Arial" w:eastAsia="Arial" w:hAnsi="Arial"/>
          <w:sz w:val="18"/>
          <w:szCs w:val="18"/>
          <w:b w:val="1"/>
          <w:bCs w:val="1"/>
          <w:color w:val="009CDA"/>
        </w:rPr>
        <w:t xml:space="preserve">–Government Healthcare: </w:t>
      </w:r>
      <w:r>
        <w:rPr>
          <w:rFonts w:ascii="Arial" w:cs="Arial" w:eastAsia="Arial" w:hAnsi="Arial"/>
          <w:sz w:val="18"/>
          <w:szCs w:val="18"/>
          <w:color w:val="000000"/>
        </w:rPr>
        <w:t>We provide our state government clients with health program management solutions to help them administer their</w:t>
      </w:r>
      <w:r>
        <w:rPr>
          <w:rFonts w:ascii="Arial" w:cs="Arial" w:eastAsia="Arial" w:hAnsi="Arial"/>
          <w:sz w:val="18"/>
          <w:szCs w:val="18"/>
          <w:b w:val="1"/>
          <w:bCs w:val="1"/>
          <w:color w:val="009CDA"/>
        </w:rPr>
        <w:t xml:space="preserve"> </w:t>
      </w:r>
      <w:r>
        <w:rPr>
          <w:rFonts w:ascii="Arial" w:cs="Arial" w:eastAsia="Arial" w:hAnsi="Arial"/>
          <w:sz w:val="18"/>
          <w:szCs w:val="18"/>
          <w:color w:val="000000"/>
        </w:rPr>
        <w:t>programs and control the cost of healthcare. We support the full healthcare continuum, including member enrollment, claims processing and health management. Our service offerings include:</w:t>
      </w:r>
    </w:p>
    <w:p>
      <w:pPr>
        <w:spacing w:after="0" w:line="1" w:lineRule="exact"/>
        <w:rPr>
          <w:rFonts w:ascii="Arial" w:cs="Arial" w:eastAsia="Arial" w:hAnsi="Arial"/>
          <w:sz w:val="18"/>
          <w:szCs w:val="18"/>
          <w:color w:val="auto"/>
        </w:rPr>
      </w:pPr>
    </w:p>
    <w:p>
      <w:pPr>
        <w:ind w:left="900" w:hanging="446"/>
        <w:spacing w:after="0" w:line="234"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Medicaid Program Administration</w:t>
      </w:r>
    </w:p>
    <w:p>
      <w:pPr>
        <w:ind w:left="900" w:hanging="446"/>
        <w:spacing w:after="0" w:line="234"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Healthcare and Quality Management</w:t>
      </w:r>
    </w:p>
    <w:p>
      <w:pPr>
        <w:ind w:left="900" w:hanging="446"/>
        <w:spacing w:after="0" w:line="234"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Eligibility and Enrollment Solutions</w:t>
      </w:r>
    </w:p>
    <w:p>
      <w:pPr>
        <w:ind w:left="900" w:hanging="446"/>
        <w:spacing w:after="0"/>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Pharmacy Benefits Management</w:t>
      </w:r>
    </w:p>
    <w:p>
      <w:pPr>
        <w:spacing w:after="0" w:line="176" w:lineRule="exact"/>
        <w:rPr>
          <w:rFonts w:ascii="Arial" w:cs="Arial" w:eastAsia="Arial" w:hAnsi="Arial"/>
          <w:sz w:val="18"/>
          <w:szCs w:val="18"/>
          <w:color w:val="auto"/>
        </w:rPr>
      </w:pPr>
    </w:p>
    <w:p>
      <w:pPr>
        <w:ind w:left="460" w:right="200" w:hanging="446"/>
        <w:spacing w:after="0" w:line="280" w:lineRule="auto"/>
        <w:rPr>
          <w:rFonts w:ascii="Arial" w:cs="Arial" w:eastAsia="Arial" w:hAnsi="Arial"/>
          <w:sz w:val="18"/>
          <w:szCs w:val="18"/>
          <w:color w:val="auto"/>
        </w:rPr>
      </w:pPr>
      <w:r>
        <w:rPr>
          <w:rFonts w:ascii="Arial" w:cs="Arial" w:eastAsia="Arial" w:hAnsi="Arial"/>
          <w:sz w:val="18"/>
          <w:szCs w:val="18"/>
          <w:b w:val="1"/>
          <w:bCs w:val="1"/>
          <w:color w:val="009CDA"/>
        </w:rPr>
        <w:t>–</w:t>
      </w:r>
      <w:r>
        <w:rPr>
          <w:rFonts w:ascii="Arial" w:cs="Arial" w:eastAsia="Arial" w:hAnsi="Arial"/>
          <w:sz w:val="16"/>
          <w:szCs w:val="16"/>
          <w:b w:val="1"/>
          <w:bCs w:val="1"/>
          <w:color w:val="009CDA"/>
        </w:rPr>
        <w:t xml:space="preserve">Transportation Solutions: </w:t>
      </w:r>
      <w:r>
        <w:rPr>
          <w:rFonts w:ascii="Arial" w:cs="Arial" w:eastAsia="Arial" w:hAnsi="Arial"/>
          <w:sz w:val="16"/>
          <w:szCs w:val="16"/>
          <w:color w:val="000000"/>
        </w:rPr>
        <w:t>We help transportation agencies worldwide address the unique challenges associated with revenue collection</w:t>
      </w:r>
      <w:r>
        <w:rPr>
          <w:rFonts w:ascii="Arial" w:cs="Arial" w:eastAsia="Arial" w:hAnsi="Arial"/>
          <w:sz w:val="16"/>
          <w:szCs w:val="16"/>
          <w:b w:val="1"/>
          <w:bCs w:val="1"/>
          <w:color w:val="009CDA"/>
        </w:rPr>
        <w:t xml:space="preserve"> </w:t>
      </w:r>
      <w:r>
        <w:rPr>
          <w:rFonts w:ascii="Arial" w:cs="Arial" w:eastAsia="Arial" w:hAnsi="Arial"/>
          <w:sz w:val="16"/>
          <w:szCs w:val="16"/>
          <w:color w:val="000000"/>
        </w:rPr>
        <w:t xml:space="preserve">and regulation compliance services. From fare collection to toll and parking solutions and from back office processing to infrastructure installation, we provide systems and services that help governments with their transportation problems. New innovations include the </w:t>
      </w:r>
      <w:r>
        <w:rPr>
          <w:rFonts w:ascii="Arial" w:cs="Arial" w:eastAsia="Arial" w:hAnsi="Arial"/>
          <w:sz w:val="16"/>
          <w:szCs w:val="16"/>
          <w:b w:val="1"/>
          <w:bCs w:val="1"/>
          <w:color w:val="009CDA"/>
        </w:rPr>
        <w:t>Smart</w:t>
      </w:r>
      <w:r>
        <w:rPr>
          <w:rFonts w:ascii="Arial" w:cs="Arial" w:eastAsia="Arial" w:hAnsi="Arial"/>
          <w:sz w:val="16"/>
          <w:szCs w:val="16"/>
          <w:color w:val="000000"/>
        </w:rPr>
        <w:t xml:space="preserve"> </w:t>
      </w:r>
      <w:r>
        <w:rPr>
          <w:rFonts w:ascii="Arial" w:cs="Arial" w:eastAsia="Arial" w:hAnsi="Arial"/>
          <w:sz w:val="16"/>
          <w:szCs w:val="16"/>
          <w:b w:val="1"/>
          <w:bCs w:val="1"/>
          <w:color w:val="009CDA"/>
        </w:rPr>
        <w:t xml:space="preserve">Card Fare Payment Solution </w:t>
      </w:r>
      <w:r>
        <w:rPr>
          <w:rFonts w:ascii="Arial" w:cs="Arial" w:eastAsia="Arial" w:hAnsi="Arial"/>
          <w:sz w:val="16"/>
          <w:szCs w:val="16"/>
          <w:color w:val="000000"/>
        </w:rPr>
        <w:t>- a streamlined and seamless fare payment system. By adopting a fare payment system based on the</w:t>
      </w:r>
      <w:r>
        <w:rPr>
          <w:rFonts w:ascii="Arial" w:cs="Arial" w:eastAsia="Arial" w:hAnsi="Arial"/>
          <w:sz w:val="16"/>
          <w:szCs w:val="16"/>
          <w:b w:val="1"/>
          <w:bCs w:val="1"/>
          <w:color w:val="009CDA"/>
        </w:rPr>
        <w:t xml:space="preserve"> </w:t>
      </w:r>
      <w:r>
        <w:rPr>
          <w:rFonts w:ascii="Arial" w:cs="Arial" w:eastAsia="Arial" w:hAnsi="Arial"/>
          <w:sz w:val="16"/>
          <w:szCs w:val="16"/>
          <w:color w:val="000000"/>
        </w:rPr>
        <w:t>financial industry’s open standards, transit agencies can now enable riders to tap contactless bankcards for point-of-entry payments.</w:t>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14"/>
          <w:szCs w:val="14"/>
          <w:color w:val="009CDA"/>
        </w:rPr>
        <w:t>Xerox 2010 Form 10-K 13</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009CDA"/>
        </w:rPr>
        <w:t>Information Technology Outsourcing</w:t>
      </w:r>
    </w:p>
    <w:p>
      <w:pPr>
        <w:spacing w:after="0" w:line="269"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We specialize in designing, developing and delivering effective IT solutions. Our secure data centers, help desks and managed storage facilities around the world provide a reliable IT infrastructure that minimizes the chance of disruption to our clients’ daily operations.</w:t>
      </w:r>
    </w:p>
    <w:p>
      <w:pPr>
        <w:spacing w:after="0" w:line="155"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With our global Information Technology Outsourcing solutions, commercial businesses and government organizations worldwide can focus on their competencies instead of their IT infrastructure.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Throughout our global IT services outsourcing portfolio, we:</w:t>
      </w:r>
    </w:p>
    <w:p>
      <w:pPr>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Infuse thought leadership and innovation</w:t>
      </w:r>
    </w:p>
    <w:p>
      <w:pPr>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Manage to the highest level of quality for service delivery</w:t>
      </w:r>
    </w:p>
    <w:p>
      <w:pPr>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Enable our customers to transform their organization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Our ITO services include:</w:t>
      </w:r>
    </w:p>
    <w:p>
      <w:pPr>
        <w:ind w:left="460" w:right="60" w:hanging="446"/>
        <w:spacing w:after="0" w:line="234" w:lineRule="auto"/>
        <w:rPr>
          <w:sz w:val="20"/>
          <w:szCs w:val="20"/>
          <w:color w:val="auto"/>
        </w:rPr>
      </w:pPr>
      <w:r>
        <w:rPr>
          <w:rFonts w:ascii="Arial" w:cs="Arial" w:eastAsia="Arial" w:hAnsi="Arial"/>
          <w:sz w:val="18"/>
          <w:szCs w:val="18"/>
          <w:b w:val="1"/>
          <w:bCs w:val="1"/>
          <w:color w:val="009CDA"/>
        </w:rPr>
        <w:t xml:space="preserve">–Data Center Outsourcing: </w:t>
      </w:r>
      <w:r>
        <w:rPr>
          <w:rFonts w:ascii="Arial" w:cs="Arial" w:eastAsia="Arial" w:hAnsi="Arial"/>
          <w:sz w:val="18"/>
          <w:szCs w:val="18"/>
          <w:color w:val="000000"/>
        </w:rPr>
        <w:t>We provide a 24/7 support organization that maintains a unified set of tools and processes to support our clients’</w:t>
      </w:r>
      <w:r>
        <w:rPr>
          <w:rFonts w:ascii="Arial" w:cs="Arial" w:eastAsia="Arial" w:hAnsi="Arial"/>
          <w:sz w:val="18"/>
          <w:szCs w:val="18"/>
          <w:b w:val="1"/>
          <w:bCs w:val="1"/>
          <w:color w:val="009CDA"/>
        </w:rPr>
        <w:t xml:space="preserve"> </w:t>
      </w:r>
      <w:r>
        <w:rPr>
          <w:rFonts w:ascii="Arial" w:cs="Arial" w:eastAsia="Arial" w:hAnsi="Arial"/>
          <w:sz w:val="18"/>
          <w:szCs w:val="18"/>
          <w:color w:val="000000"/>
        </w:rPr>
        <w:t>IT environments, including systems administration, database administration, systems monitoring, batch processing, data backup and capacity planning.</w:t>
      </w:r>
    </w:p>
    <w:p>
      <w:pPr>
        <w:spacing w:after="0" w:line="2" w:lineRule="exact"/>
        <w:rPr>
          <w:sz w:val="20"/>
          <w:szCs w:val="20"/>
          <w:color w:val="auto"/>
        </w:rPr>
      </w:pPr>
    </w:p>
    <w:p>
      <w:pPr>
        <w:ind w:left="460" w:right="600" w:hanging="446"/>
        <w:spacing w:after="0" w:line="234" w:lineRule="auto"/>
        <w:rPr>
          <w:sz w:val="20"/>
          <w:szCs w:val="20"/>
          <w:color w:val="auto"/>
        </w:rPr>
      </w:pPr>
      <w:r>
        <w:rPr>
          <w:rFonts w:ascii="Arial" w:cs="Arial" w:eastAsia="Arial" w:hAnsi="Arial"/>
          <w:sz w:val="18"/>
          <w:szCs w:val="18"/>
          <w:b w:val="1"/>
          <w:bCs w:val="1"/>
          <w:color w:val="009CDA"/>
        </w:rPr>
        <w:t xml:space="preserve">–Mid-range Server Outsourcing: </w:t>
      </w:r>
      <w:r>
        <w:rPr>
          <w:rFonts w:ascii="Arial" w:cs="Arial" w:eastAsia="Arial" w:hAnsi="Arial"/>
          <w:sz w:val="18"/>
          <w:szCs w:val="18"/>
          <w:color w:val="000000"/>
        </w:rPr>
        <w:t>We support our clients’ needs for adaptable computing environments and their potential growth. We</w:t>
      </w:r>
      <w:r>
        <w:rPr>
          <w:rFonts w:ascii="Arial" w:cs="Arial" w:eastAsia="Arial" w:hAnsi="Arial"/>
          <w:sz w:val="18"/>
          <w:szCs w:val="18"/>
          <w:b w:val="1"/>
          <w:bCs w:val="1"/>
          <w:color w:val="009CDA"/>
        </w:rPr>
        <w:t xml:space="preserve"> </w:t>
      </w:r>
      <w:r>
        <w:rPr>
          <w:rFonts w:ascii="Arial" w:cs="Arial" w:eastAsia="Arial" w:hAnsi="Arial"/>
          <w:sz w:val="18"/>
          <w:szCs w:val="18"/>
          <w:color w:val="000000"/>
        </w:rPr>
        <w:t>provide comprehensive systems support services.</w:t>
      </w:r>
    </w:p>
    <w:p>
      <w:pPr>
        <w:spacing w:after="0" w:line="1" w:lineRule="exact"/>
        <w:rPr>
          <w:sz w:val="20"/>
          <w:szCs w:val="20"/>
          <w:color w:val="auto"/>
        </w:rPr>
      </w:pPr>
    </w:p>
    <w:p>
      <w:pPr>
        <w:ind w:left="460" w:right="200" w:hanging="446"/>
        <w:spacing w:after="0" w:line="234" w:lineRule="auto"/>
        <w:rPr>
          <w:sz w:val="20"/>
          <w:szCs w:val="20"/>
          <w:color w:val="auto"/>
        </w:rPr>
      </w:pPr>
      <w:r>
        <w:rPr>
          <w:rFonts w:ascii="Arial" w:cs="Arial" w:eastAsia="Arial" w:hAnsi="Arial"/>
          <w:sz w:val="18"/>
          <w:szCs w:val="18"/>
          <w:b w:val="1"/>
          <w:bCs w:val="1"/>
          <w:color w:val="009CDA"/>
        </w:rPr>
        <w:t xml:space="preserve">–Network Outsourcing: </w:t>
      </w:r>
      <w:r>
        <w:rPr>
          <w:rFonts w:ascii="Arial" w:cs="Arial" w:eastAsia="Arial" w:hAnsi="Arial"/>
          <w:sz w:val="18"/>
          <w:szCs w:val="18"/>
          <w:color w:val="000000"/>
        </w:rPr>
        <w:t>We provide telecommunications management services for voice and data networks. We are able to leverage our</w:t>
      </w:r>
      <w:r>
        <w:rPr>
          <w:rFonts w:ascii="Arial" w:cs="Arial" w:eastAsia="Arial" w:hAnsi="Arial"/>
          <w:sz w:val="18"/>
          <w:szCs w:val="18"/>
          <w:b w:val="1"/>
          <w:bCs w:val="1"/>
          <w:color w:val="009CDA"/>
        </w:rPr>
        <w:t xml:space="preserve"> </w:t>
      </w:r>
      <w:r>
        <w:rPr>
          <w:rFonts w:ascii="Arial" w:cs="Arial" w:eastAsia="Arial" w:hAnsi="Arial"/>
          <w:sz w:val="18"/>
          <w:szCs w:val="18"/>
          <w:color w:val="000000"/>
        </w:rPr>
        <w:t>enterprise agreements, proprietary tools, procedures and skilled personnel to provide our clients with a scalable and automated processing environment.</w:t>
      </w:r>
    </w:p>
    <w:p>
      <w:pPr>
        <w:spacing w:after="0" w:line="2" w:lineRule="exact"/>
        <w:rPr>
          <w:sz w:val="20"/>
          <w:szCs w:val="20"/>
          <w:color w:val="auto"/>
        </w:rPr>
      </w:pPr>
    </w:p>
    <w:p>
      <w:pPr>
        <w:ind w:left="460" w:right="760" w:hanging="446"/>
        <w:spacing w:after="0" w:line="234" w:lineRule="auto"/>
        <w:rPr>
          <w:sz w:val="20"/>
          <w:szCs w:val="20"/>
          <w:color w:val="auto"/>
        </w:rPr>
      </w:pPr>
      <w:r>
        <w:rPr>
          <w:rFonts w:ascii="Arial" w:cs="Arial" w:eastAsia="Arial" w:hAnsi="Arial"/>
          <w:sz w:val="18"/>
          <w:szCs w:val="18"/>
          <w:b w:val="1"/>
          <w:bCs w:val="1"/>
          <w:color w:val="009CDA"/>
        </w:rPr>
        <w:t xml:space="preserve">–Remote Infrastructure Management (“RIM”): </w:t>
      </w:r>
      <w:r>
        <w:rPr>
          <w:rFonts w:ascii="Arial" w:cs="Arial" w:eastAsia="Arial" w:hAnsi="Arial"/>
          <w:sz w:val="18"/>
          <w:szCs w:val="18"/>
          <w:color w:val="000000"/>
        </w:rPr>
        <w:t>We provide RIM services that allow our clients to retain control of their IT assets but</w:t>
      </w:r>
      <w:r>
        <w:rPr>
          <w:rFonts w:ascii="Arial" w:cs="Arial" w:eastAsia="Arial" w:hAnsi="Arial"/>
          <w:sz w:val="18"/>
          <w:szCs w:val="18"/>
          <w:b w:val="1"/>
          <w:bCs w:val="1"/>
          <w:color w:val="009CDA"/>
        </w:rPr>
        <w:t xml:space="preserve"> </w:t>
      </w:r>
      <w:r>
        <w:rPr>
          <w:rFonts w:ascii="Arial" w:cs="Arial" w:eastAsia="Arial" w:hAnsi="Arial"/>
          <w:sz w:val="18"/>
          <w:szCs w:val="18"/>
          <w:color w:val="000000"/>
        </w:rPr>
        <w:t>outsource the day-to-day IT operations management.</w:t>
      </w:r>
    </w:p>
    <w:p>
      <w:pPr>
        <w:spacing w:after="0" w:line="1" w:lineRule="exact"/>
        <w:rPr>
          <w:sz w:val="20"/>
          <w:szCs w:val="20"/>
          <w:color w:val="auto"/>
        </w:rPr>
      </w:pPr>
    </w:p>
    <w:p>
      <w:pPr>
        <w:ind w:left="460" w:right="800" w:hanging="446"/>
        <w:spacing w:after="0" w:line="234" w:lineRule="auto"/>
        <w:rPr>
          <w:sz w:val="20"/>
          <w:szCs w:val="20"/>
          <w:color w:val="auto"/>
        </w:rPr>
      </w:pPr>
      <w:r>
        <w:rPr>
          <w:rFonts w:ascii="Arial" w:cs="Arial" w:eastAsia="Arial" w:hAnsi="Arial"/>
          <w:sz w:val="18"/>
          <w:szCs w:val="18"/>
          <w:b w:val="1"/>
          <w:bCs w:val="1"/>
          <w:color w:val="009CDA"/>
        </w:rPr>
        <w:t xml:space="preserve">–Help Desk/Service Desk Management: </w:t>
      </w:r>
      <w:r>
        <w:rPr>
          <w:rFonts w:ascii="Arial" w:cs="Arial" w:eastAsia="Arial" w:hAnsi="Arial"/>
          <w:sz w:val="18"/>
          <w:szCs w:val="18"/>
          <w:color w:val="000000"/>
        </w:rPr>
        <w:t>We deliver specialized service desk support from self-service to remote management and</w:t>
      </w:r>
      <w:r>
        <w:rPr>
          <w:rFonts w:ascii="Arial" w:cs="Arial" w:eastAsia="Arial" w:hAnsi="Arial"/>
          <w:sz w:val="18"/>
          <w:szCs w:val="18"/>
          <w:b w:val="1"/>
          <w:bCs w:val="1"/>
          <w:color w:val="009CDA"/>
        </w:rPr>
        <w:t xml:space="preserve"> </w:t>
      </w:r>
      <w:r>
        <w:rPr>
          <w:rFonts w:ascii="Arial" w:cs="Arial" w:eastAsia="Arial" w:hAnsi="Arial"/>
          <w:sz w:val="18"/>
          <w:szCs w:val="18"/>
          <w:color w:val="000000"/>
        </w:rPr>
        <w:t>diagnostics.</w:t>
      </w:r>
    </w:p>
    <w:p>
      <w:pPr>
        <w:spacing w:after="0" w:line="1" w:lineRule="exact"/>
        <w:rPr>
          <w:sz w:val="20"/>
          <w:szCs w:val="20"/>
          <w:color w:val="auto"/>
        </w:rPr>
      </w:pPr>
    </w:p>
    <w:p>
      <w:pPr>
        <w:ind w:left="460" w:right="100" w:hanging="446"/>
        <w:spacing w:after="0" w:line="234" w:lineRule="auto"/>
        <w:rPr>
          <w:sz w:val="20"/>
          <w:szCs w:val="20"/>
          <w:color w:val="auto"/>
        </w:rPr>
      </w:pPr>
      <w:r>
        <w:rPr>
          <w:rFonts w:ascii="Arial" w:cs="Arial" w:eastAsia="Arial" w:hAnsi="Arial"/>
          <w:sz w:val="18"/>
          <w:szCs w:val="18"/>
          <w:b w:val="1"/>
          <w:bCs w:val="1"/>
          <w:color w:val="009CDA"/>
        </w:rPr>
        <w:t xml:space="preserve">–Desktop Outsourcing: </w:t>
      </w:r>
      <w:r>
        <w:rPr>
          <w:rFonts w:ascii="Arial" w:cs="Arial" w:eastAsia="Arial" w:hAnsi="Arial"/>
          <w:sz w:val="18"/>
          <w:szCs w:val="18"/>
          <w:color w:val="000000"/>
        </w:rPr>
        <w:t>Our desktop services provide our clients with a comprehensive approach to managing their end-user platforms and</w:t>
      </w:r>
      <w:r>
        <w:rPr>
          <w:rFonts w:ascii="Arial" w:cs="Arial" w:eastAsia="Arial" w:hAnsi="Arial"/>
          <w:sz w:val="18"/>
          <w:szCs w:val="18"/>
          <w:b w:val="1"/>
          <w:bCs w:val="1"/>
          <w:color w:val="009CDA"/>
        </w:rPr>
        <w:t xml:space="preserve"> </w:t>
      </w:r>
      <w:r>
        <w:rPr>
          <w:rFonts w:ascii="Arial" w:cs="Arial" w:eastAsia="Arial" w:hAnsi="Arial"/>
          <w:sz w:val="18"/>
          <w:szCs w:val="18"/>
          <w:color w:val="000000"/>
        </w:rPr>
        <w:t>devices. We design and execute desktop management strategies that address and resolve issues such as enterprise bandwidth constraints, unstable computing environments, areas of insecurity and unavailable network resources.</w:t>
      </w:r>
    </w:p>
    <w:p>
      <w:pPr>
        <w:spacing w:after="0" w:line="2" w:lineRule="exact"/>
        <w:rPr>
          <w:sz w:val="20"/>
          <w:szCs w:val="20"/>
          <w:color w:val="auto"/>
        </w:rPr>
      </w:pPr>
    </w:p>
    <w:p>
      <w:pPr>
        <w:ind w:left="460" w:right="380" w:hanging="446"/>
        <w:spacing w:after="0" w:line="234" w:lineRule="auto"/>
        <w:rPr>
          <w:sz w:val="20"/>
          <w:szCs w:val="20"/>
          <w:color w:val="auto"/>
        </w:rPr>
      </w:pPr>
      <w:r>
        <w:rPr>
          <w:rFonts w:ascii="Arial" w:cs="Arial" w:eastAsia="Arial" w:hAnsi="Arial"/>
          <w:sz w:val="18"/>
          <w:szCs w:val="18"/>
          <w:b w:val="1"/>
          <w:bCs w:val="1"/>
          <w:color w:val="009CDA"/>
        </w:rPr>
        <w:t xml:space="preserve">–Managed Storage: </w:t>
      </w:r>
      <w:r>
        <w:rPr>
          <w:rFonts w:ascii="Arial" w:cs="Arial" w:eastAsia="Arial" w:hAnsi="Arial"/>
          <w:sz w:val="18"/>
          <w:szCs w:val="18"/>
          <w:color w:val="000000"/>
        </w:rPr>
        <w:t>Data storage requirements have become larger and more complex. We help our clients define, monitor and optimize</w:t>
      </w:r>
      <w:r>
        <w:rPr>
          <w:rFonts w:ascii="Arial" w:cs="Arial" w:eastAsia="Arial" w:hAnsi="Arial"/>
          <w:sz w:val="18"/>
          <w:szCs w:val="18"/>
          <w:b w:val="1"/>
          <w:bCs w:val="1"/>
          <w:color w:val="009CDA"/>
        </w:rPr>
        <w:t xml:space="preserve"> </w:t>
      </w:r>
      <w:r>
        <w:rPr>
          <w:rFonts w:ascii="Arial" w:cs="Arial" w:eastAsia="Arial" w:hAnsi="Arial"/>
          <w:sz w:val="18"/>
          <w:szCs w:val="18"/>
          <w:color w:val="000000"/>
        </w:rPr>
        <w:t>their data storage requirements while reducing the complexity of their storage environments and associated costs.</w:t>
      </w:r>
    </w:p>
    <w:p>
      <w:pPr>
        <w:spacing w:after="0" w:line="1" w:lineRule="exact"/>
        <w:rPr>
          <w:sz w:val="20"/>
          <w:szCs w:val="20"/>
          <w:color w:val="auto"/>
        </w:rPr>
      </w:pPr>
    </w:p>
    <w:p>
      <w:pPr>
        <w:ind w:left="460" w:right="200" w:hanging="446"/>
        <w:spacing w:after="0" w:line="234" w:lineRule="auto"/>
        <w:rPr>
          <w:sz w:val="20"/>
          <w:szCs w:val="20"/>
          <w:color w:val="auto"/>
        </w:rPr>
      </w:pPr>
      <w:r>
        <w:rPr>
          <w:rFonts w:ascii="Arial" w:cs="Arial" w:eastAsia="Arial" w:hAnsi="Arial"/>
          <w:sz w:val="18"/>
          <w:szCs w:val="18"/>
          <w:b w:val="1"/>
          <w:bCs w:val="1"/>
          <w:color w:val="009CDA"/>
        </w:rPr>
        <w:t xml:space="preserve">–Utility Computing: </w:t>
      </w:r>
      <w:r>
        <w:rPr>
          <w:rFonts w:ascii="Arial" w:cs="Arial" w:eastAsia="Arial" w:hAnsi="Arial"/>
          <w:sz w:val="18"/>
          <w:szCs w:val="18"/>
          <w:color w:val="000000"/>
        </w:rPr>
        <w:t>We support large corporations with our utility computing model. Utility computing provides “pay for use” pricing for mid-range server clients, which provides variable pricing and relieves our clients from the burden of asset ownership.</w:t>
      </w:r>
    </w:p>
    <w:p>
      <w:pPr>
        <w:spacing w:after="0" w:line="1" w:lineRule="exact"/>
        <w:rPr>
          <w:sz w:val="20"/>
          <w:szCs w:val="20"/>
          <w:color w:val="auto"/>
        </w:rPr>
      </w:pPr>
    </w:p>
    <w:p>
      <w:pPr>
        <w:ind w:left="460" w:right="200" w:hanging="446"/>
        <w:spacing w:after="0" w:line="234" w:lineRule="auto"/>
        <w:rPr>
          <w:sz w:val="20"/>
          <w:szCs w:val="20"/>
          <w:color w:val="auto"/>
        </w:rPr>
      </w:pPr>
      <w:r>
        <w:rPr>
          <w:rFonts w:ascii="Arial" w:cs="Arial" w:eastAsia="Arial" w:hAnsi="Arial"/>
          <w:sz w:val="18"/>
          <w:szCs w:val="18"/>
          <w:b w:val="1"/>
          <w:bCs w:val="1"/>
          <w:color w:val="009CDA"/>
        </w:rPr>
        <w:t xml:space="preserve">–Disaster Recovery: </w:t>
      </w:r>
      <w:r>
        <w:rPr>
          <w:rFonts w:ascii="Arial" w:cs="Arial" w:eastAsia="Arial" w:hAnsi="Arial"/>
          <w:sz w:val="18"/>
          <w:szCs w:val="18"/>
          <w:color w:val="000000"/>
        </w:rPr>
        <w:t>We approach disaster recovery as a multidisciplinary function. We assess our clients’ specific enterprise requirements</w:t>
      </w:r>
      <w:r>
        <w:rPr>
          <w:rFonts w:ascii="Arial" w:cs="Arial" w:eastAsia="Arial" w:hAnsi="Arial"/>
          <w:sz w:val="18"/>
          <w:szCs w:val="18"/>
          <w:b w:val="1"/>
          <w:bCs w:val="1"/>
          <w:color w:val="009CDA"/>
        </w:rPr>
        <w:t xml:space="preserve"> </w:t>
      </w:r>
      <w:r>
        <w:rPr>
          <w:rFonts w:ascii="Arial" w:cs="Arial" w:eastAsia="Arial" w:hAnsi="Arial"/>
          <w:sz w:val="18"/>
          <w:szCs w:val="18"/>
          <w:color w:val="000000"/>
        </w:rPr>
        <w:t>and then deploy solutions based on these requirements.</w:t>
      </w:r>
    </w:p>
    <w:p>
      <w:pPr>
        <w:spacing w:after="0" w:line="1" w:lineRule="exact"/>
        <w:rPr>
          <w:sz w:val="20"/>
          <w:szCs w:val="20"/>
          <w:color w:val="auto"/>
        </w:rPr>
      </w:pPr>
    </w:p>
    <w:p>
      <w:pPr>
        <w:ind w:left="460" w:right="200" w:hanging="446"/>
        <w:spacing w:after="0" w:line="234" w:lineRule="auto"/>
        <w:rPr>
          <w:sz w:val="20"/>
          <w:szCs w:val="20"/>
          <w:color w:val="auto"/>
        </w:rPr>
      </w:pPr>
      <w:r>
        <w:rPr>
          <w:rFonts w:ascii="Arial" w:cs="Arial" w:eastAsia="Arial" w:hAnsi="Arial"/>
          <w:sz w:val="18"/>
          <w:szCs w:val="18"/>
          <w:b w:val="1"/>
          <w:bCs w:val="1"/>
          <w:color w:val="009CDA"/>
        </w:rPr>
        <w:t xml:space="preserve">–Security Services: </w:t>
      </w:r>
      <w:r>
        <w:rPr>
          <w:rFonts w:ascii="Arial" w:cs="Arial" w:eastAsia="Arial" w:hAnsi="Arial"/>
          <w:sz w:val="18"/>
          <w:szCs w:val="18"/>
          <w:color w:val="000000"/>
        </w:rPr>
        <w:t>Our solutions provide security from the desktop to LAN/WAN and Internet levels. We leverage a combination of mature</w:t>
      </w:r>
      <w:r>
        <w:rPr>
          <w:rFonts w:ascii="Arial" w:cs="Arial" w:eastAsia="Arial" w:hAnsi="Arial"/>
          <w:sz w:val="18"/>
          <w:szCs w:val="18"/>
          <w:b w:val="1"/>
          <w:bCs w:val="1"/>
          <w:color w:val="009CDA"/>
        </w:rPr>
        <w:t xml:space="preserve"> </w:t>
      </w:r>
      <w:r>
        <w:rPr>
          <w:rFonts w:ascii="Arial" w:cs="Arial" w:eastAsia="Arial" w:hAnsi="Arial"/>
          <w:sz w:val="18"/>
          <w:szCs w:val="18"/>
          <w:color w:val="000000"/>
        </w:rPr>
        <w:t>methodologies and industry best practices that afford increased ability to protect valuable data while also satisfying industry audit requirements.</w:t>
      </w:r>
    </w:p>
    <w:p>
      <w:pPr>
        <w:spacing w:after="0" w:line="2" w:lineRule="exact"/>
        <w:rPr>
          <w:sz w:val="20"/>
          <w:szCs w:val="20"/>
          <w:color w:val="auto"/>
        </w:rPr>
      </w:pPr>
    </w:p>
    <w:p>
      <w:pPr>
        <w:ind w:left="460" w:right="120" w:hanging="446"/>
        <w:spacing w:after="0" w:line="239" w:lineRule="auto"/>
        <w:rPr>
          <w:sz w:val="20"/>
          <w:szCs w:val="20"/>
          <w:color w:val="auto"/>
        </w:rPr>
      </w:pPr>
      <w:r>
        <w:rPr>
          <w:rFonts w:ascii="Arial" w:cs="Arial" w:eastAsia="Arial" w:hAnsi="Arial"/>
          <w:sz w:val="18"/>
          <w:szCs w:val="18"/>
          <w:b w:val="1"/>
          <w:bCs w:val="1"/>
          <w:color w:val="009CDA"/>
        </w:rPr>
        <w:t xml:space="preserve">–IT commercial services: </w:t>
      </w:r>
      <w:r>
        <w:rPr>
          <w:rFonts w:ascii="Arial" w:cs="Arial" w:eastAsia="Arial" w:hAnsi="Arial"/>
          <w:sz w:val="18"/>
          <w:szCs w:val="18"/>
          <w:color w:val="000000"/>
        </w:rPr>
        <w:t>We possess category knowledge, tools and processes that allow us to reduce IT and telecommunication costs for</w:t>
      </w:r>
      <w:r>
        <w:rPr>
          <w:rFonts w:ascii="Arial" w:cs="Arial" w:eastAsia="Arial" w:hAnsi="Arial"/>
          <w:sz w:val="18"/>
          <w:szCs w:val="18"/>
          <w:b w:val="1"/>
          <w:bCs w:val="1"/>
          <w:color w:val="009CDA"/>
        </w:rPr>
        <w:t xml:space="preserve"> </w:t>
      </w:r>
      <w:r>
        <w:rPr>
          <w:rFonts w:ascii="Arial" w:cs="Arial" w:eastAsia="Arial" w:hAnsi="Arial"/>
          <w:sz w:val="18"/>
          <w:szCs w:val="18"/>
          <w:color w:val="000000"/>
        </w:rPr>
        <w:t>our clients.</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4"/>
          <w:szCs w:val="14"/>
          <w:color w:val="009CDA"/>
        </w:rPr>
        <w:t>Xerox 2010 Form 10-K 14</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6089015" cy="1663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89015" cy="1663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2"/>
          <w:szCs w:val="22"/>
          <w:b w:val="1"/>
          <w:bCs w:val="1"/>
          <w:color w:val="009CDA"/>
        </w:rPr>
        <w:t>Document Outsourcing</w:t>
      </w:r>
    </w:p>
    <w:p>
      <w:pPr>
        <w:spacing w:after="0" w:line="269"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We are an industry leader in document outsourcing services with more than 20 years’ experience and 15,000 business professionals across 160 countries.</w:t>
      </w:r>
    </w:p>
    <w:p>
      <w:pPr>
        <w:spacing w:after="0" w:line="155" w:lineRule="exact"/>
        <w:rPr>
          <w:sz w:val="20"/>
          <w:szCs w:val="20"/>
          <w:color w:val="auto"/>
        </w:rPr>
      </w:pPr>
    </w:p>
    <w:p>
      <w:pPr>
        <w:ind w:right="380"/>
        <w:spacing w:after="0" w:line="234" w:lineRule="auto"/>
        <w:rPr>
          <w:sz w:val="20"/>
          <w:szCs w:val="20"/>
          <w:color w:val="auto"/>
        </w:rPr>
      </w:pPr>
      <w:r>
        <w:rPr>
          <w:rFonts w:ascii="Arial" w:cs="Arial" w:eastAsia="Arial" w:hAnsi="Arial"/>
          <w:sz w:val="18"/>
          <w:szCs w:val="18"/>
          <w:color w:val="auto"/>
        </w:rPr>
        <w:t>We help companies optimize their printing infrastructure and streamline their communication and business processes to grow revenue, reduce costs and operate more efficiently. We specialize in the planning and delivery of the following services:</w:t>
      </w:r>
    </w:p>
    <w:p>
      <w:pPr>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Managed print services for workplace, production environments and virtual worker printing sites</w:t>
      </w:r>
    </w:p>
    <w:p>
      <w:pPr>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Consolidating in-house production and commercial printing under a single point of control</w:t>
      </w:r>
    </w:p>
    <w:p>
      <w:pPr>
        <w:ind w:left="460" w:right="780" w:hanging="446"/>
        <w:spacing w:after="0" w:line="234" w:lineRule="auto"/>
        <w:rPr>
          <w:sz w:val="20"/>
          <w:szCs w:val="20"/>
          <w:color w:val="auto"/>
        </w:rPr>
      </w:pPr>
      <w:r>
        <w:rPr>
          <w:rFonts w:ascii="Arial" w:cs="Arial" w:eastAsia="Arial" w:hAnsi="Arial"/>
          <w:sz w:val="18"/>
          <w:szCs w:val="18"/>
          <w:color w:val="auto"/>
        </w:rPr>
        <w:t>–Improving communication processes and back-office functions associated with creating, capturing, managing and routing customer, employee and supplier information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Designing, authoring and translating technical and user documentation</w:t>
      </w:r>
    </w:p>
    <w:p>
      <w:pPr>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Creating personalized, multi-channel marketing communications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Through these services, we:</w:t>
      </w:r>
    </w:p>
    <w:p>
      <w:pPr>
        <w:ind w:left="460" w:right="480" w:hanging="446"/>
        <w:spacing w:after="0" w:line="234" w:lineRule="auto"/>
        <w:rPr>
          <w:sz w:val="20"/>
          <w:szCs w:val="20"/>
          <w:color w:val="auto"/>
        </w:rPr>
      </w:pPr>
      <w:r>
        <w:rPr>
          <w:rFonts w:ascii="Arial" w:cs="Arial" w:eastAsia="Arial" w:hAnsi="Arial"/>
          <w:sz w:val="18"/>
          <w:szCs w:val="18"/>
          <w:color w:val="auto"/>
        </w:rPr>
        <w:t>–Help our clients save up to 30% on printing costs through managed print services that optimize the use of document systems across an entire enterprise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Simplify document-driven processes, such as forms processing and records management</w:t>
      </w:r>
    </w:p>
    <w:p>
      <w:pPr>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Manage in-house print operations and special events by handling technology procurement and print/copy centers</w:t>
      </w:r>
    </w:p>
    <w:p>
      <w:pPr>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Make information easier to manage and find through digital imaging, archiving and indexing</w:t>
      </w:r>
    </w:p>
    <w:p>
      <w:pPr>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Generate a better return on investment through personalized, multi-channel marketing communications</w:t>
      </w:r>
    </w:p>
    <w:p>
      <w:pPr>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Improve commercial print operations, sales and profits through document outsourcing</w:t>
      </w:r>
    </w:p>
    <w:p>
      <w:pPr>
        <w:spacing w:after="0" w:line="158" w:lineRule="exact"/>
        <w:rPr>
          <w:sz w:val="20"/>
          <w:szCs w:val="20"/>
          <w:color w:val="auto"/>
        </w:rPr>
      </w:pPr>
    </w:p>
    <w:p>
      <w:pPr>
        <w:ind w:right="520"/>
        <w:spacing w:after="0" w:line="238" w:lineRule="auto"/>
        <w:rPr>
          <w:sz w:val="20"/>
          <w:szCs w:val="20"/>
          <w:color w:val="auto"/>
        </w:rPr>
      </w:pPr>
      <w:r>
        <w:rPr>
          <w:rFonts w:ascii="Arial" w:cs="Arial" w:eastAsia="Arial" w:hAnsi="Arial"/>
          <w:sz w:val="18"/>
          <w:szCs w:val="18"/>
          <w:color w:val="auto"/>
        </w:rPr>
        <w:t>As the market leader in managed print services, our approach to optimizing across all print environments allows our customers to print from anywhere to anywhere in a seamless way while ensuring compliance with budget targets, security protocols and environmental sustainability programs.</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009CDA"/>
        </w:rPr>
        <w:t>Other</w:t>
      </w:r>
    </w:p>
    <w:p>
      <w:pPr>
        <w:spacing w:after="0" w:line="188" w:lineRule="exact"/>
        <w:rPr>
          <w:sz w:val="20"/>
          <w:szCs w:val="20"/>
          <w:color w:val="auto"/>
        </w:rPr>
      </w:pPr>
    </w:p>
    <w:p>
      <w:pPr>
        <w:ind w:right="640"/>
        <w:spacing w:after="0" w:line="239" w:lineRule="auto"/>
        <w:rPr>
          <w:sz w:val="20"/>
          <w:szCs w:val="20"/>
          <w:color w:val="auto"/>
        </w:rPr>
      </w:pPr>
      <w:r>
        <w:rPr>
          <w:rFonts w:ascii="Arial" w:cs="Arial" w:eastAsia="Arial" w:hAnsi="Arial"/>
          <w:sz w:val="18"/>
          <w:szCs w:val="18"/>
          <w:color w:val="auto"/>
        </w:rPr>
        <w:t>The Other segment primarily includes revenue from paper sales, wide-format systems and GIS network integration solutions and electronic presentation systems. Paper comprised approximately 58% of the revenues in the Other segment.</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4"/>
          <w:szCs w:val="14"/>
          <w:color w:val="009CDA"/>
        </w:rPr>
        <w:t>Xerox 2010 Form 10-K 15</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009CDA"/>
        </w:rPr>
        <w:t>Geographic Information</w:t>
      </w:r>
    </w:p>
    <w:p>
      <w:pPr>
        <w:spacing w:after="0" w:line="188"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Our global presence is one of our core strengths. Overall, approximately 36% of our revenue is generated by customers outside the U.S. Currently, ACS generates approximately 10% of its revenue outside the U.S. We have a significant opportunity to leverage our global presence and customer relationships to expand the ACS business in Europe and developing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2992755" cy="34302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992755" cy="343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b w:val="1"/>
          <w:bCs w:val="1"/>
          <w:color w:val="009CDA"/>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6089015" cy="5657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8901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680"/>
        <w:spacing w:after="0" w:line="264" w:lineRule="auto"/>
        <w:rPr>
          <w:sz w:val="20"/>
          <w:szCs w:val="20"/>
          <w:color w:val="auto"/>
        </w:rPr>
      </w:pPr>
      <w:r>
        <w:rPr>
          <w:rFonts w:ascii="Arial" w:cs="Arial" w:eastAsia="Arial" w:hAnsi="Arial"/>
          <w:sz w:val="18"/>
          <w:szCs w:val="18"/>
          <w:b w:val="1"/>
          <w:bCs w:val="1"/>
          <w:color w:val="009CDA"/>
        </w:rPr>
        <w:t xml:space="preserve">Investment in R&amp;D </w:t>
      </w:r>
      <w:r>
        <w:rPr>
          <w:rFonts w:ascii="Arial" w:cs="Arial" w:eastAsia="Arial" w:hAnsi="Arial"/>
          <w:sz w:val="18"/>
          <w:szCs w:val="18"/>
          <w:color w:val="000000"/>
        </w:rPr>
        <w:t>is critical for competitiveness in our fast-paced markets. Approximately 55% of our equipment sales are from products</w:t>
      </w:r>
      <w:r>
        <w:rPr>
          <w:rFonts w:ascii="Arial" w:cs="Arial" w:eastAsia="Arial" w:hAnsi="Arial"/>
          <w:sz w:val="18"/>
          <w:szCs w:val="18"/>
          <w:b w:val="1"/>
          <w:bCs w:val="1"/>
          <w:color w:val="009CDA"/>
        </w:rPr>
        <w:t xml:space="preserve"> </w:t>
      </w:r>
      <w:r>
        <w:rPr>
          <w:rFonts w:ascii="Arial" w:cs="Arial" w:eastAsia="Arial" w:hAnsi="Arial"/>
          <w:sz w:val="18"/>
          <w:szCs w:val="18"/>
          <w:color w:val="000000"/>
        </w:rPr>
        <w:t>launched during the last two years. Our R&amp;D investment also enables innovation within our Services segment.</w:t>
      </w:r>
    </w:p>
    <w:p>
      <w:pPr>
        <w:spacing w:after="0" w:line="134" w:lineRule="exact"/>
        <w:rPr>
          <w:sz w:val="20"/>
          <w:szCs w:val="20"/>
          <w:color w:val="auto"/>
        </w:rPr>
      </w:pPr>
    </w:p>
    <w:p>
      <w:pPr>
        <w:ind w:right="220"/>
        <w:spacing w:after="0" w:line="299" w:lineRule="auto"/>
        <w:rPr>
          <w:sz w:val="20"/>
          <w:szCs w:val="20"/>
          <w:color w:val="auto"/>
        </w:rPr>
      </w:pPr>
      <w:r>
        <w:rPr>
          <w:rFonts w:ascii="Arial" w:cs="Arial" w:eastAsia="Arial" w:hAnsi="Arial"/>
          <w:sz w:val="16"/>
          <w:szCs w:val="16"/>
          <w:color w:val="auto"/>
        </w:rPr>
        <w:t>Research activities are conducted in the United States in Webster, New York and Palo Alto, California; in Canada in Mississauga, Ontario; in Europe in Grenoble, France; and Asia both at the India Innovation Hub in Chennai, India, and in collaboration with Fuji Xerox, Ltd. (“Fuji Xerox”).</w:t>
      </w:r>
    </w:p>
    <w:p>
      <w:pPr>
        <w:spacing w:after="0" w:line="109" w:lineRule="exact"/>
        <w:rPr>
          <w:sz w:val="20"/>
          <w:szCs w:val="20"/>
          <w:color w:val="auto"/>
        </w:rPr>
      </w:pPr>
    </w:p>
    <w:p>
      <w:pPr>
        <w:ind w:right="660"/>
        <w:spacing w:after="0" w:line="299" w:lineRule="auto"/>
        <w:rPr>
          <w:sz w:val="20"/>
          <w:szCs w:val="20"/>
          <w:color w:val="auto"/>
        </w:rPr>
      </w:pPr>
      <w:r>
        <w:rPr>
          <w:rFonts w:ascii="Arial" w:cs="Arial" w:eastAsia="Arial" w:hAnsi="Arial"/>
          <w:sz w:val="16"/>
          <w:szCs w:val="16"/>
          <w:color w:val="auto"/>
        </w:rPr>
        <w:t>To ensure our success, we have aligned our R&amp;D investment portfolio with our growth initiatives, including accelerating our color transition, enhancing customer value by building on our services leadership, and by strengthening our leadership in digital color printing.</w:t>
      </w:r>
    </w:p>
    <w:p>
      <w:pPr>
        <w:spacing w:after="0" w:line="91" w:lineRule="exact"/>
        <w:rPr>
          <w:sz w:val="20"/>
          <w:szCs w:val="20"/>
          <w:color w:val="auto"/>
        </w:rPr>
      </w:pPr>
    </w:p>
    <w:p>
      <w:pPr>
        <w:jc w:val="right"/>
        <w:spacing w:after="0"/>
        <w:rPr>
          <w:sz w:val="20"/>
          <w:szCs w:val="20"/>
          <w:color w:val="auto"/>
        </w:rPr>
      </w:pPr>
      <w:r>
        <w:rPr>
          <w:rFonts w:ascii="Arial" w:cs="Arial" w:eastAsia="Arial" w:hAnsi="Arial"/>
          <w:sz w:val="14"/>
          <w:szCs w:val="14"/>
          <w:color w:val="009CDA"/>
        </w:rPr>
        <w:t>Xerox 2010 Form 10-K 16</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Xerox conducts work in color science, computing, digital imaging, work practices, electromechanical systems, novel materials, linguistics, work practice analysis and other disciplines. Through our Smart Document Technologies, we are developing ways to apply innovation to automate and differentiate our Services offerings.</w:t>
      </w:r>
    </w:p>
    <w:p>
      <w:pPr>
        <w:spacing w:after="0" w:line="154"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Sustaining engineering expenses, which are the hardware engineering and software development costs we incur after we launch a product, are included in our RD&amp;E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2984500" cy="26416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984500" cy="264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b w:val="1"/>
          <w:bCs w:val="1"/>
          <w:color w:val="009CDA"/>
        </w:rPr>
        <w:t>Patents, Trademarks and Licenses</w:t>
      </w:r>
    </w:p>
    <w:p>
      <w:pPr>
        <w:spacing w:after="0" w:line="269" w:lineRule="exact"/>
        <w:rPr>
          <w:sz w:val="20"/>
          <w:szCs w:val="20"/>
          <w:color w:val="auto"/>
        </w:rPr>
      </w:pPr>
    </w:p>
    <w:p>
      <w:pPr>
        <w:jc w:val="both"/>
        <w:ind w:right="80"/>
        <w:spacing w:after="0" w:line="264" w:lineRule="auto"/>
        <w:rPr>
          <w:sz w:val="20"/>
          <w:szCs w:val="20"/>
          <w:color w:val="auto"/>
        </w:rPr>
      </w:pPr>
      <w:r>
        <w:rPr>
          <w:rFonts w:ascii="Arial" w:cs="Arial" w:eastAsia="Arial" w:hAnsi="Arial"/>
          <w:sz w:val="16"/>
          <w:szCs w:val="16"/>
          <w:color w:val="auto"/>
        </w:rPr>
        <w:t>Xerox and its subsidiaries were awarded 1,031 U.S. utility patents in 2010. On that basis, we would have ranked 20th on the list of companies that were awarded the most U.S. patents during the year. Including our research partner Fuji Xerox, we were awarded over 1,600 U.S. utility patents in 2010. Our patent portfolio evolves as new patents are awarded to us and as older patents expire. As of December 31, 2010, we held almost</w:t>
      </w:r>
    </w:p>
    <w:p>
      <w:pPr>
        <w:spacing w:after="0" w:line="1"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10,200 design and utility U.S. patents. These patents expire at various dates up to 20 years or more from their original filing dates. While we believe that our portfolio of patents and applications has value, in general no single patent is essential to our business or any individual segment. In addition, any of our proprietary rights could be challenged, invalidated or circumvented, or may not provide significant competitive advantages.</w:t>
      </w:r>
    </w:p>
    <w:p>
      <w:pPr>
        <w:spacing w:after="0" w:line="12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In the U.S., we are party to numerous patent-licensing agreements and, in a majority of them we license or assign our patents to others in return for revenue and/or access to their patents. Most patent licenses expire concurrently with the expiration of the last patent identified in the license. In 2010, we added 16 new agreements to our portfolio of patent-licensing and sale agreements, and Xerox and its subsidiaries were licensor or seller in 14 of the agreements. We are also a party to a number of cross-licensing agreements with companies that hold substantial patent portfolios, including Canon, Microsoft, IBM, Hewlett-Packard, Oce, Sharp, Samsung and Seiko Epson. These agreements vary in subject matter, scope, compensation, significance and time.</w:t>
      </w:r>
    </w:p>
    <w:p>
      <w:pPr>
        <w:spacing w:after="0" w:line="156"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In the U.S., we own more than 650 trademarks, either registered or applied for. These trademarks have a perpetual life, subject to renewal every 10 years. We vigorously enforce and protect our trademarks.</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4"/>
          <w:szCs w:val="14"/>
          <w:color w:val="009CDA"/>
        </w:rPr>
        <w:t>Xerox 2010 Form 10-K 17</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009CDA"/>
        </w:rPr>
        <w:t>Marketing and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6089015" cy="7029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8901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We manage our business based on the principal business segments described earlier. We have organized the marketing, selling and distribution of our products and services by geography, channel type and line of business.</w:t>
      </w:r>
    </w:p>
    <w:p>
      <w:pPr>
        <w:spacing w:after="0" w:line="155"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We sell our products and services directly to customers through our world-wide sales force and through a network of independent agents, dealers, value-added resellers, systems integrators and the Web.</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In large enterprises, we follow a services-led approach that enables us to address two basic challenges facing large enterprise customers:</w:t>
      </w:r>
    </w:p>
    <w:p>
      <w:pPr>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How to optimize infrastructure to be both cost-effective and globally consistent</w:t>
      </w:r>
    </w:p>
    <w:p>
      <w:pPr>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How to improve their value proposition and communication with their customers</w:t>
      </w:r>
    </w:p>
    <w:p>
      <w:pPr>
        <w:spacing w:after="0" w:line="158"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Our go-to-market approach includes the largest direct sales force in the industry, with customers served by Client Managing Directors, Account General Managers and Sales Representatives.</w:t>
      </w:r>
    </w:p>
    <w:p>
      <w:pPr>
        <w:spacing w:after="0" w:line="155" w:lineRule="exact"/>
        <w:rPr>
          <w:sz w:val="20"/>
          <w:szCs w:val="20"/>
          <w:color w:val="auto"/>
        </w:rPr>
      </w:pPr>
    </w:p>
    <w:p>
      <w:pPr>
        <w:ind w:right="280"/>
        <w:spacing w:after="0" w:line="299" w:lineRule="auto"/>
        <w:rPr>
          <w:sz w:val="20"/>
          <w:szCs w:val="20"/>
          <w:color w:val="auto"/>
        </w:rPr>
      </w:pPr>
      <w:r>
        <w:rPr>
          <w:rFonts w:ascii="Arial" w:cs="Arial" w:eastAsia="Arial" w:hAnsi="Arial"/>
          <w:sz w:val="16"/>
          <w:szCs w:val="16"/>
          <w:color w:val="auto"/>
        </w:rPr>
        <w:t>For small and mid-size business, we continue to expand our distribution partnerships in North America with additional information technology resellers and by enhancing our network of independent agents. In 2010, we acquired two companies to further expand this distribution capacity.</w:t>
      </w:r>
    </w:p>
    <w:p>
      <w:pPr>
        <w:spacing w:after="0" w:line="109"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In Europe, Africa, the Middle East and parts of Asia, we distribute our products through Xerox Limited, a company established under the laws of England, and related non-U.S. companies. Xerox Limited enters into distribution agreements with unaffiliated third parties to provide distribution of our products in many of the countries located in these regions, and previously entered into agreements with unaffiliated third parties providing distribution of our products in Iran, Sudan and Syria. Iran, Sudan and Syria, among others, have been designated as state sponsors of terrorism by the U.S. Department of State and are subject to U.S. economic sanctions. We maintain an export and sanctions compliance program and believe that we have been and are in compliance with U.S. laws and government regulations for these countries. We have no assets, liabilities or operations in these countries other than liabilities under the distribution agreements. After observing required prior notice periods, Xerox Limited terminated its distribution agreements with distributors servicing Sudan and Syria in August 2006 and terminated its distribution agreement with the distributor servicing Iran in December 2006. Now, Xerox only has legacy obligations to third parties, such as providing spare parts and supplies to these third parties. In 2010, total Xerox revenues of $21.6 billion included less than $0.2 million attributable to Iran, Sudan and Syria.</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4"/>
          <w:szCs w:val="14"/>
          <w:color w:val="009CDA"/>
        </w:rPr>
        <w:t>Xerox 2010 Form 10-K 18</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2941320" cy="5857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941320" cy="5857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22"/>
          <w:szCs w:val="22"/>
          <w:b w:val="1"/>
          <w:bCs w:val="1"/>
          <w:color w:val="009CDA"/>
        </w:rPr>
        <w:t>Competition</w:t>
      </w:r>
    </w:p>
    <w:p>
      <w:pPr>
        <w:spacing w:after="0" w:line="269" w:lineRule="exact"/>
        <w:rPr>
          <w:sz w:val="20"/>
          <w:szCs w:val="20"/>
          <w:color w:val="auto"/>
        </w:rPr>
      </w:pPr>
    </w:p>
    <w:p>
      <w:pPr>
        <w:ind w:right="340"/>
        <w:spacing w:after="0" w:line="299" w:lineRule="auto"/>
        <w:rPr>
          <w:sz w:val="20"/>
          <w:szCs w:val="20"/>
          <w:color w:val="auto"/>
        </w:rPr>
      </w:pPr>
      <w:r>
        <w:rPr>
          <w:rFonts w:ascii="Arial" w:cs="Arial" w:eastAsia="Arial" w:hAnsi="Arial"/>
          <w:sz w:val="16"/>
          <w:szCs w:val="16"/>
          <w:color w:val="auto"/>
        </w:rPr>
        <w:t>Although we encounter competition in all areas of our business, we are the leader or among the leaders in each of our principal business segments. We compete on the basis of technology, performance, price, quality, reliability, brand, distribution and customer service and support.</w:t>
      </w:r>
    </w:p>
    <w:p>
      <w:pPr>
        <w:spacing w:after="0" w:line="109"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Our competitors in the Technology business include Canon, Ricoh, Hewlett-Packard, Kodak, Oce, Konica Minolta and Lexmark. In the Services business, our larger competitors are Hewlett-Packard, Genpact, Teletech, Accenture, Aon Hewitt, Computer Services, IBM and Dell. In addition, in the Services segment, we compete with in-house departments performing the functions that we are seeking to have them outsource to us.</w:t>
      </w:r>
    </w:p>
    <w:p>
      <w:pPr>
        <w:spacing w:after="0" w:line="255" w:lineRule="exact"/>
        <w:rPr>
          <w:sz w:val="20"/>
          <w:szCs w:val="20"/>
          <w:color w:val="auto"/>
        </w:rPr>
      </w:pPr>
    </w:p>
    <w:p>
      <w:pPr>
        <w:jc w:val="right"/>
        <w:spacing w:after="0"/>
        <w:rPr>
          <w:sz w:val="20"/>
          <w:szCs w:val="20"/>
          <w:color w:val="auto"/>
        </w:rPr>
      </w:pPr>
      <w:r>
        <w:rPr>
          <w:rFonts w:ascii="Arial" w:cs="Arial" w:eastAsia="Arial" w:hAnsi="Arial"/>
          <w:sz w:val="14"/>
          <w:szCs w:val="14"/>
          <w:color w:val="009CDA"/>
        </w:rPr>
        <w:t>Xerox 2010 Form 10-K 19</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We believe that our brand recognition, reputation for our business process and document management knowledge and expertise, innovative technology, service, breadth of product offerings, global distribution channels, customer relationships and large customer base are important competitive advantages. We and our competitors continue to develop and market new and innovative products and services at competitive prices and, at any given time, we may set new market standards for quality, speed, function and level of service.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009CDA"/>
        </w:rPr>
        <w:t>Global Employment</w:t>
      </w:r>
    </w:p>
    <w:p>
      <w:pPr>
        <w:spacing w:after="0" w:line="269"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Globally, we have approximately 136,500 direct employees. We have approximately 8,000 sales professionals, approximately 12,000 technical service employees and over 46,000 employees serving our customers through on-site operations or off-site delivery centers.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009CDA"/>
        </w:rPr>
        <w:t>Customer Financing</w:t>
      </w:r>
    </w:p>
    <w:p>
      <w:pPr>
        <w:spacing w:after="0" w:line="269"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We finance a large portion of our direct channel customer purchases of Xerox equipment through bundled lease agreements. We believe that financing facilitates customer acquisition of Xerox technology and enhances our value proposition while providing Xerox an attractive gross margin and a reasonable return on our investment in this business.</w:t>
      </w:r>
    </w:p>
    <w:p>
      <w:pPr>
        <w:spacing w:after="0" w:line="154" w:lineRule="exact"/>
        <w:rPr>
          <w:sz w:val="20"/>
          <w:szCs w:val="20"/>
          <w:color w:val="auto"/>
        </w:rPr>
      </w:pPr>
    </w:p>
    <w:p>
      <w:pPr>
        <w:ind w:right="180"/>
        <w:spacing w:after="0" w:line="273" w:lineRule="auto"/>
        <w:rPr>
          <w:sz w:val="20"/>
          <w:szCs w:val="20"/>
          <w:color w:val="auto"/>
        </w:rPr>
      </w:pPr>
      <w:r>
        <w:rPr>
          <w:rFonts w:ascii="Arial" w:cs="Arial" w:eastAsia="Arial" w:hAnsi="Arial"/>
          <w:sz w:val="16"/>
          <w:szCs w:val="16"/>
          <w:color w:val="auto"/>
        </w:rPr>
        <w:t>Because our lease contracts permit customers to pay for equipment over time rather than at the date of installation, we maintain a certain level of debt to support our investment in these lease contracts. We fund our customer financing activity through a combination of cash generated from operations, cash on hand and proceeds from capital market offerings. At December 31, 2010, we had $6.6 billion of finance receivables and $0.6 billion of equipment on operating leases, or Total Finance assets of $7.2 billion. We maintain an assumed 7:1 leverage ratio of debt to equity as compared to our Finance assets, and therefore, a significant portion of our $8.6 billion of debt is associated with our financing business.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009CDA"/>
        </w:rPr>
        <w:t>Manufacturing and Supply</w:t>
      </w:r>
    </w:p>
    <w:p>
      <w:pPr>
        <w:spacing w:after="0" w:line="26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Our manufacturing and distribution facilities are located around the world. The company’s largest manufacturing site is in Webster, New York, where we produce fusers, photoreceptors, Xerox iGen and Nuvera systems, components, consumables and other products and we have an EA Toner plant located in Webster. Our other primary manufacturing operations are located in: Dundalk, Ireland, for our high-end production products and consumables; and Wilsonville, Oregon, for solid ink products, consumable supplies and components for our Mid-range and Entry products. We also have a major facility in Venray, Netherlands, which handles supplies manufacturing and supply chain management for the Eastern Hemisphere.</w:t>
      </w:r>
    </w:p>
    <w:p>
      <w:pPr>
        <w:spacing w:after="0" w:line="156"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Our master supply agreement with Flextronics, a global electronics manufacturing services company, to outsource portions of manufacturing for our Mid-range and Entry businesses, continues into 2011.</w:t>
      </w:r>
    </w:p>
    <w:p>
      <w:pPr>
        <w:spacing w:after="0" w:line="155"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We also acquire products from various third parties in order to increase the breadth of our product portfolio and meet channel requirements. We have arrangements with Fuji Xerox under which we purchase and sell products, some of which are the result of mutual research and development agreements. Refer to Note 7 – Investments in Affiliates, at Equity in the Consolidated Financial Statements in our 2010 Annual Report for additional information regarding our relationship with Fuji Xerox.</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009CDA"/>
        </w:rPr>
        <w:t>Services Global Production Model</w:t>
      </w:r>
    </w:p>
    <w:p>
      <w:pPr>
        <w:spacing w:after="0" w:line="1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We believe our global services production model is one of our key competitive advantages. This model encompasses employees in production centers around the world including India, Mexico, the Philippines, Jamaica, Ghana, Brazil, Guatemala, Chile, Argentina, Spain, Poland and Ireland, among others. Our global production model is enabled by the use of proprietary technology, which allows us to securely distribute client transactions within data privacy limits across a global workforce. This global production model allows us to leverage lower-cost production locations, consistent methodology and processes, and time zone advantages.</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4"/>
          <w:szCs w:val="14"/>
          <w:color w:val="009CDA"/>
        </w:rPr>
        <w:t>Xerox 2010 Form 10-K 20</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009CDA"/>
        </w:rPr>
        <w:t>Fuji Xerox</w:t>
      </w:r>
    </w:p>
    <w:p>
      <w:pPr>
        <w:spacing w:after="0" w:line="18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Fuji Xerox is an unconsolidated entity in which we currently own a 25% interest and FUJIFILM Holdings Corporation (“FujiFilm”) owns 75%. Fuji Xerox develops, manufactures and distributes document processing products in Japan, China, Hong Kong, other areas of the Pacific Rim, Australia and New Zealand. We retain significant rights as a minority shareholder. Our technology licensing agreements with Fuji Xerox ensure that the two companies retain uninterrupted access to each other’s portfolio of patents, technology and products.</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009CDA"/>
        </w:rPr>
        <w:t>International Operations</w:t>
      </w:r>
    </w:p>
    <w:p>
      <w:pPr>
        <w:spacing w:after="0" w:line="269"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We are incorporating by reference the financial measures by geographical area for 2010, 2009 and 2008 that are included in Note 2 - Segment Reporting in the Consolidated Financial Statements in our 2010 Annual Report. See also the risk factor entitled “Our business, results of operations and financial condition may be negatively impacted by economic conditions abroad, including local economies, political environments, fluctuating foreign currencies and shifting regulatory schemes” in Part I, Item 1A of Form 10-K.</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009CDA"/>
        </w:rPr>
        <w:t>Backlog</w:t>
      </w:r>
    </w:p>
    <w:p>
      <w:pPr>
        <w:spacing w:after="0" w:line="26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believe that backlog, or the value of unfilled orders, is not a meaningful indicator of future business prospects because of the significant proportion of our revenue that follows contract signing and/or equipment installation, the large volume of products we deliver from shelf inventories, and the shortening of product life cycles.</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009CDA"/>
        </w:rPr>
        <w:t>Seasonality</w:t>
      </w:r>
    </w:p>
    <w:p>
      <w:pPr>
        <w:spacing w:after="0" w:line="269" w:lineRule="exact"/>
        <w:rPr>
          <w:sz w:val="20"/>
          <w:szCs w:val="20"/>
          <w:color w:val="auto"/>
        </w:rPr>
      </w:pPr>
    </w:p>
    <w:p>
      <w:pPr>
        <w:ind w:right="660"/>
        <w:spacing w:after="0" w:line="239" w:lineRule="auto"/>
        <w:rPr>
          <w:sz w:val="20"/>
          <w:szCs w:val="20"/>
          <w:color w:val="auto"/>
        </w:rPr>
      </w:pPr>
      <w:r>
        <w:rPr>
          <w:rFonts w:ascii="Arial" w:cs="Arial" w:eastAsia="Arial" w:hAnsi="Arial"/>
          <w:sz w:val="18"/>
          <w:szCs w:val="18"/>
          <w:color w:val="auto"/>
        </w:rPr>
        <w:t>Our technology revenues are affected by such factors as the introduction of new products, the length of sales cycles and the seasonality of technology purchases. These factors have historically resulted in lower revenue in the first quarter and the third quarter.</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009CDA"/>
        </w:rPr>
        <w:t>Other Information</w:t>
      </w:r>
    </w:p>
    <w:p>
      <w:pPr>
        <w:spacing w:after="0" w:line="269"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Xerox is a New York corporation, organized in 1906, and our principal executive offices are located at 45 Glover Avenue, P.O. Box 4505, Norwalk, Connecticut 06856-4505. Our telephone number is (203) 968-3000.</w:t>
      </w:r>
    </w:p>
    <w:p>
      <w:pPr>
        <w:spacing w:after="0" w:line="155"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In the Investor Information section of our Internet website, you will find our Annual Reports on Form 10-K, Quarterly Reports on Form 10-Q, Current Reports on Form 8-K and any amendments to these reports. We make these documents available as soon as we can after we have filed them with, or furnished them to, the Securities and Exchange Commission.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Our Internet address is </w:t>
      </w:r>
      <w:r>
        <w:rPr>
          <w:rFonts w:ascii="Arial" w:cs="Arial" w:eastAsia="Arial" w:hAnsi="Arial"/>
          <w:sz w:val="18"/>
          <w:szCs w:val="18"/>
          <w:b w:val="1"/>
          <w:bCs w:val="1"/>
          <w:color w:val="auto"/>
        </w:rPr>
        <w:t>www.xerox.com</w:t>
      </w:r>
      <w:r>
        <w:rPr>
          <w:rFonts w:ascii="Arial" w:cs="Arial" w:eastAsia="Arial" w:hAnsi="Arial"/>
          <w:sz w:val="18"/>
          <w:szCs w:val="18"/>
          <w:color w:val="auto"/>
        </w:rPr>
        <w:t>.</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4"/>
          <w:szCs w:val="14"/>
          <w:color w:val="009CDA"/>
        </w:rPr>
        <w:t>Xerox 2010 Form 10-K 21</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color w:val="009CDA"/>
        </w:rPr>
        <w:t>ITEM 1A.</w:t>
      </w:r>
      <w:r>
        <w:rPr>
          <w:sz w:val="20"/>
          <w:szCs w:val="20"/>
          <w:color w:val="auto"/>
        </w:rPr>
        <w:tab/>
      </w:r>
      <w:r>
        <w:rPr>
          <w:rFonts w:ascii="Arial" w:cs="Arial" w:eastAsia="Arial" w:hAnsi="Arial"/>
          <w:sz w:val="21"/>
          <w:szCs w:val="21"/>
          <w:b w:val="1"/>
          <w:bCs w:val="1"/>
          <w:color w:val="009CDA"/>
        </w:rPr>
        <w:t>RISK FACTORS</w:t>
      </w:r>
    </w:p>
    <w:p>
      <w:pPr>
        <w:spacing w:after="0" w:line="249" w:lineRule="exact"/>
        <w:rPr>
          <w:sz w:val="20"/>
          <w:szCs w:val="20"/>
          <w:color w:val="auto"/>
        </w:rPr>
      </w:pPr>
    </w:p>
    <w:p>
      <w:pPr>
        <w:ind w:right="960"/>
        <w:spacing w:after="0" w:line="262" w:lineRule="auto"/>
        <w:rPr>
          <w:sz w:val="20"/>
          <w:szCs w:val="20"/>
          <w:color w:val="auto"/>
        </w:rPr>
      </w:pPr>
      <w:r>
        <w:rPr>
          <w:rFonts w:ascii="Arial" w:cs="Arial" w:eastAsia="Arial" w:hAnsi="Arial"/>
          <w:sz w:val="18"/>
          <w:szCs w:val="18"/>
          <w:b w:val="1"/>
          <w:bCs w:val="1"/>
          <w:i w:val="1"/>
          <w:iCs w:val="1"/>
          <w:color w:val="009CDA"/>
        </w:rPr>
        <w:t>Our business, results of operations and financial condition may be negatively impacted by conditions abroad, including local economics, political environments, fluctuating foreign currencies and shifting regulatory schemes.</w:t>
      </w:r>
    </w:p>
    <w:p>
      <w:pPr>
        <w:spacing w:after="0" w:line="135"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 significant portion of our revenues are generated from operations outside the United States. In addition, we manufacture or acquire many of our products and/or their components from, and maintain significant operations, outside the United States. Our future revenues, costs and results of operations could be significantly affected by changes in foreign currency exchange rates - particularly the Japanese Yen to U.S. Dollar and Japanese Yen to Euro exchange rates, as well as by a number of other factors, including changes in economic conditions from country to country, changes in a country’s political conditions, trade protection measures, licensing requirements, local tax issues, capitalization and other related legal matters. We generally hedge foreign currency denominated assets, liabilities and anticipated transactions primarily through the use of currency derivative contracts. The use of derivative contracts is intended to mitigate or reduce transactional level volatility in the results of foreign operations, but does not completely eliminate volatility. We do not hedge the translation effect of international revenues and expenses, which are denominated in currencies other than our U.S. parent functional currency, within our consolidated financial statements. If our future revenues, costs and results of operations are significantly affected by economic conditions abroad and we are unable to effectively hedge these risks, they could materially adversely affect our results of operations and financial condition.</w:t>
      </w:r>
    </w:p>
    <w:p>
      <w:pPr>
        <w:spacing w:after="0" w:line="141"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b w:val="1"/>
          <w:bCs w:val="1"/>
          <w:i w:val="1"/>
          <w:iCs w:val="1"/>
          <w:color w:val="009CDA"/>
        </w:rPr>
        <w:t>We face significant competition and our failure to compete successfully could adversely affect our results of operations and financial condition.</w:t>
      </w:r>
    </w:p>
    <w:p>
      <w:pPr>
        <w:spacing w:after="0" w:line="135"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We operate in an environment of significant competition, driven by rapid technological advances and the demands of customers to become more efficient. Our competitors range from large international companies to relatively small firms. Some of the large international companies have significant financial resources and compete with us globally to provide document processing products and services and/or business process services in each of the markets we serve. We compete primarily on the basis of technology, performance, price, quality, reliability, brand, distribution and customer service and support. Our success in future performance is largely dependent upon our ability to compete successfully in the markets we currently serve and to expand into additional market segments. To remain competitive, we must develop new products, services and applications; periodically enhance our existing offerings and attract and retain key personnel and management. If we are unable to compete successfully, we could lose market share and important customers to our competitors and that could materially adversely affect our results of operations and financial condition.</w:t>
      </w:r>
    </w:p>
    <w:p>
      <w:pPr>
        <w:spacing w:after="0" w:line="141" w:lineRule="exact"/>
        <w:rPr>
          <w:sz w:val="20"/>
          <w:szCs w:val="20"/>
          <w:color w:val="auto"/>
        </w:rPr>
      </w:pPr>
    </w:p>
    <w:p>
      <w:pPr>
        <w:ind w:right="780"/>
        <w:spacing w:after="0" w:line="262" w:lineRule="auto"/>
        <w:rPr>
          <w:sz w:val="20"/>
          <w:szCs w:val="20"/>
          <w:color w:val="auto"/>
        </w:rPr>
      </w:pPr>
      <w:r>
        <w:rPr>
          <w:rFonts w:ascii="Arial" w:cs="Arial" w:eastAsia="Arial" w:hAnsi="Arial"/>
          <w:sz w:val="18"/>
          <w:szCs w:val="18"/>
          <w:b w:val="1"/>
          <w:bCs w:val="1"/>
          <w:i w:val="1"/>
          <w:iCs w:val="1"/>
          <w:color w:val="009CDA"/>
        </w:rPr>
        <w:t>Our profitability is dependent upon our ability to obtain adequate pricing for our products and services and to improve our cost structure.</w:t>
      </w:r>
    </w:p>
    <w:p>
      <w:pPr>
        <w:spacing w:after="0" w:line="135"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Our success depends on our ability to obtain adequate pricing for our products and services which provides a reasonable return to our shareholders. Depending on competitive market factors, future prices we obtain for our products and services may decline from previous levels. In addition, pricing actions to offset the effect of currency devaluations may not prove sufficient to offset further devaluations or may not hold in the face of customer resistance and/or competition. If we are unable to obtain adequate pricing for our products and services, it could materially adversely affect our results of operations and financial condition.</w:t>
      </w:r>
    </w:p>
    <w:p>
      <w:pPr>
        <w:spacing w:after="0" w:line="157"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We continually review our operations with a view towards reducing our cost structure, including but not limited to reducing employee base, exiting certain businesses, improving process and system efficiencies and outsourcing some internal functions. We from time to time engage in restructuring actions to reduce our cost structure. If we are unable to continue to maintain our cost base at or below the current level and maintain process and systems changes resulting from prior restructuring actions, it could materially adversely affect our results of operations and financial condition.</w:t>
      </w:r>
    </w:p>
    <w:p>
      <w:pPr>
        <w:spacing w:after="0" w:line="15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Our ability to sustain and improve profit margins is dependent on a number of factors, including our ability to continue to improve the cost efficiency of our operations through such programs as Lean Six Sigma, the level of pricing pressures on our products and services, the proportion of high-end as opposed to low-end equipment sales, the trend in our post-sale revenue growth and our ability to successfully complete information technology initiatives. If any of these factors adversely materialize or if we are unable to achieve productivity improvements through design efficiency, supplier and manufacturing cost improvements and information technology initiatives, our ability to offset labor cost inflation, potential materials cost increases and competitive price pressures would be impaired, all of which could materially adversely affect our results of operations and financial condition.</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4"/>
          <w:szCs w:val="14"/>
          <w:color w:val="009CDA"/>
        </w:rPr>
        <w:t>Xerox 2010 Form 10-K 22</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9CDA"/>
        </w:rPr>
        <w:t>Our operating results may be negatively impacted by lower equipment placements and usage trends.</w:t>
      </w:r>
    </w:p>
    <w:p>
      <w:pPr>
        <w:spacing w:after="0" w:line="178"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Our ability to maintain a consistent trend of revenue growth over the intermediate to longer term is largely dependent upon expansion of our worldwide equipment placements, as well as sales of services and supplies occurring after the initial equipment placement (post sale revenue) in the key growth markets of digital printing, color and multifunction systems. We expect that revenue growth can be further enhanced through our document management and consulting services in the areas of personalized and product life cycle communications, enterprise managed print services and document content and imaging. The ability to achieve growth in our equipment placements is subject to the successful implementation of our initiatives to provide advanced systems, industry-oriented global solutions and services for major customers, improve direct and indirect sales productivity and expand our indirect distribution channels in the face of global competition and pricing pressures. Our ability to increase post sale revenue is largely dependent on our ability to increase the volume of pages printed, the mix of color pages, equipment utilization and color adoption, as well as our ability to retain a high level of supplies sales in unbundled contracts. Equipment placements typically occur through leases with original terms of three to five years. There will be a lag between the increase in equipment placement and an increase in post sale revenues. The ability to grow our customers’ usage of our products may continue to be adversely impacted by the movement toward distributed printing and electronic substitutes and the impact of lower equipment placements in prior periods. If we are unable to maintain a consistent trend of revenue growth, it could materially adversely affect our results of operations and financial condition.</w:t>
      </w:r>
    </w:p>
    <w:p>
      <w:pPr>
        <w:spacing w:after="0" w:line="319"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b w:val="1"/>
          <w:bCs w:val="1"/>
          <w:i w:val="1"/>
          <w:iCs w:val="1"/>
          <w:color w:val="009CDA"/>
        </w:rPr>
        <w:t>We have outsourced a significant portion of our overall worldwide manufacturing operations and face the risks associated with relying on third-party manufacturers and external suppliers.</w:t>
      </w:r>
    </w:p>
    <w:p>
      <w:pPr>
        <w:spacing w:after="0" w:line="13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have outsourced a significant portion of our overall worldwide manufacturing operations to third parties and various service providers. To the extent that we rely on third-party manufacturing relationships, we face the risk that those manufacturers may not be able to develop manufacturing methods appropriate for our products, they may not be able to quickly respond to changes in customer demand for our products, they may not be able to obtain supplies and materials necessary for the manufacturing process, they may experience labor shortages and/or disruptions, manufacturing costs could be higher than planned and the reliability of our products could decline. If any of these risks were to be realized, and assuming similar third-party manufacturing relationships could not be established, we could experience interruptions in supply or increases in costs that might result in our being unable to meet customer demand for our products, damage our relationships with our customers and reduce our market share, all of which could materially adversely affect our results of operations and financial condition.</w:t>
      </w:r>
    </w:p>
    <w:p>
      <w:pPr>
        <w:spacing w:after="0" w:line="134"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b w:val="1"/>
          <w:bCs w:val="1"/>
          <w:i w:val="1"/>
          <w:iCs w:val="1"/>
          <w:color w:val="009CDA"/>
        </w:rPr>
        <w:t>For our services contracts, we rely to a significant extent on third-party providers, such as subcontractors, a relatively small number of primary software vendors, utility providers and network providers; if they cannot deliver or perform as expected or if our relationships with them are terminated or otherwise change, our business, results of operations and financial condition could be materially adversely affected.</w:t>
      </w:r>
    </w:p>
    <w:p>
      <w:pPr>
        <w:spacing w:after="0" w:line="151"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Our ability to service our customers and clients and deliver and implement solutions depends to a large extent on third-party providers such as subcontractors, a relatively small number of primary software vendors and utility providers and network providers meeting their obligations to us and our expectations in a timely, quality manner. Our business, revenues, profitability and cash flows could be materially and adversely affected and we might incur significant additional liabilities if these third-party providers do not meet these obligations or our expectations or if they terminate or refuse to renew their relationships with us or were to offer their products to us with less advantageous prices and other terms than we previously had. In addition, a number of our facilities are located in jurisdictions outside of the United States where the provision of utility services, including electricity and water, may not be consistently reliable and, while there are backup systems in many of our operating facilities, an extended outage of utility or network services could have a material adverse effect on our operations, revenues, cash flow and profitability.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9CDA"/>
        </w:rPr>
        <w:t>We need to develop and expand the use of color printing and copying.</w:t>
      </w:r>
    </w:p>
    <w:p>
      <w:pPr>
        <w:spacing w:after="0" w:line="17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Increasing the proportion of pages that are printed in color and transitioning color pages currently produced on offset devices to Xerox technology represent key growth opportunities. A significant part of our strategy and ultimate success in this changing market is our ability to develop and market technology that produces color prints and copies quickly, easily, with high quality and at reduced cost. Our continuing success in this strategy depends on our ability to make the investments and commit the necessary resources in this highly competitive market, as well as the pace of color adoption by our existing and prospective customers. If we are unable to develop and market advanced and competitive color technologies or the pace of color adoption by our existing and prospective customers is less than anticipated, or the price of color pages declines at a greater rate and faster pace than we anticipate, we may be unable to capture these opportunities and it could materially adversely affect our results of operations and financial condition.</w:t>
      </w:r>
    </w:p>
    <w:p>
      <w:pPr>
        <w:spacing w:after="0" w:line="137" w:lineRule="exact"/>
        <w:rPr>
          <w:sz w:val="20"/>
          <w:szCs w:val="20"/>
          <w:color w:val="auto"/>
        </w:rPr>
      </w:pPr>
    </w:p>
    <w:p>
      <w:pPr>
        <w:jc w:val="right"/>
        <w:spacing w:after="0"/>
        <w:rPr>
          <w:sz w:val="20"/>
          <w:szCs w:val="20"/>
          <w:color w:val="auto"/>
        </w:rPr>
      </w:pPr>
      <w:r>
        <w:rPr>
          <w:rFonts w:ascii="Arial" w:cs="Arial" w:eastAsia="Arial" w:hAnsi="Arial"/>
          <w:sz w:val="14"/>
          <w:szCs w:val="14"/>
          <w:color w:val="009CDA"/>
        </w:rPr>
        <w:t>Xerox 2010 Form 10-K 23</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9CDA"/>
        </w:rPr>
        <w:t>Our ability to recover capital investments in connection with our contracts is subject to risk.</w:t>
      </w:r>
    </w:p>
    <w:p>
      <w:pPr>
        <w:spacing w:after="0" w:line="17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order to attract and retain large outsourcing contracts, we sometimes make significant capital investments to perform our services under the contract, such as purchases of information technology equipment and costs incurred to develop and implement software. The net book value of such assets recorded, including a portion of our intangible assets, could be impaired, and our earnings and cash flow could be materially adversely affected in the event of the early termination of all or a part of such a contract or the reduction in volumes and services thereunder for reasons such as, among other things, a customer’s or client’s merger or acquisition, divestiture of assets or businesses, business failure or deterioration, or a customer’s or client’s exercise of contract termination rights.</w:t>
      </w:r>
    </w:p>
    <w:p>
      <w:pPr>
        <w:spacing w:after="0" w:line="136"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b w:val="1"/>
          <w:bCs w:val="1"/>
          <w:i w:val="1"/>
          <w:iCs w:val="1"/>
          <w:color w:val="009CDA"/>
        </w:rPr>
        <w:t>If we fail to successfully develop new products and technologies and service offerings and protect our intellectual property rights, we may be unable to retain current customers and gain new customers and our revenues would be reduced.</w:t>
      </w:r>
    </w:p>
    <w:p>
      <w:pPr>
        <w:spacing w:after="0" w:line="135"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The process of developing new high technology products and solutions is inherently complex and uncertain. It requires accurate anticipation of customers’ changing needs and emerging technological trends. We must make long-term investments and commit significant resources before knowing whether these investments will eventually result in products that achieve customer acceptance and generate the revenues required to provide desired returns. In developing these new technologies and products, we rely upon patent, copyright, trademark and trade secret laws in the United States and similar laws in other countries, and agreements with our employees, customers, suppliers and other parties, to establish and maintain our intellectual property rights in technology and products used in our operations. However, the laws of certain countries may not protect our proprietary rights to the same extent as the laws of the United States and we may be unable to protect our proprietary technology adequately against unauthorized third-party copying or use, which could adversely affect our competitive position. In addition, some of our products rely on technologies developed by third parties. We may not be able to obtain or to continue to obtain licenses and technologies from these third parties at all or on reasonable terms, or such third parties may demand cross-licenses to our intellectual property. It is also possible that our intellectual property rights could be challenged, invalidated or circumvented, allowing others to use our intellectual property to our competitive detriment. We also must ensure that all of our products comply with existing and newly enacted applicable regulatory requirements in the countries in which they are sold, particularly European Union environmental directives. If we fail to accurately anticipate and meet our customers’ needs through the development of new products and technologies and service offerings or if we fail to adequately protect our intellectual property rights or if our new products are not widely accepted or if our current or future products fail to meet applicable worldwide regulatory requirements, we could lose market share and customers to our competitors and that could materially adversely affect our results of operations and financial condition.</w:t>
      </w:r>
    </w:p>
    <w:p>
      <w:pPr>
        <w:spacing w:after="0" w:line="32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b w:val="1"/>
          <w:bCs w:val="1"/>
          <w:i w:val="1"/>
          <w:iCs w:val="1"/>
          <w:color w:val="009CDA"/>
        </w:rPr>
        <w:t>Our ability to fund our customer financing activities at economically competitive levels depends on our ability to borrow and the cost of borrowing in the credit markets.</w:t>
      </w:r>
    </w:p>
    <w:p>
      <w:pPr>
        <w:spacing w:after="0" w:line="13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long-term viability and profitability of our customer financing activities is dependent, in part, on our ability to borrow and the cost of borrowing in the credit markets. This ability and cost, in turn, is dependent on our credit ratings and is subject to credit market volatility. We are currently funding our customer financing activity through a combination of cash generated from operations, cash on hand, capital market offerings and other borrowings. Our ability to continue to offer customer financing and be successful in the placement of equipment with customers is largely dependent on our ability to obtain funding at a reasonable cost. If we are unable to continue to offer customer financing, it could materially adversely affect our results of operations and financial condition.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9CDA"/>
        </w:rPr>
        <w:t>Our significant debt could adversely affect our financial health and pose challenges for conducting our business.</w:t>
      </w:r>
    </w:p>
    <w:p>
      <w:pPr>
        <w:spacing w:after="0" w:line="178"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We have and will continue to have a significant amount of debt and other obligations, primarily to support our customer financing activities. As of December 31, 2010, we had $8.6 billion of total debt and a $650 million liability to a subsidiary trust issuing preferred securities. The total value of finance assets, shown on the balance sheet as Finance receivables and On-lease equipment, was $7.2 billion at December 31, 2010. The total cash and cash equivalents was $1.2 billion at December 31, 2010. Our substantial debt and other obligations could have important consequences. For example, it could (i) increase our vulnerability to general adverse economic and industry conditions; (ii) limit our ability to obtain additional financing for future working capital, capital expenditures, acquisitions and other general corporate requirements; (iii) increase our vulnerability to interest rate fluctuations because a portion of our debt has variable interest rates; (iv) require us to dedicate a substantial portion of our cash flows from operations to service debt and other obligations thereby reducing the availability of our cash flows from operations for other purposes; (v) limit our flexibility in planning for, or reacting to, changes in our business and the industry in which we operate; (vi) place us at a competitive disadvantage compared to our competitors that have less debt; and (vii) become due and payable upon a change in control. If new debt is added to our current debt levels, these related risks could increase.</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4"/>
          <w:szCs w:val="14"/>
          <w:color w:val="009CDA"/>
        </w:rPr>
        <w:t>Xerox 2010 Form 10-K 24</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b w:val="1"/>
          <w:bCs w:val="1"/>
          <w:i w:val="1"/>
          <w:iCs w:val="1"/>
          <w:color w:val="009CDA"/>
        </w:rPr>
        <w:t>We need to maintain adequate liquidity in order to have sufficient cash to meet operating cash flow requirements, repay maturing debt and meet other financial obligations, such as payment of dividends to the extent declared by our Board of Directors. If we fail to comply with the covenants contained in our various borrowing agreements, it may adversely affect our liquidity, results of operations and financial condition.</w:t>
      </w:r>
    </w:p>
    <w:p>
      <w:pPr>
        <w:spacing w:after="0" w:line="151"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Our liquidity is a function of our ability to successfully generate cash flows from a combination of efficient operations and improvement therein, access to capital markets and funding from third parties. As of December 31, 2010, total cash and cash equivalents was $1.2 billion, and our borrowing capacity under our Credit Facility was $2.0 billion, reflecting no outstanding borrowings or letters of credit. We believe our liquidity (including operating and other cash flows that we expect to generate) will be sufficient to meet operating requirements as they occur; however, our ability to maintain sufficient liquidity going forward depends on our ability to generate cash from operations and access to the capital markets and funding from third parties, all of which are subject to general economic, financial, competitive, legislative, regulatory and other market factors that are beyond our control.</w:t>
      </w:r>
    </w:p>
    <w:p>
      <w:pPr>
        <w:spacing w:after="0" w:line="155"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color w:val="auto"/>
        </w:rPr>
        <w:t>The Credit Facility contains affirmative and negative covenants including limitations on: (i) liens of Xerox and certain of our subsidiaries securing debt; (ii) certain fundamental changes to corporate structure; (iii) changes in nature of business and (iv) limitations on debt incurred by certain subsidiaries. The Credit Facility contains financial maintenance covenants, including maximum leverage (debt for borrowed money divided by consolidated EBITDA, as defined) and a minimum interest coverage ratio (consolidated EBITDA divided by consolidated interest expense, as defined). The indentures governing our outstanding senior notes contain affirmative and negative covenants including limitations on: issuance of secured debt and preferred stock; investments and acquisitions; mergers; certain transactions with affiliates; creation of liens; asset transfers; hedging transactions; payment of dividends and certain other payments. They do not, however, contain any financial maintenance covenants, except the fixed charge coverage ratio applicable to certain types of payments. Some of the covenants under our senior notes are suspended while we are rated investment grade.</w:t>
      </w:r>
    </w:p>
    <w:p>
      <w:pPr>
        <w:spacing w:after="0" w:line="161"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At December 31, 2010, we were in full compliance with the covenants and other provisions of the Credit Facility and the senior notes. Failure to comply with material provisions of or covenants in the Credit Facility or the senior notes could have a material adverse effect on our liquidity, results of operations and financial condition.</w:t>
      </w:r>
    </w:p>
    <w:p>
      <w:pPr>
        <w:spacing w:after="0" w:line="134"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i w:val="1"/>
          <w:iCs w:val="1"/>
          <w:color w:val="009CDA"/>
        </w:rPr>
        <w:t>We need to successfully execute the transition of Affiliated Computer Services, Inc. in order to realize all of the anticipated benefits from the transaction.</w:t>
      </w:r>
    </w:p>
    <w:p>
      <w:pPr>
        <w:spacing w:after="0" w:line="13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Our ability to realize the anticipated benefits of the Affiliated Computer Services, Inc. (“ACS”) acquisition is subject to certain risks including, but not limited to, the risks that: the future business operations of ACS will not be successful; customer retention, cost synergies and revenue expansion goals for the ACS transaction will not be met; and disruptions from the ACS transaction will harm relationships with customers, employees and suppliers.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9CDA"/>
        </w:rPr>
        <w:t>Our business, results of operations and financial condition may be negatively impacted by legal and regulatory matters.</w:t>
      </w:r>
    </w:p>
    <w:p>
      <w:pPr>
        <w:spacing w:after="0" w:line="17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We have various contingent liabilities that are not reflected on our balance sheet, including those arising as a result of being involved in a variety of claims, lawsuits, investigations and proceedings concerning securities law, intellectual property law, environmental law, employment law and the Employee Retirement Income Security Act (“ERISA”), as discussed in the “Contingencies” note in the Consolidated Financial Statements. Should developments in any of these matters cause a change in our determination as to an unfavorable outcome and result in the need to recognize a material accrual, or should any of these matters result in a final adverse judgment or be settled for significant amounts, they could have a material adverse effect on our results of operations, cash flows and financial position in the period or periods in which such change in determination, judgment or settlement occurs.</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4"/>
          <w:szCs w:val="14"/>
          <w:color w:val="009CDA"/>
        </w:rPr>
        <w:t>Xerox 2010 Form 10-K 25</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Our operations and our products are subject to environmental regulations in each of the jurisdictions in which we conduct our business and sell our products. Some of our manufacturing operations use, and some of our products contain, substances that are regulated in various jurisdictions. For example, various countries and jurisdictions have adopted or are expected to adopt restrictions on the types and amounts of chemicals that may be present in electronic equipment or other items that we use or sell. If we do not comply with applicable rules and regulations in connection with the use of such substances and the sale of products containing such substances, then we could be subject to liability and could be prohibited from selling our products, which could have a material adverse effect on our results of operations and financial condition. Further, various countries and jurisdictions have adopted or are expected to adopt, programs that make producers of electrical goods, including computers and printers, responsible for certain labeling, collection, recycling, treatment and disposal of these recovered products. If we are unable to collect, recycle, treat and dispose of our products in a cost-effective manner and in accordance with applicable requirements, it could materially adversely affect our results of operations and financial condition. Other potentially relevant initiatives throughout the world include proposals for more extensive chemical registration requirements and/or possible bans on the use of certain chemicals, various efforts to limit energy use in products, and other environmentally related programs impacting products and operations, such as those associated with climate change accords, agreements and regulations. For example, the European Union’s Energy-Using Products Directive (“EUP”) is expected to lead to the adoption of “implementing measures” intended to require certain classes of products to achieve certain design and/or performance standards, in connection with energy use and potentially other environmental parameters and impacts. It is possible that some or all of our products may be required to comply with EUP implementing measures. Another example is the European Union “REACH” Regulation (Registration, Evaluation, Authorization and Restriction of Chemicals), a broad initiative that will require parties throughout the supply chain to register, assess and disclose information regarding many chemicals in their products. Depending on the types, applications, forms and uses of chemical substances in various products, REACH could lead to restrictions and/or bans on certain chemical usage. Xerox continues its efforts toward monitoring and evaluating the applicability of these and numerous other regulatory initiatives in an effort to develop compliance strategies. As these and similar initiatives and programs become regulatory requirements throughout the world and/or are adopted as public or private procurement requirements, we must comply or potentially face market access limitations that could have a material adverse affect on our operations and financial condition.</w:t>
      </w:r>
    </w:p>
    <w:p>
      <w:pPr>
        <w:spacing w:after="0" w:line="333"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b w:val="1"/>
          <w:bCs w:val="1"/>
          <w:i w:val="1"/>
          <w:iCs w:val="1"/>
          <w:color w:val="009CDA"/>
        </w:rPr>
        <w:t>Our government contracts are subject to termination rights, audits and investigations, which, if exercised, could negatively impact our reputation and reduce our ability to compete for new contracts.</w:t>
      </w:r>
    </w:p>
    <w:p>
      <w:pPr>
        <w:spacing w:after="0" w:line="135" w:lineRule="exact"/>
        <w:rPr>
          <w:sz w:val="20"/>
          <w:szCs w:val="20"/>
          <w:color w:val="auto"/>
        </w:rPr>
      </w:pPr>
    </w:p>
    <w:p>
      <w:pPr>
        <w:ind w:right="120"/>
        <w:spacing w:after="0" w:line="267" w:lineRule="auto"/>
        <w:rPr>
          <w:sz w:val="20"/>
          <w:szCs w:val="20"/>
          <w:color w:val="auto"/>
        </w:rPr>
      </w:pPr>
      <w:r>
        <w:rPr>
          <w:rFonts w:ascii="Arial" w:cs="Arial" w:eastAsia="Arial" w:hAnsi="Arial"/>
          <w:sz w:val="16"/>
          <w:szCs w:val="16"/>
          <w:color w:val="auto"/>
        </w:rPr>
        <w:t>A significant portion of our revenues are derived from contracts with U.S. federal, state and local governments and their agencies, as well as international governments and their agencies. Governments and their agencies may have the right to terminate many of these contracts at any time without cause. These contracts, upon their expiration or termination, are typically subject to a bidding process in which Xerox may not be successful. Also, our contracts with governmental entities are generally subject to the approval of annual appropriations by the United States Congress or other legislative/governing bodies to fund the expenditures of the governmental entities under those contracts. Additionally, government contracts are generally subject to audits and investigations by government agencies. If the government finds that we improperly charged any costs to a contract, the costs are not reimbursable or, if already reimbursed, the cost must be refunded to the government. If the government discovers improper or illegal activities in the course of audits or investigations, we may be subject to various civil and criminal penalties and administrative sanctions, which may include termination of contracts, forfeiture of profits, suspension of payments, fines and suspensions or debarment from doing business with the government. Any resulting penalties or sanctions could have a material adverse effect on our business, financial condition, results of operations and cash flows. Further, the negative publicity that arises from findings in such audits, investigations or the penalties or sanctions therefore could have an adverse effect on our reputation in the industry and reduce our ability to compete for new contracts and may also have a material adverse effect on our business, financial condition, results of operations and cash flow.</w:t>
      </w:r>
    </w:p>
    <w:p>
      <w:pPr>
        <w:spacing w:after="0" w:line="322" w:lineRule="exact"/>
        <w:rPr>
          <w:sz w:val="20"/>
          <w:szCs w:val="20"/>
          <w:color w:val="auto"/>
        </w:rPr>
      </w:pPr>
    </w:p>
    <w:p>
      <w:pPr>
        <w:jc w:val="right"/>
        <w:spacing w:after="0"/>
        <w:rPr>
          <w:sz w:val="20"/>
          <w:szCs w:val="20"/>
          <w:color w:val="auto"/>
        </w:rPr>
      </w:pPr>
      <w:r>
        <w:rPr>
          <w:rFonts w:ascii="Arial" w:cs="Arial" w:eastAsia="Arial" w:hAnsi="Arial"/>
          <w:sz w:val="14"/>
          <w:szCs w:val="14"/>
          <w:color w:val="009CDA"/>
        </w:rPr>
        <w:t>Xerox 2010 Form 10-K 26</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b w:val="1"/>
          <w:bCs w:val="1"/>
          <w:i w:val="1"/>
          <w:iCs w:val="1"/>
          <w:color w:val="009CDA"/>
        </w:rPr>
        <w:t>We are subject to United States and foreign jurisdiction laws relating to individually identifiable information, and failure to comply with those laws, whether or not inadvertent, could subject us to legal actions and negatively impact our operations.</w:t>
      </w:r>
    </w:p>
    <w:p>
      <w:pPr>
        <w:spacing w:after="0" w:line="135"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We process, transmit and store information relating to identifiable individuals, both in our role as a service provider and as an employer. As a result, we are subject to numerous United States (both federal and state) and foreign jurisdiction laws and regulations designed to protect individually identifiable information, including social security numbers, financial and health information. For example, in 1996, Congress passed the Health Insurance Portability and Accountability Act and as required therein, the Department of Health and Human Services established regulations governing, among other things, the privacy, security and electronic transmission of individually identifiable health information. We have taken measures to comply with each of those regulations on or before the required dates. Another example is the European Union Directive on Data Protection, entitled “Directive 95/46/EC of the European Parliament and of the Council of 24 October 1995 on the protection of individuals with regard to the processing of personal data and on the free movement of such data.” We have also taken steps to address the requirements of that Directive. Other United States (both federal and state) and foreign jurisdiction laws apply to the processing of individually identifiable information as well and additional legislation may be enacted at any time. Failure to comply with these types of laws may subject us to, among other things, liability for monetary damages, fines and/or criminal prosecution, unfavorable publicity, restrictions on our ability to process information and allegations by our customers and clients that we have not performed our contractual obligations, any of which may have a material adverse effect on our profitability and cash flow.</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9CDA"/>
        </w:rPr>
        <w:t>We are subject to breach of our security systems.</w:t>
      </w:r>
    </w:p>
    <w:p>
      <w:pPr>
        <w:spacing w:after="0" w:line="178"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We have implemented security systems with the intent of maintaining the physical security of our facilities and protecting our, our customers’ and clients’ and our suppliers’ confidential information and information related to identifiable individuals against unauthorized access through our information systems or by other electronic transmission or through the misdirection, theft or loss of physical media. These include, for example, the appropriate encryption of information. Despite such efforts, we are subject to breach of security systems which may result in unauthorized access to our facilities and/or the information we are trying to protect. If unauthorized parties gain physical access to one of our facilities or electronic access to our information systems or such information is misdirected, lost or stolen during transmission or transport, any theft or misuse of such information could result in, among other things, unfavorable publicity, governmental inquiry and oversight, difficulty in marketing our services, allegations by our customers and clients that we have not performed our contractual obligations, litigation by affected parties and possible financial obligations for damages related to the theft or misuse of such information, any of which could have a material adverse effect on our profitability and cash flow.</w:t>
      </w:r>
    </w:p>
    <w:p>
      <w:pPr>
        <w:spacing w:after="0" w:line="247"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color w:val="009CDA"/>
        </w:rPr>
        <w:t>ITEM 1B.</w:t>
      </w:r>
      <w:r>
        <w:rPr>
          <w:sz w:val="20"/>
          <w:szCs w:val="20"/>
          <w:color w:val="auto"/>
        </w:rPr>
        <w:tab/>
      </w:r>
      <w:r>
        <w:rPr>
          <w:rFonts w:ascii="Arial" w:cs="Arial" w:eastAsia="Arial" w:hAnsi="Arial"/>
          <w:sz w:val="21"/>
          <w:szCs w:val="21"/>
          <w:b w:val="1"/>
          <w:bCs w:val="1"/>
          <w:color w:val="009CDA"/>
        </w:rPr>
        <w:t>UNRESOLVED STAFF COMMENTS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3"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color w:val="009CDA"/>
        </w:rPr>
        <w:t>ITEM 2.</w:t>
      </w:r>
      <w:r>
        <w:rPr>
          <w:sz w:val="20"/>
          <w:szCs w:val="20"/>
          <w:color w:val="auto"/>
        </w:rPr>
        <w:tab/>
      </w:r>
      <w:r>
        <w:rPr>
          <w:rFonts w:ascii="Arial" w:cs="Arial" w:eastAsia="Arial" w:hAnsi="Arial"/>
          <w:sz w:val="21"/>
          <w:szCs w:val="21"/>
          <w:b w:val="1"/>
          <w:bCs w:val="1"/>
          <w:color w:val="009CDA"/>
        </w:rPr>
        <w:t>PROPERTIES</w:t>
      </w:r>
    </w:p>
    <w:p>
      <w:pPr>
        <w:spacing w:after="0" w:line="188"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We own several manufacturing, engineering and research facilities and lease other facilities. Our principal manufacturing and engineering facilities, located in New York, California, Oklahoma, Oregon, Canada, U.K., Ireland and the Netherlands, are used primarily by the Technology Segment. Our principal research facilities are located in California, New York, Canada, France and the U.K. The research activities in our principal research centers benefit all of our operating segments. Our Corporate Headquaters is a leased facility located in Norwalk, Connecticut.</w:t>
      </w:r>
    </w:p>
    <w:p>
      <w:pPr>
        <w:spacing w:after="0" w:line="129"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As a result of implementing our restructuring programs, (refer to Note 9 - Restructuring and Asset Impairment Charges in the Consolidated Financial Statements in our 2010 Annual Report, incorporated by reference), several leased and owned properties became surplus. As of December 31, 2010, the surplus portions of our Dundalk, Ireland facility were sold and the Oklahoma City, OK manufacturing plant was removed from surplus and placed back into operation. A portion of the Oklahoma facility is used as an ACS Call Center and we are developing plans for the balance of the facility. We are obligated to maintain our leased surplus properties through required contractual periods. With respect to United States properties, as of December 31, 2010, we are marketing 12 surplus leased facilities totaling 533,386 square feet. During 2010, the largest surplus leased site in Monrovia, California was subleased.</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4"/>
          <w:szCs w:val="14"/>
          <w:color w:val="009CDA"/>
        </w:rPr>
        <w:t>Xerox 2010 Form 10-K 27</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240"/>
        <w:spacing w:after="0" w:line="238" w:lineRule="auto"/>
        <w:rPr>
          <w:sz w:val="20"/>
          <w:szCs w:val="20"/>
          <w:color w:val="auto"/>
        </w:rPr>
      </w:pPr>
      <w:r>
        <w:rPr>
          <w:rFonts w:ascii="Arial" w:cs="Arial" w:eastAsia="Arial" w:hAnsi="Arial"/>
          <w:sz w:val="18"/>
          <w:szCs w:val="18"/>
          <w:color w:val="auto"/>
        </w:rPr>
        <w:t>We also own or lease numerous facilities globally, which house general offices, sales offices, service locations and distributions centers. It is our opinion that our properties have been well maintained, are in sound operating condition and contain all the necessary equipment and facilities to perform their functions. We believe that our current facilities are suitable and adequate for our current businesses.</w:t>
      </w:r>
    </w:p>
    <w:p>
      <w:pPr>
        <w:spacing w:after="0" w:line="154"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In February 2010, we acquired Affiliated Computer Services, Inc. (“ACS”). As a result of this acquisition and subsequent 2010 business transactions, we added 533 locations comprising 11.3 million square feet of owned and leased property. The owned property consists of 23 locations for 1.2 million square feet in Texas, North Carolina, South Carolina, Kentucky, Illinois, Ohio, Mississippi, Mexico and France. The largest owned facility is the ACS headquarters complex located in Dallas, Texas, consisting of approximately 600,000 square feet, which also houses a data center and other operations. The leased property consists of 510 locations for 10.1 million square feet in numerous locations throughout the world. The leases have terms through 2029 and we do not anticipate any significant difficulty in obtaining lease renewals or alternate space. The ACS owned and leased space is used for general office, data centers and call center purposes principally in our Services segment operations. During 2010, we completed 31 Xerox and ACS consolidation projects to optimize our property portfolio.</w:t>
      </w:r>
    </w:p>
    <w:p>
      <w:pPr>
        <w:spacing w:after="0" w:line="159"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color w:val="009CDA"/>
        </w:rPr>
        <w:t>ITEM 3.</w:t>
      </w:r>
      <w:r>
        <w:rPr>
          <w:sz w:val="20"/>
          <w:szCs w:val="20"/>
          <w:color w:val="auto"/>
        </w:rPr>
        <w:tab/>
      </w:r>
      <w:r>
        <w:rPr>
          <w:rFonts w:ascii="Arial" w:cs="Arial" w:eastAsia="Arial" w:hAnsi="Arial"/>
          <w:sz w:val="21"/>
          <w:szCs w:val="21"/>
          <w:b w:val="1"/>
          <w:bCs w:val="1"/>
          <w:color w:val="009CDA"/>
        </w:rPr>
        <w:t>LEGAL PROCEEDINGS</w:t>
      </w:r>
    </w:p>
    <w:p>
      <w:pPr>
        <w:spacing w:after="0" w:line="188"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information set forth under the “Contingencies” note in the Consolidated Financial Statements, of the Xerox Corporation 2010 Annual Report is hereby incorporated by reference.</w:t>
      </w:r>
    </w:p>
    <w:p>
      <w:pPr>
        <w:spacing w:after="0" w:line="199" w:lineRule="exact"/>
        <w:rPr>
          <w:sz w:val="20"/>
          <w:szCs w:val="20"/>
          <w:color w:val="auto"/>
        </w:rPr>
      </w:pPr>
    </w:p>
    <w:p>
      <w:pPr>
        <w:spacing w:after="0"/>
        <w:rPr>
          <w:sz w:val="20"/>
          <w:szCs w:val="20"/>
          <w:color w:val="auto"/>
        </w:rPr>
      </w:pPr>
      <w:r>
        <w:rPr>
          <w:rFonts w:ascii="Arial" w:cs="Arial" w:eastAsia="Arial" w:hAnsi="Arial"/>
          <w:sz w:val="24"/>
          <w:szCs w:val="24"/>
          <w:b w:val="1"/>
          <w:bCs w:val="1"/>
          <w:color w:val="009CDA"/>
        </w:rPr>
        <w:t>PART II</w:t>
      </w:r>
    </w:p>
    <w:p>
      <w:pPr>
        <w:spacing w:after="0" w:line="212" w:lineRule="exact"/>
        <w:rPr>
          <w:sz w:val="20"/>
          <w:szCs w:val="20"/>
          <w:color w:val="auto"/>
        </w:rPr>
      </w:pPr>
    </w:p>
    <w:p>
      <w:pPr>
        <w:ind w:left="1140" w:right="300" w:hanging="1133"/>
        <w:spacing w:after="0" w:line="261" w:lineRule="auto"/>
        <w:tabs>
          <w:tab w:leader="none" w:pos="1120" w:val="left"/>
        </w:tabs>
        <w:rPr>
          <w:sz w:val="20"/>
          <w:szCs w:val="20"/>
          <w:color w:val="auto"/>
        </w:rPr>
      </w:pPr>
      <w:r>
        <w:rPr>
          <w:rFonts w:ascii="Arial" w:cs="Arial" w:eastAsia="Arial" w:hAnsi="Arial"/>
          <w:sz w:val="22"/>
          <w:szCs w:val="22"/>
          <w:b w:val="1"/>
          <w:bCs w:val="1"/>
          <w:color w:val="009CDA"/>
        </w:rPr>
        <w:t>ITEM 5.</w:t>
      </w:r>
      <w:r>
        <w:rPr>
          <w:sz w:val="20"/>
          <w:szCs w:val="20"/>
          <w:color w:val="auto"/>
        </w:rPr>
        <w:tab/>
      </w:r>
      <w:r>
        <w:rPr>
          <w:rFonts w:ascii="Arial" w:cs="Arial" w:eastAsia="Arial" w:hAnsi="Arial"/>
          <w:sz w:val="22"/>
          <w:szCs w:val="22"/>
          <w:b w:val="1"/>
          <w:bCs w:val="1"/>
          <w:color w:val="009CDA"/>
        </w:rPr>
        <w:t>MARKET FOR THE REGISTRANT’S COMMON EQUITY, RELATED STOCKHOLDER MATTERS AND ISSUER PURCHASES OF EQUITY SECURITIES</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009CDA"/>
        </w:rPr>
        <w:t>Market Information, Holders and Dividends</w:t>
      </w:r>
    </w:p>
    <w:p>
      <w:pPr>
        <w:spacing w:after="0" w:line="107" w:lineRule="exact"/>
        <w:rPr>
          <w:sz w:val="20"/>
          <w:szCs w:val="20"/>
          <w:color w:val="auto"/>
        </w:rPr>
      </w:pPr>
    </w:p>
    <w:p>
      <w:pPr>
        <w:ind w:left="460" w:right="180"/>
        <w:spacing w:after="0" w:line="239" w:lineRule="auto"/>
        <w:rPr>
          <w:sz w:val="20"/>
          <w:szCs w:val="20"/>
          <w:color w:val="auto"/>
        </w:rPr>
      </w:pPr>
      <w:r>
        <w:rPr>
          <w:rFonts w:ascii="Arial" w:cs="Arial" w:eastAsia="Arial" w:hAnsi="Arial"/>
          <w:sz w:val="18"/>
          <w:szCs w:val="18"/>
          <w:color w:val="auto"/>
        </w:rPr>
        <w:t>The information set forth under the following captions of the Xerox Corporation 2010 Annual Report to Shareholders is hereby incorporated by reference:</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 Exchange Information</w:t>
      </w:r>
    </w:p>
    <w:p>
      <w:pPr>
        <w:ind w:left="460"/>
        <w:spacing w:after="0" w:line="234" w:lineRule="auto"/>
        <w:rPr>
          <w:sz w:val="20"/>
          <w:szCs w:val="20"/>
          <w:color w:val="auto"/>
        </w:rPr>
      </w:pPr>
      <w:r>
        <w:rPr>
          <w:rFonts w:ascii="Arial" w:cs="Arial" w:eastAsia="Arial" w:hAnsi="Arial"/>
          <w:sz w:val="18"/>
          <w:szCs w:val="18"/>
          <w:color w:val="auto"/>
        </w:rPr>
        <w:t>Xerox Common Stock Prices and Dividends</w:t>
      </w:r>
    </w:p>
    <w:p>
      <w:pPr>
        <w:ind w:left="460"/>
        <w:spacing w:after="0" w:line="235" w:lineRule="auto"/>
        <w:rPr>
          <w:sz w:val="20"/>
          <w:szCs w:val="20"/>
          <w:color w:val="auto"/>
        </w:rPr>
      </w:pPr>
      <w:r>
        <w:rPr>
          <w:rFonts w:ascii="Arial" w:cs="Arial" w:eastAsia="Arial" w:hAnsi="Arial"/>
          <w:sz w:val="18"/>
          <w:szCs w:val="18"/>
          <w:color w:val="auto"/>
        </w:rPr>
        <w:t>Five Years in Review – Common Shareholders of Record at Year-End</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Performance Graph</w:t>
      </w:r>
    </w:p>
    <w:p>
      <w:pPr>
        <w:spacing w:after="0" w:line="163" w:lineRule="exact"/>
        <w:rPr>
          <w:sz w:val="20"/>
          <w:szCs w:val="20"/>
          <w:color w:val="auto"/>
        </w:rPr>
      </w:pPr>
    </w:p>
    <w:p>
      <w:pPr>
        <w:ind w:left="580" w:hanging="572"/>
        <w:spacing w:after="0"/>
        <w:tabs>
          <w:tab w:leader="none" w:pos="580" w:val="left"/>
        </w:tabs>
        <w:numPr>
          <w:ilvl w:val="0"/>
          <w:numId w:val="27"/>
        </w:numPr>
        <w:rPr>
          <w:rFonts w:ascii="Arial" w:cs="Arial" w:eastAsia="Arial" w:hAnsi="Arial"/>
          <w:sz w:val="22"/>
          <w:szCs w:val="22"/>
          <w:b w:val="1"/>
          <w:bCs w:val="1"/>
          <w:color w:val="009CDA"/>
        </w:rPr>
      </w:pPr>
      <w:r>
        <w:rPr>
          <w:rFonts w:ascii="Arial" w:cs="Arial" w:eastAsia="Arial" w:hAnsi="Arial"/>
          <w:sz w:val="22"/>
          <w:szCs w:val="22"/>
          <w:b w:val="1"/>
          <w:bCs w:val="1"/>
          <w:color w:val="009CDA"/>
        </w:rPr>
        <w:t>Sales of Unregistered Securities During the Quarter ended December 31, 2010</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quarter ended December 31, 2010, Registrant issued the following securities in transactions that were not registered under the</w:t>
      </w:r>
    </w:p>
    <w:p>
      <w:pPr>
        <w:ind w:left="460"/>
        <w:spacing w:after="0"/>
        <w:rPr>
          <w:sz w:val="20"/>
          <w:szCs w:val="20"/>
          <w:color w:val="auto"/>
        </w:rPr>
      </w:pPr>
      <w:r>
        <w:rPr>
          <w:rFonts w:ascii="Arial" w:cs="Arial" w:eastAsia="Arial" w:hAnsi="Arial"/>
          <w:sz w:val="18"/>
          <w:szCs w:val="18"/>
          <w:color w:val="auto"/>
        </w:rPr>
        <w:t>Securities Act of 1933, as amended (the “Act”):</w:t>
      </w:r>
    </w:p>
    <w:p>
      <w:pPr>
        <w:spacing w:after="0" w:line="2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009CDA"/>
        </w:rPr>
        <w:t>Dividend Equivalents:</w:t>
      </w:r>
    </w:p>
    <w:p>
      <w:pPr>
        <w:spacing w:after="0" w:line="99" w:lineRule="exact"/>
        <w:rPr>
          <w:sz w:val="20"/>
          <w:szCs w:val="20"/>
          <w:color w:val="auto"/>
        </w:rPr>
      </w:pPr>
    </w:p>
    <w:p>
      <w:pPr>
        <w:ind w:left="900" w:right="40" w:hanging="446"/>
        <w:spacing w:after="0" w:line="239"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Securities issued on October 31, 2010: Registrant issued 1,703 deferred stock units (“DSU”), representing the right to receive shares of Common Stock, par value $1 per share, at a future date.</w:t>
      </w:r>
    </w:p>
    <w:p>
      <w:pPr>
        <w:spacing w:after="0" w:line="73" w:lineRule="exact"/>
        <w:rPr>
          <w:rFonts w:ascii="Arial" w:cs="Arial" w:eastAsia="Arial" w:hAnsi="Arial"/>
          <w:sz w:val="18"/>
          <w:szCs w:val="18"/>
          <w:color w:val="auto"/>
        </w:rPr>
      </w:pPr>
    </w:p>
    <w:p>
      <w:pPr>
        <w:jc w:val="both"/>
        <w:ind w:left="900" w:right="240" w:hanging="446"/>
        <w:spacing w:after="0" w:line="299"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No underwriters participated. The shares were issued to each of the non-employee Directors of Registrant: Glenn A. Britt, Richard J. Harrington, William Curt Hunter, Robert A. McDonald, N. J. Nicholas, Jr., Charles Prince, Ann N. Reese and Mary Agnes Wilderotter.</w:t>
      </w:r>
    </w:p>
    <w:p>
      <w:pPr>
        <w:spacing w:after="0" w:line="27" w:lineRule="exact"/>
        <w:rPr>
          <w:rFonts w:ascii="Arial" w:cs="Arial" w:eastAsia="Arial" w:hAnsi="Arial"/>
          <w:sz w:val="16"/>
          <w:szCs w:val="16"/>
          <w:color w:val="auto"/>
        </w:rPr>
      </w:pPr>
    </w:p>
    <w:p>
      <w:pPr>
        <w:ind w:left="900" w:right="280" w:hanging="446"/>
        <w:spacing w:after="0" w:line="23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DSUs were issued at a deemed purchase price of $10.395 per DSU (aggregate price $17,703), based upon the market value of our Common Stock on the date of record, in payment of the dividend equivalents due to DSU holders pursuant to Registrant’s 2004 Equity Compensation Plan for Non-Employee Directors.</w:t>
      </w:r>
    </w:p>
    <w:p>
      <w:pPr>
        <w:spacing w:after="0" w:line="72"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Exemption from registration under the Act was claimed based upon Section 4(2) as a sale by an issuer not involving a public offering.</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4"/>
          <w:szCs w:val="14"/>
          <w:color w:val="009CDA"/>
        </w:rPr>
        <w:t>Xerox 2010 Form 10-K 28</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580" w:right="640" w:hanging="572"/>
        <w:spacing w:after="0" w:line="261" w:lineRule="auto"/>
        <w:tabs>
          <w:tab w:leader="none" w:pos="580" w:val="left"/>
        </w:tabs>
        <w:numPr>
          <w:ilvl w:val="0"/>
          <w:numId w:val="29"/>
        </w:numPr>
        <w:rPr>
          <w:rFonts w:ascii="Arial" w:cs="Arial" w:eastAsia="Arial" w:hAnsi="Arial"/>
          <w:sz w:val="22"/>
          <w:szCs w:val="22"/>
          <w:b w:val="1"/>
          <w:bCs w:val="1"/>
          <w:color w:val="009CDA"/>
        </w:rPr>
      </w:pPr>
      <w:r>
        <w:rPr>
          <w:rFonts w:ascii="Arial" w:cs="Arial" w:eastAsia="Arial" w:hAnsi="Arial"/>
          <w:sz w:val="22"/>
          <w:szCs w:val="22"/>
          <w:b w:val="1"/>
          <w:bCs w:val="1"/>
          <w:color w:val="009CDA"/>
        </w:rPr>
        <w:t>Issuer Purchases of Equity Securities during the Quarter ended December 31, 2010 Repurchases of Xerox Common Stock, par value $1.00 per Share</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009CDA"/>
        </w:rPr>
        <w:t>Board Authorized Share Repurchase Programs: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did not purchase Common stock during the fourth quarter or full year 2010.</w:t>
      </w:r>
    </w:p>
    <w:p>
      <w:pPr>
        <w:spacing w:after="0" w:line="158" w:lineRule="exact"/>
        <w:rPr>
          <w:sz w:val="20"/>
          <w:szCs w:val="20"/>
          <w:color w:val="auto"/>
        </w:rPr>
      </w:pPr>
    </w:p>
    <w:p>
      <w:pPr>
        <w:ind w:left="460" w:right="40"/>
        <w:spacing w:after="0" w:line="237" w:lineRule="auto"/>
        <w:rPr>
          <w:sz w:val="20"/>
          <w:szCs w:val="20"/>
          <w:color w:val="auto"/>
        </w:rPr>
      </w:pPr>
      <w:r>
        <w:rPr>
          <w:rFonts w:ascii="Arial" w:cs="Arial" w:eastAsia="Arial" w:hAnsi="Arial"/>
          <w:sz w:val="18"/>
          <w:szCs w:val="18"/>
          <w:color w:val="auto"/>
        </w:rPr>
        <w:t>Of the cumulative $4.5 billion of share repurchase authority previously granted by our Board of Directors, exclusive of fees and expenses, approximately $2.9 billion has been used through December 31, 2010. Repurchases may be made on the open market, or through derivative or negotiated transactions. Open-market repurchases will be made in compliance with the SEC’s Rule 10b-18, and are subject to market conditions, as well as applicable legal and other considerations.</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009CDA"/>
        </w:rPr>
        <w:t xml:space="preserve">Repurchases Related to Stock Compensation Programs </w:t>
      </w:r>
      <w:r>
        <w:rPr>
          <w:rFonts w:ascii="Arial" w:cs="Arial" w:eastAsia="Arial" w:hAnsi="Arial"/>
          <w:sz w:val="11"/>
          <w:szCs w:val="11"/>
          <w:b w:val="1"/>
          <w:bCs w:val="1"/>
          <w:color w:val="009CDA"/>
        </w:rPr>
        <w:t>(1)</w:t>
      </w:r>
      <w:r>
        <w:rPr>
          <w:rFonts w:ascii="Arial" w:cs="Arial" w:eastAsia="Arial" w:hAnsi="Arial"/>
          <w:sz w:val="18"/>
          <w:szCs w:val="18"/>
          <w:b w:val="1"/>
          <w:bCs w:val="1"/>
          <w:color w:val="009CDA"/>
        </w:rPr>
        <w:t>:</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Maximum Number (or</w:t>
            </w:r>
          </w:p>
        </w:tc>
      </w:tr>
      <w:tr>
        <w:trPr>
          <w:trHeight w:val="149"/>
        </w:trPr>
        <w:tc>
          <w:tcPr>
            <w:tcW w:w="3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5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Approximate Dollar</w:t>
            </w:r>
          </w:p>
        </w:tc>
      </w:tr>
      <w:tr>
        <w:trPr>
          <w:trHeight w:val="149"/>
        </w:trPr>
        <w:tc>
          <w:tcPr>
            <w:tcW w:w="3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18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w w:val="94"/>
              </w:rPr>
              <w:t>Total Number of Shares</w:t>
            </w:r>
          </w:p>
        </w:tc>
        <w:tc>
          <w:tcPr>
            <w:tcW w:w="15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Value) of Shares That</w:t>
            </w:r>
          </w:p>
        </w:tc>
      </w:tr>
      <w:tr>
        <w:trPr>
          <w:trHeight w:val="149"/>
        </w:trPr>
        <w:tc>
          <w:tcPr>
            <w:tcW w:w="3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1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6"/>
              </w:rPr>
              <w:t>Purchased as Part of</w:t>
            </w:r>
          </w:p>
        </w:tc>
        <w:tc>
          <w:tcPr>
            <w:tcW w:w="15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May Yet Be</w:t>
            </w:r>
          </w:p>
        </w:tc>
      </w:tr>
      <w:tr>
        <w:trPr>
          <w:trHeight w:val="138"/>
        </w:trPr>
        <w:tc>
          <w:tcPr>
            <w:tcW w:w="3120" w:type="dxa"/>
            <w:vAlign w:val="bottom"/>
          </w:tcPr>
          <w:p>
            <w:pPr>
              <w:spacing w:after="0"/>
              <w:rPr>
                <w:sz w:val="12"/>
                <w:szCs w:val="12"/>
                <w:color w:val="auto"/>
              </w:rPr>
            </w:pPr>
          </w:p>
        </w:tc>
        <w:tc>
          <w:tcPr>
            <w:tcW w:w="184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Total Number of</w:t>
            </w:r>
          </w:p>
        </w:tc>
        <w:tc>
          <w:tcPr>
            <w:tcW w:w="1220" w:type="dxa"/>
            <w:vAlign w:val="bottom"/>
            <w:gridSpan w:val="2"/>
          </w:tcPr>
          <w:p>
            <w:pPr>
              <w:spacing w:after="0" w:line="139" w:lineRule="exact"/>
              <w:rPr>
                <w:sz w:val="20"/>
                <w:szCs w:val="20"/>
                <w:color w:val="auto"/>
              </w:rPr>
            </w:pPr>
            <w:r>
              <w:rPr>
                <w:rFonts w:ascii="Arial" w:cs="Arial" w:eastAsia="Arial" w:hAnsi="Arial"/>
                <w:sz w:val="14"/>
                <w:szCs w:val="14"/>
                <w:b w:val="1"/>
                <w:bCs w:val="1"/>
                <w:color w:val="auto"/>
                <w:w w:val="94"/>
              </w:rPr>
              <w:t>Average Price Paid</w:t>
            </w:r>
          </w:p>
        </w:tc>
        <w:tc>
          <w:tcPr>
            <w:tcW w:w="640" w:type="dxa"/>
            <w:vAlign w:val="bottom"/>
          </w:tcPr>
          <w:p>
            <w:pPr>
              <w:spacing w:after="0"/>
              <w:rPr>
                <w:sz w:val="12"/>
                <w:szCs w:val="12"/>
                <w:color w:val="auto"/>
              </w:rPr>
            </w:pPr>
          </w:p>
        </w:tc>
        <w:tc>
          <w:tcPr>
            <w:tcW w:w="2180" w:type="dxa"/>
            <w:vAlign w:val="bottom"/>
            <w:gridSpan w:val="2"/>
          </w:tcPr>
          <w:p>
            <w:pPr>
              <w:jc w:val="center"/>
              <w:ind w:right="640"/>
              <w:spacing w:after="0" w:line="139" w:lineRule="exact"/>
              <w:rPr>
                <w:sz w:val="20"/>
                <w:szCs w:val="20"/>
                <w:color w:val="auto"/>
              </w:rPr>
            </w:pPr>
            <w:r>
              <w:rPr>
                <w:rFonts w:ascii="Arial" w:cs="Arial" w:eastAsia="Arial" w:hAnsi="Arial"/>
                <w:sz w:val="14"/>
                <w:szCs w:val="14"/>
                <w:b w:val="1"/>
                <w:bCs w:val="1"/>
                <w:color w:val="auto"/>
                <w:w w:val="96"/>
              </w:rPr>
              <w:t>Publicly Announced</w:t>
            </w:r>
          </w:p>
        </w:tc>
        <w:tc>
          <w:tcPr>
            <w:tcW w:w="1500" w:type="dxa"/>
            <w:vAlign w:val="bottom"/>
            <w:gridSpan w:val="2"/>
          </w:tcPr>
          <w:p>
            <w:pPr>
              <w:jc w:val="center"/>
              <w:ind w:right="120"/>
              <w:spacing w:after="0" w:line="139" w:lineRule="exact"/>
              <w:rPr>
                <w:sz w:val="20"/>
                <w:szCs w:val="20"/>
                <w:color w:val="auto"/>
              </w:rPr>
            </w:pPr>
            <w:r>
              <w:rPr>
                <w:rFonts w:ascii="Arial" w:cs="Arial" w:eastAsia="Arial" w:hAnsi="Arial"/>
                <w:sz w:val="14"/>
                <w:szCs w:val="14"/>
                <w:b w:val="1"/>
                <w:bCs w:val="1"/>
                <w:color w:val="auto"/>
                <w:w w:val="96"/>
              </w:rPr>
              <w:t>Purchased under the</w:t>
            </w:r>
          </w:p>
        </w:tc>
      </w:tr>
      <w:tr>
        <w:trPr>
          <w:trHeight w:val="176"/>
        </w:trPr>
        <w:tc>
          <w:tcPr>
            <w:tcW w:w="3120" w:type="dxa"/>
            <w:vAlign w:val="bottom"/>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Shares Purchased</w:t>
            </w:r>
          </w:p>
        </w:tc>
        <w:tc>
          <w:tcPr>
            <w:tcW w:w="6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59"/>
              <w:spacing w:after="0" w:line="176" w:lineRule="exact"/>
              <w:rPr>
                <w:sz w:val="20"/>
                <w:szCs w:val="20"/>
                <w:color w:val="auto"/>
              </w:rPr>
            </w:pPr>
            <w:r>
              <w:rPr>
                <w:rFonts w:ascii="Arial" w:cs="Arial" w:eastAsia="Arial" w:hAnsi="Arial"/>
                <w:sz w:val="13"/>
                <w:szCs w:val="13"/>
                <w:b w:val="1"/>
                <w:bCs w:val="1"/>
                <w:color w:val="auto"/>
              </w:rPr>
              <w:t>per Share</w:t>
            </w:r>
            <w:r>
              <w:rPr>
                <w:rFonts w:ascii="Arial" w:cs="Arial" w:eastAsia="Arial" w:hAnsi="Arial"/>
                <w:sz w:val="20"/>
                <w:szCs w:val="20"/>
                <w:b w:val="1"/>
                <w:bCs w:val="1"/>
                <w:color w:val="auto"/>
                <w:vertAlign w:val="superscript"/>
              </w:rPr>
              <w:t>(2)</w:t>
            </w:r>
          </w:p>
        </w:tc>
        <w:tc>
          <w:tcPr>
            <w:tcW w:w="640" w:type="dxa"/>
            <w:vAlign w:val="bottom"/>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Plans or Programs</w:t>
            </w:r>
          </w:p>
        </w:tc>
        <w:tc>
          <w:tcPr>
            <w:tcW w:w="640" w:type="dxa"/>
            <w:vAlign w:val="bottom"/>
          </w:tcPr>
          <w:p>
            <w:pPr>
              <w:spacing w:after="0"/>
              <w:rPr>
                <w:sz w:val="15"/>
                <w:szCs w:val="15"/>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Plans or Programs</w:t>
            </w:r>
          </w:p>
        </w:tc>
        <w:tc>
          <w:tcPr>
            <w:tcW w:w="100" w:type="dxa"/>
            <w:vAlign w:val="bottom"/>
          </w:tcPr>
          <w:p>
            <w:pPr>
              <w:spacing w:after="0"/>
              <w:rPr>
                <w:sz w:val="15"/>
                <w:szCs w:val="15"/>
                <w:color w:val="auto"/>
              </w:rPr>
            </w:pPr>
          </w:p>
        </w:tc>
      </w:tr>
      <w:tr>
        <w:trPr>
          <w:trHeight w:val="196"/>
        </w:trPr>
        <w:tc>
          <w:tcPr>
            <w:tcW w:w="3120" w:type="dxa"/>
            <w:vAlign w:val="bottom"/>
            <w:shd w:val="clear" w:color="auto" w:fill="E5E5E5"/>
          </w:tcPr>
          <w:p>
            <w:pPr>
              <w:spacing w:after="0" w:line="196" w:lineRule="exact"/>
              <w:rPr>
                <w:sz w:val="20"/>
                <w:szCs w:val="20"/>
                <w:color w:val="auto"/>
              </w:rPr>
            </w:pPr>
            <w:r>
              <w:rPr>
                <w:rFonts w:ascii="Arial" w:cs="Arial" w:eastAsia="Arial" w:hAnsi="Arial"/>
                <w:sz w:val="18"/>
                <w:szCs w:val="18"/>
                <w:color w:val="auto"/>
              </w:rPr>
              <w:t>October 1 through 31</w:t>
            </w:r>
          </w:p>
        </w:tc>
        <w:tc>
          <w:tcPr>
            <w:tcW w:w="118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rPr>
              <w:t>19,866</w:t>
            </w:r>
          </w:p>
        </w:tc>
        <w:tc>
          <w:tcPr>
            <w:tcW w:w="6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line="196" w:lineRule="exact"/>
              <w:rPr>
                <w:sz w:val="20"/>
                <w:szCs w:val="20"/>
                <w:color w:val="auto"/>
              </w:rPr>
            </w:pPr>
            <w:r>
              <w:rPr>
                <w:rFonts w:ascii="Arial" w:cs="Arial" w:eastAsia="Arial" w:hAnsi="Arial"/>
                <w:sz w:val="18"/>
                <w:szCs w:val="18"/>
                <w:color w:val="auto"/>
              </w:rPr>
              <w:t>$</w:t>
            </w:r>
          </w:p>
        </w:tc>
        <w:tc>
          <w:tcPr>
            <w:tcW w:w="106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rPr>
              <w:t>11.05</w:t>
            </w:r>
          </w:p>
        </w:tc>
        <w:tc>
          <w:tcPr>
            <w:tcW w:w="640" w:type="dxa"/>
            <w:vAlign w:val="bottom"/>
            <w:shd w:val="clear" w:color="auto" w:fill="E5E5E5"/>
          </w:tcPr>
          <w:p>
            <w:pPr>
              <w:spacing w:after="0"/>
              <w:rPr>
                <w:sz w:val="17"/>
                <w:szCs w:val="17"/>
                <w:color w:val="auto"/>
              </w:rPr>
            </w:pPr>
          </w:p>
        </w:tc>
        <w:tc>
          <w:tcPr>
            <w:tcW w:w="2180" w:type="dxa"/>
            <w:vAlign w:val="bottom"/>
            <w:gridSpan w:val="2"/>
            <w:shd w:val="clear" w:color="auto" w:fill="E5E5E5"/>
          </w:tcPr>
          <w:p>
            <w:pPr>
              <w:jc w:val="right"/>
              <w:ind w:right="640"/>
              <w:spacing w:after="0" w:line="196" w:lineRule="exact"/>
              <w:rPr>
                <w:sz w:val="20"/>
                <w:szCs w:val="20"/>
                <w:color w:val="auto"/>
              </w:rPr>
            </w:pPr>
            <w:r>
              <w:rPr>
                <w:rFonts w:ascii="Arial" w:cs="Arial" w:eastAsia="Arial" w:hAnsi="Arial"/>
                <w:sz w:val="18"/>
                <w:szCs w:val="18"/>
                <w:color w:val="auto"/>
              </w:rPr>
              <w:t>n/a</w:t>
            </w:r>
          </w:p>
        </w:tc>
        <w:tc>
          <w:tcPr>
            <w:tcW w:w="1500" w:type="dxa"/>
            <w:vAlign w:val="bottom"/>
            <w:gridSpan w:val="2"/>
            <w:shd w:val="clear" w:color="auto" w:fill="E5E5E5"/>
          </w:tcPr>
          <w:p>
            <w:pPr>
              <w:ind w:left="1140"/>
              <w:spacing w:after="0" w:line="196" w:lineRule="exact"/>
              <w:rPr>
                <w:sz w:val="20"/>
                <w:szCs w:val="20"/>
                <w:color w:val="auto"/>
              </w:rPr>
            </w:pPr>
            <w:r>
              <w:rPr>
                <w:rFonts w:ascii="Arial" w:cs="Arial" w:eastAsia="Arial" w:hAnsi="Arial"/>
                <w:sz w:val="18"/>
                <w:szCs w:val="18"/>
                <w:color w:val="auto"/>
              </w:rPr>
              <w:t>n/a</w:t>
            </w:r>
          </w:p>
        </w:tc>
      </w:tr>
      <w:tr>
        <w:trPr>
          <w:trHeight w:val="203"/>
        </w:trPr>
        <w:tc>
          <w:tcPr>
            <w:tcW w:w="3120" w:type="dxa"/>
            <w:vAlign w:val="bottom"/>
          </w:tcPr>
          <w:p>
            <w:pPr>
              <w:spacing w:after="0" w:line="202" w:lineRule="exact"/>
              <w:rPr>
                <w:sz w:val="20"/>
                <w:szCs w:val="20"/>
                <w:color w:val="auto"/>
              </w:rPr>
            </w:pPr>
            <w:r>
              <w:rPr>
                <w:rFonts w:ascii="Arial" w:cs="Arial" w:eastAsia="Arial" w:hAnsi="Arial"/>
                <w:sz w:val="18"/>
                <w:szCs w:val="18"/>
                <w:color w:val="auto"/>
              </w:rPr>
              <w:t>November 1 through 30</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7,996</w:t>
            </w:r>
          </w:p>
        </w:tc>
        <w:tc>
          <w:tcPr>
            <w:tcW w:w="660" w:type="dxa"/>
            <w:vAlign w:val="bottom"/>
          </w:tcPr>
          <w:p>
            <w:pPr>
              <w:spacing w:after="0"/>
              <w:rPr>
                <w:sz w:val="17"/>
                <w:szCs w:val="17"/>
                <w:color w:val="auto"/>
              </w:rPr>
            </w:pPr>
          </w:p>
        </w:tc>
        <w:tc>
          <w:tcPr>
            <w:tcW w:w="1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11.68</w:t>
            </w:r>
          </w:p>
        </w:tc>
        <w:tc>
          <w:tcPr>
            <w:tcW w:w="640" w:type="dxa"/>
            <w:vAlign w:val="bottom"/>
          </w:tcPr>
          <w:p>
            <w:pPr>
              <w:spacing w:after="0"/>
              <w:rPr>
                <w:sz w:val="17"/>
                <w:szCs w:val="17"/>
                <w:color w:val="auto"/>
              </w:rPr>
            </w:pPr>
          </w:p>
        </w:tc>
        <w:tc>
          <w:tcPr>
            <w:tcW w:w="218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n/a</w:t>
            </w:r>
          </w:p>
        </w:tc>
        <w:tc>
          <w:tcPr>
            <w:tcW w:w="150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n/a</w:t>
            </w:r>
          </w:p>
        </w:tc>
      </w:tr>
      <w:tr>
        <w:trPr>
          <w:trHeight w:val="203"/>
        </w:trPr>
        <w:tc>
          <w:tcPr>
            <w:tcW w:w="31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December 1 through 31</w:t>
            </w:r>
          </w:p>
        </w:tc>
        <w:tc>
          <w:tcPr>
            <w:tcW w:w="1180" w:type="dxa"/>
            <w:vAlign w:val="bottom"/>
            <w:tcBorders>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4,532</w:t>
            </w:r>
          </w:p>
        </w:tc>
        <w:tc>
          <w:tcPr>
            <w:tcW w:w="6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11.92</w:t>
            </w:r>
          </w:p>
        </w:tc>
        <w:tc>
          <w:tcPr>
            <w:tcW w:w="640" w:type="dxa"/>
            <w:vAlign w:val="bottom"/>
            <w:shd w:val="clear" w:color="auto" w:fill="E5E5E5"/>
          </w:tcPr>
          <w:p>
            <w:pPr>
              <w:spacing w:after="0"/>
              <w:rPr>
                <w:sz w:val="17"/>
                <w:szCs w:val="17"/>
                <w:color w:val="auto"/>
              </w:rPr>
            </w:pPr>
          </w:p>
        </w:tc>
        <w:tc>
          <w:tcPr>
            <w:tcW w:w="1540" w:type="dxa"/>
            <w:vAlign w:val="bottom"/>
            <w:tcBorders>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n/a</w:t>
            </w:r>
          </w:p>
        </w:tc>
        <w:tc>
          <w:tcPr>
            <w:tcW w:w="640" w:type="dxa"/>
            <w:vAlign w:val="bottom"/>
            <w:shd w:val="clear" w:color="auto" w:fill="E5E5E5"/>
          </w:tcPr>
          <w:p>
            <w:pPr>
              <w:spacing w:after="0"/>
              <w:rPr>
                <w:sz w:val="17"/>
                <w:szCs w:val="17"/>
                <w:color w:val="auto"/>
              </w:rPr>
            </w:pPr>
          </w:p>
        </w:tc>
        <w:tc>
          <w:tcPr>
            <w:tcW w:w="1400" w:type="dxa"/>
            <w:vAlign w:val="bottom"/>
            <w:tcBorders>
              <w:bottom w:val="single" w:sz="8" w:color="auto"/>
            </w:tcBorders>
            <w:shd w:val="clear" w:color="auto" w:fill="E5E5E5"/>
          </w:tcPr>
          <w:p>
            <w:pPr>
              <w:ind w:left="1140"/>
              <w:spacing w:after="0" w:line="202" w:lineRule="exact"/>
              <w:rPr>
                <w:sz w:val="20"/>
                <w:szCs w:val="20"/>
                <w:color w:val="auto"/>
              </w:rPr>
            </w:pPr>
            <w:r>
              <w:rPr>
                <w:rFonts w:ascii="Arial" w:cs="Arial" w:eastAsia="Arial" w:hAnsi="Arial"/>
                <w:sz w:val="18"/>
                <w:szCs w:val="18"/>
                <w:color w:val="auto"/>
                <w:w w:val="95"/>
              </w:rPr>
              <w:t>n/a</w:t>
            </w:r>
          </w:p>
        </w:tc>
        <w:tc>
          <w:tcPr>
            <w:tcW w:w="100" w:type="dxa"/>
            <w:vAlign w:val="bottom"/>
            <w:shd w:val="clear" w:color="auto" w:fill="E5E5E5"/>
          </w:tcPr>
          <w:p>
            <w:pPr>
              <w:spacing w:after="0"/>
              <w:rPr>
                <w:sz w:val="17"/>
                <w:szCs w:val="17"/>
                <w:color w:val="auto"/>
              </w:rPr>
            </w:pPr>
          </w:p>
        </w:tc>
      </w:tr>
      <w:tr>
        <w:trPr>
          <w:trHeight w:val="210"/>
        </w:trPr>
        <w:tc>
          <w:tcPr>
            <w:tcW w:w="31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32,394</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180" w:type="dxa"/>
            <w:vAlign w:val="bottom"/>
            <w:gridSpan w:val="2"/>
          </w:tcPr>
          <w:p>
            <w:pPr>
              <w:jc w:val="right"/>
              <w:ind w:right="640"/>
              <w:spacing w:after="0"/>
              <w:rPr>
                <w:sz w:val="20"/>
                <w:szCs w:val="20"/>
                <w:color w:val="auto"/>
              </w:rPr>
            </w:pPr>
            <w:r>
              <w:rPr>
                <w:rFonts w:ascii="Arial" w:cs="Arial" w:eastAsia="Arial" w:hAnsi="Arial"/>
                <w:sz w:val="18"/>
                <w:szCs w:val="18"/>
                <w:color w:val="auto"/>
              </w:rPr>
              <w:t>n/a</w:t>
            </w:r>
          </w:p>
        </w:tc>
        <w:tc>
          <w:tcPr>
            <w:tcW w:w="1500" w:type="dxa"/>
            <w:vAlign w:val="bottom"/>
            <w:gridSpan w:val="2"/>
          </w:tcPr>
          <w:p>
            <w:pPr>
              <w:ind w:left="1140"/>
              <w:spacing w:after="0"/>
              <w:rPr>
                <w:sz w:val="20"/>
                <w:szCs w:val="20"/>
                <w:color w:val="auto"/>
              </w:rPr>
            </w:pPr>
            <w:r>
              <w:rPr>
                <w:rFonts w:ascii="Arial" w:cs="Arial" w:eastAsia="Arial" w:hAnsi="Arial"/>
                <w:sz w:val="18"/>
                <w:szCs w:val="18"/>
                <w:color w:val="auto"/>
              </w:rPr>
              <w:t>n/a</w:t>
            </w:r>
          </w:p>
        </w:tc>
      </w:tr>
      <w:tr>
        <w:trPr>
          <w:trHeight w:val="20"/>
        </w:trPr>
        <w:tc>
          <w:tcPr>
            <w:tcW w:w="3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left="660" w:right="420" w:hanging="206"/>
        <w:spacing w:after="0" w:line="182" w:lineRule="auto"/>
        <w:tabs>
          <w:tab w:leader="none" w:pos="660" w:val="left"/>
        </w:tabs>
        <w:numPr>
          <w:ilvl w:val="0"/>
          <w:numId w:val="30"/>
        </w:numPr>
        <w:rPr>
          <w:rFonts w:ascii="Arial" w:cs="Arial" w:eastAsia="Arial" w:hAnsi="Arial"/>
          <w:sz w:val="21"/>
          <w:szCs w:val="21"/>
          <w:color w:val="auto"/>
          <w:vertAlign w:val="superscript"/>
        </w:rPr>
      </w:pPr>
      <w:r>
        <w:rPr>
          <w:rFonts w:ascii="Arial" w:cs="Arial" w:eastAsia="Arial" w:hAnsi="Arial"/>
          <w:sz w:val="13"/>
          <w:szCs w:val="13"/>
          <w:color w:val="auto"/>
        </w:rPr>
        <w:t>These repurchases are made under provisions in our restricted stock compensation programs for the indirect repurchase of shares through a net-settlement feature upon the vesting of shares in order to satisfy minimum statutory tax-withholding requirements.</w:t>
      </w:r>
    </w:p>
    <w:p>
      <w:pPr>
        <w:ind w:left="660" w:hanging="206"/>
        <w:spacing w:after="0" w:line="188" w:lineRule="auto"/>
        <w:tabs>
          <w:tab w:leader="none" w:pos="660" w:val="left"/>
        </w:tabs>
        <w:numPr>
          <w:ilvl w:val="0"/>
          <w:numId w:val="30"/>
        </w:numPr>
        <w:rPr>
          <w:rFonts w:ascii="Arial" w:cs="Arial" w:eastAsia="Arial" w:hAnsi="Arial"/>
          <w:sz w:val="18"/>
          <w:szCs w:val="18"/>
          <w:color w:val="auto"/>
          <w:vertAlign w:val="superscript"/>
        </w:rPr>
      </w:pPr>
      <w:r>
        <w:rPr>
          <w:rFonts w:ascii="Arial" w:cs="Arial" w:eastAsia="Arial" w:hAnsi="Arial"/>
          <w:sz w:val="12"/>
          <w:szCs w:val="12"/>
          <w:color w:val="auto"/>
        </w:rPr>
        <w:t>Exclusive of fees and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-316230</wp:posOffset>
            </wp:positionV>
            <wp:extent cx="188658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37"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color w:val="009CDA"/>
        </w:rPr>
        <w:t>ITEM 6.</w:t>
      </w:r>
      <w:r>
        <w:rPr>
          <w:sz w:val="20"/>
          <w:szCs w:val="20"/>
          <w:color w:val="auto"/>
        </w:rPr>
        <w:tab/>
      </w:r>
      <w:r>
        <w:rPr>
          <w:rFonts w:ascii="Arial" w:cs="Arial" w:eastAsia="Arial" w:hAnsi="Arial"/>
          <w:sz w:val="21"/>
          <w:szCs w:val="21"/>
          <w:b w:val="1"/>
          <w:bCs w:val="1"/>
          <w:color w:val="009CDA"/>
        </w:rPr>
        <w:t>SELECTED FINANCIAL DATA</w:t>
      </w:r>
    </w:p>
    <w:p>
      <w:pPr>
        <w:spacing w:after="0" w:line="188" w:lineRule="exact"/>
        <w:rPr>
          <w:sz w:val="20"/>
          <w:szCs w:val="20"/>
          <w:color w:val="auto"/>
        </w:rPr>
      </w:pPr>
    </w:p>
    <w:p>
      <w:pPr>
        <w:ind w:right="580"/>
        <w:spacing w:after="0" w:line="239" w:lineRule="auto"/>
        <w:rPr>
          <w:sz w:val="20"/>
          <w:szCs w:val="20"/>
          <w:color w:val="auto"/>
        </w:rPr>
      </w:pPr>
      <w:r>
        <w:rPr>
          <w:rFonts w:ascii="Arial" w:cs="Arial" w:eastAsia="Arial" w:hAnsi="Arial"/>
          <w:sz w:val="18"/>
          <w:szCs w:val="18"/>
          <w:color w:val="auto"/>
        </w:rPr>
        <w:t>The following selected financial data for the five years ended December 31, 2010, as set forth and included under the caption “Five Years in Review,” of the Xerox Corporation 2010 Annual Report to Shareholders, is incorporated by reference in this Form 10-K.</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Revenues</w:t>
      </w:r>
    </w:p>
    <w:p>
      <w:pPr>
        <w:ind w:left="240"/>
        <w:spacing w:after="0" w:line="234" w:lineRule="auto"/>
        <w:rPr>
          <w:sz w:val="20"/>
          <w:szCs w:val="20"/>
          <w:color w:val="auto"/>
        </w:rPr>
      </w:pPr>
      <w:r>
        <w:rPr>
          <w:rFonts w:ascii="Arial" w:cs="Arial" w:eastAsia="Arial" w:hAnsi="Arial"/>
          <w:sz w:val="18"/>
          <w:szCs w:val="18"/>
          <w:color w:val="auto"/>
        </w:rPr>
        <w:t>Income from continuing operations</w:t>
      </w:r>
    </w:p>
    <w:p>
      <w:pPr>
        <w:ind w:left="240"/>
        <w:spacing w:after="0" w:line="235" w:lineRule="auto"/>
        <w:rPr>
          <w:sz w:val="20"/>
          <w:szCs w:val="20"/>
          <w:color w:val="auto"/>
        </w:rPr>
      </w:pPr>
      <w:r>
        <w:rPr>
          <w:rFonts w:ascii="Arial" w:cs="Arial" w:eastAsia="Arial" w:hAnsi="Arial"/>
          <w:sz w:val="18"/>
          <w:szCs w:val="18"/>
          <w:color w:val="auto"/>
        </w:rPr>
        <w:t>Per-Share Data:</w:t>
      </w:r>
    </w:p>
    <w:p>
      <w:pPr>
        <w:ind w:left="700"/>
        <w:spacing w:after="0" w:line="235" w:lineRule="auto"/>
        <w:rPr>
          <w:sz w:val="20"/>
          <w:szCs w:val="20"/>
          <w:color w:val="auto"/>
        </w:rPr>
      </w:pPr>
      <w:r>
        <w:rPr>
          <w:rFonts w:ascii="Arial" w:cs="Arial" w:eastAsia="Arial" w:hAnsi="Arial"/>
          <w:sz w:val="18"/>
          <w:szCs w:val="18"/>
          <w:color w:val="auto"/>
        </w:rPr>
        <w:t>Income from continuing operations - Basic and Diluted</w:t>
      </w:r>
    </w:p>
    <w:p>
      <w:pPr>
        <w:ind w:left="700"/>
        <w:spacing w:after="0" w:line="235" w:lineRule="auto"/>
        <w:rPr>
          <w:sz w:val="20"/>
          <w:szCs w:val="20"/>
          <w:color w:val="auto"/>
        </w:rPr>
      </w:pPr>
      <w:r>
        <w:rPr>
          <w:rFonts w:ascii="Arial" w:cs="Arial" w:eastAsia="Arial" w:hAnsi="Arial"/>
          <w:sz w:val="18"/>
          <w:szCs w:val="18"/>
          <w:color w:val="auto"/>
        </w:rPr>
        <w:t>Earnings - Basic and Diluted</w:t>
      </w:r>
    </w:p>
    <w:p>
      <w:pPr>
        <w:ind w:left="240"/>
        <w:spacing w:after="0" w:line="235" w:lineRule="auto"/>
        <w:rPr>
          <w:sz w:val="20"/>
          <w:szCs w:val="20"/>
          <w:color w:val="auto"/>
        </w:rPr>
      </w:pPr>
      <w:r>
        <w:rPr>
          <w:rFonts w:ascii="Arial" w:cs="Arial" w:eastAsia="Arial" w:hAnsi="Arial"/>
          <w:sz w:val="18"/>
          <w:szCs w:val="18"/>
          <w:color w:val="auto"/>
        </w:rPr>
        <w:t>Common stock dividends</w:t>
      </w:r>
    </w:p>
    <w:p>
      <w:pPr>
        <w:ind w:left="240"/>
        <w:spacing w:after="0" w:line="235" w:lineRule="auto"/>
        <w:rPr>
          <w:sz w:val="20"/>
          <w:szCs w:val="20"/>
          <w:color w:val="auto"/>
        </w:rPr>
      </w:pPr>
      <w:r>
        <w:rPr>
          <w:rFonts w:ascii="Arial" w:cs="Arial" w:eastAsia="Arial" w:hAnsi="Arial"/>
          <w:sz w:val="18"/>
          <w:szCs w:val="18"/>
          <w:color w:val="auto"/>
        </w:rPr>
        <w:t>Total Assets</w:t>
      </w:r>
    </w:p>
    <w:p>
      <w:pPr>
        <w:ind w:left="240"/>
        <w:spacing w:after="0" w:line="235" w:lineRule="auto"/>
        <w:rPr>
          <w:sz w:val="20"/>
          <w:szCs w:val="20"/>
          <w:color w:val="auto"/>
        </w:rPr>
      </w:pPr>
      <w:r>
        <w:rPr>
          <w:rFonts w:ascii="Arial" w:cs="Arial" w:eastAsia="Arial" w:hAnsi="Arial"/>
          <w:sz w:val="18"/>
          <w:szCs w:val="18"/>
          <w:color w:val="auto"/>
        </w:rPr>
        <w:t>Long-term debt</w:t>
      </w:r>
    </w:p>
    <w:p>
      <w:pPr>
        <w:ind w:left="240"/>
        <w:spacing w:after="0" w:line="235" w:lineRule="auto"/>
        <w:rPr>
          <w:sz w:val="20"/>
          <w:szCs w:val="20"/>
          <w:color w:val="auto"/>
        </w:rPr>
      </w:pPr>
      <w:r>
        <w:rPr>
          <w:rFonts w:ascii="Arial" w:cs="Arial" w:eastAsia="Arial" w:hAnsi="Arial"/>
          <w:sz w:val="18"/>
          <w:szCs w:val="18"/>
          <w:color w:val="auto"/>
        </w:rPr>
        <w:t>Liability to subsidiary trust issuing preferred securities</w:t>
      </w:r>
    </w:p>
    <w:p>
      <w:pPr>
        <w:ind w:left="240"/>
        <w:spacing w:after="0"/>
        <w:rPr>
          <w:sz w:val="20"/>
          <w:szCs w:val="20"/>
          <w:color w:val="auto"/>
        </w:rPr>
      </w:pPr>
      <w:r>
        <w:rPr>
          <w:rFonts w:ascii="Arial" w:cs="Arial" w:eastAsia="Arial" w:hAnsi="Arial"/>
          <w:sz w:val="18"/>
          <w:szCs w:val="18"/>
          <w:color w:val="auto"/>
        </w:rPr>
        <w:t>Series A convertible preferred stock</w:t>
      </w:r>
    </w:p>
    <w:p>
      <w:pPr>
        <w:spacing w:after="0" w:line="163" w:lineRule="exact"/>
        <w:rPr>
          <w:sz w:val="20"/>
          <w:szCs w:val="20"/>
          <w:color w:val="auto"/>
        </w:rPr>
      </w:pPr>
    </w:p>
    <w:p>
      <w:pPr>
        <w:ind w:left="1140" w:right="640" w:hanging="1133"/>
        <w:spacing w:after="0" w:line="261" w:lineRule="auto"/>
        <w:tabs>
          <w:tab w:leader="none" w:pos="1120" w:val="left"/>
        </w:tabs>
        <w:rPr>
          <w:sz w:val="20"/>
          <w:szCs w:val="20"/>
          <w:color w:val="auto"/>
        </w:rPr>
      </w:pPr>
      <w:r>
        <w:rPr>
          <w:rFonts w:ascii="Arial" w:cs="Arial" w:eastAsia="Arial" w:hAnsi="Arial"/>
          <w:sz w:val="22"/>
          <w:szCs w:val="22"/>
          <w:b w:val="1"/>
          <w:bCs w:val="1"/>
          <w:color w:val="009CDA"/>
        </w:rPr>
        <w:t>ITEM 7.</w:t>
      </w:r>
      <w:r>
        <w:rPr>
          <w:sz w:val="20"/>
          <w:szCs w:val="20"/>
          <w:color w:val="auto"/>
        </w:rPr>
        <w:tab/>
      </w:r>
      <w:r>
        <w:rPr>
          <w:rFonts w:ascii="Arial" w:cs="Arial" w:eastAsia="Arial" w:hAnsi="Arial"/>
          <w:sz w:val="22"/>
          <w:szCs w:val="22"/>
          <w:b w:val="1"/>
          <w:bCs w:val="1"/>
          <w:color w:val="009CDA"/>
        </w:rPr>
        <w:t>MANAGEMENT’S DISCUSSION AND ANALYSIS OF FINANCIAL CONDITION AND RESULTS OF OPERATIONS</w:t>
      </w:r>
    </w:p>
    <w:p>
      <w:pPr>
        <w:spacing w:after="0" w:line="134" w:lineRule="exact"/>
        <w:rPr>
          <w:sz w:val="20"/>
          <w:szCs w:val="20"/>
          <w:color w:val="auto"/>
        </w:rPr>
      </w:pPr>
    </w:p>
    <w:p>
      <w:pPr>
        <w:ind w:right="500"/>
        <w:spacing w:after="0" w:line="239" w:lineRule="auto"/>
        <w:rPr>
          <w:sz w:val="20"/>
          <w:szCs w:val="20"/>
          <w:color w:val="auto"/>
        </w:rPr>
      </w:pPr>
      <w:r>
        <w:rPr>
          <w:rFonts w:ascii="Arial" w:cs="Arial" w:eastAsia="Arial" w:hAnsi="Arial"/>
          <w:sz w:val="18"/>
          <w:szCs w:val="18"/>
          <w:color w:val="auto"/>
        </w:rPr>
        <w:t>The information set forth under the caption “Management’s Discussion and Analysis of Financial Condition and Results of Operations,” of the Xerox Corporation 2010 Annual Report is hereby incorporated by reference.</w:t>
      </w:r>
    </w:p>
    <w:p>
      <w:pPr>
        <w:spacing w:after="0" w:line="160"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color w:val="009CDA"/>
        </w:rPr>
        <w:t>ITEM 7A.</w:t>
      </w:r>
      <w:r>
        <w:rPr>
          <w:sz w:val="20"/>
          <w:szCs w:val="20"/>
          <w:color w:val="auto"/>
        </w:rPr>
        <w:tab/>
      </w:r>
      <w:r>
        <w:rPr>
          <w:rFonts w:ascii="Arial" w:cs="Arial" w:eastAsia="Arial" w:hAnsi="Arial"/>
          <w:sz w:val="21"/>
          <w:szCs w:val="21"/>
          <w:b w:val="1"/>
          <w:bCs w:val="1"/>
          <w:color w:val="009CDA"/>
        </w:rPr>
        <w:t>QUANTITATIVE AND QUALITATIVE DISCLOSURES ABOUT MARKET RISK</w:t>
      </w:r>
    </w:p>
    <w:p>
      <w:pPr>
        <w:spacing w:after="0" w:line="107"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The information set forth under the caption “Financial Risk Management,” in the Xerox Corporation 2010 Annual Report is hereby incorporated by reference.</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4"/>
          <w:szCs w:val="14"/>
          <w:color w:val="009CDA"/>
        </w:rPr>
        <w:t>Xerox 2010 Form 10-K 29</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color w:val="009CDA"/>
        </w:rPr>
        <w:t>ITEM 8.</w:t>
      </w:r>
      <w:r>
        <w:rPr>
          <w:sz w:val="20"/>
          <w:szCs w:val="20"/>
          <w:color w:val="auto"/>
        </w:rPr>
        <w:tab/>
      </w:r>
      <w:r>
        <w:rPr>
          <w:rFonts w:ascii="Arial" w:cs="Arial" w:eastAsia="Arial" w:hAnsi="Arial"/>
          <w:sz w:val="21"/>
          <w:szCs w:val="21"/>
          <w:b w:val="1"/>
          <w:bCs w:val="1"/>
          <w:color w:val="009CDA"/>
        </w:rPr>
        <w:t>FINANCIAL STATEMENTS AND SUPPLEMENTARY DATA</w:t>
      </w:r>
    </w:p>
    <w:p>
      <w:pPr>
        <w:spacing w:after="0" w:line="107" w:lineRule="exact"/>
        <w:rPr>
          <w:sz w:val="20"/>
          <w:szCs w:val="20"/>
          <w:color w:val="auto"/>
        </w:rPr>
      </w:pPr>
    </w:p>
    <w:p>
      <w:pPr>
        <w:ind w:right="240"/>
        <w:spacing w:after="0" w:line="281" w:lineRule="auto"/>
        <w:rPr>
          <w:sz w:val="20"/>
          <w:szCs w:val="20"/>
          <w:color w:val="auto"/>
        </w:rPr>
      </w:pPr>
      <w:r>
        <w:rPr>
          <w:rFonts w:ascii="Arial" w:cs="Arial" w:eastAsia="Arial" w:hAnsi="Arial"/>
          <w:sz w:val="16"/>
          <w:szCs w:val="16"/>
          <w:color w:val="auto"/>
        </w:rPr>
        <w:t>The consolidated financial statements, together with the report thereon of PricewaterhouseCoopers LLP, included in the Xerox Corporation 2010 Annual Report, are incorporated by reference in this Form 10-K. With the exception of the aforementioned information and the information incorporated in Items 1, 3, 5, 6, 7, 7A and 8, the Xerox Corporation 2010 Annual Report is not to be deemed filed as part of this Form 10-K.</w:t>
      </w:r>
    </w:p>
    <w:p>
      <w:pPr>
        <w:spacing w:after="0" w:line="12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quarterly financial data included under the caption “Quarterly Results of Operations (Unaudited)” of the Xerox Corporation 2010 Annual Report is incorporated by reference in this Annual Report on Form 10-K.</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 schedule required herein is filed as referenced in Item 15 of this Form 10-K.</w:t>
      </w:r>
    </w:p>
    <w:p>
      <w:pPr>
        <w:spacing w:after="0" w:line="163" w:lineRule="exact"/>
        <w:rPr>
          <w:sz w:val="20"/>
          <w:szCs w:val="20"/>
          <w:color w:val="auto"/>
        </w:rPr>
      </w:pPr>
    </w:p>
    <w:p>
      <w:pPr>
        <w:ind w:left="1140" w:right="460" w:hanging="1133"/>
        <w:spacing w:after="0" w:line="261" w:lineRule="auto"/>
        <w:tabs>
          <w:tab w:leader="none" w:pos="1120" w:val="left"/>
        </w:tabs>
        <w:rPr>
          <w:sz w:val="20"/>
          <w:szCs w:val="20"/>
          <w:color w:val="auto"/>
        </w:rPr>
      </w:pPr>
      <w:r>
        <w:rPr>
          <w:rFonts w:ascii="Arial" w:cs="Arial" w:eastAsia="Arial" w:hAnsi="Arial"/>
          <w:sz w:val="22"/>
          <w:szCs w:val="22"/>
          <w:b w:val="1"/>
          <w:bCs w:val="1"/>
          <w:color w:val="009CDA"/>
        </w:rPr>
        <w:t>ITEM 9.</w:t>
      </w:r>
      <w:r>
        <w:rPr>
          <w:sz w:val="20"/>
          <w:szCs w:val="20"/>
          <w:color w:val="auto"/>
        </w:rPr>
        <w:tab/>
      </w:r>
      <w:r>
        <w:rPr>
          <w:rFonts w:ascii="Arial" w:cs="Arial" w:eastAsia="Arial" w:hAnsi="Arial"/>
          <w:sz w:val="22"/>
          <w:szCs w:val="22"/>
          <w:b w:val="1"/>
          <w:bCs w:val="1"/>
          <w:color w:val="009CDA"/>
        </w:rPr>
        <w:t>CHANGES IN AND DISAGREEMENTS WITH ACCOUNTANTS ON ACCOUNTING AND FINANCIAL DISCLOSURE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3"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color w:val="009CDA"/>
        </w:rPr>
        <w:t>ITEM 9A.</w:t>
      </w:r>
      <w:r>
        <w:rPr>
          <w:sz w:val="20"/>
          <w:szCs w:val="20"/>
          <w:color w:val="auto"/>
        </w:rPr>
        <w:tab/>
      </w:r>
      <w:r>
        <w:rPr>
          <w:rFonts w:ascii="Arial" w:cs="Arial" w:eastAsia="Arial" w:hAnsi="Arial"/>
          <w:sz w:val="21"/>
          <w:szCs w:val="21"/>
          <w:b w:val="1"/>
          <w:bCs w:val="1"/>
          <w:color w:val="009CDA"/>
        </w:rPr>
        <w:t>CONTROLS AND PROCEDURES</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b w:val="1"/>
          <w:bCs w:val="1"/>
          <w:color w:val="009CDA"/>
        </w:rPr>
        <w:t>Management’s Responsibility for Financial Statements</w:t>
      </w:r>
    </w:p>
    <w:p>
      <w:pPr>
        <w:spacing w:after="0" w:line="107"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Our management is responsible for the integrity and objectivity of all information presented in this annual report. The consolidated financial statements were prepared in conformity with accounting principles generally accepted in the United States of America and include amounts based on management’s best estimates and judgments. Management believes the consolidated financial statements fairly reflect the form and substance of transactions and that the financial statements fairly represent the Company’s financial position and results of operations.</w:t>
      </w:r>
    </w:p>
    <w:p>
      <w:pPr>
        <w:spacing w:after="0" w:line="155"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The Audit Committee of the Board of Directors, which is composed solely of independent directors, meets regularly with the independent auditors, PricewaterhouseCoopers LLP, the internal auditors and representatives of management to review accounting, financial reporting, internal control and audit matters, as well as the nature and extent of the audit effort. The Audit Committee is responsible for the engagement of the independent auditors. The independent auditors and internal auditors have access to the Audit Committee.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009CDA"/>
        </w:rPr>
        <w:t>Disclosure Controls and Procedures</w:t>
      </w:r>
    </w:p>
    <w:p>
      <w:pPr>
        <w:spacing w:after="0" w:line="107"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We have established disclosure controls and procedures to ensure that material information relating to the Company, including its consolidated subsidiaries, is made known to the officers who certify the Company’s financial reports and to other members of senior management and the Board of Directors. Based on their evaluation as of December 31, 2010, our principal executive officer and principal financial officer have concluded that the Company’s disclosure controls and procedures (as defined in Rules 13a-15(e) and 15d-15(e) under the Securities Exchange Act of 1934) were effective to ensure that the information required to be disclosed by the Company in the reports that it files or submits under the Securities Exchange Act of 1934 is recorded, processed, summarized and reported within the time periods specified in the Securities and Exchange Commission’s rules and forms and was accumulated and communicated to the Company’s Management, including the principal executive officer and principal financial officer, or persons performing similar functions, as appropriate to allow timely decisions regarding required disclosures.</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b w:val="1"/>
          <w:bCs w:val="1"/>
          <w:color w:val="009CDA"/>
        </w:rPr>
        <w:t>Management’s Report on Internal Control over Financial Reporting</w:t>
      </w:r>
    </w:p>
    <w:p>
      <w:pPr>
        <w:spacing w:after="0" w:line="107"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the rules promulgated under the Securities Exchange Act of 1934. Under the supervision and with the participation of our management, including our principal executive, financial and accounting officers, we have conducted an evaluation of the effectiveness of our internal control over financial reporting based on the framework in “Internal Control - Integrated Framework” issued by the Committee of Sponsoring Organizations of the Treadway Commission.</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Based on the above evaluation, management concluded that our internal control over financial reporting was effective as of December 31, 2010.</w:t>
      </w:r>
    </w:p>
    <w:p>
      <w:pPr>
        <w:spacing w:after="0" w:line="100"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The effectiveness of our internal control over financial reporting as of December 31, 2010 has been audited by PricewaterhouseCoopers LLP, an independent registered public accounting firm, as stated in their report which appears in our 2010 Annual Report to Shareholders which is incorporated by reference in Part II, Item 8 of this Form 10-K.</w:t>
      </w:r>
    </w:p>
    <w:p>
      <w:pPr>
        <w:spacing w:after="0" w:line="137" w:lineRule="exact"/>
        <w:rPr>
          <w:sz w:val="20"/>
          <w:szCs w:val="20"/>
          <w:color w:val="auto"/>
        </w:rPr>
      </w:pPr>
    </w:p>
    <w:p>
      <w:pPr>
        <w:jc w:val="right"/>
        <w:spacing w:after="0"/>
        <w:rPr>
          <w:sz w:val="20"/>
          <w:szCs w:val="20"/>
          <w:color w:val="auto"/>
        </w:rPr>
      </w:pPr>
      <w:r>
        <w:rPr>
          <w:rFonts w:ascii="Arial" w:cs="Arial" w:eastAsia="Arial" w:hAnsi="Arial"/>
          <w:sz w:val="14"/>
          <w:szCs w:val="14"/>
          <w:color w:val="009CDA"/>
        </w:rPr>
        <w:t>Xerox 2010 Form 10-K 30</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009CDA"/>
        </w:rPr>
        <w:t>Changes in Internal Control over Financial Reporting</w:t>
      </w:r>
    </w:p>
    <w:p>
      <w:pPr>
        <w:spacing w:after="0" w:line="107" w:lineRule="exact"/>
        <w:rPr>
          <w:sz w:val="20"/>
          <w:szCs w:val="20"/>
          <w:color w:val="auto"/>
        </w:rPr>
      </w:pPr>
    </w:p>
    <w:p>
      <w:pPr>
        <w:jc w:val="both"/>
        <w:ind w:right="40"/>
        <w:spacing w:after="0" w:line="238" w:lineRule="auto"/>
        <w:rPr>
          <w:sz w:val="20"/>
          <w:szCs w:val="20"/>
          <w:color w:val="auto"/>
        </w:rPr>
      </w:pPr>
      <w:r>
        <w:rPr>
          <w:rFonts w:ascii="Arial" w:cs="Arial" w:eastAsia="Arial" w:hAnsi="Arial"/>
          <w:sz w:val="18"/>
          <w:szCs w:val="18"/>
          <w:color w:val="auto"/>
        </w:rPr>
        <w:t>In connection with the evaluation required by paragraph (d) of Rule 13a-15 under the Exchange Act, there was no change identified in our internal control over financial reporting that occurred during the last fiscal quarter that has materially affected, or is reasonably likely to materially affect, our internal control over financial reporting.</w:t>
      </w:r>
    </w:p>
    <w:p>
      <w:pPr>
        <w:spacing w:after="0" w:line="159"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color w:val="009CDA"/>
        </w:rPr>
        <w:t>ITEM 9B.</w:t>
      </w:r>
      <w:r>
        <w:rPr>
          <w:sz w:val="20"/>
          <w:szCs w:val="20"/>
          <w:color w:val="auto"/>
        </w:rPr>
        <w:tab/>
      </w:r>
      <w:r>
        <w:rPr>
          <w:rFonts w:ascii="Arial" w:cs="Arial" w:eastAsia="Arial" w:hAnsi="Arial"/>
          <w:sz w:val="21"/>
          <w:szCs w:val="21"/>
          <w:b w:val="1"/>
          <w:bCs w:val="1"/>
          <w:color w:val="009CDA"/>
        </w:rPr>
        <w:t>OTHER INFORMATION</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b w:val="1"/>
          <w:bCs w:val="1"/>
          <w:color w:val="009CDA"/>
        </w:rPr>
        <w:t>Executive Compensation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On February 22, 2011, the Compensation Committee of the Board of Directors of the Company took the following actions:</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009CDA"/>
        </w:rPr>
        <w:t>2010 and 2011 Annual Performance Incentive Plan (APIP)</w:t>
      </w:r>
    </w:p>
    <w:p>
      <w:pPr>
        <w:spacing w:after="0" w:line="107"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The Compensation Committee approved the payments of cash awards under the Xerox 2004 Performance Incentive Plan (“2004 PIP”), as amended, for 2010 APIP. The measures on which awards are based for the 2010 fiscal year are set out on Exhibit 10(e)(14) attached hereto. The Compensation Committee approved the payment of cash awards under the 2004 PIP for fiscal year 2010 to Ursula M. Burns, Chairman and Chief Executive Officer of the Company; Lawrence A. Zimmerman, Vice Chairman; and certain other officers, including Lynn Blodgett, Armando Zagalo de Lima and James A. Firestone, our next three most highly compensated executive officers for fiscal year 2010; and Anne M. Mulcahy, former Chairman of the Board (collectively, the “Named Executive Officers”). The Compensation Committee approved a cash award of $1,693,125 to Ms. Burns, $767,550 to Mr. Zimmerman, $1,615,989 to Mr. Blodgett, $704,951 to Mr. Zagalo de Lima, $767,550 to Mr. Firestone and $559,896 to Mrs. Mulcahy.</w:t>
      </w:r>
    </w:p>
    <w:p>
      <w:pPr>
        <w:spacing w:after="0" w:line="154" w:lineRule="exact"/>
        <w:rPr>
          <w:sz w:val="20"/>
          <w:szCs w:val="20"/>
          <w:color w:val="auto"/>
        </w:rPr>
      </w:pPr>
    </w:p>
    <w:p>
      <w:pPr>
        <w:ind w:right="560"/>
        <w:spacing w:after="0" w:line="239" w:lineRule="auto"/>
        <w:rPr>
          <w:sz w:val="20"/>
          <w:szCs w:val="20"/>
          <w:color w:val="auto"/>
        </w:rPr>
      </w:pPr>
      <w:r>
        <w:rPr>
          <w:rFonts w:ascii="Arial" w:cs="Arial" w:eastAsia="Arial" w:hAnsi="Arial"/>
          <w:sz w:val="18"/>
          <w:szCs w:val="18"/>
          <w:color w:val="auto"/>
        </w:rPr>
        <w:t>The Compensation Committee approved the measures for APIP awards for fiscal year 2011, which are set out on Exhibit 10(e)(19) attached hereto.</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009CDA"/>
        </w:rPr>
        <w:t>2008 E-LTIP Awards</w:t>
      </w:r>
    </w:p>
    <w:p>
      <w:pPr>
        <w:spacing w:after="0" w:line="107"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The Compensation Committee determined that 60% of the original grant amount awarded under the 2008 Executive Long-Term Incentive Program (“2008 E-LTIP”) was earned based on the Company’s three-year cumulative 2008, 2009 and 2010 performance against the three-year cumulative targets established for Earnings Per Share and Core Cash Flow from Operations. A description of the targets is set out on Exhibit 10(e)(5). The total number of shares earned for the three-year cumulative performance period ended December 31, 2010 that shall vest on July 1, 2011 for each Named Executive Officer is as follows: Ms. Burns, 179,916 shares; Mr. Zimmerman, 64,641 shares; Mr. Zagalo de Lima, 44,982 shares; Mr. Firestone, 89,958 shares; and Mrs. Mulcahy, 231,164 shares. Included in these share amounts are shares that were previously earned for 2009 annual performance, as previously disclosed in our 2009 Form 10-K (except for Mr. Zagalo de Lima who became a Named Executive Officer for 2010). No performance shares were earned for 2008 based on the Company’s 2008 performance against the annual targets.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009CDA"/>
        </w:rPr>
        <w:t>2009 E-LTIP Awards</w:t>
      </w:r>
    </w:p>
    <w:p>
      <w:pPr>
        <w:spacing w:after="0" w:line="107"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 lieu of performance shares, 2009 E-LTIP awards were made in the form of Restricted Stock Units (RSUs) with a performance feature based on the price of Xerox common stock over a three-year period. The number of shares of stock that can be earned range between 80% and 120% of the original RSU award, based on the increase or decrease in the price of Xerox common stock over the three-year vesting period. No further action is required by the Compensation Committee.</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009CDA"/>
        </w:rPr>
        <w:t>2010 E-LTIP Awards</w:t>
      </w:r>
    </w:p>
    <w:p>
      <w:pPr>
        <w:spacing w:after="0" w:line="10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Compensation Committee determined that 33.33% of the performance shares granted under the 2010 Executive Long-Term Incentive Program (“2010 E-LTIP”) were earned based on the Company’s 2010 performance against the annual targets established for Earnings Per Share and Cash Flow from Operations. A description of the targets is set out on Exhibit 10(e)(15). The number of shares earned for 2010 for each Named Executive Officer is as follows: Ms. Burns, 313,676 shares; Mr. Blodgett, 83,650 shares; Mr. Zagalo de Lima, 62,736 shares; and Mr. Firestone, 83,650 shares. Earned shares vest three years from their grant date.</w:t>
      </w:r>
    </w:p>
    <w:p>
      <w:pPr>
        <w:spacing w:after="0" w:line="157" w:lineRule="exact"/>
        <w:rPr>
          <w:sz w:val="20"/>
          <w:szCs w:val="20"/>
          <w:color w:val="auto"/>
        </w:rPr>
      </w:pPr>
    </w:p>
    <w:p>
      <w:pPr>
        <w:jc w:val="both"/>
        <w:ind w:right="140"/>
        <w:spacing w:after="0" w:line="238" w:lineRule="auto"/>
        <w:rPr>
          <w:sz w:val="20"/>
          <w:szCs w:val="20"/>
          <w:color w:val="auto"/>
        </w:rPr>
      </w:pPr>
      <w:r>
        <w:rPr>
          <w:rFonts w:ascii="Arial" w:cs="Arial" w:eastAsia="Arial" w:hAnsi="Arial"/>
          <w:sz w:val="18"/>
          <w:szCs w:val="18"/>
          <w:color w:val="auto"/>
        </w:rPr>
        <w:t>In lieu of a performance share award that vests over a three-year period, the Compensation Committee approved a performance share award for Mr. Zimmerman effective March 1, 2010 that will vest on March 1, 2011. Performance metrics were the same as those developed for the first year of the three-year 2010 E-LTIP performance share award and thus Mr. Zimmerman earned 209,425 shares.</w:t>
      </w:r>
    </w:p>
    <w:p>
      <w:pPr>
        <w:spacing w:after="0" w:line="137" w:lineRule="exact"/>
        <w:rPr>
          <w:sz w:val="20"/>
          <w:szCs w:val="20"/>
          <w:color w:val="auto"/>
        </w:rPr>
      </w:pPr>
    </w:p>
    <w:p>
      <w:pPr>
        <w:jc w:val="right"/>
        <w:spacing w:after="0"/>
        <w:rPr>
          <w:sz w:val="20"/>
          <w:szCs w:val="20"/>
          <w:color w:val="auto"/>
        </w:rPr>
      </w:pPr>
      <w:r>
        <w:rPr>
          <w:rFonts w:ascii="Arial" w:cs="Arial" w:eastAsia="Arial" w:hAnsi="Arial"/>
          <w:sz w:val="14"/>
          <w:szCs w:val="14"/>
          <w:color w:val="009CDA"/>
        </w:rPr>
        <w:t>Xerox 2010 Form 10-K 31</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009CDA"/>
        </w:rPr>
        <w:t>ACS Performance Shares</w:t>
      </w:r>
    </w:p>
    <w:p>
      <w:pPr>
        <w:spacing w:after="0" w:line="107"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In connection with the acquisition of ACS, Mr. Blodgett received a special one-time grant of performance shares that vest over a three year period contingent upon ACS meeting pre-determined annual targets for Earnings Before Interest and Taxes. The aggregate number of shares that may be delivered based on achievement of the targets was determined on the grant date and ranges in value as follows: 50% of base salary (threshold); 100% of base salary (target); and 200% of base salary plus 50% of the value of previously awarded stock options (maximum). The Compensation Committee determined that the maximum number of shares were earned for 2010 based on ACS’s performance against the 2010 stated target. The number of shares earned for Mr. Blodgett is 171,330 shares, which will vest on February 5, 2013.</w:t>
      </w:r>
    </w:p>
    <w:p>
      <w:pPr>
        <w:spacing w:after="0" w:line="95" w:lineRule="exact"/>
        <w:rPr>
          <w:sz w:val="20"/>
          <w:szCs w:val="20"/>
          <w:color w:val="auto"/>
        </w:rPr>
      </w:pPr>
    </w:p>
    <w:p>
      <w:pPr>
        <w:spacing w:after="0"/>
        <w:rPr>
          <w:sz w:val="20"/>
          <w:szCs w:val="20"/>
          <w:color w:val="auto"/>
        </w:rPr>
      </w:pPr>
      <w:r>
        <w:rPr>
          <w:rFonts w:ascii="Arial" w:cs="Arial" w:eastAsia="Arial" w:hAnsi="Arial"/>
          <w:sz w:val="22"/>
          <w:szCs w:val="22"/>
          <w:b w:val="1"/>
          <w:bCs w:val="1"/>
          <w:color w:val="009CDA"/>
        </w:rPr>
        <w:t>2011 E-LTIP Awards</w:t>
      </w:r>
    </w:p>
    <w:p>
      <w:pPr>
        <w:spacing w:after="0" w:line="107"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2011 E-LTIP awards made to Named Executive Officers reflect their leadership role in the Company, their historical and future contributions, and competitive award levels. The purpose of the 2011 E-LTIP is to provide the necessary incentives to retain and reward executives for sustained performance improvements over the next three-year period. Awards under the 2011 E-LTIP for Named Executive Officers are comprised entirely of performance shares that may be earned based on achieving performance targets between threshold and maximum as determined by the Compensation Committee. All performance shares that are earned will vest in 2014. Named Executive Officers who retire, are involuntarily terminated (without cause) or voluntarily terminate due to a reduction in force prior to the end of the three-year performance cycle will vest in a portion of the performance shares earned on a pro rata basis.</w:t>
      </w:r>
    </w:p>
    <w:p>
      <w:pPr>
        <w:spacing w:after="0" w:line="155"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Performance metrics for the 2011 E-LTIP are Revenue Growth (at constant currency) (weighted 10%), Adjusted Earnings Per Share (weighted 55%) and Core Cash Flow from Operations (weighted 35%). Revenue Growth, Adjusted Earnings Per Share and Core Cash Flow from Operations are defined in Exhibit 10(e)(20) attached hereto. The Compensation Committee has established annual targets for Revenue Growth and annual and cumulative targets for Adjusted EPS and Core Cash Flow from Operations. Based on actual performance versus targets, the number of performance shares earned by Named Executive Officers under the 2011 E-LTIP will range from 0% to 150% of the initial number of shares subject to the grant. The form of award agreement pursuant to which such grants were made is attached hereto as Exhibit 10(e)(21).</w:t>
      </w:r>
    </w:p>
    <w:p>
      <w:pPr>
        <w:spacing w:after="0" w:line="50"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Participants in the 2011 E-LTIP are subject to meaningful ownership requirements and mandatory share holding requirements of 50% of the net vested shares until their ownership requirements have been 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370840</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4"/>
          <w:szCs w:val="24"/>
          <w:b w:val="1"/>
          <w:bCs w:val="1"/>
          <w:color w:val="009CDA"/>
        </w:rPr>
        <w:t>PART III</w:t>
      </w:r>
    </w:p>
    <w:p>
      <w:pPr>
        <w:spacing w:after="0" w:line="90"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color w:val="009CDA"/>
        </w:rPr>
        <w:t>ITEM 10.</w:t>
      </w:r>
      <w:r>
        <w:rPr>
          <w:sz w:val="20"/>
          <w:szCs w:val="20"/>
          <w:color w:val="auto"/>
        </w:rPr>
        <w:tab/>
      </w:r>
      <w:r>
        <w:rPr>
          <w:rFonts w:ascii="Arial" w:cs="Arial" w:eastAsia="Arial" w:hAnsi="Arial"/>
          <w:sz w:val="21"/>
          <w:szCs w:val="21"/>
          <w:b w:val="1"/>
          <w:bCs w:val="1"/>
          <w:color w:val="009CDA"/>
        </w:rPr>
        <w:t>DIRECTORS, EXECUTIVE OFFICERS AND CORPORATE GOVERNANCE</w:t>
      </w:r>
    </w:p>
    <w:p>
      <w:pPr>
        <w:spacing w:after="0" w:line="107"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The information regarding directors is incorporated herein by reference to the section entitled “Proposal 1 - Election of Directors” in our definitive Proxy Statement (“2011 Proxy Statement”) to be filed pursuant to Regulation 14A of the Securities Exchange Act of 1934, as amended, for our Annual Meeting of Stockholders to be held on May 26, 2011. The Proxy Statement will be filed within 120 days after the end of our fiscal year ended December 31, 2010.</w:t>
      </w:r>
    </w:p>
    <w:p>
      <w:pPr>
        <w:spacing w:after="0" w:line="74"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The information regarding compliance with Section 16(a) of the Securities and Exchange Act of 1934 is incorporated herein by reference to the section entitled “Section 16(a) Beneficial Ownership Reporting Compliance” of our 2011 Proxy Statement.</w:t>
      </w:r>
    </w:p>
    <w:p>
      <w:pPr>
        <w:spacing w:after="0" w:line="74" w:lineRule="exact"/>
        <w:rPr>
          <w:sz w:val="20"/>
          <w:szCs w:val="20"/>
          <w:color w:val="auto"/>
        </w:rPr>
      </w:pPr>
    </w:p>
    <w:p>
      <w:pPr>
        <w:jc w:val="both"/>
        <w:ind w:right="240"/>
        <w:spacing w:after="0" w:line="238" w:lineRule="auto"/>
        <w:rPr>
          <w:sz w:val="20"/>
          <w:szCs w:val="20"/>
          <w:color w:val="auto"/>
        </w:rPr>
      </w:pPr>
      <w:r>
        <w:rPr>
          <w:rFonts w:ascii="Arial" w:cs="Arial" w:eastAsia="Arial" w:hAnsi="Arial"/>
          <w:sz w:val="18"/>
          <w:szCs w:val="18"/>
          <w:color w:val="auto"/>
        </w:rPr>
        <w:t>The information regarding the Audit Committee, its members and the Audit Committee financial experts is incorporated by reference herein from the subsection entitled “Committee Functions, Membership and Meetings” in the section entitled “Proposal 1 - Election of Directors” in our 2011 Proxy Statement.</w:t>
      </w:r>
    </w:p>
    <w:p>
      <w:pPr>
        <w:spacing w:after="0" w:line="73" w:lineRule="exact"/>
        <w:rPr>
          <w:sz w:val="20"/>
          <w:szCs w:val="20"/>
          <w:color w:val="auto"/>
        </w:rPr>
      </w:pPr>
    </w:p>
    <w:p>
      <w:pPr>
        <w:ind w:right="600"/>
        <w:spacing w:after="0" w:line="293" w:lineRule="auto"/>
        <w:rPr>
          <w:sz w:val="20"/>
          <w:szCs w:val="20"/>
          <w:color w:val="auto"/>
        </w:rPr>
      </w:pPr>
      <w:r>
        <w:rPr>
          <w:rFonts w:ascii="Arial" w:cs="Arial" w:eastAsia="Arial" w:hAnsi="Arial"/>
          <w:sz w:val="16"/>
          <w:szCs w:val="16"/>
          <w:color w:val="auto"/>
        </w:rPr>
        <w:t>We have adopted a code of ethics applicable to our principal executive officer, principal financial officer and principal accounting officer. The Finance Code of Conduct can be found on our website at: http://www.xerox.com/investor and then clicking on Corporate Governance.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009CDA"/>
        </w:rPr>
        <w:t>Executive Officers of Xerox</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list of the executive officers of Xerox, their current ages, their present positions and the year appointed to their present positions.</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4"/>
          <w:szCs w:val="14"/>
          <w:color w:val="009CDA"/>
        </w:rPr>
        <w:t>Xerox 2010 Form 10-K 32</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Each officer is elected to hold office until the meeting of the Board of Directors held on the day of the next annual meeting of shareholders, subject to the provisions of the By-Laws.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87"/>
              </w:rPr>
              <w:t>Year</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98"/>
              </w:rPr>
              <w:t>Appointed</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5"/>
              </w:rPr>
              <w:t>to</w:t>
            </w:r>
          </w:p>
        </w:tc>
        <w:tc>
          <w:tcPr>
            <w:tcW w:w="220" w:type="dxa"/>
            <w:vAlign w:val="bottom"/>
          </w:tcPr>
          <w:p>
            <w:pPr>
              <w:spacing w:after="0"/>
              <w:rPr>
                <w:sz w:val="12"/>
                <w:szCs w:val="12"/>
                <w:color w:val="auto"/>
              </w:rPr>
            </w:pPr>
          </w:p>
        </w:tc>
        <w:tc>
          <w:tcPr>
            <w:tcW w:w="400" w:type="dxa"/>
            <w:vAlign w:val="bottom"/>
          </w:tcPr>
          <w:p>
            <w:pPr>
              <w:ind w:left="20"/>
              <w:spacing w:after="0" w:line="149" w:lineRule="exact"/>
              <w:rPr>
                <w:sz w:val="20"/>
                <w:szCs w:val="20"/>
                <w:color w:val="auto"/>
              </w:rPr>
            </w:pPr>
            <w:r>
              <w:rPr>
                <w:rFonts w:ascii="Arial" w:cs="Arial" w:eastAsia="Arial" w:hAnsi="Arial"/>
                <w:sz w:val="14"/>
                <w:szCs w:val="14"/>
                <w:color w:val="auto"/>
                <w:w w:val="98"/>
              </w:rPr>
              <w:t>Xerox</w:t>
            </w:r>
          </w:p>
        </w:tc>
        <w:tc>
          <w:tcPr>
            <w:tcW w:w="0" w:type="dxa"/>
            <w:vAlign w:val="bottom"/>
          </w:tcPr>
          <w:p>
            <w:pPr>
              <w:spacing w:after="0"/>
              <w:rPr>
                <w:sz w:val="1"/>
                <w:szCs w:val="1"/>
                <w:color w:val="auto"/>
              </w:rPr>
            </w:pPr>
          </w:p>
        </w:tc>
      </w:tr>
      <w:tr>
        <w:trPr>
          <w:trHeight w:val="149"/>
        </w:trPr>
        <w:tc>
          <w:tcPr>
            <w:tcW w:w="3260" w:type="dxa"/>
            <w:vAlign w:val="bottom"/>
            <w:vMerge w:val="restart"/>
          </w:tcPr>
          <w:p>
            <w:pPr>
              <w:spacing w:after="0"/>
              <w:rPr>
                <w:sz w:val="20"/>
                <w:szCs w:val="20"/>
                <w:color w:val="auto"/>
              </w:rPr>
            </w:pPr>
            <w:r>
              <w:rPr>
                <w:rFonts w:ascii="Arial" w:cs="Arial" w:eastAsia="Arial" w:hAnsi="Arial"/>
                <w:sz w:val="14"/>
                <w:szCs w:val="14"/>
                <w:color w:val="auto"/>
              </w:rPr>
              <w:t>Name</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80" w:type="dxa"/>
            <w:vAlign w:val="bottom"/>
            <w:vMerge w:val="restart"/>
          </w:tcPr>
          <w:p>
            <w:pPr>
              <w:ind w:left="2360"/>
              <w:spacing w:after="0"/>
              <w:rPr>
                <w:sz w:val="20"/>
                <w:szCs w:val="20"/>
                <w:color w:val="auto"/>
              </w:rPr>
            </w:pPr>
            <w:r>
              <w:rPr>
                <w:rFonts w:ascii="Arial" w:cs="Arial" w:eastAsia="Arial" w:hAnsi="Arial"/>
                <w:sz w:val="14"/>
                <w:szCs w:val="14"/>
                <w:color w:val="auto"/>
              </w:rPr>
              <w:t>Present Position</w:t>
            </w:r>
          </w:p>
        </w:tc>
        <w:tc>
          <w:tcPr>
            <w:tcW w:w="2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95"/>
              </w:rPr>
              <w:t>Present</w:t>
            </w:r>
          </w:p>
        </w:tc>
        <w:tc>
          <w:tcPr>
            <w:tcW w:w="220" w:type="dxa"/>
            <w:vAlign w:val="bottom"/>
          </w:tcPr>
          <w:p>
            <w:pPr>
              <w:spacing w:after="0"/>
              <w:rPr>
                <w:sz w:val="12"/>
                <w:szCs w:val="12"/>
                <w:color w:val="auto"/>
              </w:rPr>
            </w:pPr>
          </w:p>
        </w:tc>
        <w:tc>
          <w:tcPr>
            <w:tcW w:w="400" w:type="dxa"/>
            <w:vAlign w:val="bottom"/>
          </w:tcPr>
          <w:p>
            <w:pPr>
              <w:spacing w:after="0" w:line="149" w:lineRule="exact"/>
              <w:rPr>
                <w:sz w:val="20"/>
                <w:szCs w:val="20"/>
                <w:color w:val="auto"/>
              </w:rPr>
            </w:pPr>
            <w:r>
              <w:rPr>
                <w:rFonts w:ascii="Arial" w:cs="Arial" w:eastAsia="Arial" w:hAnsi="Arial"/>
                <w:sz w:val="14"/>
                <w:szCs w:val="14"/>
                <w:color w:val="auto"/>
                <w:w w:val="92"/>
              </w:rPr>
              <w:t>Officer</w:t>
            </w:r>
          </w:p>
        </w:tc>
        <w:tc>
          <w:tcPr>
            <w:tcW w:w="0" w:type="dxa"/>
            <w:vAlign w:val="bottom"/>
          </w:tcPr>
          <w:p>
            <w:pPr>
              <w:spacing w:after="0"/>
              <w:rPr>
                <w:sz w:val="1"/>
                <w:szCs w:val="1"/>
                <w:color w:val="auto"/>
              </w:rPr>
            </w:pPr>
          </w:p>
        </w:tc>
      </w:tr>
      <w:tr>
        <w:trPr>
          <w:trHeight w:val="149"/>
        </w:trPr>
        <w:tc>
          <w:tcPr>
            <w:tcW w:w="3260" w:type="dxa"/>
            <w:vAlign w:val="bottom"/>
            <w:tcBorders>
              <w:bottom w:val="single" w:sz="8" w:color="auto"/>
            </w:tcBorders>
            <w:vMerge w:val="continue"/>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w w:val="88"/>
              </w:rPr>
              <w:t>Age</w:t>
            </w:r>
          </w:p>
        </w:tc>
        <w:tc>
          <w:tcPr>
            <w:tcW w:w="440" w:type="dxa"/>
            <w:vAlign w:val="bottom"/>
          </w:tcPr>
          <w:p>
            <w:pPr>
              <w:spacing w:after="0"/>
              <w:rPr>
                <w:sz w:val="12"/>
                <w:szCs w:val="12"/>
                <w:color w:val="auto"/>
              </w:rPr>
            </w:pPr>
          </w:p>
        </w:tc>
        <w:tc>
          <w:tcPr>
            <w:tcW w:w="568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Position</w:t>
            </w:r>
          </w:p>
        </w:tc>
        <w:tc>
          <w:tcPr>
            <w:tcW w:w="220" w:type="dxa"/>
            <w:vAlign w:val="bottom"/>
          </w:tcPr>
          <w:p>
            <w:pPr>
              <w:spacing w:after="0"/>
              <w:rPr>
                <w:sz w:val="12"/>
                <w:szCs w:val="12"/>
                <w:color w:val="auto"/>
              </w:rPr>
            </w:pPr>
          </w:p>
        </w:tc>
        <w:tc>
          <w:tcPr>
            <w:tcW w:w="400" w:type="dxa"/>
            <w:vAlign w:val="bottom"/>
            <w:tcBorders>
              <w:bottom w:val="single" w:sz="8" w:color="auto"/>
            </w:tcBorders>
          </w:tcPr>
          <w:p>
            <w:pPr>
              <w:ind w:left="20"/>
              <w:spacing w:after="0" w:line="149" w:lineRule="exact"/>
              <w:rPr>
                <w:sz w:val="20"/>
                <w:szCs w:val="20"/>
                <w:color w:val="auto"/>
              </w:rPr>
            </w:pPr>
            <w:r>
              <w:rPr>
                <w:rFonts w:ascii="Arial" w:cs="Arial" w:eastAsia="Arial" w:hAnsi="Arial"/>
                <w:sz w:val="14"/>
                <w:szCs w:val="14"/>
                <w:color w:val="auto"/>
              </w:rPr>
              <w:t>Since</w:t>
            </w:r>
          </w:p>
        </w:tc>
        <w:tc>
          <w:tcPr>
            <w:tcW w:w="0" w:type="dxa"/>
            <w:vAlign w:val="bottom"/>
          </w:tcPr>
          <w:p>
            <w:pPr>
              <w:spacing w:after="0"/>
              <w:rPr>
                <w:sz w:val="1"/>
                <w:szCs w:val="1"/>
                <w:color w:val="auto"/>
              </w:rPr>
            </w:pPr>
          </w:p>
        </w:tc>
      </w:tr>
      <w:tr>
        <w:trPr>
          <w:trHeight w:val="316"/>
        </w:trPr>
        <w:tc>
          <w:tcPr>
            <w:tcW w:w="3260" w:type="dxa"/>
            <w:vAlign w:val="bottom"/>
          </w:tcPr>
          <w:p>
            <w:pPr>
              <w:spacing w:after="0"/>
              <w:rPr>
                <w:sz w:val="20"/>
                <w:szCs w:val="20"/>
                <w:color w:val="auto"/>
              </w:rPr>
            </w:pPr>
            <w:r>
              <w:rPr>
                <w:rFonts w:ascii="Arial" w:cs="Arial" w:eastAsia="Arial" w:hAnsi="Arial"/>
                <w:sz w:val="18"/>
                <w:szCs w:val="18"/>
                <w:color w:val="auto"/>
              </w:rPr>
              <w:t>Ursula M. Burns*</w:t>
            </w:r>
          </w:p>
        </w:tc>
        <w:tc>
          <w:tcPr>
            <w:tcW w:w="580" w:type="dxa"/>
            <w:vAlign w:val="bottom"/>
            <w:gridSpan w:val="2"/>
          </w:tcPr>
          <w:p>
            <w:pPr>
              <w:ind w:left="360"/>
              <w:spacing w:after="0"/>
              <w:rPr>
                <w:sz w:val="20"/>
                <w:szCs w:val="20"/>
                <w:color w:val="auto"/>
              </w:rPr>
            </w:pPr>
            <w:r>
              <w:rPr>
                <w:rFonts w:ascii="Arial" w:cs="Arial" w:eastAsia="Arial" w:hAnsi="Arial"/>
                <w:sz w:val="18"/>
                <w:szCs w:val="18"/>
                <w:color w:val="auto"/>
                <w:w w:val="99"/>
              </w:rPr>
              <w:t>52</w:t>
            </w:r>
          </w:p>
        </w:tc>
        <w:tc>
          <w:tcPr>
            <w:tcW w:w="44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Chairman of the Board and Chief Executive Officer</w:t>
            </w:r>
          </w:p>
        </w:tc>
        <w:tc>
          <w:tcPr>
            <w:tcW w:w="840" w:type="dxa"/>
            <w:vAlign w:val="bottom"/>
            <w:gridSpan w:val="2"/>
          </w:tcPr>
          <w:p>
            <w:pPr>
              <w:jc w:val="center"/>
              <w:ind w:left="132"/>
              <w:spacing w:after="0"/>
              <w:rPr>
                <w:sz w:val="20"/>
                <w:szCs w:val="20"/>
                <w:color w:val="auto"/>
              </w:rPr>
            </w:pPr>
            <w:r>
              <w:rPr>
                <w:rFonts w:ascii="Arial" w:cs="Arial" w:eastAsia="Arial" w:hAnsi="Arial"/>
                <w:sz w:val="18"/>
                <w:szCs w:val="18"/>
                <w:color w:val="auto"/>
                <w:w w:val="94"/>
              </w:rPr>
              <w:t>2010</w:t>
            </w:r>
          </w:p>
        </w:tc>
        <w:tc>
          <w:tcPr>
            <w:tcW w:w="620" w:type="dxa"/>
            <w:vAlign w:val="bottom"/>
            <w:gridSpan w:val="2"/>
          </w:tcPr>
          <w:p>
            <w:pPr>
              <w:ind w:left="220"/>
              <w:spacing w:after="0"/>
              <w:rPr>
                <w:sz w:val="20"/>
                <w:szCs w:val="20"/>
                <w:color w:val="auto"/>
              </w:rPr>
            </w:pPr>
            <w:r>
              <w:rPr>
                <w:rFonts w:ascii="Arial" w:cs="Arial" w:eastAsia="Arial" w:hAnsi="Arial"/>
                <w:sz w:val="18"/>
                <w:szCs w:val="18"/>
                <w:color w:val="auto"/>
                <w:w w:val="94"/>
              </w:rPr>
              <w:t>1997</w:t>
            </w:r>
          </w:p>
        </w:tc>
        <w:tc>
          <w:tcPr>
            <w:tcW w:w="0" w:type="dxa"/>
            <w:vAlign w:val="bottom"/>
          </w:tcPr>
          <w:p>
            <w:pPr>
              <w:spacing w:after="0"/>
              <w:rPr>
                <w:sz w:val="1"/>
                <w:szCs w:val="1"/>
                <w:color w:val="auto"/>
              </w:rPr>
            </w:pPr>
          </w:p>
        </w:tc>
      </w:tr>
      <w:tr>
        <w:trPr>
          <w:trHeight w:val="311"/>
        </w:trPr>
        <w:tc>
          <w:tcPr>
            <w:tcW w:w="3260" w:type="dxa"/>
            <w:vAlign w:val="bottom"/>
          </w:tcPr>
          <w:p>
            <w:pPr>
              <w:spacing w:after="0"/>
              <w:rPr>
                <w:sz w:val="20"/>
                <w:szCs w:val="20"/>
                <w:color w:val="auto"/>
              </w:rPr>
            </w:pPr>
            <w:r>
              <w:rPr>
                <w:rFonts w:ascii="Arial" w:cs="Arial" w:eastAsia="Arial" w:hAnsi="Arial"/>
                <w:sz w:val="18"/>
                <w:szCs w:val="18"/>
                <w:color w:val="auto"/>
              </w:rPr>
              <w:t>Lawrence A. Zimmerman</w:t>
            </w:r>
          </w:p>
        </w:tc>
        <w:tc>
          <w:tcPr>
            <w:tcW w:w="580" w:type="dxa"/>
            <w:vAlign w:val="bottom"/>
            <w:gridSpan w:val="2"/>
          </w:tcPr>
          <w:p>
            <w:pPr>
              <w:ind w:left="360"/>
              <w:spacing w:after="0"/>
              <w:rPr>
                <w:sz w:val="20"/>
                <w:szCs w:val="20"/>
                <w:color w:val="auto"/>
              </w:rPr>
            </w:pPr>
            <w:r>
              <w:rPr>
                <w:rFonts w:ascii="Arial" w:cs="Arial" w:eastAsia="Arial" w:hAnsi="Arial"/>
                <w:sz w:val="18"/>
                <w:szCs w:val="18"/>
                <w:color w:val="auto"/>
                <w:w w:val="99"/>
              </w:rPr>
              <w:t>68</w:t>
            </w:r>
          </w:p>
        </w:tc>
        <w:tc>
          <w:tcPr>
            <w:tcW w:w="44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Vice Chairman</w:t>
            </w:r>
          </w:p>
        </w:tc>
        <w:tc>
          <w:tcPr>
            <w:tcW w:w="840" w:type="dxa"/>
            <w:vAlign w:val="bottom"/>
            <w:gridSpan w:val="2"/>
          </w:tcPr>
          <w:p>
            <w:pPr>
              <w:jc w:val="center"/>
              <w:ind w:left="132"/>
              <w:spacing w:after="0"/>
              <w:rPr>
                <w:sz w:val="20"/>
                <w:szCs w:val="20"/>
                <w:color w:val="auto"/>
              </w:rPr>
            </w:pPr>
            <w:r>
              <w:rPr>
                <w:rFonts w:ascii="Arial" w:cs="Arial" w:eastAsia="Arial" w:hAnsi="Arial"/>
                <w:sz w:val="18"/>
                <w:szCs w:val="18"/>
                <w:color w:val="auto"/>
                <w:w w:val="94"/>
              </w:rPr>
              <w:t>2009</w:t>
            </w:r>
          </w:p>
        </w:tc>
        <w:tc>
          <w:tcPr>
            <w:tcW w:w="620" w:type="dxa"/>
            <w:vAlign w:val="bottom"/>
            <w:gridSpan w:val="2"/>
          </w:tcPr>
          <w:p>
            <w:pPr>
              <w:ind w:left="220"/>
              <w:spacing w:after="0"/>
              <w:rPr>
                <w:sz w:val="20"/>
                <w:szCs w:val="20"/>
                <w:color w:val="auto"/>
              </w:rPr>
            </w:pPr>
            <w:r>
              <w:rPr>
                <w:rFonts w:ascii="Arial" w:cs="Arial" w:eastAsia="Arial" w:hAnsi="Arial"/>
                <w:sz w:val="18"/>
                <w:szCs w:val="18"/>
                <w:color w:val="auto"/>
                <w:w w:val="94"/>
              </w:rPr>
              <w:t>2002</w:t>
            </w:r>
          </w:p>
        </w:tc>
        <w:tc>
          <w:tcPr>
            <w:tcW w:w="0" w:type="dxa"/>
            <w:vAlign w:val="bottom"/>
          </w:tcPr>
          <w:p>
            <w:pPr>
              <w:spacing w:after="0"/>
              <w:rPr>
                <w:sz w:val="1"/>
                <w:szCs w:val="1"/>
                <w:color w:val="auto"/>
              </w:rPr>
            </w:pPr>
          </w:p>
        </w:tc>
      </w:tr>
      <w:tr>
        <w:trPr>
          <w:trHeight w:val="302"/>
        </w:trPr>
        <w:tc>
          <w:tcPr>
            <w:tcW w:w="3260" w:type="dxa"/>
            <w:vAlign w:val="bottom"/>
          </w:tcPr>
          <w:p>
            <w:pPr>
              <w:spacing w:after="0"/>
              <w:rPr>
                <w:sz w:val="20"/>
                <w:szCs w:val="20"/>
                <w:color w:val="auto"/>
              </w:rPr>
            </w:pPr>
            <w:r>
              <w:rPr>
                <w:rFonts w:ascii="Arial" w:cs="Arial" w:eastAsia="Arial" w:hAnsi="Arial"/>
                <w:sz w:val="18"/>
                <w:szCs w:val="18"/>
                <w:color w:val="auto"/>
              </w:rPr>
              <w:t>Lynn R. Blodgett</w:t>
            </w:r>
          </w:p>
        </w:tc>
        <w:tc>
          <w:tcPr>
            <w:tcW w:w="580" w:type="dxa"/>
            <w:vAlign w:val="bottom"/>
            <w:gridSpan w:val="2"/>
          </w:tcPr>
          <w:p>
            <w:pPr>
              <w:ind w:left="360"/>
              <w:spacing w:after="0"/>
              <w:rPr>
                <w:sz w:val="20"/>
                <w:szCs w:val="20"/>
                <w:color w:val="auto"/>
              </w:rPr>
            </w:pPr>
            <w:r>
              <w:rPr>
                <w:rFonts w:ascii="Arial" w:cs="Arial" w:eastAsia="Arial" w:hAnsi="Arial"/>
                <w:sz w:val="18"/>
                <w:szCs w:val="18"/>
                <w:color w:val="auto"/>
                <w:w w:val="99"/>
              </w:rPr>
              <w:t>56</w:t>
            </w:r>
          </w:p>
        </w:tc>
        <w:tc>
          <w:tcPr>
            <w:tcW w:w="44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Executive Vice President;</w:t>
            </w:r>
          </w:p>
        </w:tc>
        <w:tc>
          <w:tcPr>
            <w:tcW w:w="840" w:type="dxa"/>
            <w:vAlign w:val="bottom"/>
            <w:gridSpan w:val="2"/>
          </w:tcPr>
          <w:p>
            <w:pPr>
              <w:jc w:val="center"/>
              <w:ind w:left="132"/>
              <w:spacing w:after="0"/>
              <w:rPr>
                <w:sz w:val="20"/>
                <w:szCs w:val="20"/>
                <w:color w:val="auto"/>
              </w:rPr>
            </w:pPr>
            <w:r>
              <w:rPr>
                <w:rFonts w:ascii="Arial" w:cs="Arial" w:eastAsia="Arial" w:hAnsi="Arial"/>
                <w:sz w:val="18"/>
                <w:szCs w:val="18"/>
                <w:color w:val="auto"/>
                <w:w w:val="94"/>
              </w:rPr>
              <w:t>2010</w:t>
            </w:r>
          </w:p>
        </w:tc>
        <w:tc>
          <w:tcPr>
            <w:tcW w:w="620" w:type="dxa"/>
            <w:vAlign w:val="bottom"/>
            <w:gridSpan w:val="2"/>
          </w:tcPr>
          <w:p>
            <w:pPr>
              <w:ind w:left="220"/>
              <w:spacing w:after="0"/>
              <w:rPr>
                <w:sz w:val="20"/>
                <w:szCs w:val="20"/>
                <w:color w:val="auto"/>
              </w:rPr>
            </w:pPr>
            <w:r>
              <w:rPr>
                <w:rFonts w:ascii="Arial" w:cs="Arial" w:eastAsia="Arial" w:hAnsi="Arial"/>
                <w:sz w:val="18"/>
                <w:szCs w:val="18"/>
                <w:color w:val="auto"/>
                <w:w w:val="94"/>
              </w:rPr>
              <w:t>2010</w:t>
            </w:r>
          </w:p>
        </w:tc>
        <w:tc>
          <w:tcPr>
            <w:tcW w:w="0" w:type="dxa"/>
            <w:vAlign w:val="bottom"/>
          </w:tcPr>
          <w:p>
            <w:pPr>
              <w:spacing w:after="0"/>
              <w:rPr>
                <w:sz w:val="1"/>
                <w:szCs w:val="1"/>
                <w:color w:val="auto"/>
              </w:rPr>
            </w:pPr>
          </w:p>
        </w:tc>
      </w:tr>
      <w:tr>
        <w:trPr>
          <w:trHeight w:val="203"/>
        </w:trPr>
        <w:tc>
          <w:tcPr>
            <w:tcW w:w="3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80" w:type="dxa"/>
            <w:vAlign w:val="bottom"/>
          </w:tcPr>
          <w:p>
            <w:pPr>
              <w:spacing w:after="0" w:line="202" w:lineRule="exact"/>
              <w:rPr>
                <w:sz w:val="20"/>
                <w:szCs w:val="20"/>
                <w:color w:val="auto"/>
              </w:rPr>
            </w:pPr>
            <w:r>
              <w:rPr>
                <w:rFonts w:ascii="Arial" w:cs="Arial" w:eastAsia="Arial" w:hAnsi="Arial"/>
                <w:sz w:val="18"/>
                <w:szCs w:val="18"/>
                <w:color w:val="auto"/>
              </w:rPr>
              <w:t>President and Chief Executive Officer,</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Affiliated Computer Services, Inc.</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260" w:type="dxa"/>
            <w:vAlign w:val="bottom"/>
          </w:tcPr>
          <w:p>
            <w:pPr>
              <w:spacing w:after="0"/>
              <w:rPr>
                <w:sz w:val="20"/>
                <w:szCs w:val="20"/>
                <w:color w:val="auto"/>
              </w:rPr>
            </w:pPr>
            <w:r>
              <w:rPr>
                <w:rFonts w:ascii="Arial" w:cs="Arial" w:eastAsia="Arial" w:hAnsi="Arial"/>
                <w:sz w:val="18"/>
                <w:szCs w:val="18"/>
                <w:color w:val="auto"/>
              </w:rPr>
              <w:t>James A. Firestone</w:t>
            </w:r>
          </w:p>
        </w:tc>
        <w:tc>
          <w:tcPr>
            <w:tcW w:w="580" w:type="dxa"/>
            <w:vAlign w:val="bottom"/>
            <w:gridSpan w:val="2"/>
          </w:tcPr>
          <w:p>
            <w:pPr>
              <w:ind w:left="360"/>
              <w:spacing w:after="0"/>
              <w:rPr>
                <w:sz w:val="20"/>
                <w:szCs w:val="20"/>
                <w:color w:val="auto"/>
              </w:rPr>
            </w:pPr>
            <w:r>
              <w:rPr>
                <w:rFonts w:ascii="Arial" w:cs="Arial" w:eastAsia="Arial" w:hAnsi="Arial"/>
                <w:sz w:val="18"/>
                <w:szCs w:val="18"/>
                <w:color w:val="auto"/>
                <w:w w:val="99"/>
              </w:rPr>
              <w:t>56</w:t>
            </w:r>
          </w:p>
        </w:tc>
        <w:tc>
          <w:tcPr>
            <w:tcW w:w="44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Executive Vice President;</w:t>
            </w:r>
          </w:p>
        </w:tc>
        <w:tc>
          <w:tcPr>
            <w:tcW w:w="840" w:type="dxa"/>
            <w:vAlign w:val="bottom"/>
            <w:gridSpan w:val="2"/>
          </w:tcPr>
          <w:p>
            <w:pPr>
              <w:jc w:val="center"/>
              <w:ind w:left="132"/>
              <w:spacing w:after="0"/>
              <w:rPr>
                <w:sz w:val="20"/>
                <w:szCs w:val="20"/>
                <w:color w:val="auto"/>
              </w:rPr>
            </w:pPr>
            <w:r>
              <w:rPr>
                <w:rFonts w:ascii="Arial" w:cs="Arial" w:eastAsia="Arial" w:hAnsi="Arial"/>
                <w:sz w:val="18"/>
                <w:szCs w:val="18"/>
                <w:color w:val="auto"/>
                <w:w w:val="94"/>
              </w:rPr>
              <w:t>2008</w:t>
            </w:r>
          </w:p>
        </w:tc>
        <w:tc>
          <w:tcPr>
            <w:tcW w:w="620" w:type="dxa"/>
            <w:vAlign w:val="bottom"/>
            <w:gridSpan w:val="2"/>
          </w:tcPr>
          <w:p>
            <w:pPr>
              <w:ind w:left="220"/>
              <w:spacing w:after="0"/>
              <w:rPr>
                <w:sz w:val="20"/>
                <w:szCs w:val="20"/>
                <w:color w:val="auto"/>
              </w:rPr>
            </w:pPr>
            <w:r>
              <w:rPr>
                <w:rFonts w:ascii="Arial" w:cs="Arial" w:eastAsia="Arial" w:hAnsi="Arial"/>
                <w:sz w:val="18"/>
                <w:szCs w:val="18"/>
                <w:color w:val="auto"/>
                <w:w w:val="94"/>
              </w:rPr>
              <w:t>1998</w:t>
            </w:r>
          </w:p>
        </w:tc>
        <w:tc>
          <w:tcPr>
            <w:tcW w:w="0" w:type="dxa"/>
            <w:vAlign w:val="bottom"/>
          </w:tcPr>
          <w:p>
            <w:pPr>
              <w:spacing w:after="0"/>
              <w:rPr>
                <w:sz w:val="1"/>
                <w:szCs w:val="1"/>
                <w:color w:val="auto"/>
              </w:rPr>
            </w:pPr>
          </w:p>
        </w:tc>
      </w:tr>
      <w:tr>
        <w:trPr>
          <w:trHeight w:val="211"/>
        </w:trPr>
        <w:tc>
          <w:tcPr>
            <w:tcW w:w="3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President, Corporate Operations</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260" w:type="dxa"/>
            <w:vAlign w:val="bottom"/>
          </w:tcPr>
          <w:p>
            <w:pPr>
              <w:spacing w:after="0"/>
              <w:rPr>
                <w:sz w:val="20"/>
                <w:szCs w:val="20"/>
                <w:color w:val="auto"/>
              </w:rPr>
            </w:pPr>
            <w:r>
              <w:rPr>
                <w:rFonts w:ascii="Arial" w:cs="Arial" w:eastAsia="Arial" w:hAnsi="Arial"/>
                <w:sz w:val="18"/>
                <w:szCs w:val="18"/>
                <w:color w:val="auto"/>
              </w:rPr>
              <w:t>Luca Maestri</w:t>
            </w:r>
          </w:p>
        </w:tc>
        <w:tc>
          <w:tcPr>
            <w:tcW w:w="580" w:type="dxa"/>
            <w:vAlign w:val="bottom"/>
            <w:gridSpan w:val="2"/>
          </w:tcPr>
          <w:p>
            <w:pPr>
              <w:ind w:left="360"/>
              <w:spacing w:after="0"/>
              <w:rPr>
                <w:sz w:val="20"/>
                <w:szCs w:val="20"/>
                <w:color w:val="auto"/>
              </w:rPr>
            </w:pPr>
            <w:r>
              <w:rPr>
                <w:rFonts w:ascii="Arial" w:cs="Arial" w:eastAsia="Arial" w:hAnsi="Arial"/>
                <w:sz w:val="18"/>
                <w:szCs w:val="18"/>
                <w:color w:val="auto"/>
                <w:w w:val="99"/>
              </w:rPr>
              <w:t>47</w:t>
            </w:r>
          </w:p>
        </w:tc>
        <w:tc>
          <w:tcPr>
            <w:tcW w:w="44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Executive Vice President;</w:t>
            </w:r>
          </w:p>
        </w:tc>
        <w:tc>
          <w:tcPr>
            <w:tcW w:w="840" w:type="dxa"/>
            <w:vAlign w:val="bottom"/>
            <w:gridSpan w:val="2"/>
          </w:tcPr>
          <w:p>
            <w:pPr>
              <w:jc w:val="center"/>
              <w:ind w:left="132"/>
              <w:spacing w:after="0"/>
              <w:rPr>
                <w:sz w:val="20"/>
                <w:szCs w:val="20"/>
                <w:color w:val="auto"/>
              </w:rPr>
            </w:pPr>
            <w:r>
              <w:rPr>
                <w:rFonts w:ascii="Arial" w:cs="Arial" w:eastAsia="Arial" w:hAnsi="Arial"/>
                <w:sz w:val="18"/>
                <w:szCs w:val="18"/>
                <w:color w:val="auto"/>
                <w:w w:val="94"/>
              </w:rPr>
              <w:t>2011</w:t>
            </w:r>
          </w:p>
        </w:tc>
        <w:tc>
          <w:tcPr>
            <w:tcW w:w="620" w:type="dxa"/>
            <w:vAlign w:val="bottom"/>
            <w:gridSpan w:val="2"/>
          </w:tcPr>
          <w:p>
            <w:pPr>
              <w:ind w:left="220"/>
              <w:spacing w:after="0"/>
              <w:rPr>
                <w:sz w:val="20"/>
                <w:szCs w:val="20"/>
                <w:color w:val="auto"/>
              </w:rPr>
            </w:pPr>
            <w:r>
              <w:rPr>
                <w:rFonts w:ascii="Arial" w:cs="Arial" w:eastAsia="Arial" w:hAnsi="Arial"/>
                <w:sz w:val="18"/>
                <w:szCs w:val="18"/>
                <w:color w:val="auto"/>
                <w:w w:val="94"/>
              </w:rPr>
              <w:t>2011</w:t>
            </w:r>
          </w:p>
        </w:tc>
        <w:tc>
          <w:tcPr>
            <w:tcW w:w="0" w:type="dxa"/>
            <w:vAlign w:val="bottom"/>
          </w:tcPr>
          <w:p>
            <w:pPr>
              <w:spacing w:after="0"/>
              <w:rPr>
                <w:sz w:val="1"/>
                <w:szCs w:val="1"/>
                <w:color w:val="auto"/>
              </w:rPr>
            </w:pPr>
          </w:p>
        </w:tc>
      </w:tr>
      <w:tr>
        <w:trPr>
          <w:trHeight w:val="211"/>
        </w:trPr>
        <w:tc>
          <w:tcPr>
            <w:tcW w:w="3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260" w:type="dxa"/>
            <w:vAlign w:val="bottom"/>
          </w:tcPr>
          <w:p>
            <w:pPr>
              <w:spacing w:after="0"/>
              <w:rPr>
                <w:sz w:val="20"/>
                <w:szCs w:val="20"/>
                <w:color w:val="auto"/>
              </w:rPr>
            </w:pPr>
            <w:r>
              <w:rPr>
                <w:rFonts w:ascii="Arial" w:cs="Arial" w:eastAsia="Arial" w:hAnsi="Arial"/>
                <w:sz w:val="18"/>
                <w:szCs w:val="18"/>
                <w:color w:val="auto"/>
              </w:rPr>
              <w:t>Armando Zagalo de Lima</w:t>
            </w:r>
          </w:p>
        </w:tc>
        <w:tc>
          <w:tcPr>
            <w:tcW w:w="580" w:type="dxa"/>
            <w:vAlign w:val="bottom"/>
            <w:gridSpan w:val="2"/>
          </w:tcPr>
          <w:p>
            <w:pPr>
              <w:ind w:left="360"/>
              <w:spacing w:after="0"/>
              <w:rPr>
                <w:sz w:val="20"/>
                <w:szCs w:val="20"/>
                <w:color w:val="auto"/>
              </w:rPr>
            </w:pPr>
            <w:r>
              <w:rPr>
                <w:rFonts w:ascii="Arial" w:cs="Arial" w:eastAsia="Arial" w:hAnsi="Arial"/>
                <w:sz w:val="18"/>
                <w:szCs w:val="18"/>
                <w:color w:val="auto"/>
                <w:w w:val="99"/>
              </w:rPr>
              <w:t>52</w:t>
            </w:r>
          </w:p>
        </w:tc>
        <w:tc>
          <w:tcPr>
            <w:tcW w:w="44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Executive Vice President;</w:t>
            </w:r>
          </w:p>
        </w:tc>
        <w:tc>
          <w:tcPr>
            <w:tcW w:w="840" w:type="dxa"/>
            <w:vAlign w:val="bottom"/>
            <w:gridSpan w:val="2"/>
          </w:tcPr>
          <w:p>
            <w:pPr>
              <w:jc w:val="center"/>
              <w:ind w:left="132"/>
              <w:spacing w:after="0"/>
              <w:rPr>
                <w:sz w:val="20"/>
                <w:szCs w:val="20"/>
                <w:color w:val="auto"/>
              </w:rPr>
            </w:pPr>
            <w:r>
              <w:rPr>
                <w:rFonts w:ascii="Arial" w:cs="Arial" w:eastAsia="Arial" w:hAnsi="Arial"/>
                <w:sz w:val="18"/>
                <w:szCs w:val="18"/>
                <w:color w:val="auto"/>
                <w:w w:val="94"/>
              </w:rPr>
              <w:t>2010</w:t>
            </w:r>
          </w:p>
        </w:tc>
        <w:tc>
          <w:tcPr>
            <w:tcW w:w="620" w:type="dxa"/>
            <w:vAlign w:val="bottom"/>
            <w:gridSpan w:val="2"/>
          </w:tcPr>
          <w:p>
            <w:pPr>
              <w:ind w:left="220"/>
              <w:spacing w:after="0"/>
              <w:rPr>
                <w:sz w:val="20"/>
                <w:szCs w:val="20"/>
                <w:color w:val="auto"/>
              </w:rPr>
            </w:pPr>
            <w:r>
              <w:rPr>
                <w:rFonts w:ascii="Arial" w:cs="Arial" w:eastAsia="Arial" w:hAnsi="Arial"/>
                <w:sz w:val="18"/>
                <w:szCs w:val="18"/>
                <w:color w:val="auto"/>
                <w:w w:val="94"/>
              </w:rPr>
              <w:t>2000</w:t>
            </w:r>
          </w:p>
        </w:tc>
        <w:tc>
          <w:tcPr>
            <w:tcW w:w="0" w:type="dxa"/>
            <w:vAlign w:val="bottom"/>
          </w:tcPr>
          <w:p>
            <w:pPr>
              <w:spacing w:after="0"/>
              <w:rPr>
                <w:sz w:val="1"/>
                <w:szCs w:val="1"/>
                <w:color w:val="auto"/>
              </w:rPr>
            </w:pPr>
          </w:p>
        </w:tc>
      </w:tr>
      <w:tr>
        <w:trPr>
          <w:trHeight w:val="211"/>
        </w:trPr>
        <w:tc>
          <w:tcPr>
            <w:tcW w:w="3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President, Xerox Global Customer Operations</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260" w:type="dxa"/>
            <w:vAlign w:val="bottom"/>
          </w:tcPr>
          <w:p>
            <w:pPr>
              <w:spacing w:after="0"/>
              <w:rPr>
                <w:sz w:val="20"/>
                <w:szCs w:val="20"/>
                <w:color w:val="auto"/>
              </w:rPr>
            </w:pPr>
            <w:r>
              <w:rPr>
                <w:rFonts w:ascii="Arial" w:cs="Arial" w:eastAsia="Arial" w:hAnsi="Arial"/>
                <w:sz w:val="18"/>
                <w:szCs w:val="18"/>
                <w:color w:val="auto"/>
              </w:rPr>
              <w:t>Willem Appelo</w:t>
            </w:r>
          </w:p>
        </w:tc>
        <w:tc>
          <w:tcPr>
            <w:tcW w:w="580" w:type="dxa"/>
            <w:vAlign w:val="bottom"/>
            <w:gridSpan w:val="2"/>
          </w:tcPr>
          <w:p>
            <w:pPr>
              <w:ind w:left="360"/>
              <w:spacing w:after="0"/>
              <w:rPr>
                <w:sz w:val="20"/>
                <w:szCs w:val="20"/>
                <w:color w:val="auto"/>
              </w:rPr>
            </w:pPr>
            <w:r>
              <w:rPr>
                <w:rFonts w:ascii="Arial" w:cs="Arial" w:eastAsia="Arial" w:hAnsi="Arial"/>
                <w:sz w:val="18"/>
                <w:szCs w:val="18"/>
                <w:color w:val="auto"/>
                <w:w w:val="99"/>
              </w:rPr>
              <w:t>46</w:t>
            </w:r>
          </w:p>
        </w:tc>
        <w:tc>
          <w:tcPr>
            <w:tcW w:w="44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Senior Vice President;</w:t>
            </w:r>
          </w:p>
        </w:tc>
        <w:tc>
          <w:tcPr>
            <w:tcW w:w="840" w:type="dxa"/>
            <w:vAlign w:val="bottom"/>
            <w:gridSpan w:val="2"/>
          </w:tcPr>
          <w:p>
            <w:pPr>
              <w:jc w:val="center"/>
              <w:ind w:left="132"/>
              <w:spacing w:after="0"/>
              <w:rPr>
                <w:sz w:val="20"/>
                <w:szCs w:val="20"/>
                <w:color w:val="auto"/>
              </w:rPr>
            </w:pPr>
            <w:r>
              <w:rPr>
                <w:rFonts w:ascii="Arial" w:cs="Arial" w:eastAsia="Arial" w:hAnsi="Arial"/>
                <w:sz w:val="18"/>
                <w:szCs w:val="18"/>
                <w:color w:val="auto"/>
                <w:w w:val="94"/>
              </w:rPr>
              <w:t>2008</w:t>
            </w:r>
          </w:p>
        </w:tc>
        <w:tc>
          <w:tcPr>
            <w:tcW w:w="620" w:type="dxa"/>
            <w:vAlign w:val="bottom"/>
            <w:gridSpan w:val="2"/>
          </w:tcPr>
          <w:p>
            <w:pPr>
              <w:ind w:left="220"/>
              <w:spacing w:after="0"/>
              <w:rPr>
                <w:sz w:val="20"/>
                <w:szCs w:val="20"/>
                <w:color w:val="auto"/>
              </w:rPr>
            </w:pPr>
            <w:r>
              <w:rPr>
                <w:rFonts w:ascii="Arial" w:cs="Arial" w:eastAsia="Arial" w:hAnsi="Arial"/>
                <w:sz w:val="18"/>
                <w:szCs w:val="18"/>
                <w:color w:val="auto"/>
                <w:w w:val="94"/>
              </w:rPr>
              <w:t>2004</w:t>
            </w:r>
          </w:p>
        </w:tc>
        <w:tc>
          <w:tcPr>
            <w:tcW w:w="0" w:type="dxa"/>
            <w:vAlign w:val="bottom"/>
          </w:tcPr>
          <w:p>
            <w:pPr>
              <w:spacing w:after="0"/>
              <w:rPr>
                <w:sz w:val="1"/>
                <w:szCs w:val="1"/>
                <w:color w:val="auto"/>
              </w:rPr>
            </w:pPr>
          </w:p>
        </w:tc>
      </w:tr>
      <w:tr>
        <w:trPr>
          <w:trHeight w:val="211"/>
        </w:trPr>
        <w:tc>
          <w:tcPr>
            <w:tcW w:w="3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President, Xerox Global Business and Services Group</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260" w:type="dxa"/>
            <w:vAlign w:val="bottom"/>
          </w:tcPr>
          <w:p>
            <w:pPr>
              <w:spacing w:after="0"/>
              <w:rPr>
                <w:sz w:val="20"/>
                <w:szCs w:val="20"/>
                <w:color w:val="auto"/>
              </w:rPr>
            </w:pPr>
            <w:r>
              <w:rPr>
                <w:rFonts w:ascii="Arial" w:cs="Arial" w:eastAsia="Arial" w:hAnsi="Arial"/>
                <w:sz w:val="18"/>
                <w:szCs w:val="18"/>
                <w:color w:val="auto"/>
              </w:rPr>
              <w:t>Michael Stephen Cronin</w:t>
            </w:r>
          </w:p>
        </w:tc>
        <w:tc>
          <w:tcPr>
            <w:tcW w:w="580" w:type="dxa"/>
            <w:vAlign w:val="bottom"/>
            <w:gridSpan w:val="2"/>
          </w:tcPr>
          <w:p>
            <w:pPr>
              <w:ind w:left="360"/>
              <w:spacing w:after="0"/>
              <w:rPr>
                <w:sz w:val="20"/>
                <w:szCs w:val="20"/>
                <w:color w:val="auto"/>
              </w:rPr>
            </w:pPr>
            <w:r>
              <w:rPr>
                <w:rFonts w:ascii="Arial" w:cs="Arial" w:eastAsia="Arial" w:hAnsi="Arial"/>
                <w:sz w:val="18"/>
                <w:szCs w:val="18"/>
                <w:color w:val="auto"/>
                <w:w w:val="99"/>
              </w:rPr>
              <w:t>57</w:t>
            </w:r>
          </w:p>
        </w:tc>
        <w:tc>
          <w:tcPr>
            <w:tcW w:w="44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Senior Vice President;</w:t>
            </w:r>
          </w:p>
        </w:tc>
        <w:tc>
          <w:tcPr>
            <w:tcW w:w="840" w:type="dxa"/>
            <w:vAlign w:val="bottom"/>
            <w:gridSpan w:val="2"/>
          </w:tcPr>
          <w:p>
            <w:pPr>
              <w:jc w:val="center"/>
              <w:ind w:left="132"/>
              <w:spacing w:after="0"/>
              <w:rPr>
                <w:sz w:val="20"/>
                <w:szCs w:val="20"/>
                <w:color w:val="auto"/>
              </w:rPr>
            </w:pPr>
            <w:r>
              <w:rPr>
                <w:rFonts w:ascii="Arial" w:cs="Arial" w:eastAsia="Arial" w:hAnsi="Arial"/>
                <w:sz w:val="18"/>
                <w:szCs w:val="18"/>
                <w:color w:val="auto"/>
                <w:w w:val="94"/>
              </w:rPr>
              <w:t>2008</w:t>
            </w:r>
          </w:p>
        </w:tc>
        <w:tc>
          <w:tcPr>
            <w:tcW w:w="620" w:type="dxa"/>
            <w:vAlign w:val="bottom"/>
            <w:gridSpan w:val="2"/>
          </w:tcPr>
          <w:p>
            <w:pPr>
              <w:ind w:left="220"/>
              <w:spacing w:after="0"/>
              <w:rPr>
                <w:sz w:val="20"/>
                <w:szCs w:val="20"/>
                <w:color w:val="auto"/>
              </w:rPr>
            </w:pPr>
            <w:r>
              <w:rPr>
                <w:rFonts w:ascii="Arial" w:cs="Arial" w:eastAsia="Arial" w:hAnsi="Arial"/>
                <w:sz w:val="18"/>
                <w:szCs w:val="18"/>
                <w:color w:val="auto"/>
                <w:w w:val="94"/>
              </w:rPr>
              <w:t>2004</w:t>
            </w:r>
          </w:p>
        </w:tc>
        <w:tc>
          <w:tcPr>
            <w:tcW w:w="0" w:type="dxa"/>
            <w:vAlign w:val="bottom"/>
          </w:tcPr>
          <w:p>
            <w:pPr>
              <w:spacing w:after="0"/>
              <w:rPr>
                <w:sz w:val="1"/>
                <w:szCs w:val="1"/>
                <w:color w:val="auto"/>
              </w:rPr>
            </w:pPr>
          </w:p>
        </w:tc>
      </w:tr>
      <w:tr>
        <w:trPr>
          <w:trHeight w:val="211"/>
        </w:trPr>
        <w:tc>
          <w:tcPr>
            <w:tcW w:w="3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President, Global Document Outsourcing</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260" w:type="dxa"/>
            <w:vAlign w:val="bottom"/>
          </w:tcPr>
          <w:p>
            <w:pPr>
              <w:spacing w:after="0"/>
              <w:rPr>
                <w:sz w:val="20"/>
                <w:szCs w:val="20"/>
                <w:color w:val="auto"/>
              </w:rPr>
            </w:pPr>
            <w:r>
              <w:rPr>
                <w:rFonts w:ascii="Arial" w:cs="Arial" w:eastAsia="Arial" w:hAnsi="Arial"/>
                <w:sz w:val="18"/>
                <w:szCs w:val="18"/>
                <w:color w:val="auto"/>
              </w:rPr>
              <w:t>Don H. Liu</w:t>
            </w:r>
          </w:p>
        </w:tc>
        <w:tc>
          <w:tcPr>
            <w:tcW w:w="580" w:type="dxa"/>
            <w:vAlign w:val="bottom"/>
            <w:gridSpan w:val="2"/>
          </w:tcPr>
          <w:p>
            <w:pPr>
              <w:ind w:left="360"/>
              <w:spacing w:after="0"/>
              <w:rPr>
                <w:sz w:val="20"/>
                <w:szCs w:val="20"/>
                <w:color w:val="auto"/>
              </w:rPr>
            </w:pPr>
            <w:r>
              <w:rPr>
                <w:rFonts w:ascii="Arial" w:cs="Arial" w:eastAsia="Arial" w:hAnsi="Arial"/>
                <w:sz w:val="18"/>
                <w:szCs w:val="18"/>
                <w:color w:val="auto"/>
                <w:w w:val="99"/>
              </w:rPr>
              <w:t>49</w:t>
            </w:r>
          </w:p>
        </w:tc>
        <w:tc>
          <w:tcPr>
            <w:tcW w:w="44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Senior Vice President;</w:t>
            </w:r>
          </w:p>
        </w:tc>
        <w:tc>
          <w:tcPr>
            <w:tcW w:w="840" w:type="dxa"/>
            <w:vAlign w:val="bottom"/>
            <w:gridSpan w:val="2"/>
          </w:tcPr>
          <w:p>
            <w:pPr>
              <w:jc w:val="center"/>
              <w:ind w:left="132"/>
              <w:spacing w:after="0"/>
              <w:rPr>
                <w:sz w:val="20"/>
                <w:szCs w:val="20"/>
                <w:color w:val="auto"/>
              </w:rPr>
            </w:pPr>
            <w:r>
              <w:rPr>
                <w:rFonts w:ascii="Arial" w:cs="Arial" w:eastAsia="Arial" w:hAnsi="Arial"/>
                <w:sz w:val="18"/>
                <w:szCs w:val="18"/>
                <w:color w:val="auto"/>
                <w:w w:val="94"/>
              </w:rPr>
              <w:t>2007</w:t>
            </w:r>
          </w:p>
        </w:tc>
        <w:tc>
          <w:tcPr>
            <w:tcW w:w="620" w:type="dxa"/>
            <w:vAlign w:val="bottom"/>
            <w:gridSpan w:val="2"/>
          </w:tcPr>
          <w:p>
            <w:pPr>
              <w:ind w:left="220"/>
              <w:spacing w:after="0"/>
              <w:rPr>
                <w:sz w:val="20"/>
                <w:szCs w:val="20"/>
                <w:color w:val="auto"/>
              </w:rPr>
            </w:pPr>
            <w:r>
              <w:rPr>
                <w:rFonts w:ascii="Arial" w:cs="Arial" w:eastAsia="Arial" w:hAnsi="Arial"/>
                <w:sz w:val="18"/>
                <w:szCs w:val="18"/>
                <w:color w:val="auto"/>
                <w:w w:val="94"/>
              </w:rPr>
              <w:t>2007</w:t>
            </w:r>
          </w:p>
        </w:tc>
        <w:tc>
          <w:tcPr>
            <w:tcW w:w="0" w:type="dxa"/>
            <w:vAlign w:val="bottom"/>
          </w:tcPr>
          <w:p>
            <w:pPr>
              <w:spacing w:after="0"/>
              <w:rPr>
                <w:sz w:val="1"/>
                <w:szCs w:val="1"/>
                <w:color w:val="auto"/>
              </w:rPr>
            </w:pPr>
          </w:p>
        </w:tc>
      </w:tr>
      <w:tr>
        <w:trPr>
          <w:trHeight w:val="211"/>
        </w:trPr>
        <w:tc>
          <w:tcPr>
            <w:tcW w:w="3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General Counsel and Secretary</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260" w:type="dxa"/>
            <w:vAlign w:val="bottom"/>
          </w:tcPr>
          <w:p>
            <w:pPr>
              <w:spacing w:after="0"/>
              <w:rPr>
                <w:sz w:val="20"/>
                <w:szCs w:val="20"/>
                <w:color w:val="auto"/>
              </w:rPr>
            </w:pPr>
            <w:r>
              <w:rPr>
                <w:rFonts w:ascii="Arial" w:cs="Arial" w:eastAsia="Arial" w:hAnsi="Arial"/>
                <w:sz w:val="18"/>
                <w:szCs w:val="18"/>
                <w:color w:val="auto"/>
              </w:rPr>
              <w:t>Russell Peacock</w:t>
            </w:r>
          </w:p>
        </w:tc>
        <w:tc>
          <w:tcPr>
            <w:tcW w:w="580" w:type="dxa"/>
            <w:vAlign w:val="bottom"/>
            <w:gridSpan w:val="2"/>
          </w:tcPr>
          <w:p>
            <w:pPr>
              <w:ind w:left="360"/>
              <w:spacing w:after="0"/>
              <w:rPr>
                <w:sz w:val="20"/>
                <w:szCs w:val="20"/>
                <w:color w:val="auto"/>
              </w:rPr>
            </w:pPr>
            <w:r>
              <w:rPr>
                <w:rFonts w:ascii="Arial" w:cs="Arial" w:eastAsia="Arial" w:hAnsi="Arial"/>
                <w:sz w:val="18"/>
                <w:szCs w:val="18"/>
                <w:color w:val="auto"/>
                <w:w w:val="99"/>
              </w:rPr>
              <w:t>52</w:t>
            </w:r>
          </w:p>
        </w:tc>
        <w:tc>
          <w:tcPr>
            <w:tcW w:w="44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Senior Vice President;</w:t>
            </w:r>
          </w:p>
        </w:tc>
        <w:tc>
          <w:tcPr>
            <w:tcW w:w="840" w:type="dxa"/>
            <w:vAlign w:val="bottom"/>
            <w:gridSpan w:val="2"/>
          </w:tcPr>
          <w:p>
            <w:pPr>
              <w:jc w:val="center"/>
              <w:ind w:left="132"/>
              <w:spacing w:after="0"/>
              <w:rPr>
                <w:sz w:val="20"/>
                <w:szCs w:val="20"/>
                <w:color w:val="auto"/>
              </w:rPr>
            </w:pPr>
            <w:r>
              <w:rPr>
                <w:rFonts w:ascii="Arial" w:cs="Arial" w:eastAsia="Arial" w:hAnsi="Arial"/>
                <w:sz w:val="18"/>
                <w:szCs w:val="18"/>
                <w:color w:val="auto"/>
                <w:w w:val="94"/>
              </w:rPr>
              <w:t>2010</w:t>
            </w:r>
          </w:p>
        </w:tc>
        <w:tc>
          <w:tcPr>
            <w:tcW w:w="620" w:type="dxa"/>
            <w:vAlign w:val="bottom"/>
            <w:gridSpan w:val="2"/>
          </w:tcPr>
          <w:p>
            <w:pPr>
              <w:ind w:left="220"/>
              <w:spacing w:after="0"/>
              <w:rPr>
                <w:sz w:val="20"/>
                <w:szCs w:val="20"/>
                <w:color w:val="auto"/>
              </w:rPr>
            </w:pPr>
            <w:r>
              <w:rPr>
                <w:rFonts w:ascii="Arial" w:cs="Arial" w:eastAsia="Arial" w:hAnsi="Arial"/>
                <w:sz w:val="18"/>
                <w:szCs w:val="18"/>
                <w:color w:val="auto"/>
                <w:w w:val="94"/>
              </w:rPr>
              <w:t>2007</w:t>
            </w:r>
          </w:p>
        </w:tc>
        <w:tc>
          <w:tcPr>
            <w:tcW w:w="0" w:type="dxa"/>
            <w:vAlign w:val="bottom"/>
          </w:tcPr>
          <w:p>
            <w:pPr>
              <w:spacing w:after="0"/>
              <w:rPr>
                <w:sz w:val="1"/>
                <w:szCs w:val="1"/>
                <w:color w:val="auto"/>
              </w:rPr>
            </w:pPr>
          </w:p>
        </w:tc>
      </w:tr>
      <w:tr>
        <w:trPr>
          <w:trHeight w:val="211"/>
        </w:trPr>
        <w:tc>
          <w:tcPr>
            <w:tcW w:w="3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President, Xerox North America</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260" w:type="dxa"/>
            <w:vAlign w:val="bottom"/>
          </w:tcPr>
          <w:p>
            <w:pPr>
              <w:spacing w:after="0"/>
              <w:rPr>
                <w:sz w:val="20"/>
                <w:szCs w:val="20"/>
                <w:color w:val="auto"/>
              </w:rPr>
            </w:pPr>
            <w:r>
              <w:rPr>
                <w:rFonts w:ascii="Arial" w:cs="Arial" w:eastAsia="Arial" w:hAnsi="Arial"/>
                <w:sz w:val="18"/>
                <w:szCs w:val="18"/>
                <w:color w:val="auto"/>
              </w:rPr>
              <w:t>Eric Armour</w:t>
            </w:r>
          </w:p>
        </w:tc>
        <w:tc>
          <w:tcPr>
            <w:tcW w:w="580" w:type="dxa"/>
            <w:vAlign w:val="bottom"/>
            <w:gridSpan w:val="2"/>
          </w:tcPr>
          <w:p>
            <w:pPr>
              <w:ind w:left="360"/>
              <w:spacing w:after="0"/>
              <w:rPr>
                <w:sz w:val="20"/>
                <w:szCs w:val="20"/>
                <w:color w:val="auto"/>
              </w:rPr>
            </w:pPr>
            <w:r>
              <w:rPr>
                <w:rFonts w:ascii="Arial" w:cs="Arial" w:eastAsia="Arial" w:hAnsi="Arial"/>
                <w:sz w:val="18"/>
                <w:szCs w:val="18"/>
                <w:color w:val="auto"/>
                <w:w w:val="99"/>
              </w:rPr>
              <w:t>52</w:t>
            </w:r>
          </w:p>
        </w:tc>
        <w:tc>
          <w:tcPr>
            <w:tcW w:w="44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Vice President;</w:t>
            </w:r>
          </w:p>
        </w:tc>
        <w:tc>
          <w:tcPr>
            <w:tcW w:w="840" w:type="dxa"/>
            <w:vAlign w:val="bottom"/>
            <w:gridSpan w:val="2"/>
          </w:tcPr>
          <w:p>
            <w:pPr>
              <w:jc w:val="center"/>
              <w:ind w:left="132"/>
              <w:spacing w:after="0"/>
              <w:rPr>
                <w:sz w:val="20"/>
                <w:szCs w:val="20"/>
                <w:color w:val="auto"/>
              </w:rPr>
            </w:pPr>
            <w:r>
              <w:rPr>
                <w:rFonts w:ascii="Arial" w:cs="Arial" w:eastAsia="Arial" w:hAnsi="Arial"/>
                <w:sz w:val="18"/>
                <w:szCs w:val="18"/>
                <w:color w:val="auto"/>
                <w:w w:val="94"/>
              </w:rPr>
              <w:t>2010</w:t>
            </w:r>
          </w:p>
        </w:tc>
        <w:tc>
          <w:tcPr>
            <w:tcW w:w="620" w:type="dxa"/>
            <w:vAlign w:val="bottom"/>
            <w:gridSpan w:val="2"/>
          </w:tcPr>
          <w:p>
            <w:pPr>
              <w:ind w:left="220"/>
              <w:spacing w:after="0"/>
              <w:rPr>
                <w:sz w:val="20"/>
                <w:szCs w:val="20"/>
                <w:color w:val="auto"/>
              </w:rPr>
            </w:pPr>
            <w:r>
              <w:rPr>
                <w:rFonts w:ascii="Arial" w:cs="Arial" w:eastAsia="Arial" w:hAnsi="Arial"/>
                <w:sz w:val="18"/>
                <w:szCs w:val="18"/>
                <w:color w:val="auto"/>
                <w:w w:val="94"/>
              </w:rPr>
              <w:t>2007</w:t>
            </w:r>
          </w:p>
        </w:tc>
        <w:tc>
          <w:tcPr>
            <w:tcW w:w="0" w:type="dxa"/>
            <w:vAlign w:val="bottom"/>
          </w:tcPr>
          <w:p>
            <w:pPr>
              <w:spacing w:after="0"/>
              <w:rPr>
                <w:sz w:val="1"/>
                <w:szCs w:val="1"/>
                <w:color w:val="auto"/>
              </w:rPr>
            </w:pPr>
          </w:p>
        </w:tc>
      </w:tr>
      <w:tr>
        <w:trPr>
          <w:trHeight w:val="211"/>
        </w:trPr>
        <w:tc>
          <w:tcPr>
            <w:tcW w:w="3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President, Graphic Communications Business Group</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260" w:type="dxa"/>
            <w:vAlign w:val="bottom"/>
          </w:tcPr>
          <w:p>
            <w:pPr>
              <w:spacing w:after="0"/>
              <w:rPr>
                <w:sz w:val="20"/>
                <w:szCs w:val="20"/>
                <w:color w:val="auto"/>
              </w:rPr>
            </w:pPr>
            <w:r>
              <w:rPr>
                <w:rFonts w:ascii="Arial" w:cs="Arial" w:eastAsia="Arial" w:hAnsi="Arial"/>
                <w:sz w:val="18"/>
                <w:szCs w:val="18"/>
                <w:color w:val="auto"/>
              </w:rPr>
              <w:t>Richard M. Dastin</w:t>
            </w:r>
          </w:p>
        </w:tc>
        <w:tc>
          <w:tcPr>
            <w:tcW w:w="580" w:type="dxa"/>
            <w:vAlign w:val="bottom"/>
            <w:gridSpan w:val="2"/>
          </w:tcPr>
          <w:p>
            <w:pPr>
              <w:ind w:left="360"/>
              <w:spacing w:after="0"/>
              <w:rPr>
                <w:sz w:val="20"/>
                <w:szCs w:val="20"/>
                <w:color w:val="auto"/>
              </w:rPr>
            </w:pPr>
            <w:r>
              <w:rPr>
                <w:rFonts w:ascii="Arial" w:cs="Arial" w:eastAsia="Arial" w:hAnsi="Arial"/>
                <w:sz w:val="18"/>
                <w:szCs w:val="18"/>
                <w:color w:val="auto"/>
                <w:w w:val="99"/>
              </w:rPr>
              <w:t>51</w:t>
            </w:r>
          </w:p>
        </w:tc>
        <w:tc>
          <w:tcPr>
            <w:tcW w:w="44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Vice President;</w:t>
            </w:r>
          </w:p>
        </w:tc>
        <w:tc>
          <w:tcPr>
            <w:tcW w:w="840" w:type="dxa"/>
            <w:vAlign w:val="bottom"/>
            <w:gridSpan w:val="2"/>
          </w:tcPr>
          <w:p>
            <w:pPr>
              <w:jc w:val="center"/>
              <w:ind w:left="132"/>
              <w:spacing w:after="0"/>
              <w:rPr>
                <w:sz w:val="20"/>
                <w:szCs w:val="20"/>
                <w:color w:val="auto"/>
              </w:rPr>
            </w:pPr>
            <w:r>
              <w:rPr>
                <w:rFonts w:ascii="Arial" w:cs="Arial" w:eastAsia="Arial" w:hAnsi="Arial"/>
                <w:sz w:val="18"/>
                <w:szCs w:val="18"/>
                <w:color w:val="auto"/>
                <w:w w:val="94"/>
              </w:rPr>
              <w:t>2010</w:t>
            </w:r>
          </w:p>
        </w:tc>
        <w:tc>
          <w:tcPr>
            <w:tcW w:w="620" w:type="dxa"/>
            <w:vAlign w:val="bottom"/>
            <w:gridSpan w:val="2"/>
          </w:tcPr>
          <w:p>
            <w:pPr>
              <w:ind w:left="220"/>
              <w:spacing w:after="0"/>
              <w:rPr>
                <w:sz w:val="20"/>
                <w:szCs w:val="20"/>
                <w:color w:val="auto"/>
              </w:rPr>
            </w:pPr>
            <w:r>
              <w:rPr>
                <w:rFonts w:ascii="Arial" w:cs="Arial" w:eastAsia="Arial" w:hAnsi="Arial"/>
                <w:sz w:val="18"/>
                <w:szCs w:val="18"/>
                <w:color w:val="auto"/>
                <w:w w:val="94"/>
              </w:rPr>
              <w:t>2008</w:t>
            </w:r>
          </w:p>
        </w:tc>
        <w:tc>
          <w:tcPr>
            <w:tcW w:w="0" w:type="dxa"/>
            <w:vAlign w:val="bottom"/>
          </w:tcPr>
          <w:p>
            <w:pPr>
              <w:spacing w:after="0"/>
              <w:rPr>
                <w:sz w:val="1"/>
                <w:szCs w:val="1"/>
                <w:color w:val="auto"/>
              </w:rPr>
            </w:pPr>
          </w:p>
        </w:tc>
      </w:tr>
      <w:tr>
        <w:trPr>
          <w:trHeight w:val="211"/>
        </w:trPr>
        <w:tc>
          <w:tcPr>
            <w:tcW w:w="3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President, Enterprise Business Group</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260" w:type="dxa"/>
            <w:vAlign w:val="bottom"/>
          </w:tcPr>
          <w:p>
            <w:pPr>
              <w:spacing w:after="0"/>
              <w:rPr>
                <w:sz w:val="20"/>
                <w:szCs w:val="20"/>
                <w:color w:val="auto"/>
              </w:rPr>
            </w:pPr>
            <w:r>
              <w:rPr>
                <w:rFonts w:ascii="Arial" w:cs="Arial" w:eastAsia="Arial" w:hAnsi="Arial"/>
                <w:sz w:val="18"/>
                <w:szCs w:val="18"/>
                <w:color w:val="auto"/>
              </w:rPr>
              <w:t>Jacques Guers</w:t>
            </w:r>
          </w:p>
        </w:tc>
        <w:tc>
          <w:tcPr>
            <w:tcW w:w="580" w:type="dxa"/>
            <w:vAlign w:val="bottom"/>
            <w:gridSpan w:val="2"/>
          </w:tcPr>
          <w:p>
            <w:pPr>
              <w:ind w:left="360"/>
              <w:spacing w:after="0"/>
              <w:rPr>
                <w:sz w:val="20"/>
                <w:szCs w:val="20"/>
                <w:color w:val="auto"/>
              </w:rPr>
            </w:pPr>
            <w:r>
              <w:rPr>
                <w:rFonts w:ascii="Arial" w:cs="Arial" w:eastAsia="Arial" w:hAnsi="Arial"/>
                <w:sz w:val="18"/>
                <w:szCs w:val="18"/>
                <w:color w:val="auto"/>
                <w:w w:val="99"/>
              </w:rPr>
              <w:t>55</w:t>
            </w:r>
          </w:p>
        </w:tc>
        <w:tc>
          <w:tcPr>
            <w:tcW w:w="44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Vice President;</w:t>
            </w:r>
          </w:p>
        </w:tc>
        <w:tc>
          <w:tcPr>
            <w:tcW w:w="840" w:type="dxa"/>
            <w:vAlign w:val="bottom"/>
            <w:gridSpan w:val="2"/>
          </w:tcPr>
          <w:p>
            <w:pPr>
              <w:jc w:val="center"/>
              <w:ind w:left="132"/>
              <w:spacing w:after="0"/>
              <w:rPr>
                <w:sz w:val="20"/>
                <w:szCs w:val="20"/>
                <w:color w:val="auto"/>
              </w:rPr>
            </w:pPr>
            <w:r>
              <w:rPr>
                <w:rFonts w:ascii="Arial" w:cs="Arial" w:eastAsia="Arial" w:hAnsi="Arial"/>
                <w:sz w:val="18"/>
                <w:szCs w:val="18"/>
                <w:color w:val="auto"/>
                <w:w w:val="94"/>
              </w:rPr>
              <w:t>2010</w:t>
            </w:r>
          </w:p>
        </w:tc>
        <w:tc>
          <w:tcPr>
            <w:tcW w:w="620" w:type="dxa"/>
            <w:vAlign w:val="bottom"/>
            <w:gridSpan w:val="2"/>
          </w:tcPr>
          <w:p>
            <w:pPr>
              <w:ind w:left="220"/>
              <w:spacing w:after="0"/>
              <w:rPr>
                <w:sz w:val="20"/>
                <w:szCs w:val="20"/>
                <w:color w:val="auto"/>
              </w:rPr>
            </w:pPr>
            <w:r>
              <w:rPr>
                <w:rFonts w:ascii="Arial" w:cs="Arial" w:eastAsia="Arial" w:hAnsi="Arial"/>
                <w:sz w:val="18"/>
                <w:szCs w:val="18"/>
                <w:color w:val="auto"/>
                <w:w w:val="94"/>
              </w:rPr>
              <w:t>2009</w:t>
            </w:r>
          </w:p>
        </w:tc>
        <w:tc>
          <w:tcPr>
            <w:tcW w:w="0" w:type="dxa"/>
            <w:vAlign w:val="bottom"/>
          </w:tcPr>
          <w:p>
            <w:pPr>
              <w:spacing w:after="0"/>
              <w:rPr>
                <w:sz w:val="1"/>
                <w:szCs w:val="1"/>
                <w:color w:val="auto"/>
              </w:rPr>
            </w:pPr>
          </w:p>
        </w:tc>
      </w:tr>
      <w:tr>
        <w:trPr>
          <w:trHeight w:val="211"/>
        </w:trPr>
        <w:tc>
          <w:tcPr>
            <w:tcW w:w="3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President, Xerox Europe</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3260" w:type="dxa"/>
            <w:vAlign w:val="bottom"/>
          </w:tcPr>
          <w:p>
            <w:pPr>
              <w:spacing w:after="0"/>
              <w:rPr>
                <w:sz w:val="20"/>
                <w:szCs w:val="20"/>
                <w:color w:val="auto"/>
              </w:rPr>
            </w:pPr>
            <w:r>
              <w:rPr>
                <w:rFonts w:ascii="Arial" w:cs="Arial" w:eastAsia="Arial" w:hAnsi="Arial"/>
                <w:sz w:val="18"/>
                <w:szCs w:val="18"/>
                <w:color w:val="auto"/>
              </w:rPr>
              <w:t>Gary R. Kabureck</w:t>
            </w:r>
          </w:p>
        </w:tc>
        <w:tc>
          <w:tcPr>
            <w:tcW w:w="580" w:type="dxa"/>
            <w:vAlign w:val="bottom"/>
            <w:gridSpan w:val="2"/>
          </w:tcPr>
          <w:p>
            <w:pPr>
              <w:ind w:left="360"/>
              <w:spacing w:after="0"/>
              <w:rPr>
                <w:sz w:val="20"/>
                <w:szCs w:val="20"/>
                <w:color w:val="auto"/>
              </w:rPr>
            </w:pPr>
            <w:r>
              <w:rPr>
                <w:rFonts w:ascii="Arial" w:cs="Arial" w:eastAsia="Arial" w:hAnsi="Arial"/>
                <w:sz w:val="18"/>
                <w:szCs w:val="18"/>
                <w:color w:val="auto"/>
                <w:w w:val="99"/>
              </w:rPr>
              <w:t>57</w:t>
            </w:r>
          </w:p>
        </w:tc>
        <w:tc>
          <w:tcPr>
            <w:tcW w:w="44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Vice President and Chief Accounting Officer</w:t>
            </w:r>
          </w:p>
        </w:tc>
        <w:tc>
          <w:tcPr>
            <w:tcW w:w="840" w:type="dxa"/>
            <w:vAlign w:val="bottom"/>
            <w:gridSpan w:val="2"/>
          </w:tcPr>
          <w:p>
            <w:pPr>
              <w:jc w:val="center"/>
              <w:ind w:left="132"/>
              <w:spacing w:after="0"/>
              <w:rPr>
                <w:sz w:val="20"/>
                <w:szCs w:val="20"/>
                <w:color w:val="auto"/>
              </w:rPr>
            </w:pPr>
            <w:r>
              <w:rPr>
                <w:rFonts w:ascii="Arial" w:cs="Arial" w:eastAsia="Arial" w:hAnsi="Arial"/>
                <w:sz w:val="18"/>
                <w:szCs w:val="18"/>
                <w:color w:val="auto"/>
                <w:w w:val="94"/>
              </w:rPr>
              <w:t>2003</w:t>
            </w:r>
          </w:p>
        </w:tc>
        <w:tc>
          <w:tcPr>
            <w:tcW w:w="620" w:type="dxa"/>
            <w:vAlign w:val="bottom"/>
            <w:gridSpan w:val="2"/>
          </w:tcPr>
          <w:p>
            <w:pPr>
              <w:ind w:left="220"/>
              <w:spacing w:after="0"/>
              <w:rPr>
                <w:sz w:val="20"/>
                <w:szCs w:val="20"/>
                <w:color w:val="auto"/>
              </w:rPr>
            </w:pPr>
            <w:r>
              <w:rPr>
                <w:rFonts w:ascii="Arial" w:cs="Arial" w:eastAsia="Arial" w:hAnsi="Arial"/>
                <w:sz w:val="18"/>
                <w:szCs w:val="18"/>
                <w:color w:val="auto"/>
                <w:w w:val="94"/>
              </w:rPr>
              <w:t>2000</w:t>
            </w:r>
          </w:p>
        </w:tc>
        <w:tc>
          <w:tcPr>
            <w:tcW w:w="0" w:type="dxa"/>
            <w:vAlign w:val="bottom"/>
          </w:tcPr>
          <w:p>
            <w:pPr>
              <w:spacing w:after="0"/>
              <w:rPr>
                <w:sz w:val="1"/>
                <w:szCs w:val="1"/>
                <w:color w:val="auto"/>
              </w:rPr>
            </w:pPr>
          </w:p>
        </w:tc>
      </w:tr>
      <w:tr>
        <w:trPr>
          <w:trHeight w:val="302"/>
        </w:trPr>
        <w:tc>
          <w:tcPr>
            <w:tcW w:w="3260" w:type="dxa"/>
            <w:vAlign w:val="bottom"/>
          </w:tcPr>
          <w:p>
            <w:pPr>
              <w:spacing w:after="0"/>
              <w:rPr>
                <w:sz w:val="20"/>
                <w:szCs w:val="20"/>
                <w:color w:val="auto"/>
              </w:rPr>
            </w:pPr>
            <w:r>
              <w:rPr>
                <w:rFonts w:ascii="Arial" w:cs="Arial" w:eastAsia="Arial" w:hAnsi="Arial"/>
                <w:sz w:val="18"/>
                <w:szCs w:val="18"/>
                <w:color w:val="auto"/>
              </w:rPr>
              <w:t>James H. Lesko</w:t>
            </w:r>
          </w:p>
        </w:tc>
        <w:tc>
          <w:tcPr>
            <w:tcW w:w="580" w:type="dxa"/>
            <w:vAlign w:val="bottom"/>
            <w:gridSpan w:val="2"/>
          </w:tcPr>
          <w:p>
            <w:pPr>
              <w:ind w:left="360"/>
              <w:spacing w:after="0"/>
              <w:rPr>
                <w:sz w:val="20"/>
                <w:szCs w:val="20"/>
                <w:color w:val="auto"/>
              </w:rPr>
            </w:pPr>
            <w:r>
              <w:rPr>
                <w:rFonts w:ascii="Arial" w:cs="Arial" w:eastAsia="Arial" w:hAnsi="Arial"/>
                <w:sz w:val="18"/>
                <w:szCs w:val="18"/>
                <w:color w:val="auto"/>
                <w:w w:val="99"/>
              </w:rPr>
              <w:t>59</w:t>
            </w:r>
          </w:p>
        </w:tc>
        <w:tc>
          <w:tcPr>
            <w:tcW w:w="44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Vice President;</w:t>
            </w:r>
          </w:p>
        </w:tc>
        <w:tc>
          <w:tcPr>
            <w:tcW w:w="840" w:type="dxa"/>
            <w:vAlign w:val="bottom"/>
            <w:gridSpan w:val="2"/>
          </w:tcPr>
          <w:p>
            <w:pPr>
              <w:jc w:val="center"/>
              <w:ind w:left="132"/>
              <w:spacing w:after="0"/>
              <w:rPr>
                <w:sz w:val="20"/>
                <w:szCs w:val="20"/>
                <w:color w:val="auto"/>
              </w:rPr>
            </w:pPr>
            <w:r>
              <w:rPr>
                <w:rFonts w:ascii="Arial" w:cs="Arial" w:eastAsia="Arial" w:hAnsi="Arial"/>
                <w:sz w:val="18"/>
                <w:szCs w:val="18"/>
                <w:color w:val="auto"/>
                <w:w w:val="94"/>
              </w:rPr>
              <w:t>2004</w:t>
            </w:r>
          </w:p>
        </w:tc>
        <w:tc>
          <w:tcPr>
            <w:tcW w:w="620" w:type="dxa"/>
            <w:vAlign w:val="bottom"/>
            <w:gridSpan w:val="2"/>
          </w:tcPr>
          <w:p>
            <w:pPr>
              <w:ind w:left="220"/>
              <w:spacing w:after="0"/>
              <w:rPr>
                <w:sz w:val="20"/>
                <w:szCs w:val="20"/>
                <w:color w:val="auto"/>
              </w:rPr>
            </w:pPr>
            <w:r>
              <w:rPr>
                <w:rFonts w:ascii="Arial" w:cs="Arial" w:eastAsia="Arial" w:hAnsi="Arial"/>
                <w:sz w:val="18"/>
                <w:szCs w:val="18"/>
                <w:color w:val="auto"/>
                <w:w w:val="94"/>
              </w:rPr>
              <w:t>1993</w:t>
            </w:r>
          </w:p>
        </w:tc>
        <w:tc>
          <w:tcPr>
            <w:tcW w:w="0" w:type="dxa"/>
            <w:vAlign w:val="bottom"/>
          </w:tcPr>
          <w:p>
            <w:pPr>
              <w:spacing w:after="0"/>
              <w:rPr>
                <w:sz w:val="1"/>
                <w:szCs w:val="1"/>
                <w:color w:val="auto"/>
              </w:rPr>
            </w:pPr>
          </w:p>
        </w:tc>
      </w:tr>
      <w:tr>
        <w:trPr>
          <w:trHeight w:val="211"/>
        </w:trPr>
        <w:tc>
          <w:tcPr>
            <w:tcW w:w="3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Vice President, Investor Relations</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3260" w:type="dxa"/>
            <w:vAlign w:val="bottom"/>
          </w:tcPr>
          <w:p>
            <w:pPr>
              <w:spacing w:after="0"/>
              <w:rPr>
                <w:sz w:val="20"/>
                <w:szCs w:val="20"/>
                <w:color w:val="auto"/>
              </w:rPr>
            </w:pPr>
            <w:r>
              <w:rPr>
                <w:rFonts w:ascii="Arial" w:cs="Arial" w:eastAsia="Arial" w:hAnsi="Arial"/>
                <w:sz w:val="18"/>
                <w:szCs w:val="18"/>
                <w:color w:val="auto"/>
              </w:rPr>
              <w:t>Rhonda L. Seegal</w:t>
            </w:r>
          </w:p>
        </w:tc>
        <w:tc>
          <w:tcPr>
            <w:tcW w:w="580" w:type="dxa"/>
            <w:vAlign w:val="bottom"/>
            <w:gridSpan w:val="2"/>
          </w:tcPr>
          <w:p>
            <w:pPr>
              <w:ind w:left="360"/>
              <w:spacing w:after="0"/>
              <w:rPr>
                <w:sz w:val="20"/>
                <w:szCs w:val="20"/>
                <w:color w:val="auto"/>
              </w:rPr>
            </w:pPr>
            <w:r>
              <w:rPr>
                <w:rFonts w:ascii="Arial" w:cs="Arial" w:eastAsia="Arial" w:hAnsi="Arial"/>
                <w:sz w:val="18"/>
                <w:szCs w:val="18"/>
                <w:color w:val="auto"/>
                <w:w w:val="99"/>
              </w:rPr>
              <w:t>60</w:t>
            </w:r>
          </w:p>
        </w:tc>
        <w:tc>
          <w:tcPr>
            <w:tcW w:w="44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Vice President and Treasurer</w:t>
            </w:r>
          </w:p>
        </w:tc>
        <w:tc>
          <w:tcPr>
            <w:tcW w:w="840" w:type="dxa"/>
            <w:vAlign w:val="bottom"/>
            <w:gridSpan w:val="2"/>
          </w:tcPr>
          <w:p>
            <w:pPr>
              <w:jc w:val="center"/>
              <w:ind w:left="132"/>
              <w:spacing w:after="0"/>
              <w:rPr>
                <w:sz w:val="20"/>
                <w:szCs w:val="20"/>
                <w:color w:val="auto"/>
              </w:rPr>
            </w:pPr>
            <w:r>
              <w:rPr>
                <w:rFonts w:ascii="Arial" w:cs="Arial" w:eastAsia="Arial" w:hAnsi="Arial"/>
                <w:sz w:val="18"/>
                <w:szCs w:val="18"/>
                <w:color w:val="auto"/>
                <w:w w:val="94"/>
              </w:rPr>
              <w:t>2003</w:t>
            </w:r>
          </w:p>
        </w:tc>
        <w:tc>
          <w:tcPr>
            <w:tcW w:w="620" w:type="dxa"/>
            <w:vAlign w:val="bottom"/>
            <w:gridSpan w:val="2"/>
          </w:tcPr>
          <w:p>
            <w:pPr>
              <w:ind w:left="220"/>
              <w:spacing w:after="0"/>
              <w:rPr>
                <w:sz w:val="20"/>
                <w:szCs w:val="20"/>
                <w:color w:val="auto"/>
              </w:rPr>
            </w:pPr>
            <w:r>
              <w:rPr>
                <w:rFonts w:ascii="Arial" w:cs="Arial" w:eastAsia="Arial" w:hAnsi="Arial"/>
                <w:sz w:val="18"/>
                <w:szCs w:val="18"/>
                <w:color w:val="auto"/>
                <w:w w:val="94"/>
              </w:rPr>
              <w:t>2003</w:t>
            </w:r>
          </w:p>
        </w:tc>
        <w:tc>
          <w:tcPr>
            <w:tcW w:w="0" w:type="dxa"/>
            <w:vAlign w:val="bottom"/>
          </w:tcPr>
          <w:p>
            <w:pPr>
              <w:spacing w:after="0"/>
              <w:rPr>
                <w:sz w:val="1"/>
                <w:szCs w:val="1"/>
                <w:color w:val="auto"/>
              </w:rPr>
            </w:pPr>
          </w:p>
        </w:tc>
      </w:tr>
      <w:tr>
        <w:trPr>
          <w:trHeight w:val="302"/>
        </w:trPr>
        <w:tc>
          <w:tcPr>
            <w:tcW w:w="3260" w:type="dxa"/>
            <w:vAlign w:val="bottom"/>
          </w:tcPr>
          <w:p>
            <w:pPr>
              <w:spacing w:after="0"/>
              <w:rPr>
                <w:sz w:val="20"/>
                <w:szCs w:val="20"/>
                <w:color w:val="auto"/>
              </w:rPr>
            </w:pPr>
            <w:r>
              <w:rPr>
                <w:rFonts w:ascii="Arial" w:cs="Arial" w:eastAsia="Arial" w:hAnsi="Arial"/>
                <w:sz w:val="18"/>
                <w:szCs w:val="18"/>
                <w:color w:val="auto"/>
              </w:rPr>
              <w:t>Herve Tessler</w:t>
            </w:r>
          </w:p>
        </w:tc>
        <w:tc>
          <w:tcPr>
            <w:tcW w:w="580" w:type="dxa"/>
            <w:vAlign w:val="bottom"/>
            <w:gridSpan w:val="2"/>
          </w:tcPr>
          <w:p>
            <w:pPr>
              <w:ind w:left="360"/>
              <w:spacing w:after="0"/>
              <w:rPr>
                <w:sz w:val="20"/>
                <w:szCs w:val="20"/>
                <w:color w:val="auto"/>
              </w:rPr>
            </w:pPr>
            <w:r>
              <w:rPr>
                <w:rFonts w:ascii="Arial" w:cs="Arial" w:eastAsia="Arial" w:hAnsi="Arial"/>
                <w:sz w:val="18"/>
                <w:szCs w:val="18"/>
                <w:color w:val="auto"/>
                <w:w w:val="99"/>
              </w:rPr>
              <w:t>47</w:t>
            </w:r>
          </w:p>
        </w:tc>
        <w:tc>
          <w:tcPr>
            <w:tcW w:w="44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Vice President;</w:t>
            </w:r>
          </w:p>
        </w:tc>
        <w:tc>
          <w:tcPr>
            <w:tcW w:w="840" w:type="dxa"/>
            <w:vAlign w:val="bottom"/>
            <w:gridSpan w:val="2"/>
          </w:tcPr>
          <w:p>
            <w:pPr>
              <w:jc w:val="center"/>
              <w:ind w:left="132"/>
              <w:spacing w:after="0"/>
              <w:rPr>
                <w:sz w:val="20"/>
                <w:szCs w:val="20"/>
                <w:color w:val="auto"/>
              </w:rPr>
            </w:pPr>
            <w:r>
              <w:rPr>
                <w:rFonts w:ascii="Arial" w:cs="Arial" w:eastAsia="Arial" w:hAnsi="Arial"/>
                <w:sz w:val="18"/>
                <w:szCs w:val="18"/>
                <w:color w:val="auto"/>
                <w:w w:val="94"/>
              </w:rPr>
              <w:t>2010</w:t>
            </w:r>
          </w:p>
        </w:tc>
        <w:tc>
          <w:tcPr>
            <w:tcW w:w="620" w:type="dxa"/>
            <w:vAlign w:val="bottom"/>
            <w:gridSpan w:val="2"/>
          </w:tcPr>
          <w:p>
            <w:pPr>
              <w:ind w:left="220"/>
              <w:spacing w:after="0"/>
              <w:rPr>
                <w:sz w:val="20"/>
                <w:szCs w:val="20"/>
                <w:color w:val="auto"/>
              </w:rPr>
            </w:pPr>
            <w:r>
              <w:rPr>
                <w:rFonts w:ascii="Arial" w:cs="Arial" w:eastAsia="Arial" w:hAnsi="Arial"/>
                <w:sz w:val="18"/>
                <w:szCs w:val="18"/>
                <w:color w:val="auto"/>
                <w:w w:val="94"/>
              </w:rPr>
              <w:t>2010</w:t>
            </w:r>
          </w:p>
        </w:tc>
        <w:tc>
          <w:tcPr>
            <w:tcW w:w="0" w:type="dxa"/>
            <w:vAlign w:val="bottom"/>
          </w:tcPr>
          <w:p>
            <w:pPr>
              <w:spacing w:after="0"/>
              <w:rPr>
                <w:sz w:val="1"/>
                <w:szCs w:val="1"/>
                <w:color w:val="auto"/>
              </w:rPr>
            </w:pPr>
          </w:p>
        </w:tc>
      </w:tr>
      <w:tr>
        <w:trPr>
          <w:trHeight w:val="211"/>
        </w:trPr>
        <w:tc>
          <w:tcPr>
            <w:tcW w:w="3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President Developing Markets Operations</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260" w:type="dxa"/>
            <w:vAlign w:val="bottom"/>
          </w:tcPr>
          <w:p>
            <w:pPr>
              <w:spacing w:after="0"/>
              <w:rPr>
                <w:sz w:val="20"/>
                <w:szCs w:val="20"/>
                <w:color w:val="auto"/>
              </w:rPr>
            </w:pPr>
            <w:r>
              <w:rPr>
                <w:rFonts w:ascii="Arial" w:cs="Arial" w:eastAsia="Arial" w:hAnsi="Arial"/>
                <w:sz w:val="18"/>
                <w:szCs w:val="18"/>
                <w:color w:val="auto"/>
              </w:rPr>
              <w:t>Leslie F. Varon</w:t>
            </w:r>
          </w:p>
        </w:tc>
        <w:tc>
          <w:tcPr>
            <w:tcW w:w="580" w:type="dxa"/>
            <w:vAlign w:val="bottom"/>
            <w:gridSpan w:val="2"/>
          </w:tcPr>
          <w:p>
            <w:pPr>
              <w:ind w:left="360"/>
              <w:spacing w:after="0"/>
              <w:rPr>
                <w:sz w:val="20"/>
                <w:szCs w:val="20"/>
                <w:color w:val="auto"/>
              </w:rPr>
            </w:pPr>
            <w:r>
              <w:rPr>
                <w:rFonts w:ascii="Arial" w:cs="Arial" w:eastAsia="Arial" w:hAnsi="Arial"/>
                <w:sz w:val="18"/>
                <w:szCs w:val="18"/>
                <w:color w:val="auto"/>
                <w:w w:val="99"/>
              </w:rPr>
              <w:t>54</w:t>
            </w:r>
          </w:p>
        </w:tc>
        <w:tc>
          <w:tcPr>
            <w:tcW w:w="44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Vice President;</w:t>
            </w:r>
          </w:p>
        </w:tc>
        <w:tc>
          <w:tcPr>
            <w:tcW w:w="840" w:type="dxa"/>
            <w:vAlign w:val="bottom"/>
            <w:gridSpan w:val="2"/>
          </w:tcPr>
          <w:p>
            <w:pPr>
              <w:jc w:val="center"/>
              <w:ind w:left="132"/>
              <w:spacing w:after="0"/>
              <w:rPr>
                <w:sz w:val="20"/>
                <w:szCs w:val="20"/>
                <w:color w:val="auto"/>
              </w:rPr>
            </w:pPr>
            <w:r>
              <w:rPr>
                <w:rFonts w:ascii="Arial" w:cs="Arial" w:eastAsia="Arial" w:hAnsi="Arial"/>
                <w:sz w:val="18"/>
                <w:szCs w:val="18"/>
                <w:color w:val="auto"/>
                <w:w w:val="94"/>
              </w:rPr>
              <w:t>2010</w:t>
            </w:r>
          </w:p>
        </w:tc>
        <w:tc>
          <w:tcPr>
            <w:tcW w:w="620" w:type="dxa"/>
            <w:vAlign w:val="bottom"/>
            <w:gridSpan w:val="2"/>
          </w:tcPr>
          <w:p>
            <w:pPr>
              <w:ind w:left="220"/>
              <w:spacing w:after="0"/>
              <w:rPr>
                <w:sz w:val="20"/>
                <w:szCs w:val="20"/>
                <w:color w:val="auto"/>
              </w:rPr>
            </w:pPr>
            <w:r>
              <w:rPr>
                <w:rFonts w:ascii="Arial" w:cs="Arial" w:eastAsia="Arial" w:hAnsi="Arial"/>
                <w:sz w:val="18"/>
                <w:szCs w:val="18"/>
                <w:color w:val="auto"/>
                <w:w w:val="94"/>
              </w:rPr>
              <w:t>2001</w:t>
            </w:r>
          </w:p>
        </w:tc>
        <w:tc>
          <w:tcPr>
            <w:tcW w:w="0" w:type="dxa"/>
            <w:vAlign w:val="bottom"/>
          </w:tcPr>
          <w:p>
            <w:pPr>
              <w:spacing w:after="0"/>
              <w:rPr>
                <w:sz w:val="1"/>
                <w:szCs w:val="1"/>
                <w:color w:val="auto"/>
              </w:rPr>
            </w:pPr>
          </w:p>
        </w:tc>
      </w:tr>
      <w:tr>
        <w:trPr>
          <w:trHeight w:val="211"/>
        </w:trPr>
        <w:tc>
          <w:tcPr>
            <w:tcW w:w="3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Vice President, Finance and Corporate Controller</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260" w:type="dxa"/>
            <w:vAlign w:val="bottom"/>
          </w:tcPr>
          <w:p>
            <w:pPr>
              <w:spacing w:after="0"/>
              <w:rPr>
                <w:sz w:val="20"/>
                <w:szCs w:val="20"/>
                <w:color w:val="auto"/>
              </w:rPr>
            </w:pPr>
            <w:r>
              <w:rPr>
                <w:rFonts w:ascii="Arial" w:cs="Arial" w:eastAsia="Arial" w:hAnsi="Arial"/>
                <w:sz w:val="18"/>
                <w:szCs w:val="18"/>
                <w:color w:val="auto"/>
              </w:rPr>
              <w:t>Kevin M. Warren</w:t>
            </w:r>
          </w:p>
        </w:tc>
        <w:tc>
          <w:tcPr>
            <w:tcW w:w="580" w:type="dxa"/>
            <w:vAlign w:val="bottom"/>
            <w:gridSpan w:val="2"/>
          </w:tcPr>
          <w:p>
            <w:pPr>
              <w:ind w:left="360"/>
              <w:spacing w:after="0"/>
              <w:rPr>
                <w:sz w:val="20"/>
                <w:szCs w:val="20"/>
                <w:color w:val="auto"/>
              </w:rPr>
            </w:pPr>
            <w:r>
              <w:rPr>
                <w:rFonts w:ascii="Arial" w:cs="Arial" w:eastAsia="Arial" w:hAnsi="Arial"/>
                <w:sz w:val="18"/>
                <w:szCs w:val="18"/>
                <w:color w:val="auto"/>
                <w:w w:val="99"/>
              </w:rPr>
              <w:t>48</w:t>
            </w:r>
          </w:p>
        </w:tc>
        <w:tc>
          <w:tcPr>
            <w:tcW w:w="44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Vice President;</w:t>
            </w:r>
          </w:p>
        </w:tc>
        <w:tc>
          <w:tcPr>
            <w:tcW w:w="840" w:type="dxa"/>
            <w:vAlign w:val="bottom"/>
            <w:gridSpan w:val="2"/>
          </w:tcPr>
          <w:p>
            <w:pPr>
              <w:jc w:val="center"/>
              <w:ind w:left="132"/>
              <w:spacing w:after="0"/>
              <w:rPr>
                <w:sz w:val="20"/>
                <w:szCs w:val="20"/>
                <w:color w:val="auto"/>
              </w:rPr>
            </w:pPr>
            <w:r>
              <w:rPr>
                <w:rFonts w:ascii="Arial" w:cs="Arial" w:eastAsia="Arial" w:hAnsi="Arial"/>
                <w:sz w:val="18"/>
                <w:szCs w:val="18"/>
                <w:color w:val="auto"/>
                <w:w w:val="94"/>
              </w:rPr>
              <w:t>2010</w:t>
            </w:r>
          </w:p>
        </w:tc>
        <w:tc>
          <w:tcPr>
            <w:tcW w:w="620" w:type="dxa"/>
            <w:vAlign w:val="bottom"/>
            <w:gridSpan w:val="2"/>
          </w:tcPr>
          <w:p>
            <w:pPr>
              <w:ind w:left="220"/>
              <w:spacing w:after="0"/>
              <w:rPr>
                <w:sz w:val="20"/>
                <w:szCs w:val="20"/>
                <w:color w:val="auto"/>
              </w:rPr>
            </w:pPr>
            <w:r>
              <w:rPr>
                <w:rFonts w:ascii="Arial" w:cs="Arial" w:eastAsia="Arial" w:hAnsi="Arial"/>
                <w:sz w:val="18"/>
                <w:szCs w:val="18"/>
                <w:color w:val="auto"/>
                <w:w w:val="94"/>
              </w:rPr>
              <w:t>2010</w:t>
            </w:r>
          </w:p>
        </w:tc>
        <w:tc>
          <w:tcPr>
            <w:tcW w:w="0" w:type="dxa"/>
            <w:vAlign w:val="bottom"/>
          </w:tcPr>
          <w:p>
            <w:pPr>
              <w:spacing w:after="0"/>
              <w:rPr>
                <w:sz w:val="1"/>
                <w:szCs w:val="1"/>
                <w:color w:val="auto"/>
              </w:rPr>
            </w:pPr>
          </w:p>
        </w:tc>
      </w:tr>
      <w:tr>
        <w:trPr>
          <w:trHeight w:val="211"/>
        </w:trPr>
        <w:tc>
          <w:tcPr>
            <w:tcW w:w="3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President United States Customer Operations</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color w:val="auto"/>
        </w:rPr>
        <w:t>* Member of Xerox Board of Directors</w:t>
      </w:r>
    </w:p>
    <w:p>
      <w:pPr>
        <w:spacing w:after="0" w:line="136" w:lineRule="exact"/>
        <w:rPr>
          <w:sz w:val="20"/>
          <w:szCs w:val="20"/>
          <w:color w:val="auto"/>
        </w:rPr>
      </w:pPr>
    </w:p>
    <w:p>
      <w:pPr>
        <w:jc w:val="right"/>
        <w:spacing w:after="0"/>
        <w:rPr>
          <w:sz w:val="20"/>
          <w:szCs w:val="20"/>
          <w:color w:val="auto"/>
        </w:rPr>
      </w:pPr>
      <w:r>
        <w:rPr>
          <w:rFonts w:ascii="Arial" w:cs="Arial" w:eastAsia="Arial" w:hAnsi="Arial"/>
          <w:sz w:val="14"/>
          <w:szCs w:val="14"/>
          <w:color w:val="009CDA"/>
        </w:rPr>
        <w:t>Xerox 2010 Form 10-K 33</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Each officer named above, with the exception of Lynn R. Blodgett, Luca Maestri, Don H. Liu and Eric Armour, has been an officer or an executive of Xerox or its subsidiaries for at least the past five years.</w:t>
      </w:r>
    </w:p>
    <w:p>
      <w:pPr>
        <w:spacing w:after="0" w:line="155" w:lineRule="exact"/>
        <w:rPr>
          <w:sz w:val="20"/>
          <w:szCs w:val="20"/>
          <w:color w:val="auto"/>
        </w:rPr>
      </w:pPr>
    </w:p>
    <w:p>
      <w:pPr>
        <w:jc w:val="both"/>
        <w:ind w:right="40"/>
        <w:spacing w:after="0" w:line="238" w:lineRule="auto"/>
        <w:rPr>
          <w:sz w:val="20"/>
          <w:szCs w:val="20"/>
          <w:color w:val="auto"/>
        </w:rPr>
      </w:pPr>
      <w:r>
        <w:rPr>
          <w:rFonts w:ascii="Arial" w:cs="Arial" w:eastAsia="Arial" w:hAnsi="Arial"/>
          <w:sz w:val="18"/>
          <w:szCs w:val="18"/>
          <w:color w:val="auto"/>
        </w:rPr>
        <w:t>Prior to joining Xerox in 2010 through our acquisition of Affiliated Computer Services, Inc. (“ACS”), Mr. Blodgett was President and Chief Executive Officer of ACS since 2006. Prior to that he served as Executive Vice President and Chief Operating Officer of ACS from 2005-2006 and before that he served as Executive Vice President and Group President – Commercial Solutions of ACS since July 1999.</w:t>
      </w:r>
    </w:p>
    <w:p>
      <w:pPr>
        <w:spacing w:after="0" w:line="15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Prior to joining Xerox in 2011, Mr. Maestri was with Nokia Siemens Networks where he was Chief Financial Officer from 2008 to 2011. Prior to that, he had a 20-year career with General Motors Corporation, where he served as Chief Financial Officer of GM Europe and GM Brazil, was executive-in-charge of the Fiat Alliance for GM Europe in Switzerland and held several executive finance positions with General Motors Corporation in Europe and Asia Pacific.</w:t>
      </w:r>
    </w:p>
    <w:p>
      <w:pPr>
        <w:spacing w:after="0" w:line="15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Prior to joining Xerox in 2007, Mr. Liu was with Toll Brothers where he was Senior Vice President, General Counsel and Corporate Compliance Officer from 2005 to 2007. Prior to that, he was General Counsel, Corporate Secretary and Corporate Compliance Officer for IKON Office Solutions from 1999 to 2005. Prior to that, he was Vice President and Deputy Chief Legal Officer for Aetna U.S. Healthcare from 1992 to 1999.</w:t>
      </w:r>
    </w:p>
    <w:p>
      <w:pPr>
        <w:spacing w:after="0" w:line="154"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Prior to joining Xerox in 2007, Mr. Armour was an industrial partner at the investment firm RHJ International from 2006 to 2007. Prior to that, he was President and General Manager from 2003–2006 at The Gillette Company’s BRAUN global business division. From 1990–2003, he was a partner with Marakon Associates, a consulting firm in the consumer products, financial services, pharmaceuticals, aerospace and other industries.</w:t>
      </w:r>
    </w:p>
    <w:p>
      <w:pPr>
        <w:spacing w:after="0" w:line="209"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color w:val="009CDA"/>
        </w:rPr>
        <w:t>ITEM 11.</w:t>
      </w:r>
      <w:r>
        <w:rPr>
          <w:sz w:val="20"/>
          <w:szCs w:val="20"/>
          <w:color w:val="auto"/>
        </w:rPr>
        <w:tab/>
      </w:r>
      <w:r>
        <w:rPr>
          <w:rFonts w:ascii="Arial" w:cs="Arial" w:eastAsia="Arial" w:hAnsi="Arial"/>
          <w:sz w:val="21"/>
          <w:szCs w:val="21"/>
          <w:b w:val="1"/>
          <w:bCs w:val="1"/>
          <w:color w:val="009CDA"/>
        </w:rPr>
        <w:t>EXECUTIVE COMPENSATION</w:t>
      </w:r>
    </w:p>
    <w:p>
      <w:pPr>
        <w:spacing w:after="0" w:line="107" w:lineRule="exact"/>
        <w:rPr>
          <w:sz w:val="20"/>
          <w:szCs w:val="20"/>
          <w:color w:val="auto"/>
        </w:rPr>
      </w:pPr>
    </w:p>
    <w:p>
      <w:pPr>
        <w:ind w:right="160"/>
        <w:spacing w:after="0" w:line="270" w:lineRule="auto"/>
        <w:rPr>
          <w:sz w:val="20"/>
          <w:szCs w:val="20"/>
          <w:color w:val="auto"/>
        </w:rPr>
      </w:pPr>
      <w:r>
        <w:rPr>
          <w:rFonts w:ascii="Arial" w:cs="Arial" w:eastAsia="Arial" w:hAnsi="Arial"/>
          <w:sz w:val="16"/>
          <w:szCs w:val="16"/>
          <w:color w:val="auto"/>
        </w:rPr>
        <w:t>The information included under the following captions under “Proposal 1-Election of Directors” in our 2011 definitive Proxy Statement is incorporated herein by reference: “Compensation Discussion and Analysis”, “Summary Compensation Table”, “Grants of Plan-Based Awards in 2010”, “Outstanding Equity Awards at 2010 Fiscal Year-End”, “Option Exercises and Stock Vested in 2010”, “Pension Benefits for the 2010 Fiscal Year”, “Nonqualified Deferred Compensation”, “Potential Payments upon Termination or Change in Control”, “Summary of Director Annual Compensation” and “Compensation Committee”. The information included under the heading “Compensation Committee Report” in our 2011 definitive Proxy Statement is incorporated herein by reference; however, this information shall not be deemed to be “soliciting material” or to be “filed” with the Commission or subject to Regulation 14A or 14C, or to the liabilities of Section 18 of the Exchange Act of 1934, as amended.</w:t>
      </w:r>
    </w:p>
    <w:p>
      <w:pPr>
        <w:spacing w:after="0" w:line="217" w:lineRule="exact"/>
        <w:rPr>
          <w:sz w:val="20"/>
          <w:szCs w:val="20"/>
          <w:color w:val="auto"/>
        </w:rPr>
      </w:pPr>
    </w:p>
    <w:p>
      <w:pPr>
        <w:ind w:left="1140" w:right="280" w:hanging="1133"/>
        <w:spacing w:after="0" w:line="261" w:lineRule="auto"/>
        <w:tabs>
          <w:tab w:leader="none" w:pos="1120" w:val="left"/>
        </w:tabs>
        <w:rPr>
          <w:sz w:val="20"/>
          <w:szCs w:val="20"/>
          <w:color w:val="auto"/>
        </w:rPr>
      </w:pPr>
      <w:r>
        <w:rPr>
          <w:rFonts w:ascii="Arial" w:cs="Arial" w:eastAsia="Arial" w:hAnsi="Arial"/>
          <w:sz w:val="22"/>
          <w:szCs w:val="22"/>
          <w:b w:val="1"/>
          <w:bCs w:val="1"/>
          <w:color w:val="009CDA"/>
        </w:rPr>
        <w:t>ITEM 12.</w:t>
        <w:tab/>
        <w:t>SECURITY OWNERSHIP OF CERTAIN BENEFICIAL OWNERS AND MANAGEMENT AND RELATED STOCKHOLDER MATTERS</w:t>
      </w:r>
    </w:p>
    <w:p>
      <w:pPr>
        <w:spacing w:after="0" w:line="53"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Information regarding security ownership of certain beneficial owners and management and securities authorized for issuance under equity compensation plans is incorporated herein by reference to the subsections entitled “Ownership of Company Securities,” and “Equity Compensation Plan Information” under “Proposal 1– Election of Directors” in our 2011 definitive Proxy Statement.</w:t>
      </w:r>
    </w:p>
    <w:p>
      <w:pPr>
        <w:spacing w:after="0" w:line="240"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color w:val="009CDA"/>
        </w:rPr>
        <w:t>ITEM 13.</w:t>
      </w:r>
      <w:r>
        <w:rPr>
          <w:sz w:val="20"/>
          <w:szCs w:val="20"/>
          <w:color w:val="auto"/>
        </w:rPr>
        <w:tab/>
      </w:r>
      <w:r>
        <w:rPr>
          <w:rFonts w:ascii="Arial" w:cs="Arial" w:eastAsia="Arial" w:hAnsi="Arial"/>
          <w:sz w:val="21"/>
          <w:szCs w:val="21"/>
          <w:b w:val="1"/>
          <w:bCs w:val="1"/>
          <w:color w:val="009CDA"/>
        </w:rPr>
        <w:t>CERTAIN RELATIONSHIPS, RELATED TRANSACTIONS AND DIRECTOR INDEPENDENCE</w:t>
      </w:r>
    </w:p>
    <w:p>
      <w:pPr>
        <w:spacing w:after="0" w:line="107"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Information regarding certain relationships and related transactions is incorporated herein by reference to the subsection entitled “Certain Relationships and Related Person Transactions” under “Proposal 1– Election of Directors” in our 2011 definitive Proxy Statement. The information regarding director independence is incorporated herein by reference to the subsections entitled “Corporate Governance” and “Director Independence” in the section entitled “Proposal 1 – Election of Directors” in our 2011 definitive Proxy Statement.</w:t>
      </w:r>
    </w:p>
    <w:p>
      <w:pPr>
        <w:spacing w:after="0" w:line="241"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color w:val="009CDA"/>
        </w:rPr>
        <w:t>ITEM 14.</w:t>
      </w:r>
      <w:r>
        <w:rPr>
          <w:sz w:val="20"/>
          <w:szCs w:val="20"/>
          <w:color w:val="auto"/>
        </w:rPr>
        <w:tab/>
      </w:r>
      <w:r>
        <w:rPr>
          <w:rFonts w:ascii="Arial" w:cs="Arial" w:eastAsia="Arial" w:hAnsi="Arial"/>
          <w:sz w:val="21"/>
          <w:szCs w:val="21"/>
          <w:b w:val="1"/>
          <w:bCs w:val="1"/>
          <w:color w:val="009CDA"/>
        </w:rPr>
        <w:t>PRINCIPAL AUDITOR FEES AND SERVICES</w:t>
      </w:r>
    </w:p>
    <w:p>
      <w:pPr>
        <w:spacing w:after="0" w:line="107"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information regarding principal auditor fees and services is incorporated herein by reference to the section entitled “Proposal 2 – Ratification of Election of Independent Registered Public Accounting Firm” in our 2011 definitive Proxy Statement.</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4"/>
          <w:szCs w:val="14"/>
          <w:color w:val="009CDA"/>
        </w:rPr>
        <w:t>Xerox 2010 Form 10-K 34</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24"/>
          <w:szCs w:val="24"/>
          <w:b w:val="1"/>
          <w:bCs w:val="1"/>
          <w:color w:val="009CDA"/>
        </w:rPr>
        <w:t>PART IV</w:t>
      </w:r>
    </w:p>
    <w:p>
      <w:pPr>
        <w:spacing w:after="0" w:line="90"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color w:val="009CDA"/>
        </w:rPr>
        <w:t>ITEM 15.</w:t>
      </w:r>
      <w:r>
        <w:rPr>
          <w:sz w:val="20"/>
          <w:szCs w:val="20"/>
          <w:color w:val="auto"/>
        </w:rPr>
        <w:tab/>
      </w:r>
      <w:r>
        <w:rPr>
          <w:rFonts w:ascii="Arial" w:cs="Arial" w:eastAsia="Arial" w:hAnsi="Arial"/>
          <w:sz w:val="21"/>
          <w:szCs w:val="21"/>
          <w:b w:val="1"/>
          <w:bCs w:val="1"/>
          <w:color w:val="009CDA"/>
        </w:rPr>
        <w:t>EXHIBITS AND FINANCIAL STATEMENT SCHEDULES</w:t>
      </w:r>
    </w:p>
    <w:p>
      <w:pPr>
        <w:spacing w:after="0" w:line="228" w:lineRule="exact"/>
        <w:rPr>
          <w:sz w:val="20"/>
          <w:szCs w:val="20"/>
          <w:color w:val="auto"/>
        </w:rPr>
      </w:pPr>
    </w:p>
    <w:p>
      <w:pPr>
        <w:ind w:left="700" w:right="1360" w:hanging="692"/>
        <w:spacing w:after="0" w:line="360" w:lineRule="auto"/>
        <w:tabs>
          <w:tab w:leader="none" w:pos="362" w:val="left"/>
        </w:tabs>
        <w:numPr>
          <w:ilvl w:val="0"/>
          <w:numId w:val="31"/>
        </w:numPr>
        <w:rPr>
          <w:rFonts w:ascii="Arial" w:cs="Arial" w:eastAsia="Arial" w:hAnsi="Arial"/>
          <w:sz w:val="18"/>
          <w:szCs w:val="18"/>
          <w:color w:val="auto"/>
        </w:rPr>
      </w:pPr>
      <w:r>
        <w:rPr>
          <w:rFonts w:ascii="Arial" w:cs="Arial" w:eastAsia="Arial" w:hAnsi="Arial"/>
          <w:sz w:val="18"/>
          <w:szCs w:val="18"/>
          <w:color w:val="auto"/>
        </w:rPr>
        <w:t>(1) Index to Financial Statements and Financial Statement Schedule, incorporated by reference or filed as part of this report: Report of Independent Registered Public Accounting Firm;</w:t>
      </w:r>
    </w:p>
    <w:p>
      <w:pPr>
        <w:ind w:left="700" w:right="2260"/>
        <w:spacing w:after="0" w:line="360" w:lineRule="auto"/>
        <w:rPr>
          <w:rFonts w:ascii="Arial" w:cs="Arial" w:eastAsia="Arial" w:hAnsi="Arial"/>
          <w:sz w:val="18"/>
          <w:szCs w:val="18"/>
          <w:color w:val="auto"/>
        </w:rPr>
      </w:pPr>
      <w:r>
        <w:rPr>
          <w:rFonts w:ascii="Arial" w:cs="Arial" w:eastAsia="Arial" w:hAnsi="Arial"/>
          <w:sz w:val="18"/>
          <w:szCs w:val="18"/>
          <w:color w:val="auto"/>
        </w:rPr>
        <w:t>Consolidated Statements of Income for each of the years in the three-year period ended December 31, 2010; Consolidated Balance Sheets as of December 31, 2010 and 2009;</w:t>
      </w:r>
    </w:p>
    <w:p>
      <w:pPr>
        <w:ind w:left="700"/>
        <w:spacing w:after="0"/>
        <w:rPr>
          <w:rFonts w:ascii="Arial" w:cs="Arial" w:eastAsia="Arial" w:hAnsi="Arial"/>
          <w:sz w:val="18"/>
          <w:szCs w:val="18"/>
          <w:color w:val="auto"/>
        </w:rPr>
      </w:pPr>
      <w:r>
        <w:rPr>
          <w:rFonts w:ascii="Arial" w:cs="Arial" w:eastAsia="Arial" w:hAnsi="Arial"/>
          <w:sz w:val="18"/>
          <w:szCs w:val="18"/>
          <w:color w:val="auto"/>
        </w:rPr>
        <w:t>Consolidated Statements of Cash Flows for each of the years in the three-year period ended December 31, 2010;</w:t>
      </w:r>
    </w:p>
    <w:p>
      <w:pPr>
        <w:spacing w:after="0" w:line="104" w:lineRule="exact"/>
        <w:rPr>
          <w:sz w:val="20"/>
          <w:szCs w:val="20"/>
          <w:color w:val="auto"/>
        </w:rPr>
      </w:pPr>
    </w:p>
    <w:p>
      <w:pPr>
        <w:ind w:left="700" w:right="1200"/>
        <w:spacing w:after="0" w:line="360" w:lineRule="auto"/>
        <w:rPr>
          <w:sz w:val="20"/>
          <w:szCs w:val="20"/>
          <w:color w:val="auto"/>
        </w:rPr>
      </w:pPr>
      <w:r>
        <w:rPr>
          <w:rFonts w:ascii="Arial" w:cs="Arial" w:eastAsia="Arial" w:hAnsi="Arial"/>
          <w:sz w:val="18"/>
          <w:szCs w:val="18"/>
          <w:color w:val="auto"/>
        </w:rPr>
        <w:t>Consolidated Statements of Shareholders’ Equity for each of the years in the three-year period ended December 31, 2010; Notes to the Consolidated Financial Statements;</w:t>
      </w:r>
    </w:p>
    <w:p>
      <w:pPr>
        <w:ind w:left="700" w:right="3000"/>
        <w:spacing w:after="0" w:line="405" w:lineRule="auto"/>
        <w:rPr>
          <w:sz w:val="20"/>
          <w:szCs w:val="20"/>
          <w:color w:val="auto"/>
        </w:rPr>
      </w:pPr>
      <w:r>
        <w:rPr>
          <w:rFonts w:ascii="Arial" w:cs="Arial" w:eastAsia="Arial" w:hAnsi="Arial"/>
          <w:sz w:val="16"/>
          <w:szCs w:val="16"/>
          <w:color w:val="auto"/>
        </w:rPr>
        <w:t>Report of Independent Registered Public Accounting Firm on Financial Statement Schedule; Schedule II – Valuation and Qualifying Accounts for the three years ended December 31, 2010; and</w:t>
      </w:r>
    </w:p>
    <w:p>
      <w:pPr>
        <w:ind w:left="700" w:right="460"/>
        <w:spacing w:after="0" w:line="239" w:lineRule="auto"/>
        <w:rPr>
          <w:sz w:val="20"/>
          <w:szCs w:val="20"/>
          <w:color w:val="auto"/>
        </w:rPr>
      </w:pPr>
      <w:r>
        <w:rPr>
          <w:rFonts w:ascii="Arial" w:cs="Arial" w:eastAsia="Arial" w:hAnsi="Arial"/>
          <w:sz w:val="18"/>
          <w:szCs w:val="18"/>
          <w:color w:val="auto"/>
        </w:rPr>
        <w:t>All other schedules are omitted as they are not applicable, or the information required is included in the financial statements or notes thereto.</w:t>
      </w:r>
    </w:p>
    <w:p>
      <w:pPr>
        <w:spacing w:after="0" w:line="101" w:lineRule="exact"/>
        <w:rPr>
          <w:sz w:val="20"/>
          <w:szCs w:val="20"/>
          <w:color w:val="auto"/>
        </w:rPr>
      </w:pPr>
    </w:p>
    <w:p>
      <w:pPr>
        <w:ind w:left="700" w:hanging="341"/>
        <w:spacing w:after="0"/>
        <w:tabs>
          <w:tab w:leader="none" w:pos="7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Supplementary Data:</w:t>
      </w:r>
    </w:p>
    <w:p>
      <w:pPr>
        <w:spacing w:after="0" w:line="103" w:lineRule="exact"/>
        <w:rPr>
          <w:rFonts w:ascii="Arial" w:cs="Arial" w:eastAsia="Arial" w:hAnsi="Arial"/>
          <w:sz w:val="18"/>
          <w:szCs w:val="18"/>
          <w:color w:val="auto"/>
        </w:rPr>
      </w:pPr>
    </w:p>
    <w:p>
      <w:pPr>
        <w:ind w:left="700" w:right="6940"/>
        <w:spacing w:after="0" w:line="360" w:lineRule="auto"/>
        <w:rPr>
          <w:rFonts w:ascii="Arial" w:cs="Arial" w:eastAsia="Arial" w:hAnsi="Arial"/>
          <w:sz w:val="18"/>
          <w:szCs w:val="18"/>
          <w:color w:val="auto"/>
        </w:rPr>
      </w:pPr>
      <w:r>
        <w:rPr>
          <w:rFonts w:ascii="Arial" w:cs="Arial" w:eastAsia="Arial" w:hAnsi="Arial"/>
          <w:sz w:val="18"/>
          <w:szCs w:val="18"/>
          <w:color w:val="auto"/>
        </w:rPr>
        <w:t>Quarterly Results of Operations (unaudited); and Five Years in Review.</w:t>
      </w:r>
    </w:p>
    <w:p>
      <w:pPr>
        <w:ind w:left="700" w:hanging="341"/>
        <w:spacing w:after="0"/>
        <w:tabs>
          <w:tab w:leader="none" w:pos="7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exhibits filed herewith or incorporated herein by reference are set forth in the Index of Exhibits included herein.</w:t>
      </w:r>
    </w:p>
    <w:p>
      <w:pPr>
        <w:spacing w:after="0" w:line="103" w:lineRule="exact"/>
        <w:rPr>
          <w:rFonts w:ascii="Arial" w:cs="Arial" w:eastAsia="Arial" w:hAnsi="Arial"/>
          <w:sz w:val="18"/>
          <w:szCs w:val="18"/>
          <w:color w:val="auto"/>
        </w:rPr>
      </w:pPr>
    </w:p>
    <w:p>
      <w:pPr>
        <w:ind w:left="700" w:right="20" w:hanging="692"/>
        <w:spacing w:after="0" w:line="299" w:lineRule="auto"/>
        <w:tabs>
          <w:tab w:leader="none" w:pos="7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management contracts or compensatory plans or arrangements listed in the “Index of Exhibits” that are applicable to the executive officers named in the Summary Compensation Table which appears in Registrant’s 2011 Proxy Statement are preceded by an asterisk (*).</w:t>
      </w:r>
    </w:p>
    <w:p>
      <w:pPr>
        <w:spacing w:after="0" w:line="91" w:lineRule="exact"/>
        <w:rPr>
          <w:sz w:val="20"/>
          <w:szCs w:val="20"/>
          <w:color w:val="auto"/>
        </w:rPr>
      </w:pPr>
    </w:p>
    <w:p>
      <w:pPr>
        <w:jc w:val="right"/>
        <w:spacing w:after="0"/>
        <w:rPr>
          <w:sz w:val="20"/>
          <w:szCs w:val="20"/>
          <w:color w:val="auto"/>
        </w:rPr>
      </w:pPr>
      <w:r>
        <w:rPr>
          <w:rFonts w:ascii="Arial" w:cs="Arial" w:eastAsia="Arial" w:hAnsi="Arial"/>
          <w:sz w:val="14"/>
          <w:szCs w:val="14"/>
          <w:color w:val="009CDA"/>
        </w:rPr>
        <w:t>Xerox 2010 Form 10-K 35</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XEROX CORPORATION</w:t>
      </w:r>
    </w:p>
    <w:p>
      <w:pPr>
        <w:spacing w:after="0" w:line="23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U</w:t>
      </w:r>
      <w:r>
        <w:rPr>
          <w:rFonts w:ascii="Arial" w:cs="Arial" w:eastAsia="Arial" w:hAnsi="Arial"/>
          <w:sz w:val="14"/>
          <w:szCs w:val="14"/>
          <w:color w:val="auto"/>
        </w:rPr>
        <w:t>RSULA</w:t>
      </w:r>
      <w:r>
        <w:rPr>
          <w:rFonts w:ascii="Arial" w:cs="Arial" w:eastAsia="Arial" w:hAnsi="Arial"/>
          <w:sz w:val="18"/>
          <w:szCs w:val="18"/>
          <w:color w:val="auto"/>
        </w:rPr>
        <w:t xml:space="preserve"> M. B</w:t>
      </w:r>
      <w:r>
        <w:rPr>
          <w:rFonts w:ascii="Arial" w:cs="Arial" w:eastAsia="Arial" w:hAnsi="Arial"/>
          <w:sz w:val="14"/>
          <w:szCs w:val="14"/>
          <w:color w:val="auto"/>
        </w:rPr>
        <w: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289877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Ursula M. Burns</w:t>
      </w:r>
    </w:p>
    <w:p>
      <w:pPr>
        <w:spacing w:after="0" w:line="225" w:lineRule="auto"/>
        <w:rPr>
          <w:sz w:val="20"/>
          <w:szCs w:val="20"/>
          <w:color w:val="auto"/>
        </w:rPr>
      </w:pPr>
      <w:r>
        <w:rPr>
          <w:rFonts w:ascii="Arial" w:cs="Arial" w:eastAsia="Arial" w:hAnsi="Arial"/>
          <w:sz w:val="14"/>
          <w:szCs w:val="14"/>
          <w:b w:val="1"/>
          <w:bCs w:val="1"/>
          <w:color w:val="auto"/>
        </w:rPr>
        <w:t>Chairman of the Board and</w:t>
      </w:r>
    </w:p>
    <w:p>
      <w:pPr>
        <w:spacing w:after="0" w:line="221" w:lineRule="auto"/>
        <w:rPr>
          <w:sz w:val="20"/>
          <w:szCs w:val="20"/>
          <w:color w:val="auto"/>
        </w:rPr>
      </w:pPr>
      <w:r>
        <w:rPr>
          <w:rFonts w:ascii="Arial" w:cs="Arial" w:eastAsia="Arial" w:hAnsi="Arial"/>
          <w:sz w:val="14"/>
          <w:szCs w:val="14"/>
          <w:b w:val="1"/>
          <w:bCs w:val="1"/>
          <w:color w:val="auto"/>
        </w:rPr>
        <w:t>Chief Executive Officer</w:t>
      </w:r>
    </w:p>
    <w:p>
      <w:pPr>
        <w:spacing w:after="0"/>
        <w:rPr>
          <w:sz w:val="20"/>
          <w:szCs w:val="20"/>
          <w:color w:val="auto"/>
        </w:rPr>
      </w:pPr>
      <w:r>
        <w:rPr>
          <w:rFonts w:ascii="Arial" w:cs="Arial" w:eastAsia="Arial" w:hAnsi="Arial"/>
          <w:sz w:val="14"/>
          <w:szCs w:val="14"/>
          <w:b w:val="1"/>
          <w:bCs w:val="1"/>
          <w:color w:val="auto"/>
        </w:rPr>
        <w:t>February 23, 2011</w:t>
      </w:r>
    </w:p>
    <w:p>
      <w:pPr>
        <w:spacing w:after="0" w:line="167"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 indicated.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2011</w:t>
      </w:r>
    </w:p>
    <w:p>
      <w:pPr>
        <w:spacing w:after="0" w:line="176"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b w:val="1"/>
          <w:bCs w:val="1"/>
          <w:color w:val="auto"/>
        </w:rPr>
        <w:t>Signature</w:t>
      </w:r>
      <w:r>
        <w:rPr>
          <w:sz w:val="20"/>
          <w:szCs w:val="20"/>
          <w:color w:val="auto"/>
        </w:rPr>
        <w:tab/>
      </w:r>
      <w:r>
        <w:rPr>
          <w:rFonts w:ascii="Arial" w:cs="Arial" w:eastAsia="Arial" w:hAnsi="Arial"/>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Principal Executive Officer:</w:t>
      </w:r>
    </w:p>
    <w:p>
      <w:pPr>
        <w:sectPr>
          <w:pgSz w:w="11900" w:h="16838" w:orient="portrait"/>
          <w:cols w:equalWidth="0" w:num="1">
            <w:col w:w="11420"/>
          </w:cols>
          <w:pgMar w:left="240" w:top="459" w:right="239" w:bottom="1440" w:gutter="0" w:footer="0" w:header="0"/>
        </w:sectPr>
      </w:pPr>
    </w:p>
    <w:p>
      <w:pPr>
        <w:spacing w:after="0" w:line="23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U</w:t>
      </w:r>
      <w:r>
        <w:rPr>
          <w:rFonts w:ascii="Arial" w:cs="Arial" w:eastAsia="Arial" w:hAnsi="Arial"/>
          <w:sz w:val="14"/>
          <w:szCs w:val="14"/>
          <w:color w:val="auto"/>
        </w:rPr>
        <w:t>RSULA</w:t>
      </w:r>
      <w:r>
        <w:rPr>
          <w:rFonts w:ascii="Arial" w:cs="Arial" w:eastAsia="Arial" w:hAnsi="Arial"/>
          <w:sz w:val="18"/>
          <w:szCs w:val="18"/>
          <w:color w:val="auto"/>
        </w:rPr>
        <w:t xml:space="preserve"> M. B</w:t>
      </w:r>
      <w:r>
        <w:rPr>
          <w:rFonts w:ascii="Arial" w:cs="Arial" w:eastAsia="Arial" w:hAnsi="Arial"/>
          <w:sz w:val="14"/>
          <w:szCs w:val="14"/>
          <w:color w:val="auto"/>
        </w:rPr>
        <w: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369633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Ursula M. Burns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Principal Financial Officer:</w:t>
      </w:r>
    </w:p>
    <w:p>
      <w:pPr>
        <w:spacing w:after="0" w:line="12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L</w:t>
      </w:r>
      <w:r>
        <w:rPr>
          <w:rFonts w:ascii="Arial" w:cs="Arial" w:eastAsia="Arial" w:hAnsi="Arial"/>
          <w:sz w:val="14"/>
          <w:szCs w:val="14"/>
          <w:color w:val="auto"/>
        </w:rPr>
        <w:t>UCA</w:t>
      </w:r>
      <w:r>
        <w:rPr>
          <w:rFonts w:ascii="Arial" w:cs="Arial" w:eastAsia="Arial" w:hAnsi="Arial"/>
          <w:sz w:val="18"/>
          <w:szCs w:val="18"/>
          <w:color w:val="auto"/>
        </w:rPr>
        <w:t xml:space="preserve"> M</w:t>
      </w:r>
      <w:r>
        <w:rPr>
          <w:rFonts w:ascii="Arial" w:cs="Arial" w:eastAsia="Arial" w:hAnsi="Arial"/>
          <w:sz w:val="14"/>
          <w:szCs w:val="14"/>
          <w:color w:val="auto"/>
        </w:rPr>
        <w:t>AESTRI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369633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Luca Maestri</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Principal Accounting Officer:</w:t>
      </w:r>
    </w:p>
    <w:p>
      <w:pPr>
        <w:spacing w:after="0" w:line="12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G</w:t>
      </w:r>
      <w:r>
        <w:rPr>
          <w:rFonts w:ascii="Arial" w:cs="Arial" w:eastAsia="Arial" w:hAnsi="Arial"/>
          <w:sz w:val="14"/>
          <w:szCs w:val="14"/>
          <w:color w:val="auto"/>
        </w:rPr>
        <w:t>ARY</w:t>
      </w:r>
      <w:r>
        <w:rPr>
          <w:rFonts w:ascii="Arial" w:cs="Arial" w:eastAsia="Arial" w:hAnsi="Arial"/>
          <w:sz w:val="18"/>
          <w:szCs w:val="18"/>
          <w:color w:val="auto"/>
        </w:rPr>
        <w:t xml:space="preserve"> R. K</w:t>
      </w:r>
      <w:r>
        <w:rPr>
          <w:rFonts w:ascii="Arial" w:cs="Arial" w:eastAsia="Arial" w:hAnsi="Arial"/>
          <w:sz w:val="14"/>
          <w:szCs w:val="14"/>
          <w:color w:val="auto"/>
        </w:rPr>
        <w:t>ABURECK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369633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Gary R. Kabureck</w:t>
      </w:r>
    </w:p>
    <w:p>
      <w:pPr>
        <w:spacing w:after="0" w:line="11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G</w:t>
      </w:r>
      <w:r>
        <w:rPr>
          <w:rFonts w:ascii="Arial" w:cs="Arial" w:eastAsia="Arial" w:hAnsi="Arial"/>
          <w:sz w:val="14"/>
          <w:szCs w:val="14"/>
          <w:color w:val="auto"/>
        </w:rPr>
        <w:t>LENN</w:t>
      </w:r>
      <w:r>
        <w:rPr>
          <w:rFonts w:ascii="Arial" w:cs="Arial" w:eastAsia="Arial" w:hAnsi="Arial"/>
          <w:sz w:val="18"/>
          <w:szCs w:val="18"/>
          <w:color w:val="auto"/>
        </w:rPr>
        <w:t xml:space="preserve"> A. B</w:t>
      </w:r>
      <w:r>
        <w:rPr>
          <w:rFonts w:ascii="Arial" w:cs="Arial" w:eastAsia="Arial" w:hAnsi="Arial"/>
          <w:sz w:val="14"/>
          <w:szCs w:val="14"/>
          <w:color w:val="auto"/>
        </w:rPr>
        <w:t>RITT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369633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Glenn A. Britt</w:t>
      </w:r>
    </w:p>
    <w:p>
      <w:pPr>
        <w:spacing w:after="0" w:line="11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R</w:t>
      </w:r>
      <w:r>
        <w:rPr>
          <w:rFonts w:ascii="Arial" w:cs="Arial" w:eastAsia="Arial" w:hAnsi="Arial"/>
          <w:sz w:val="14"/>
          <w:szCs w:val="14"/>
          <w:color w:val="auto"/>
        </w:rPr>
        <w:t>ICHARD</w:t>
      </w:r>
      <w:r>
        <w:rPr>
          <w:rFonts w:ascii="Arial" w:cs="Arial" w:eastAsia="Arial" w:hAnsi="Arial"/>
          <w:sz w:val="18"/>
          <w:szCs w:val="18"/>
          <w:color w:val="auto"/>
        </w:rPr>
        <w:t xml:space="preserve"> J. H</w:t>
      </w:r>
      <w:r>
        <w:rPr>
          <w:rFonts w:ascii="Arial" w:cs="Arial" w:eastAsia="Arial" w:hAnsi="Arial"/>
          <w:sz w:val="14"/>
          <w:szCs w:val="14"/>
          <w:color w:val="auto"/>
        </w:rPr>
        <w:t>ARRINGTON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369633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Richard J. Harrington</w:t>
      </w:r>
    </w:p>
    <w:p>
      <w:pPr>
        <w:spacing w:after="0" w:line="11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W</w:t>
      </w:r>
      <w:r>
        <w:rPr>
          <w:rFonts w:ascii="Arial" w:cs="Arial" w:eastAsia="Arial" w:hAnsi="Arial"/>
          <w:sz w:val="14"/>
          <w:szCs w:val="14"/>
          <w:color w:val="auto"/>
        </w:rPr>
        <w:t>ILLIAM</w:t>
      </w:r>
      <w:r>
        <w:rPr>
          <w:rFonts w:ascii="Arial" w:cs="Arial" w:eastAsia="Arial" w:hAnsi="Arial"/>
          <w:sz w:val="18"/>
          <w:szCs w:val="18"/>
          <w:color w:val="auto"/>
        </w:rPr>
        <w:t xml:space="preserve"> C</w:t>
      </w:r>
      <w:r>
        <w:rPr>
          <w:rFonts w:ascii="Arial" w:cs="Arial" w:eastAsia="Arial" w:hAnsi="Arial"/>
          <w:sz w:val="14"/>
          <w:szCs w:val="14"/>
          <w:color w:val="auto"/>
        </w:rPr>
        <w:t>URT</w:t>
      </w:r>
      <w:r>
        <w:rPr>
          <w:rFonts w:ascii="Arial" w:cs="Arial" w:eastAsia="Arial" w:hAnsi="Arial"/>
          <w:sz w:val="18"/>
          <w:szCs w:val="18"/>
          <w:color w:val="auto"/>
        </w:rPr>
        <w:t xml:space="preserve"> H</w:t>
      </w:r>
      <w:r>
        <w:rPr>
          <w:rFonts w:ascii="Arial" w:cs="Arial" w:eastAsia="Arial" w:hAnsi="Arial"/>
          <w:sz w:val="14"/>
          <w:szCs w:val="14"/>
          <w:color w:val="auto"/>
        </w:rPr>
        <w:t>UNTER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369633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William Curt Hunter</w:t>
      </w:r>
    </w:p>
    <w:p>
      <w:pPr>
        <w:spacing w:after="0" w:line="11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R</w:t>
      </w:r>
      <w:r>
        <w:rPr>
          <w:rFonts w:ascii="Arial" w:cs="Arial" w:eastAsia="Arial" w:hAnsi="Arial"/>
          <w:sz w:val="14"/>
          <w:szCs w:val="14"/>
          <w:color w:val="auto"/>
        </w:rPr>
        <w:t>OBERT</w:t>
      </w:r>
      <w:r>
        <w:rPr>
          <w:rFonts w:ascii="Arial" w:cs="Arial" w:eastAsia="Arial" w:hAnsi="Arial"/>
          <w:sz w:val="18"/>
          <w:szCs w:val="18"/>
          <w:color w:val="auto"/>
        </w:rPr>
        <w:t xml:space="preserve"> J. K</w:t>
      </w:r>
      <w:r>
        <w:rPr>
          <w:rFonts w:ascii="Arial" w:cs="Arial" w:eastAsia="Arial" w:hAnsi="Arial"/>
          <w:sz w:val="14"/>
          <w:szCs w:val="14"/>
          <w:color w:val="auto"/>
        </w:rPr>
        <w:t>EEGAN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369633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Robert J. Keegan</w:t>
      </w:r>
    </w:p>
    <w:p>
      <w:pPr>
        <w:spacing w:after="0" w:line="11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R</w:t>
      </w:r>
      <w:r>
        <w:rPr>
          <w:rFonts w:ascii="Arial" w:cs="Arial" w:eastAsia="Arial" w:hAnsi="Arial"/>
          <w:sz w:val="14"/>
          <w:szCs w:val="14"/>
          <w:color w:val="auto"/>
        </w:rPr>
        <w:t>OBERT</w:t>
      </w:r>
      <w:r>
        <w:rPr>
          <w:rFonts w:ascii="Arial" w:cs="Arial" w:eastAsia="Arial" w:hAnsi="Arial"/>
          <w:sz w:val="18"/>
          <w:szCs w:val="18"/>
          <w:color w:val="auto"/>
        </w:rPr>
        <w:t xml:space="preserve"> A. M</w:t>
      </w:r>
      <w:r>
        <w:rPr>
          <w:rFonts w:ascii="Arial" w:cs="Arial" w:eastAsia="Arial" w:hAnsi="Arial"/>
          <w:sz w:val="14"/>
          <w:szCs w:val="14"/>
          <w:color w:val="auto"/>
        </w:rPr>
        <w:t>C</w:t>
      </w:r>
      <w:r>
        <w:rPr>
          <w:rFonts w:ascii="Arial" w:cs="Arial" w:eastAsia="Arial" w:hAnsi="Arial"/>
          <w:sz w:val="18"/>
          <w:szCs w:val="18"/>
          <w:color w:val="auto"/>
        </w:rPr>
        <w:t>D</w:t>
      </w:r>
      <w:r>
        <w:rPr>
          <w:rFonts w:ascii="Arial" w:cs="Arial" w:eastAsia="Arial" w:hAnsi="Arial"/>
          <w:sz w:val="14"/>
          <w:szCs w:val="14"/>
          <w:color w:val="auto"/>
        </w:rPr>
        <w:t>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369633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Robert A. McDonald</w:t>
      </w:r>
    </w:p>
    <w:p>
      <w:pPr>
        <w:spacing w:after="0" w:line="11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N. J. N</w:t>
      </w:r>
      <w:r>
        <w:rPr>
          <w:rFonts w:ascii="Arial" w:cs="Arial" w:eastAsia="Arial" w:hAnsi="Arial"/>
          <w:sz w:val="14"/>
          <w:szCs w:val="14"/>
          <w:color w:val="auto"/>
        </w:rPr>
        <w:t>ICHOLAS</w:t>
      </w:r>
      <w:r>
        <w:rPr>
          <w:rFonts w:ascii="Arial" w:cs="Arial" w:eastAsia="Arial" w:hAnsi="Arial"/>
          <w:sz w:val="18"/>
          <w:szCs w:val="18"/>
          <w:color w:val="auto"/>
        </w:rPr>
        <w:t>, J</w:t>
      </w:r>
      <w:r>
        <w:rPr>
          <w:rFonts w:ascii="Arial" w:cs="Arial" w:eastAsia="Arial" w:hAnsi="Arial"/>
          <w:sz w:val="14"/>
          <w:szCs w:val="14"/>
          <w:color w:val="auto"/>
        </w:rPr>
        <w:t>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369633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N. J. Nicholas, Jr.</w:t>
      </w:r>
    </w:p>
    <w:p>
      <w:pPr>
        <w:spacing w:after="0" w:line="11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C</w:t>
      </w:r>
      <w:r>
        <w:rPr>
          <w:rFonts w:ascii="Arial" w:cs="Arial" w:eastAsia="Arial" w:hAnsi="Arial"/>
          <w:sz w:val="14"/>
          <w:szCs w:val="14"/>
          <w:color w:val="auto"/>
        </w:rPr>
        <w:t>HARLES</w:t>
      </w:r>
      <w:r>
        <w:rPr>
          <w:rFonts w:ascii="Arial" w:cs="Arial" w:eastAsia="Arial" w:hAnsi="Arial"/>
          <w:sz w:val="18"/>
          <w:szCs w:val="18"/>
          <w:color w:val="auto"/>
        </w:rPr>
        <w:t xml:space="preserve"> P</w:t>
      </w:r>
      <w:r>
        <w:rPr>
          <w:rFonts w:ascii="Arial" w:cs="Arial" w:eastAsia="Arial" w:hAnsi="Arial"/>
          <w:sz w:val="14"/>
          <w:szCs w:val="14"/>
          <w:color w:val="auto"/>
        </w:rPr>
        <w:t>RINCE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369633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Charles Prince</w:t>
      </w:r>
    </w:p>
    <w:p>
      <w:pPr>
        <w:spacing w:after="0" w:line="114"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A</w:t>
      </w:r>
      <w:r>
        <w:rPr>
          <w:rFonts w:ascii="Arial" w:cs="Arial" w:eastAsia="Arial" w:hAnsi="Arial"/>
          <w:sz w:val="14"/>
          <w:szCs w:val="14"/>
          <w:color w:val="auto"/>
        </w:rPr>
        <w:t>NN</w:t>
      </w:r>
      <w:r>
        <w:rPr>
          <w:rFonts w:ascii="Arial" w:cs="Arial" w:eastAsia="Arial" w:hAnsi="Arial"/>
          <w:sz w:val="18"/>
          <w:szCs w:val="18"/>
          <w:color w:val="auto"/>
        </w:rPr>
        <w:t xml:space="preserve"> N. R</w:t>
      </w:r>
      <w:r>
        <w:rPr>
          <w:rFonts w:ascii="Arial" w:cs="Arial" w:eastAsia="Arial" w:hAnsi="Arial"/>
          <w:sz w:val="14"/>
          <w:szCs w:val="14"/>
          <w:color w:val="auto"/>
        </w:rPr>
        <w:t>EESE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369633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Ann N. Reese</w:t>
      </w:r>
    </w:p>
    <w:p>
      <w:pPr>
        <w:spacing w:after="0" w:line="11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ARY</w:t>
      </w:r>
      <w:r>
        <w:rPr>
          <w:rFonts w:ascii="Arial" w:cs="Arial" w:eastAsia="Arial" w:hAnsi="Arial"/>
          <w:sz w:val="18"/>
          <w:szCs w:val="18"/>
          <w:color w:val="auto"/>
        </w:rPr>
        <w:t xml:space="preserve"> A</w:t>
      </w:r>
      <w:r>
        <w:rPr>
          <w:rFonts w:ascii="Arial" w:cs="Arial" w:eastAsia="Arial" w:hAnsi="Arial"/>
          <w:sz w:val="14"/>
          <w:szCs w:val="14"/>
          <w:color w:val="auto"/>
        </w:rPr>
        <w:t>GNES</w:t>
      </w:r>
      <w:r>
        <w:rPr>
          <w:rFonts w:ascii="Arial" w:cs="Arial" w:eastAsia="Arial" w:hAnsi="Arial"/>
          <w:sz w:val="18"/>
          <w:szCs w:val="18"/>
          <w:color w:val="auto"/>
        </w:rPr>
        <w:t xml:space="preserve"> W</w:t>
      </w:r>
      <w:r>
        <w:rPr>
          <w:rFonts w:ascii="Arial" w:cs="Arial" w:eastAsia="Arial" w:hAnsi="Arial"/>
          <w:sz w:val="14"/>
          <w:szCs w:val="14"/>
          <w:color w:val="auto"/>
        </w:rPr>
        <w:t>ILDEROTTER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369633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Mary Agnes Wilderotter</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w:t>
      </w:r>
    </w:p>
    <w:p>
      <w:pPr>
        <w:spacing w:after="0"/>
        <w:rPr>
          <w:sz w:val="20"/>
          <w:szCs w:val="20"/>
          <w:color w:val="auto"/>
        </w:rPr>
      </w:pPr>
      <w:r>
        <w:rPr>
          <w:rFonts w:ascii="Arial" w:cs="Arial" w:eastAsia="Arial" w:hAnsi="Arial"/>
          <w:sz w:val="18"/>
          <w:szCs w:val="18"/>
          <w:color w:val="auto"/>
        </w:rPr>
        <w:t>Chief Executive Officer and Director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Chief Accounting Officer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48" w:lineRule="exact"/>
        <w:rPr>
          <w:sz w:val="20"/>
          <w:szCs w:val="20"/>
          <w:color w:val="auto"/>
        </w:rPr>
      </w:pPr>
    </w:p>
    <w:p>
      <w:pPr>
        <w:jc w:val="right"/>
        <w:spacing w:after="0"/>
        <w:rPr>
          <w:sz w:val="20"/>
          <w:szCs w:val="20"/>
          <w:color w:val="auto"/>
        </w:rPr>
      </w:pPr>
      <w:r>
        <w:rPr>
          <w:rFonts w:ascii="Arial" w:cs="Arial" w:eastAsia="Arial" w:hAnsi="Arial"/>
          <w:sz w:val="14"/>
          <w:szCs w:val="14"/>
          <w:color w:val="009CDA"/>
        </w:rPr>
        <w:t>Xerox 2010 Form 10-K 36</w:t>
      </w:r>
    </w:p>
    <w:p>
      <w:pPr>
        <w:sectPr>
          <w:pgSz w:w="11900" w:h="16838" w:orient="portrait"/>
          <w:cols w:equalWidth="0" w:num="2">
            <w:col w:w="5340" w:space="720"/>
            <w:col w:w="5360"/>
          </w:cols>
          <w:pgMar w:left="240" w:top="459" w:right="23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009CDA"/>
        </w:rPr>
        <w:t>Report of Independent Registered Public Accounting Firm on Financial Statement Schedule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of Xerox Corporation:</w:t>
      </w:r>
    </w:p>
    <w:p>
      <w:pPr>
        <w:spacing w:after="0" w:line="15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audits of the consolidated financial statements and of the effectiveness of internal control over financial reporting referred to in our report dated February 23, 2011 appearing in the 2010 Annual Report to Shareholders of Xerox Corporation (which report and consolidated financial statements are incorporated by reference in this Annual Report on Form 10-K) also included an audit of the financial statement schedule listed in Item 15(a)(1) of this Form 10-K. In our opinion, this financial statement schedule presents fairly, in all material respects, the information set forth therein when read in conjunction with the related consolidated financial statements.</w:t>
      </w:r>
    </w:p>
    <w:p>
      <w:pPr>
        <w:spacing w:after="0" w:line="194"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w:t>
      </w:r>
      <w:r>
        <w:rPr>
          <w:rFonts w:ascii="Arial" w:cs="Arial" w:eastAsia="Arial" w:hAnsi="Arial"/>
          <w:sz w:val="11"/>
          <w:szCs w:val="11"/>
          <w:color w:val="auto"/>
        </w:rPr>
        <w:t>S</w:t>
      </w:r>
      <w:r>
        <w:rPr>
          <w:rFonts w:ascii="Arial" w:cs="Arial" w:eastAsia="Arial" w:hAnsi="Arial"/>
          <w:sz w:val="14"/>
          <w:szCs w:val="14"/>
          <w:color w:val="auto"/>
        </w:rPr>
        <w:t>/</w:t>
        <w:tab/>
        <w:t>P</w:t>
      </w:r>
      <w:r>
        <w:rPr>
          <w:rFonts w:ascii="Arial" w:cs="Arial" w:eastAsia="Arial" w:hAnsi="Arial"/>
          <w:sz w:val="11"/>
          <w:szCs w:val="11"/>
          <w:color w:val="auto"/>
        </w:rPr>
        <w:t>RICEWATERHOUSE</w:t>
      </w:r>
      <w:r>
        <w:rPr>
          <w:rFonts w:ascii="Arial" w:cs="Arial" w:eastAsia="Arial" w:hAnsi="Arial"/>
          <w:sz w:val="14"/>
          <w:szCs w:val="14"/>
          <w:color w:val="auto"/>
        </w:rPr>
        <w:t>C</w:t>
      </w:r>
      <w:r>
        <w:rPr>
          <w:rFonts w:ascii="Arial" w:cs="Arial" w:eastAsia="Arial" w:hAnsi="Arial"/>
          <w:sz w:val="11"/>
          <w:szCs w:val="11"/>
          <w:color w:val="auto"/>
        </w:rPr>
        <w:t>OOPERS</w:t>
      </w:r>
      <w:r>
        <w:rPr>
          <w:rFonts w:ascii="Arial" w:cs="Arial" w:eastAsia="Arial" w:hAnsi="Arial"/>
          <w:sz w:val="14"/>
          <w:szCs w:val="14"/>
          <w:color w:val="auto"/>
        </w:rPr>
        <w:t xml:space="preserve"> L</w:t>
      </w:r>
      <w:r>
        <w:rPr>
          <w:rFonts w:ascii="Arial" w:cs="Arial" w:eastAsia="Arial" w:hAnsi="Arial"/>
          <w:sz w:val="11"/>
          <w:szCs w:val="11"/>
          <w:color w:val="auto"/>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289877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PricewaterhouseCoopers LLP</w:t>
      </w:r>
    </w:p>
    <w:p>
      <w:pPr>
        <w:spacing w:after="0" w:line="222" w:lineRule="auto"/>
        <w:rPr>
          <w:sz w:val="20"/>
          <w:szCs w:val="20"/>
          <w:color w:val="auto"/>
        </w:rPr>
      </w:pPr>
      <w:r>
        <w:rPr>
          <w:rFonts w:ascii="Arial" w:cs="Arial" w:eastAsia="Arial" w:hAnsi="Arial"/>
          <w:sz w:val="14"/>
          <w:szCs w:val="14"/>
          <w:b w:val="1"/>
          <w:bCs w:val="1"/>
          <w:color w:val="auto"/>
        </w:rPr>
        <w:t>Stamford, Connecticut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February 23, 2011</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24"/>
          <w:szCs w:val="24"/>
          <w:b w:val="1"/>
          <w:bCs w:val="1"/>
          <w:color w:val="009CDA"/>
        </w:rPr>
        <w:t>SCHEDULE II</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009CDA"/>
        </w:rPr>
        <w:t>VALUATION AND QUALIFYING ACCOUNTS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9CDA"/>
        </w:rPr>
        <w:t>For the three years ended December 31, 2010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Amounts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7"/>
              </w:rPr>
              <w:t>(credited)</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4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5"/>
              </w:rPr>
              <w:t>Additions</w:t>
            </w:r>
          </w:p>
        </w:tc>
        <w:tc>
          <w:tcPr>
            <w:tcW w:w="11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charged to</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56"/>
              <w:spacing w:after="0" w:line="149" w:lineRule="exact"/>
              <w:rPr>
                <w:sz w:val="20"/>
                <w:szCs w:val="20"/>
                <w:color w:val="auto"/>
              </w:rPr>
            </w:pPr>
            <w:r>
              <w:rPr>
                <w:rFonts w:ascii="Arial" w:cs="Arial" w:eastAsia="Arial" w:hAnsi="Arial"/>
                <w:sz w:val="14"/>
                <w:szCs w:val="14"/>
                <w:b w:val="1"/>
                <w:bCs w:val="1"/>
                <w:color w:val="auto"/>
              </w:rPr>
              <w:t>Balance</w:t>
            </w:r>
          </w:p>
        </w:tc>
        <w:tc>
          <w:tcPr>
            <w:tcW w:w="560" w:type="dxa"/>
            <w:vAlign w:val="bottom"/>
          </w:tcPr>
          <w:p>
            <w:pPr>
              <w:spacing w:after="0"/>
              <w:rPr>
                <w:sz w:val="12"/>
                <w:szCs w:val="12"/>
                <w:color w:val="auto"/>
              </w:rPr>
            </w:pPr>
          </w:p>
        </w:tc>
        <w:tc>
          <w:tcPr>
            <w:tcW w:w="134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7"/>
              </w:rPr>
              <w:t>charged to</w:t>
            </w: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other income</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w w:val="97"/>
              </w:rPr>
              <w:t>Deductions</w:t>
            </w:r>
          </w:p>
        </w:tc>
        <w:tc>
          <w:tcPr>
            <w:tcW w:w="6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Balance</w:t>
            </w:r>
          </w:p>
        </w:tc>
      </w:tr>
      <w:tr>
        <w:trPr>
          <w:trHeight w:val="138"/>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gridSpan w:val="2"/>
          </w:tcPr>
          <w:p>
            <w:pPr>
              <w:spacing w:after="0" w:line="139" w:lineRule="exact"/>
              <w:rPr>
                <w:sz w:val="20"/>
                <w:szCs w:val="20"/>
                <w:color w:val="auto"/>
              </w:rPr>
            </w:pPr>
            <w:r>
              <w:rPr>
                <w:rFonts w:ascii="Arial" w:cs="Arial" w:eastAsia="Arial" w:hAnsi="Arial"/>
                <w:sz w:val="14"/>
                <w:szCs w:val="14"/>
                <w:b w:val="1"/>
                <w:bCs w:val="1"/>
                <w:color w:val="auto"/>
                <w:w w:val="93"/>
              </w:rPr>
              <w:t>at beginning</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680"/>
              <w:spacing w:after="0" w:line="139" w:lineRule="exact"/>
              <w:rPr>
                <w:sz w:val="20"/>
                <w:szCs w:val="20"/>
                <w:color w:val="auto"/>
              </w:rPr>
            </w:pPr>
            <w:r>
              <w:rPr>
                <w:rFonts w:ascii="Arial" w:cs="Arial" w:eastAsia="Arial" w:hAnsi="Arial"/>
                <w:sz w:val="14"/>
                <w:szCs w:val="14"/>
                <w:b w:val="1"/>
                <w:bCs w:val="1"/>
                <w:color w:val="auto"/>
                <w:w w:val="95"/>
              </w:rPr>
              <w:t>bad debt</w:t>
            </w:r>
          </w:p>
        </w:tc>
        <w:tc>
          <w:tcPr>
            <w:tcW w:w="100" w:type="dxa"/>
            <w:vAlign w:val="bottom"/>
          </w:tcPr>
          <w:p>
            <w:pPr>
              <w:spacing w:after="0"/>
              <w:rPr>
                <w:sz w:val="12"/>
                <w:szCs w:val="12"/>
                <w:color w:val="auto"/>
              </w:rPr>
            </w:pPr>
          </w:p>
        </w:tc>
        <w:tc>
          <w:tcPr>
            <w:tcW w:w="1060" w:type="dxa"/>
            <w:vAlign w:val="bottom"/>
            <w:gridSpan w:val="2"/>
          </w:tcPr>
          <w:p>
            <w:pPr>
              <w:jc w:val="center"/>
              <w:ind w:right="380"/>
              <w:spacing w:after="0" w:line="139" w:lineRule="exact"/>
              <w:rPr>
                <w:sz w:val="20"/>
                <w:szCs w:val="20"/>
                <w:color w:val="auto"/>
              </w:rPr>
            </w:pPr>
            <w:r>
              <w:rPr>
                <w:rFonts w:ascii="Arial" w:cs="Arial" w:eastAsia="Arial" w:hAnsi="Arial"/>
                <w:sz w:val="14"/>
                <w:szCs w:val="14"/>
                <w:b w:val="1"/>
                <w:bCs w:val="1"/>
                <w:color w:val="auto"/>
                <w:w w:val="96"/>
              </w:rPr>
              <w:t>statement</w:t>
            </w:r>
          </w:p>
        </w:tc>
        <w:tc>
          <w:tcPr>
            <w:tcW w:w="260" w:type="dxa"/>
            <w:vAlign w:val="bottom"/>
          </w:tcPr>
          <w:p>
            <w:pPr>
              <w:spacing w:after="0"/>
              <w:rPr>
                <w:sz w:val="12"/>
                <w:szCs w:val="12"/>
                <w:color w:val="auto"/>
              </w:rPr>
            </w:pPr>
          </w:p>
        </w:tc>
        <w:tc>
          <w:tcPr>
            <w:tcW w:w="1580" w:type="dxa"/>
            <w:vAlign w:val="bottom"/>
            <w:gridSpan w:val="3"/>
          </w:tcPr>
          <w:p>
            <w:pPr>
              <w:jc w:val="right"/>
              <w:ind w:right="640"/>
              <w:spacing w:after="0" w:line="139" w:lineRule="exact"/>
              <w:rPr>
                <w:sz w:val="20"/>
                <w:szCs w:val="20"/>
                <w:color w:val="auto"/>
              </w:rPr>
            </w:pPr>
            <w:r>
              <w:rPr>
                <w:rFonts w:ascii="Arial" w:cs="Arial" w:eastAsia="Arial" w:hAnsi="Arial"/>
                <w:sz w:val="14"/>
                <w:szCs w:val="14"/>
                <w:b w:val="1"/>
                <w:bCs w:val="1"/>
                <w:color w:val="auto"/>
                <w:w w:val="99"/>
              </w:rPr>
              <w:t>and other, net</w:t>
            </w:r>
          </w:p>
        </w:tc>
        <w:tc>
          <w:tcPr>
            <w:tcW w:w="680" w:type="dxa"/>
            <w:vAlign w:val="bottom"/>
            <w:gridSpan w:val="3"/>
          </w:tcPr>
          <w:p>
            <w:pPr>
              <w:ind w:left="80"/>
              <w:spacing w:after="0" w:line="139" w:lineRule="exact"/>
              <w:rPr>
                <w:sz w:val="20"/>
                <w:szCs w:val="20"/>
                <w:color w:val="auto"/>
              </w:rPr>
            </w:pPr>
            <w:r>
              <w:rPr>
                <w:rFonts w:ascii="Arial" w:cs="Arial" w:eastAsia="Arial" w:hAnsi="Arial"/>
                <w:sz w:val="14"/>
                <w:szCs w:val="14"/>
                <w:b w:val="1"/>
                <w:bCs w:val="1"/>
                <w:color w:val="auto"/>
              </w:rPr>
              <w:t>at end</w:t>
            </w:r>
          </w:p>
        </w:tc>
      </w:tr>
      <w:tr>
        <w:trPr>
          <w:trHeight w:val="176"/>
        </w:trPr>
        <w:tc>
          <w:tcPr>
            <w:tcW w:w="458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36"/>
              <w:spacing w:after="0"/>
              <w:rPr>
                <w:sz w:val="20"/>
                <w:szCs w:val="20"/>
                <w:color w:val="auto"/>
              </w:rPr>
            </w:pPr>
            <w:r>
              <w:rPr>
                <w:rFonts w:ascii="Arial" w:cs="Arial" w:eastAsia="Arial" w:hAnsi="Arial"/>
                <w:sz w:val="14"/>
                <w:szCs w:val="14"/>
                <w:b w:val="1"/>
                <w:bCs w:val="1"/>
                <w:color w:val="auto"/>
                <w:w w:val="93"/>
              </w:rPr>
              <w:t>of period</w:t>
            </w:r>
          </w:p>
        </w:tc>
        <w:tc>
          <w:tcPr>
            <w:tcW w:w="560" w:type="dxa"/>
            <w:vAlign w:val="bottom"/>
          </w:tcPr>
          <w:p>
            <w:pPr>
              <w:spacing w:after="0"/>
              <w:rPr>
                <w:sz w:val="15"/>
                <w:szCs w:val="15"/>
                <w:color w:val="auto"/>
              </w:rPr>
            </w:pPr>
          </w:p>
        </w:tc>
        <w:tc>
          <w:tcPr>
            <w:tcW w:w="1340" w:type="dxa"/>
            <w:vAlign w:val="bottom"/>
            <w:gridSpan w:val="3"/>
          </w:tcPr>
          <w:p>
            <w:pPr>
              <w:spacing w:after="0" w:line="176" w:lineRule="exact"/>
              <w:rPr>
                <w:sz w:val="20"/>
                <w:szCs w:val="20"/>
                <w:color w:val="auto"/>
              </w:rPr>
            </w:pPr>
            <w:r>
              <w:rPr>
                <w:rFonts w:ascii="Arial" w:cs="Arial" w:eastAsia="Arial" w:hAnsi="Arial"/>
                <w:sz w:val="13"/>
                <w:szCs w:val="13"/>
                <w:b w:val="1"/>
                <w:bCs w:val="1"/>
                <w:color w:val="auto"/>
              </w:rPr>
              <w:t xml:space="preserve">provision </w:t>
            </w:r>
            <w:r>
              <w:rPr>
                <w:rFonts w:ascii="Arial" w:cs="Arial" w:eastAsia="Arial" w:hAnsi="Arial"/>
                <w:sz w:val="20"/>
                <w:szCs w:val="20"/>
                <w:b w:val="1"/>
                <w:bCs w:val="1"/>
                <w:color w:val="auto"/>
                <w:vertAlign w:val="superscript"/>
              </w:rPr>
              <w:t>(1)</w:t>
            </w:r>
          </w:p>
        </w:tc>
        <w:tc>
          <w:tcPr>
            <w:tcW w:w="1160" w:type="dxa"/>
            <w:vAlign w:val="bottom"/>
            <w:gridSpan w:val="3"/>
          </w:tcPr>
          <w:p>
            <w:pPr>
              <w:jc w:val="center"/>
              <w:ind w:right="300"/>
              <w:spacing w:after="0" w:line="176" w:lineRule="exact"/>
              <w:rPr>
                <w:sz w:val="20"/>
                <w:szCs w:val="20"/>
                <w:color w:val="auto"/>
              </w:rPr>
            </w:pPr>
            <w:r>
              <w:rPr>
                <w:rFonts w:ascii="Arial" w:cs="Arial" w:eastAsia="Arial" w:hAnsi="Arial"/>
                <w:sz w:val="13"/>
                <w:szCs w:val="13"/>
                <w:b w:val="1"/>
                <w:bCs w:val="1"/>
                <w:color w:val="auto"/>
              </w:rPr>
              <w:t xml:space="preserve">accounts </w:t>
            </w:r>
            <w:r>
              <w:rPr>
                <w:rFonts w:ascii="Arial" w:cs="Arial" w:eastAsia="Arial" w:hAnsi="Arial"/>
                <w:sz w:val="20"/>
                <w:szCs w:val="20"/>
                <w:b w:val="1"/>
                <w:bCs w:val="1"/>
                <w:color w:val="auto"/>
                <w:vertAlign w:val="superscript"/>
              </w:rPr>
              <w:t>(1)</w:t>
            </w:r>
          </w:p>
        </w:tc>
        <w:tc>
          <w:tcPr>
            <w:tcW w:w="260" w:type="dxa"/>
            <w:vAlign w:val="bottom"/>
          </w:tcPr>
          <w:p>
            <w:pPr>
              <w:spacing w:after="0"/>
              <w:rPr>
                <w:sz w:val="15"/>
                <w:szCs w:val="15"/>
                <w:color w:val="auto"/>
              </w:rPr>
            </w:pPr>
          </w:p>
        </w:tc>
        <w:tc>
          <w:tcPr>
            <w:tcW w:w="1580" w:type="dxa"/>
            <w:vAlign w:val="bottom"/>
            <w:gridSpan w:val="3"/>
          </w:tcPr>
          <w:p>
            <w:pPr>
              <w:spacing w:after="0" w:line="176" w:lineRule="exact"/>
              <w:rPr>
                <w:sz w:val="20"/>
                <w:szCs w:val="20"/>
                <w:color w:val="auto"/>
              </w:rPr>
            </w:pPr>
            <w:r>
              <w:rPr>
                <w:rFonts w:ascii="Arial" w:cs="Arial" w:eastAsia="Arial" w:hAnsi="Arial"/>
                <w:sz w:val="13"/>
                <w:szCs w:val="13"/>
                <w:b w:val="1"/>
                <w:bCs w:val="1"/>
                <w:color w:val="auto"/>
              </w:rPr>
              <w:t xml:space="preserve">of recoveries </w:t>
            </w:r>
            <w:r>
              <w:rPr>
                <w:rFonts w:ascii="Arial" w:cs="Arial" w:eastAsia="Arial" w:hAnsi="Arial"/>
                <w:sz w:val="20"/>
                <w:szCs w:val="20"/>
                <w:b w:val="1"/>
                <w:bCs w:val="1"/>
                <w:color w:val="auto"/>
                <w:vertAlign w:val="superscript"/>
              </w:rPr>
              <w:t>(2)</w:t>
            </w: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rPr>
              <w:t>of period</w:t>
            </w:r>
          </w:p>
        </w:tc>
      </w:tr>
      <w:tr>
        <w:trPr>
          <w:trHeight w:val="196"/>
        </w:trPr>
        <w:tc>
          <w:tcPr>
            <w:tcW w:w="20" w:type="dxa"/>
            <w:vAlign w:val="bottom"/>
          </w:tcPr>
          <w:p>
            <w:pPr>
              <w:spacing w:after="0"/>
              <w:rPr>
                <w:sz w:val="17"/>
                <w:szCs w:val="17"/>
                <w:color w:val="auto"/>
              </w:rPr>
            </w:pPr>
          </w:p>
        </w:tc>
        <w:tc>
          <w:tcPr>
            <w:tcW w:w="4560" w:type="dxa"/>
            <w:vAlign w:val="bottom"/>
            <w:tcBorders>
              <w:top w:val="single" w:sz="8" w:color="auto"/>
            </w:tcBorders>
            <w:shd w:val="clear" w:color="auto" w:fill="E5E5E5"/>
          </w:tcPr>
          <w:p>
            <w:pPr>
              <w:spacing w:after="0" w:line="196" w:lineRule="exact"/>
              <w:rPr>
                <w:sz w:val="20"/>
                <w:szCs w:val="20"/>
                <w:color w:val="auto"/>
              </w:rPr>
            </w:pPr>
            <w:r>
              <w:rPr>
                <w:rFonts w:ascii="Arial" w:cs="Arial" w:eastAsia="Arial" w:hAnsi="Arial"/>
                <w:sz w:val="18"/>
                <w:szCs w:val="18"/>
                <w:b w:val="1"/>
                <w:bCs w:val="1"/>
                <w:color w:val="auto"/>
              </w:rPr>
              <w:t>2010</w:t>
            </w:r>
          </w:p>
        </w:tc>
        <w:tc>
          <w:tcPr>
            <w:tcW w:w="460" w:type="dxa"/>
            <w:vAlign w:val="bottom"/>
            <w:shd w:val="clear" w:color="auto" w:fill="E5E5E5"/>
          </w:tcPr>
          <w:p>
            <w:pPr>
              <w:spacing w:after="0"/>
              <w:rPr>
                <w:sz w:val="17"/>
                <w:szCs w:val="17"/>
                <w:color w:val="auto"/>
              </w:rPr>
            </w:pPr>
          </w:p>
        </w:tc>
        <w:tc>
          <w:tcPr>
            <w:tcW w:w="100" w:type="dxa"/>
            <w:vAlign w:val="bottom"/>
            <w:tcBorders>
              <w:top w:val="single" w:sz="8" w:color="auto"/>
            </w:tcBorders>
            <w:shd w:val="clear" w:color="auto" w:fill="E5E5E5"/>
          </w:tcPr>
          <w:p>
            <w:pPr>
              <w:spacing w:after="0"/>
              <w:rPr>
                <w:sz w:val="17"/>
                <w:szCs w:val="17"/>
                <w:color w:val="auto"/>
              </w:rPr>
            </w:pPr>
          </w:p>
        </w:tc>
        <w:tc>
          <w:tcPr>
            <w:tcW w:w="700" w:type="dxa"/>
            <w:vAlign w:val="bottom"/>
            <w:tcBorders>
              <w:top w:val="single" w:sz="8" w:color="auto"/>
            </w:tcBorders>
            <w:shd w:val="clear" w:color="auto" w:fill="E5E5E5"/>
          </w:tcPr>
          <w:p>
            <w:pPr>
              <w:spacing w:after="0"/>
              <w:rPr>
                <w:sz w:val="17"/>
                <w:szCs w:val="17"/>
                <w:color w:val="auto"/>
              </w:rPr>
            </w:pPr>
          </w:p>
        </w:tc>
        <w:tc>
          <w:tcPr>
            <w:tcW w:w="560" w:type="dxa"/>
            <w:vAlign w:val="bottom"/>
            <w:shd w:val="clear" w:color="auto" w:fill="E5E5E5"/>
          </w:tcPr>
          <w:p>
            <w:pPr>
              <w:spacing w:after="0"/>
              <w:rPr>
                <w:sz w:val="17"/>
                <w:szCs w:val="17"/>
                <w:color w:val="auto"/>
              </w:rPr>
            </w:pPr>
          </w:p>
        </w:tc>
        <w:tc>
          <w:tcPr>
            <w:tcW w:w="100" w:type="dxa"/>
            <w:vAlign w:val="bottom"/>
            <w:tcBorders>
              <w:top w:val="single" w:sz="8" w:color="auto"/>
            </w:tcBorders>
            <w:shd w:val="clear" w:color="auto" w:fill="E5E5E5"/>
          </w:tcPr>
          <w:p>
            <w:pPr>
              <w:spacing w:after="0"/>
              <w:rPr>
                <w:sz w:val="17"/>
                <w:szCs w:val="17"/>
                <w:color w:val="auto"/>
              </w:rPr>
            </w:pPr>
          </w:p>
        </w:tc>
        <w:tc>
          <w:tcPr>
            <w:tcW w:w="680" w:type="dxa"/>
            <w:vAlign w:val="bottom"/>
            <w:tcBorders>
              <w:top w:val="single" w:sz="8" w:color="auto"/>
            </w:tcBorders>
            <w:shd w:val="clear" w:color="auto" w:fill="E5E5E5"/>
          </w:tcPr>
          <w:p>
            <w:pPr>
              <w:spacing w:after="0"/>
              <w:rPr>
                <w:sz w:val="17"/>
                <w:szCs w:val="17"/>
                <w:color w:val="auto"/>
              </w:rPr>
            </w:pPr>
          </w:p>
        </w:tc>
        <w:tc>
          <w:tcPr>
            <w:tcW w:w="560" w:type="dxa"/>
            <w:vAlign w:val="bottom"/>
            <w:shd w:val="clear" w:color="auto" w:fill="E5E5E5"/>
          </w:tcPr>
          <w:p>
            <w:pPr>
              <w:spacing w:after="0"/>
              <w:rPr>
                <w:sz w:val="17"/>
                <w:szCs w:val="17"/>
                <w:color w:val="auto"/>
              </w:rPr>
            </w:pPr>
          </w:p>
        </w:tc>
        <w:tc>
          <w:tcPr>
            <w:tcW w:w="100" w:type="dxa"/>
            <w:vAlign w:val="bottom"/>
            <w:tcBorders>
              <w:top w:val="single" w:sz="8" w:color="auto"/>
            </w:tcBorders>
            <w:shd w:val="clear" w:color="auto" w:fill="E5E5E5"/>
          </w:tcPr>
          <w:p>
            <w:pPr>
              <w:spacing w:after="0"/>
              <w:rPr>
                <w:sz w:val="17"/>
                <w:szCs w:val="17"/>
                <w:color w:val="auto"/>
              </w:rPr>
            </w:pPr>
          </w:p>
        </w:tc>
        <w:tc>
          <w:tcPr>
            <w:tcW w:w="760" w:type="dxa"/>
            <w:vAlign w:val="bottom"/>
            <w:tcBorders>
              <w:top w:val="single" w:sz="8" w:color="auto"/>
            </w:tcBorders>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120" w:type="dxa"/>
            <w:vAlign w:val="bottom"/>
            <w:tcBorders>
              <w:top w:val="single" w:sz="8" w:color="auto"/>
            </w:tcBorders>
            <w:shd w:val="clear" w:color="auto" w:fill="E5E5E5"/>
          </w:tcPr>
          <w:p>
            <w:pPr>
              <w:spacing w:after="0"/>
              <w:rPr>
                <w:sz w:val="17"/>
                <w:szCs w:val="17"/>
                <w:color w:val="auto"/>
              </w:rPr>
            </w:pPr>
          </w:p>
        </w:tc>
        <w:tc>
          <w:tcPr>
            <w:tcW w:w="900" w:type="dxa"/>
            <w:vAlign w:val="bottom"/>
            <w:tcBorders>
              <w:top w:val="single" w:sz="8" w:color="auto"/>
            </w:tcBorders>
            <w:shd w:val="clear" w:color="auto" w:fill="E5E5E5"/>
          </w:tcPr>
          <w:p>
            <w:pPr>
              <w:spacing w:after="0"/>
              <w:rPr>
                <w:sz w:val="17"/>
                <w:szCs w:val="17"/>
                <w:color w:val="auto"/>
              </w:rPr>
            </w:pPr>
          </w:p>
        </w:tc>
        <w:tc>
          <w:tcPr>
            <w:tcW w:w="560" w:type="dxa"/>
            <w:vAlign w:val="bottom"/>
            <w:shd w:val="clear" w:color="auto" w:fill="E5E5E5"/>
          </w:tcPr>
          <w:p>
            <w:pPr>
              <w:spacing w:after="0"/>
              <w:rPr>
                <w:sz w:val="17"/>
                <w:szCs w:val="17"/>
                <w:color w:val="auto"/>
              </w:rPr>
            </w:pPr>
          </w:p>
        </w:tc>
        <w:tc>
          <w:tcPr>
            <w:tcW w:w="180" w:type="dxa"/>
            <w:vAlign w:val="bottom"/>
            <w:tcBorders>
              <w:top w:val="single" w:sz="8" w:color="auto"/>
            </w:tcBorders>
            <w:shd w:val="clear" w:color="auto" w:fill="E5E5E5"/>
          </w:tcPr>
          <w:p>
            <w:pPr>
              <w:spacing w:after="0"/>
              <w:rPr>
                <w:sz w:val="17"/>
                <w:szCs w:val="17"/>
                <w:color w:val="auto"/>
              </w:rPr>
            </w:pPr>
          </w:p>
        </w:tc>
        <w:tc>
          <w:tcPr>
            <w:tcW w:w="400" w:type="dxa"/>
            <w:vAlign w:val="bottom"/>
            <w:tcBorders>
              <w:top w:val="single" w:sz="8" w:color="auto"/>
            </w:tcBorders>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r>
      <w:tr>
        <w:trPr>
          <w:trHeight w:val="203"/>
        </w:trPr>
        <w:tc>
          <w:tcPr>
            <w:tcW w:w="4580" w:type="dxa"/>
            <w:vAlign w:val="bottom"/>
            <w:gridSpan w:val="2"/>
          </w:tcPr>
          <w:p>
            <w:pPr>
              <w:spacing w:after="0" w:line="202" w:lineRule="exact"/>
              <w:rPr>
                <w:sz w:val="20"/>
                <w:szCs w:val="20"/>
                <w:color w:val="auto"/>
              </w:rPr>
            </w:pPr>
            <w:r>
              <w:rPr>
                <w:rFonts w:ascii="Arial" w:cs="Arial" w:eastAsia="Arial" w:hAnsi="Arial"/>
                <w:sz w:val="18"/>
                <w:szCs w:val="18"/>
                <w:color w:val="auto"/>
              </w:rPr>
              <w:t>Allowance for Losses on:</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560" w:type="dxa"/>
            <w:vAlign w:val="bottom"/>
            <w:shd w:val="clear" w:color="auto" w:fill="E5E5E5"/>
          </w:tcPr>
          <w:p>
            <w:pPr>
              <w:ind w:left="420"/>
              <w:spacing w:after="0" w:line="202" w:lineRule="exact"/>
              <w:rPr>
                <w:sz w:val="20"/>
                <w:szCs w:val="20"/>
                <w:color w:val="auto"/>
              </w:rPr>
            </w:pPr>
            <w:r>
              <w:rPr>
                <w:rFonts w:ascii="Arial" w:cs="Arial" w:eastAsia="Arial" w:hAnsi="Arial"/>
                <w:sz w:val="18"/>
                <w:szCs w:val="18"/>
                <w:color w:val="auto"/>
              </w:rPr>
              <w:t>Accounts Receivable</w:t>
            </w:r>
          </w:p>
        </w:tc>
        <w:tc>
          <w:tcPr>
            <w:tcW w:w="560" w:type="dxa"/>
            <w:vAlign w:val="bottom"/>
            <w:gridSpan w:val="2"/>
            <w:shd w:val="clear" w:color="auto" w:fill="E5E5E5"/>
          </w:tcPr>
          <w:p>
            <w:pPr>
              <w:ind w:left="460"/>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148</w:t>
            </w:r>
          </w:p>
        </w:tc>
        <w:tc>
          <w:tcPr>
            <w:tcW w:w="660" w:type="dxa"/>
            <w:vAlign w:val="bottom"/>
            <w:gridSpan w:val="2"/>
            <w:shd w:val="clear" w:color="auto" w:fill="E5E5E5"/>
          </w:tcPr>
          <w:p>
            <w:pPr>
              <w:ind w:left="560"/>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E5E5E5"/>
          </w:tcPr>
          <w:p>
            <w:pPr>
              <w:jc w:val="right"/>
              <w:ind w:right="560"/>
              <w:spacing w:after="0" w:line="202" w:lineRule="exact"/>
              <w:rPr>
                <w:sz w:val="20"/>
                <w:szCs w:val="20"/>
                <w:color w:val="auto"/>
              </w:rPr>
            </w:pPr>
            <w:r>
              <w:rPr>
                <w:rFonts w:ascii="Arial" w:cs="Arial" w:eastAsia="Arial" w:hAnsi="Arial"/>
                <w:sz w:val="18"/>
                <w:szCs w:val="18"/>
                <w:color w:val="auto"/>
              </w:rPr>
              <w:t>60</w:t>
            </w:r>
          </w:p>
        </w:tc>
        <w:tc>
          <w:tcPr>
            <w:tcW w:w="1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color w:val="auto"/>
              </w:rPr>
              <w:t>(14)</w:t>
            </w:r>
          </w:p>
        </w:tc>
        <w:tc>
          <w:tcPr>
            <w:tcW w:w="380" w:type="dxa"/>
            <w:vAlign w:val="bottom"/>
            <w:gridSpan w:val="2"/>
            <w:shd w:val="clear" w:color="auto" w:fill="E5E5E5"/>
          </w:tcPr>
          <w:p>
            <w:pPr>
              <w:ind w:left="260"/>
              <w:spacing w:after="0" w:line="202" w:lineRule="exact"/>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E5E5E5"/>
          </w:tcPr>
          <w:p>
            <w:pPr>
              <w:jc w:val="right"/>
              <w:ind w:right="500"/>
              <w:spacing w:after="0" w:line="202" w:lineRule="exact"/>
              <w:rPr>
                <w:sz w:val="20"/>
                <w:szCs w:val="20"/>
                <w:color w:val="auto"/>
              </w:rPr>
            </w:pPr>
            <w:r>
              <w:rPr>
                <w:rFonts w:ascii="Arial" w:cs="Arial" w:eastAsia="Arial" w:hAnsi="Arial"/>
                <w:sz w:val="18"/>
                <w:szCs w:val="18"/>
                <w:color w:val="auto"/>
              </w:rPr>
              <w:t>(82)</w:t>
            </w:r>
          </w:p>
        </w:tc>
        <w:tc>
          <w:tcPr>
            <w:tcW w:w="1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112</w:t>
            </w:r>
          </w:p>
        </w:tc>
        <w:tc>
          <w:tcPr>
            <w:tcW w:w="100" w:type="dxa"/>
            <w:vAlign w:val="bottom"/>
            <w:shd w:val="clear" w:color="auto" w:fill="E5E5E5"/>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560" w:type="dxa"/>
            <w:vAlign w:val="bottom"/>
          </w:tcPr>
          <w:p>
            <w:pPr>
              <w:ind w:left="420"/>
              <w:spacing w:after="0" w:line="202" w:lineRule="exact"/>
              <w:rPr>
                <w:sz w:val="20"/>
                <w:szCs w:val="20"/>
                <w:color w:val="auto"/>
              </w:rPr>
            </w:pPr>
            <w:r>
              <w:rPr>
                <w:rFonts w:ascii="Arial" w:cs="Arial" w:eastAsia="Arial" w:hAnsi="Arial"/>
                <w:sz w:val="18"/>
                <w:szCs w:val="18"/>
                <w:color w:val="auto"/>
              </w:rPr>
              <w:t>Finance Receivables</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222</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128</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(144)</w:t>
            </w:r>
          </w:p>
        </w:tc>
        <w:tc>
          <w:tcPr>
            <w:tcW w:w="18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212</w:t>
            </w:r>
          </w:p>
        </w:tc>
        <w:tc>
          <w:tcPr>
            <w:tcW w:w="100" w:type="dxa"/>
            <w:vAlign w:val="bottom"/>
          </w:tcPr>
          <w:p>
            <w:pPr>
              <w:spacing w:after="0"/>
              <w:rPr>
                <w:sz w:val="17"/>
                <w:szCs w:val="17"/>
                <w:color w:val="auto"/>
              </w:rPr>
            </w:pP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4560" w:type="dxa"/>
            <w:vAlign w:val="bottom"/>
            <w:shd w:val="clear" w:color="auto" w:fill="E5E5E5"/>
          </w:tcPr>
          <w:p>
            <w:pPr>
              <w:spacing w:after="0"/>
              <w:rPr>
                <w:sz w:val="17"/>
                <w:szCs w:val="17"/>
                <w:color w:val="auto"/>
              </w:rPr>
            </w:pPr>
          </w:p>
        </w:tc>
        <w:tc>
          <w:tcPr>
            <w:tcW w:w="560" w:type="dxa"/>
            <w:vAlign w:val="bottom"/>
            <w:gridSpan w:val="2"/>
            <w:shd w:val="clear" w:color="auto" w:fill="E5E5E5"/>
          </w:tcPr>
          <w:p>
            <w:pPr>
              <w:ind w:left="460"/>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370</w:t>
            </w:r>
          </w:p>
        </w:tc>
        <w:tc>
          <w:tcPr>
            <w:tcW w:w="660" w:type="dxa"/>
            <w:vAlign w:val="bottom"/>
            <w:gridSpan w:val="2"/>
            <w:shd w:val="clear" w:color="auto" w:fill="E5E5E5"/>
          </w:tcPr>
          <w:p>
            <w:pPr>
              <w:ind w:left="560"/>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188</w:t>
            </w:r>
          </w:p>
        </w:tc>
        <w:tc>
          <w:tcPr>
            <w:tcW w:w="5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color w:val="auto"/>
              </w:rPr>
              <w:t>(8)</w:t>
            </w:r>
          </w:p>
        </w:tc>
        <w:tc>
          <w:tcPr>
            <w:tcW w:w="380" w:type="dxa"/>
            <w:vAlign w:val="bottom"/>
            <w:gridSpan w:val="2"/>
            <w:shd w:val="clear" w:color="auto" w:fill="E5E5E5"/>
          </w:tcPr>
          <w:p>
            <w:pPr>
              <w:ind w:left="260"/>
              <w:spacing w:after="0" w:line="202" w:lineRule="exact"/>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E5E5E5"/>
          </w:tcPr>
          <w:p>
            <w:pPr>
              <w:jc w:val="right"/>
              <w:ind w:right="500"/>
              <w:spacing w:after="0" w:line="202" w:lineRule="exact"/>
              <w:rPr>
                <w:sz w:val="20"/>
                <w:szCs w:val="20"/>
                <w:color w:val="auto"/>
              </w:rPr>
            </w:pPr>
            <w:r>
              <w:rPr>
                <w:rFonts w:ascii="Arial" w:cs="Arial" w:eastAsia="Arial" w:hAnsi="Arial"/>
                <w:sz w:val="18"/>
                <w:szCs w:val="18"/>
                <w:color w:val="auto"/>
              </w:rPr>
              <w:t>(226)</w:t>
            </w:r>
          </w:p>
        </w:tc>
        <w:tc>
          <w:tcPr>
            <w:tcW w:w="1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324</w:t>
            </w:r>
          </w:p>
        </w:tc>
        <w:tc>
          <w:tcPr>
            <w:tcW w:w="100" w:type="dxa"/>
            <w:vAlign w:val="bottom"/>
            <w:shd w:val="clear" w:color="auto" w:fill="E5E5E5"/>
          </w:tcPr>
          <w:p>
            <w:pPr>
              <w:spacing w:after="0"/>
              <w:rPr>
                <w:sz w:val="17"/>
                <w:szCs w:val="17"/>
                <w:color w:val="auto"/>
              </w:rPr>
            </w:pPr>
          </w:p>
        </w:tc>
      </w:tr>
      <w:tr>
        <w:trPr>
          <w:trHeight w:val="210"/>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2009</w:t>
            </w:r>
          </w:p>
        </w:tc>
        <w:tc>
          <w:tcPr>
            <w:tcW w:w="4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5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Allowance for Losses on:</w:t>
            </w:r>
          </w:p>
        </w:tc>
        <w:tc>
          <w:tcPr>
            <w:tcW w:w="4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5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680" w:type="dxa"/>
            <w:vAlign w:val="bottom"/>
            <w:shd w:val="clear" w:color="auto" w:fill="E5E5E5"/>
          </w:tcPr>
          <w:p>
            <w:pPr>
              <w:spacing w:after="0"/>
              <w:rPr>
                <w:sz w:val="17"/>
                <w:szCs w:val="17"/>
                <w:color w:val="auto"/>
              </w:rPr>
            </w:pPr>
          </w:p>
        </w:tc>
        <w:tc>
          <w:tcPr>
            <w:tcW w:w="5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76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900" w:type="dxa"/>
            <w:vAlign w:val="bottom"/>
            <w:shd w:val="clear" w:color="auto" w:fill="E5E5E5"/>
          </w:tcPr>
          <w:p>
            <w:pPr>
              <w:spacing w:after="0"/>
              <w:rPr>
                <w:sz w:val="17"/>
                <w:szCs w:val="17"/>
                <w:color w:val="auto"/>
              </w:rPr>
            </w:pPr>
          </w:p>
        </w:tc>
        <w:tc>
          <w:tcPr>
            <w:tcW w:w="56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560" w:type="dxa"/>
            <w:vAlign w:val="bottom"/>
          </w:tcPr>
          <w:p>
            <w:pPr>
              <w:ind w:left="420"/>
              <w:spacing w:after="0" w:line="202" w:lineRule="exact"/>
              <w:rPr>
                <w:sz w:val="20"/>
                <w:szCs w:val="20"/>
                <w:color w:val="auto"/>
              </w:rPr>
            </w:pPr>
            <w:r>
              <w:rPr>
                <w:rFonts w:ascii="Arial" w:cs="Arial" w:eastAsia="Arial" w:hAnsi="Arial"/>
                <w:sz w:val="18"/>
                <w:szCs w:val="18"/>
                <w:color w:val="auto"/>
              </w:rPr>
              <w:t>Accounts Receivable</w:t>
            </w:r>
          </w:p>
        </w:tc>
        <w:tc>
          <w:tcPr>
            <w:tcW w:w="560" w:type="dxa"/>
            <w:vAlign w:val="bottom"/>
            <w:gridSpan w:val="2"/>
          </w:tcPr>
          <w:p>
            <w:pPr>
              <w:ind w:left="460"/>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131</w:t>
            </w:r>
          </w:p>
        </w:tc>
        <w:tc>
          <w:tcPr>
            <w:tcW w:w="660" w:type="dxa"/>
            <w:vAlign w:val="bottom"/>
            <w:gridSpan w:val="2"/>
          </w:tcPr>
          <w:p>
            <w:pPr>
              <w:ind w:left="560"/>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114</w:t>
            </w:r>
          </w:p>
        </w:tc>
        <w:tc>
          <w:tcPr>
            <w:tcW w:w="560" w:type="dxa"/>
            <w:vAlign w:val="bottom"/>
          </w:tcPr>
          <w:p>
            <w:pPr>
              <w:spacing w:after="0"/>
              <w:rPr>
                <w:sz w:val="17"/>
                <w:szCs w:val="17"/>
                <w:color w:val="auto"/>
              </w:rPr>
            </w:pP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(5)</w:t>
            </w:r>
          </w:p>
        </w:tc>
        <w:tc>
          <w:tcPr>
            <w:tcW w:w="380" w:type="dxa"/>
            <w:vAlign w:val="bottom"/>
            <w:gridSpan w:val="2"/>
          </w:tcPr>
          <w:p>
            <w:pPr>
              <w:ind w:left="260"/>
              <w:spacing w:after="0" w:line="202" w:lineRule="exact"/>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(92)</w:t>
            </w:r>
          </w:p>
        </w:tc>
        <w:tc>
          <w:tcPr>
            <w:tcW w:w="1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148</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560" w:type="dxa"/>
            <w:vAlign w:val="bottom"/>
            <w:shd w:val="clear" w:color="auto" w:fill="E5E5E5"/>
          </w:tcPr>
          <w:p>
            <w:pPr>
              <w:ind w:left="420"/>
              <w:spacing w:after="0" w:line="202" w:lineRule="exact"/>
              <w:rPr>
                <w:sz w:val="20"/>
                <w:szCs w:val="20"/>
                <w:color w:val="auto"/>
              </w:rPr>
            </w:pPr>
            <w:r>
              <w:rPr>
                <w:rFonts w:ascii="Arial" w:cs="Arial" w:eastAsia="Arial" w:hAnsi="Arial"/>
                <w:sz w:val="18"/>
                <w:szCs w:val="18"/>
                <w:color w:val="auto"/>
              </w:rPr>
              <w:t>Finance Receivables</w:t>
            </w:r>
          </w:p>
        </w:tc>
        <w:tc>
          <w:tcPr>
            <w:tcW w:w="4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7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198</w:t>
            </w:r>
          </w:p>
        </w:tc>
        <w:tc>
          <w:tcPr>
            <w:tcW w:w="5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6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177</w:t>
            </w:r>
          </w:p>
        </w:tc>
        <w:tc>
          <w:tcPr>
            <w:tcW w:w="5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7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w:t>
            </w:r>
          </w:p>
        </w:tc>
        <w:tc>
          <w:tcPr>
            <w:tcW w:w="3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460" w:type="dxa"/>
            <w:vAlign w:val="bottom"/>
            <w:gridSpan w:val="2"/>
            <w:shd w:val="clear" w:color="auto" w:fill="E5E5E5"/>
          </w:tcPr>
          <w:p>
            <w:pPr>
              <w:jc w:val="right"/>
              <w:ind w:right="500"/>
              <w:spacing w:after="0" w:line="202" w:lineRule="exact"/>
              <w:rPr>
                <w:sz w:val="20"/>
                <w:szCs w:val="20"/>
                <w:color w:val="auto"/>
              </w:rPr>
            </w:pPr>
            <w:r>
              <w:rPr>
                <w:rFonts w:ascii="Arial" w:cs="Arial" w:eastAsia="Arial" w:hAnsi="Arial"/>
                <w:sz w:val="18"/>
                <w:szCs w:val="18"/>
                <w:color w:val="auto"/>
              </w:rPr>
              <w:t>(156)</w:t>
            </w:r>
          </w:p>
        </w:tc>
        <w:tc>
          <w:tcPr>
            <w:tcW w:w="180" w:type="dxa"/>
            <w:vAlign w:val="bottom"/>
            <w:shd w:val="clear" w:color="auto" w:fill="E5E5E5"/>
          </w:tcPr>
          <w:p>
            <w:pPr>
              <w:spacing w:after="0"/>
              <w:rPr>
                <w:sz w:val="17"/>
                <w:szCs w:val="17"/>
                <w:color w:val="auto"/>
              </w:rPr>
            </w:pPr>
          </w:p>
        </w:tc>
        <w:tc>
          <w:tcPr>
            <w:tcW w:w="4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222</w:t>
            </w:r>
          </w:p>
        </w:tc>
        <w:tc>
          <w:tcPr>
            <w:tcW w:w="100" w:type="dxa"/>
            <w:vAlign w:val="bottom"/>
            <w:shd w:val="clear" w:color="auto" w:fill="E5E5E5"/>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329</w:t>
            </w:r>
          </w:p>
        </w:tc>
        <w:tc>
          <w:tcPr>
            <w:tcW w:w="660" w:type="dxa"/>
            <w:vAlign w:val="bottom"/>
            <w:gridSpan w:val="2"/>
          </w:tcPr>
          <w:p>
            <w:pPr>
              <w:ind w:left="56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291</w:t>
            </w:r>
          </w:p>
        </w:tc>
        <w:tc>
          <w:tcPr>
            <w:tcW w:w="5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500"/>
              <w:spacing w:after="0"/>
              <w:rPr>
                <w:sz w:val="20"/>
                <w:szCs w:val="20"/>
                <w:color w:val="auto"/>
              </w:rPr>
            </w:pPr>
            <w:r>
              <w:rPr>
                <w:rFonts w:ascii="Arial" w:cs="Arial" w:eastAsia="Arial" w:hAnsi="Arial"/>
                <w:sz w:val="18"/>
                <w:szCs w:val="18"/>
                <w:color w:val="auto"/>
              </w:rPr>
              <w:t>(248)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56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2008</w:t>
            </w:r>
          </w:p>
        </w:tc>
        <w:tc>
          <w:tcPr>
            <w:tcW w:w="460" w:type="dxa"/>
            <w:vAlign w:val="bottom"/>
            <w:shd w:val="clear" w:color="auto" w:fill="E5E5E5"/>
          </w:tcPr>
          <w:p>
            <w:pPr>
              <w:spacing w:after="0"/>
              <w:rPr>
                <w:sz w:val="17"/>
                <w:szCs w:val="17"/>
                <w:color w:val="auto"/>
              </w:rPr>
            </w:pPr>
          </w:p>
        </w:tc>
        <w:tc>
          <w:tcPr>
            <w:tcW w:w="100" w:type="dxa"/>
            <w:vAlign w:val="bottom"/>
            <w:tcBorders>
              <w:top w:val="single" w:sz="8" w:color="auto"/>
            </w:tcBorders>
            <w:shd w:val="clear" w:color="auto" w:fill="E5E5E5"/>
          </w:tcPr>
          <w:p>
            <w:pPr>
              <w:spacing w:after="0"/>
              <w:rPr>
                <w:sz w:val="17"/>
                <w:szCs w:val="17"/>
                <w:color w:val="auto"/>
              </w:rPr>
            </w:pPr>
          </w:p>
        </w:tc>
        <w:tc>
          <w:tcPr>
            <w:tcW w:w="700" w:type="dxa"/>
            <w:vAlign w:val="bottom"/>
            <w:tcBorders>
              <w:top w:val="single" w:sz="8" w:color="auto"/>
            </w:tcBorders>
            <w:shd w:val="clear" w:color="auto" w:fill="E5E5E5"/>
          </w:tcPr>
          <w:p>
            <w:pPr>
              <w:spacing w:after="0"/>
              <w:rPr>
                <w:sz w:val="17"/>
                <w:szCs w:val="17"/>
                <w:color w:val="auto"/>
              </w:rPr>
            </w:pPr>
          </w:p>
        </w:tc>
        <w:tc>
          <w:tcPr>
            <w:tcW w:w="560" w:type="dxa"/>
            <w:vAlign w:val="bottom"/>
            <w:shd w:val="clear" w:color="auto" w:fill="E5E5E5"/>
          </w:tcPr>
          <w:p>
            <w:pPr>
              <w:spacing w:after="0"/>
              <w:rPr>
                <w:sz w:val="17"/>
                <w:szCs w:val="17"/>
                <w:color w:val="auto"/>
              </w:rPr>
            </w:pPr>
          </w:p>
        </w:tc>
        <w:tc>
          <w:tcPr>
            <w:tcW w:w="100" w:type="dxa"/>
            <w:vAlign w:val="bottom"/>
            <w:tcBorders>
              <w:top w:val="single" w:sz="8" w:color="auto"/>
            </w:tcBorders>
            <w:shd w:val="clear" w:color="auto" w:fill="E5E5E5"/>
          </w:tcPr>
          <w:p>
            <w:pPr>
              <w:spacing w:after="0"/>
              <w:rPr>
                <w:sz w:val="17"/>
                <w:szCs w:val="17"/>
                <w:color w:val="auto"/>
              </w:rPr>
            </w:pPr>
          </w:p>
        </w:tc>
        <w:tc>
          <w:tcPr>
            <w:tcW w:w="680" w:type="dxa"/>
            <w:vAlign w:val="bottom"/>
            <w:tcBorders>
              <w:top w:val="single" w:sz="8" w:color="auto"/>
            </w:tcBorders>
            <w:shd w:val="clear" w:color="auto" w:fill="E5E5E5"/>
          </w:tcPr>
          <w:p>
            <w:pPr>
              <w:spacing w:after="0"/>
              <w:rPr>
                <w:sz w:val="17"/>
                <w:szCs w:val="17"/>
                <w:color w:val="auto"/>
              </w:rPr>
            </w:pPr>
          </w:p>
        </w:tc>
        <w:tc>
          <w:tcPr>
            <w:tcW w:w="560" w:type="dxa"/>
            <w:vAlign w:val="bottom"/>
            <w:shd w:val="clear" w:color="auto" w:fill="E5E5E5"/>
          </w:tcPr>
          <w:p>
            <w:pPr>
              <w:spacing w:after="0"/>
              <w:rPr>
                <w:sz w:val="17"/>
                <w:szCs w:val="17"/>
                <w:color w:val="auto"/>
              </w:rPr>
            </w:pPr>
          </w:p>
        </w:tc>
        <w:tc>
          <w:tcPr>
            <w:tcW w:w="100" w:type="dxa"/>
            <w:vAlign w:val="bottom"/>
            <w:tcBorders>
              <w:top w:val="single" w:sz="8" w:color="auto"/>
            </w:tcBorders>
            <w:shd w:val="clear" w:color="auto" w:fill="E5E5E5"/>
          </w:tcPr>
          <w:p>
            <w:pPr>
              <w:spacing w:after="0"/>
              <w:rPr>
                <w:sz w:val="17"/>
                <w:szCs w:val="17"/>
                <w:color w:val="auto"/>
              </w:rPr>
            </w:pPr>
          </w:p>
        </w:tc>
        <w:tc>
          <w:tcPr>
            <w:tcW w:w="760" w:type="dxa"/>
            <w:vAlign w:val="bottom"/>
            <w:tcBorders>
              <w:top w:val="single" w:sz="8" w:color="auto"/>
            </w:tcBorders>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120" w:type="dxa"/>
            <w:vAlign w:val="bottom"/>
            <w:tcBorders>
              <w:top w:val="single" w:sz="8" w:color="auto"/>
            </w:tcBorders>
            <w:shd w:val="clear" w:color="auto" w:fill="E5E5E5"/>
          </w:tcPr>
          <w:p>
            <w:pPr>
              <w:spacing w:after="0"/>
              <w:rPr>
                <w:sz w:val="17"/>
                <w:szCs w:val="17"/>
                <w:color w:val="auto"/>
              </w:rPr>
            </w:pPr>
          </w:p>
        </w:tc>
        <w:tc>
          <w:tcPr>
            <w:tcW w:w="900" w:type="dxa"/>
            <w:vAlign w:val="bottom"/>
            <w:tcBorders>
              <w:top w:val="single" w:sz="8" w:color="auto"/>
            </w:tcBorders>
            <w:shd w:val="clear" w:color="auto" w:fill="E5E5E5"/>
          </w:tcPr>
          <w:p>
            <w:pPr>
              <w:spacing w:after="0"/>
              <w:rPr>
                <w:sz w:val="17"/>
                <w:szCs w:val="17"/>
                <w:color w:val="auto"/>
              </w:rPr>
            </w:pPr>
          </w:p>
        </w:tc>
        <w:tc>
          <w:tcPr>
            <w:tcW w:w="560" w:type="dxa"/>
            <w:vAlign w:val="bottom"/>
            <w:shd w:val="clear" w:color="auto" w:fill="E5E5E5"/>
          </w:tcPr>
          <w:p>
            <w:pPr>
              <w:spacing w:after="0"/>
              <w:rPr>
                <w:sz w:val="17"/>
                <w:szCs w:val="17"/>
                <w:color w:val="auto"/>
              </w:rPr>
            </w:pPr>
          </w:p>
        </w:tc>
        <w:tc>
          <w:tcPr>
            <w:tcW w:w="180" w:type="dxa"/>
            <w:vAlign w:val="bottom"/>
            <w:tcBorders>
              <w:top w:val="single" w:sz="8" w:color="auto"/>
            </w:tcBorders>
            <w:shd w:val="clear" w:color="auto" w:fill="E5E5E5"/>
          </w:tcPr>
          <w:p>
            <w:pPr>
              <w:spacing w:after="0"/>
              <w:rPr>
                <w:sz w:val="17"/>
                <w:szCs w:val="17"/>
                <w:color w:val="auto"/>
              </w:rPr>
            </w:pPr>
          </w:p>
        </w:tc>
        <w:tc>
          <w:tcPr>
            <w:tcW w:w="400" w:type="dxa"/>
            <w:vAlign w:val="bottom"/>
            <w:tcBorders>
              <w:top w:val="single" w:sz="8" w:color="auto"/>
            </w:tcBorders>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r>
      <w:tr>
        <w:trPr>
          <w:trHeight w:val="203"/>
        </w:trPr>
        <w:tc>
          <w:tcPr>
            <w:tcW w:w="4580" w:type="dxa"/>
            <w:vAlign w:val="bottom"/>
            <w:gridSpan w:val="2"/>
          </w:tcPr>
          <w:p>
            <w:pPr>
              <w:spacing w:after="0" w:line="202" w:lineRule="exact"/>
              <w:rPr>
                <w:sz w:val="20"/>
                <w:szCs w:val="20"/>
                <w:color w:val="auto"/>
              </w:rPr>
            </w:pPr>
            <w:r>
              <w:rPr>
                <w:rFonts w:ascii="Arial" w:cs="Arial" w:eastAsia="Arial" w:hAnsi="Arial"/>
                <w:sz w:val="18"/>
                <w:szCs w:val="18"/>
                <w:color w:val="auto"/>
              </w:rPr>
              <w:t>Allowance for Losses on:</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560" w:type="dxa"/>
            <w:vAlign w:val="bottom"/>
            <w:shd w:val="clear" w:color="auto" w:fill="E5E5E5"/>
          </w:tcPr>
          <w:p>
            <w:pPr>
              <w:ind w:left="420"/>
              <w:spacing w:after="0" w:line="202" w:lineRule="exact"/>
              <w:rPr>
                <w:sz w:val="20"/>
                <w:szCs w:val="20"/>
                <w:color w:val="auto"/>
              </w:rPr>
            </w:pPr>
            <w:r>
              <w:rPr>
                <w:rFonts w:ascii="Arial" w:cs="Arial" w:eastAsia="Arial" w:hAnsi="Arial"/>
                <w:sz w:val="18"/>
                <w:szCs w:val="18"/>
                <w:color w:val="auto"/>
              </w:rPr>
              <w:t>Accounts Receivable</w:t>
            </w:r>
          </w:p>
        </w:tc>
        <w:tc>
          <w:tcPr>
            <w:tcW w:w="560" w:type="dxa"/>
            <w:vAlign w:val="bottom"/>
            <w:gridSpan w:val="2"/>
            <w:shd w:val="clear" w:color="auto" w:fill="E5E5E5"/>
          </w:tcPr>
          <w:p>
            <w:pPr>
              <w:ind w:left="460"/>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128</w:t>
            </w:r>
          </w:p>
        </w:tc>
        <w:tc>
          <w:tcPr>
            <w:tcW w:w="660" w:type="dxa"/>
            <w:vAlign w:val="bottom"/>
            <w:gridSpan w:val="2"/>
            <w:shd w:val="clear" w:color="auto" w:fill="E5E5E5"/>
          </w:tcPr>
          <w:p>
            <w:pPr>
              <w:ind w:left="560"/>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E5E5E5"/>
          </w:tcPr>
          <w:p>
            <w:pPr>
              <w:jc w:val="right"/>
              <w:ind w:right="560"/>
              <w:spacing w:after="0" w:line="202" w:lineRule="exact"/>
              <w:rPr>
                <w:sz w:val="20"/>
                <w:szCs w:val="20"/>
                <w:color w:val="auto"/>
              </w:rPr>
            </w:pPr>
            <w:r>
              <w:rPr>
                <w:rFonts w:ascii="Arial" w:cs="Arial" w:eastAsia="Arial" w:hAnsi="Arial"/>
                <w:sz w:val="18"/>
                <w:szCs w:val="18"/>
                <w:color w:val="auto"/>
              </w:rPr>
              <w:t>64</w:t>
            </w:r>
          </w:p>
        </w:tc>
        <w:tc>
          <w:tcPr>
            <w:tcW w:w="1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E5E5E5"/>
          </w:tcPr>
          <w:p>
            <w:pPr>
              <w:jc w:val="right"/>
              <w:ind w:right="300"/>
              <w:spacing w:after="0" w:line="202" w:lineRule="exact"/>
              <w:rPr>
                <w:sz w:val="20"/>
                <w:szCs w:val="20"/>
                <w:color w:val="auto"/>
              </w:rPr>
            </w:pPr>
            <w:r>
              <w:rPr>
                <w:rFonts w:ascii="Arial" w:cs="Arial" w:eastAsia="Arial" w:hAnsi="Arial"/>
                <w:sz w:val="18"/>
                <w:szCs w:val="18"/>
                <w:color w:val="auto"/>
              </w:rPr>
              <w:t>8</w:t>
            </w:r>
          </w:p>
        </w:tc>
        <w:tc>
          <w:tcPr>
            <w:tcW w:w="380" w:type="dxa"/>
            <w:vAlign w:val="bottom"/>
            <w:gridSpan w:val="2"/>
            <w:shd w:val="clear" w:color="auto" w:fill="E5E5E5"/>
          </w:tcPr>
          <w:p>
            <w:pPr>
              <w:ind w:left="260"/>
              <w:spacing w:after="0" w:line="202" w:lineRule="exact"/>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E5E5E5"/>
          </w:tcPr>
          <w:p>
            <w:pPr>
              <w:jc w:val="right"/>
              <w:ind w:right="500"/>
              <w:spacing w:after="0" w:line="202" w:lineRule="exact"/>
              <w:rPr>
                <w:sz w:val="20"/>
                <w:szCs w:val="20"/>
                <w:color w:val="auto"/>
              </w:rPr>
            </w:pPr>
            <w:r>
              <w:rPr>
                <w:rFonts w:ascii="Arial" w:cs="Arial" w:eastAsia="Arial" w:hAnsi="Arial"/>
                <w:sz w:val="18"/>
                <w:szCs w:val="18"/>
                <w:color w:val="auto"/>
              </w:rPr>
              <w:t>(69)</w:t>
            </w:r>
          </w:p>
        </w:tc>
        <w:tc>
          <w:tcPr>
            <w:tcW w:w="1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131</w:t>
            </w:r>
          </w:p>
        </w:tc>
        <w:tc>
          <w:tcPr>
            <w:tcW w:w="100" w:type="dxa"/>
            <w:vAlign w:val="bottom"/>
            <w:shd w:val="clear" w:color="auto" w:fill="E5E5E5"/>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560" w:type="dxa"/>
            <w:vAlign w:val="bottom"/>
          </w:tcPr>
          <w:p>
            <w:pPr>
              <w:ind w:left="420"/>
              <w:spacing w:after="0" w:line="202" w:lineRule="exact"/>
              <w:rPr>
                <w:sz w:val="20"/>
                <w:szCs w:val="20"/>
                <w:color w:val="auto"/>
              </w:rPr>
            </w:pPr>
            <w:r>
              <w:rPr>
                <w:rFonts w:ascii="Arial" w:cs="Arial" w:eastAsia="Arial" w:hAnsi="Arial"/>
                <w:sz w:val="18"/>
                <w:szCs w:val="18"/>
                <w:color w:val="auto"/>
              </w:rPr>
              <w:t>Finance Receivables</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203</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124</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(132)</w:t>
            </w:r>
          </w:p>
        </w:tc>
        <w:tc>
          <w:tcPr>
            <w:tcW w:w="18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198</w:t>
            </w:r>
          </w:p>
        </w:tc>
        <w:tc>
          <w:tcPr>
            <w:tcW w:w="100" w:type="dxa"/>
            <w:vAlign w:val="bottom"/>
          </w:tcPr>
          <w:p>
            <w:pPr>
              <w:spacing w:after="0"/>
              <w:rPr>
                <w:sz w:val="17"/>
                <w:szCs w:val="17"/>
                <w:color w:val="auto"/>
              </w:rPr>
            </w:pP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4560" w:type="dxa"/>
            <w:vAlign w:val="bottom"/>
            <w:shd w:val="clear" w:color="auto" w:fill="E5E5E5"/>
          </w:tcPr>
          <w:p>
            <w:pPr>
              <w:spacing w:after="0"/>
              <w:rPr>
                <w:sz w:val="17"/>
                <w:szCs w:val="17"/>
                <w:color w:val="auto"/>
              </w:rPr>
            </w:pPr>
          </w:p>
        </w:tc>
        <w:tc>
          <w:tcPr>
            <w:tcW w:w="560" w:type="dxa"/>
            <w:vAlign w:val="bottom"/>
            <w:gridSpan w:val="2"/>
            <w:shd w:val="clear" w:color="auto" w:fill="E5E5E5"/>
          </w:tcPr>
          <w:p>
            <w:pPr>
              <w:ind w:left="460"/>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331</w:t>
            </w:r>
          </w:p>
        </w:tc>
        <w:tc>
          <w:tcPr>
            <w:tcW w:w="660" w:type="dxa"/>
            <w:vAlign w:val="bottom"/>
            <w:gridSpan w:val="2"/>
            <w:shd w:val="clear" w:color="auto" w:fill="E5E5E5"/>
          </w:tcPr>
          <w:p>
            <w:pPr>
              <w:ind w:left="560"/>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188</w:t>
            </w:r>
          </w:p>
        </w:tc>
        <w:tc>
          <w:tcPr>
            <w:tcW w:w="5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E5E5E5"/>
          </w:tcPr>
          <w:p>
            <w:pPr>
              <w:jc w:val="right"/>
              <w:ind w:right="300"/>
              <w:spacing w:after="0" w:line="202" w:lineRule="exact"/>
              <w:rPr>
                <w:sz w:val="20"/>
                <w:szCs w:val="20"/>
                <w:color w:val="auto"/>
              </w:rPr>
            </w:pPr>
            <w:r>
              <w:rPr>
                <w:rFonts w:ascii="Arial" w:cs="Arial" w:eastAsia="Arial" w:hAnsi="Arial"/>
                <w:sz w:val="18"/>
                <w:szCs w:val="18"/>
                <w:color w:val="auto"/>
              </w:rPr>
              <w:t>11</w:t>
            </w:r>
          </w:p>
        </w:tc>
        <w:tc>
          <w:tcPr>
            <w:tcW w:w="380" w:type="dxa"/>
            <w:vAlign w:val="bottom"/>
            <w:gridSpan w:val="2"/>
            <w:shd w:val="clear" w:color="auto" w:fill="E5E5E5"/>
          </w:tcPr>
          <w:p>
            <w:pPr>
              <w:ind w:left="260"/>
              <w:spacing w:after="0" w:line="202" w:lineRule="exact"/>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E5E5E5"/>
          </w:tcPr>
          <w:p>
            <w:pPr>
              <w:jc w:val="right"/>
              <w:ind w:right="500"/>
              <w:spacing w:after="0" w:line="202" w:lineRule="exact"/>
              <w:rPr>
                <w:sz w:val="20"/>
                <w:szCs w:val="20"/>
                <w:color w:val="auto"/>
              </w:rPr>
            </w:pPr>
            <w:r>
              <w:rPr>
                <w:rFonts w:ascii="Arial" w:cs="Arial" w:eastAsia="Arial" w:hAnsi="Arial"/>
                <w:sz w:val="18"/>
                <w:szCs w:val="18"/>
                <w:color w:val="auto"/>
              </w:rPr>
              <w:t>(201)</w:t>
            </w:r>
          </w:p>
        </w:tc>
        <w:tc>
          <w:tcPr>
            <w:tcW w:w="1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329</w:t>
            </w:r>
          </w:p>
        </w:tc>
        <w:tc>
          <w:tcPr>
            <w:tcW w:w="100" w:type="dxa"/>
            <w:vAlign w:val="bottom"/>
            <w:shd w:val="clear" w:color="auto" w:fill="E5E5E5"/>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1" w:lineRule="exact"/>
        <w:rPr>
          <w:sz w:val="20"/>
          <w:szCs w:val="20"/>
          <w:color w:val="auto"/>
        </w:rPr>
      </w:pPr>
    </w:p>
    <w:p>
      <w:pPr>
        <w:ind w:left="340" w:right="100" w:hanging="332"/>
        <w:spacing w:after="0" w:line="221" w:lineRule="auto"/>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Bad debt provisions relate to estimated losses due to credit and similar collectability issues. Other charges (credits) relate to adjustments to reserves necessary to reflect events of non-payment such as customer accommodations and contract terminations.</w:t>
      </w:r>
    </w:p>
    <w:p>
      <w:pPr>
        <w:ind w:left="340" w:right="300" w:hanging="332"/>
        <w:spacing w:after="0" w:line="231" w:lineRule="auto"/>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Deductions and other, net of recoveries primarily relates to receivable write-offs, but also includes the impact of foreign currency translation adjustments and recoveries of previously written off receivables.</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009CDA"/>
        </w:rPr>
        <w:t>INDEX OF EXHIBITS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009CDA"/>
        </w:rPr>
        <w:t>Document and Location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Arial" w:cs="Arial" w:eastAsia="Arial" w:hAnsi="Arial"/>
                <w:sz w:val="18"/>
                <w:szCs w:val="18"/>
                <w:color w:val="auto"/>
              </w:rPr>
              <w:t>3(a)</w:t>
            </w:r>
          </w:p>
        </w:tc>
        <w:tc>
          <w:tcPr>
            <w:tcW w:w="10460" w:type="dxa"/>
            <w:vAlign w:val="bottom"/>
          </w:tcPr>
          <w:p>
            <w:pPr>
              <w:ind w:left="420"/>
              <w:spacing w:after="0"/>
              <w:rPr>
                <w:sz w:val="20"/>
                <w:szCs w:val="20"/>
                <w:color w:val="auto"/>
              </w:rPr>
            </w:pPr>
            <w:r>
              <w:rPr>
                <w:rFonts w:ascii="Arial" w:cs="Arial" w:eastAsia="Arial" w:hAnsi="Arial"/>
                <w:sz w:val="18"/>
                <w:szCs w:val="18"/>
                <w:color w:val="auto"/>
              </w:rPr>
              <w:t>Restated Certificate of Incorporation of Registrant filed with the Department of State of the State of New York on November 7,</w:t>
            </w:r>
          </w:p>
        </w:tc>
      </w:tr>
      <w:tr>
        <w:trPr>
          <w:trHeight w:val="203"/>
        </w:trPr>
        <w:tc>
          <w:tcPr>
            <w:tcW w:w="960" w:type="dxa"/>
            <w:vAlign w:val="bottom"/>
          </w:tcPr>
          <w:p>
            <w:pPr>
              <w:spacing w:after="0"/>
              <w:rPr>
                <w:sz w:val="17"/>
                <w:szCs w:val="17"/>
                <w:color w:val="auto"/>
              </w:rPr>
            </w:pPr>
          </w:p>
        </w:tc>
        <w:tc>
          <w:tcPr>
            <w:tcW w:w="10460" w:type="dxa"/>
            <w:vAlign w:val="bottom"/>
          </w:tcPr>
          <w:p>
            <w:pPr>
              <w:ind w:left="420"/>
              <w:spacing w:after="0" w:line="202" w:lineRule="exact"/>
              <w:rPr>
                <w:sz w:val="20"/>
                <w:szCs w:val="20"/>
                <w:color w:val="auto"/>
              </w:rPr>
            </w:pPr>
            <w:r>
              <w:rPr>
                <w:rFonts w:ascii="Arial" w:cs="Arial" w:eastAsia="Arial" w:hAnsi="Arial"/>
                <w:sz w:val="18"/>
                <w:szCs w:val="18"/>
                <w:color w:val="auto"/>
                <w:w w:val="99"/>
              </w:rPr>
              <w:t>2003, as amended by: Certificate of Amendment to Certificate of Incorporation filed with the Department of State of the State of</w:t>
            </w:r>
          </w:p>
        </w:tc>
      </w:tr>
      <w:tr>
        <w:trPr>
          <w:trHeight w:val="203"/>
        </w:trPr>
        <w:tc>
          <w:tcPr>
            <w:tcW w:w="960" w:type="dxa"/>
            <w:vAlign w:val="bottom"/>
          </w:tcPr>
          <w:p>
            <w:pPr>
              <w:spacing w:after="0"/>
              <w:rPr>
                <w:sz w:val="17"/>
                <w:szCs w:val="17"/>
                <w:color w:val="auto"/>
              </w:rPr>
            </w:pPr>
          </w:p>
        </w:tc>
        <w:tc>
          <w:tcPr>
            <w:tcW w:w="10460" w:type="dxa"/>
            <w:vAlign w:val="bottom"/>
          </w:tcPr>
          <w:p>
            <w:pPr>
              <w:ind w:left="420"/>
              <w:spacing w:after="0" w:line="202" w:lineRule="exact"/>
              <w:rPr>
                <w:sz w:val="20"/>
                <w:szCs w:val="20"/>
                <w:color w:val="auto"/>
              </w:rPr>
            </w:pPr>
            <w:r>
              <w:rPr>
                <w:rFonts w:ascii="Arial" w:cs="Arial" w:eastAsia="Arial" w:hAnsi="Arial"/>
                <w:sz w:val="18"/>
                <w:szCs w:val="18"/>
                <w:color w:val="auto"/>
                <w:w w:val="98"/>
              </w:rPr>
              <w:t>New York on August 19, 2004; Certificate of Change filed with the Department of State of the State of New York on October 31,</w:t>
            </w:r>
          </w:p>
        </w:tc>
      </w:tr>
      <w:tr>
        <w:trPr>
          <w:trHeight w:val="203"/>
        </w:trPr>
        <w:tc>
          <w:tcPr>
            <w:tcW w:w="960" w:type="dxa"/>
            <w:vAlign w:val="bottom"/>
          </w:tcPr>
          <w:p>
            <w:pPr>
              <w:spacing w:after="0"/>
              <w:rPr>
                <w:sz w:val="17"/>
                <w:szCs w:val="17"/>
                <w:color w:val="auto"/>
              </w:rPr>
            </w:pPr>
          </w:p>
        </w:tc>
        <w:tc>
          <w:tcPr>
            <w:tcW w:w="10460" w:type="dxa"/>
            <w:vAlign w:val="bottom"/>
          </w:tcPr>
          <w:p>
            <w:pPr>
              <w:ind w:left="420"/>
              <w:spacing w:after="0" w:line="202" w:lineRule="exact"/>
              <w:rPr>
                <w:sz w:val="20"/>
                <w:szCs w:val="20"/>
                <w:color w:val="auto"/>
              </w:rPr>
            </w:pPr>
            <w:r>
              <w:rPr>
                <w:rFonts w:ascii="Arial" w:cs="Arial" w:eastAsia="Arial" w:hAnsi="Arial"/>
                <w:sz w:val="18"/>
                <w:szCs w:val="18"/>
                <w:color w:val="auto"/>
              </w:rPr>
              <w:t>2007; Certificate of Amendment to Certificate of Incorporation filed with the Department of State of the State of New York on</w:t>
            </w:r>
          </w:p>
        </w:tc>
      </w:tr>
      <w:tr>
        <w:trPr>
          <w:trHeight w:val="203"/>
        </w:trPr>
        <w:tc>
          <w:tcPr>
            <w:tcW w:w="960" w:type="dxa"/>
            <w:vAlign w:val="bottom"/>
          </w:tcPr>
          <w:p>
            <w:pPr>
              <w:spacing w:after="0"/>
              <w:rPr>
                <w:sz w:val="17"/>
                <w:szCs w:val="17"/>
                <w:color w:val="auto"/>
              </w:rPr>
            </w:pPr>
          </w:p>
        </w:tc>
        <w:tc>
          <w:tcPr>
            <w:tcW w:w="10460" w:type="dxa"/>
            <w:vAlign w:val="bottom"/>
          </w:tcPr>
          <w:p>
            <w:pPr>
              <w:ind w:left="420"/>
              <w:spacing w:after="0" w:line="202" w:lineRule="exact"/>
              <w:rPr>
                <w:sz w:val="20"/>
                <w:szCs w:val="20"/>
                <w:color w:val="auto"/>
              </w:rPr>
            </w:pPr>
            <w:r>
              <w:rPr>
                <w:rFonts w:ascii="Arial" w:cs="Arial" w:eastAsia="Arial" w:hAnsi="Arial"/>
                <w:sz w:val="18"/>
                <w:szCs w:val="18"/>
                <w:color w:val="auto"/>
                <w:w w:val="97"/>
              </w:rPr>
              <w:t>May 29, 2008; Certificate of Amendment to Certificate of Incorporation filed with the Department of State of the State of New York</w:t>
            </w:r>
          </w:p>
        </w:tc>
      </w:tr>
      <w:tr>
        <w:trPr>
          <w:trHeight w:val="203"/>
        </w:trPr>
        <w:tc>
          <w:tcPr>
            <w:tcW w:w="960" w:type="dxa"/>
            <w:vAlign w:val="bottom"/>
          </w:tcPr>
          <w:p>
            <w:pPr>
              <w:spacing w:after="0"/>
              <w:rPr>
                <w:sz w:val="17"/>
                <w:szCs w:val="17"/>
                <w:color w:val="auto"/>
              </w:rPr>
            </w:pPr>
          </w:p>
        </w:tc>
        <w:tc>
          <w:tcPr>
            <w:tcW w:w="10460" w:type="dxa"/>
            <w:vAlign w:val="bottom"/>
          </w:tcPr>
          <w:p>
            <w:pPr>
              <w:ind w:left="420"/>
              <w:spacing w:after="0" w:line="202" w:lineRule="exact"/>
              <w:rPr>
                <w:sz w:val="20"/>
                <w:szCs w:val="20"/>
                <w:color w:val="auto"/>
              </w:rPr>
            </w:pPr>
            <w:r>
              <w:rPr>
                <w:rFonts w:ascii="Arial" w:cs="Arial" w:eastAsia="Arial" w:hAnsi="Arial"/>
                <w:sz w:val="18"/>
                <w:szCs w:val="18"/>
                <w:color w:val="auto"/>
                <w:w w:val="97"/>
              </w:rPr>
              <w:t>on February 13, 2009 and; Certificate of Amendment to Certificate of Incorporation filed with the Department of State of the State</w:t>
            </w:r>
          </w:p>
        </w:tc>
      </w:tr>
      <w:tr>
        <w:trPr>
          <w:trHeight w:val="211"/>
        </w:trPr>
        <w:tc>
          <w:tcPr>
            <w:tcW w:w="960" w:type="dxa"/>
            <w:vAlign w:val="bottom"/>
          </w:tcPr>
          <w:p>
            <w:pPr>
              <w:spacing w:after="0"/>
              <w:rPr>
                <w:sz w:val="18"/>
                <w:szCs w:val="18"/>
                <w:color w:val="auto"/>
              </w:rPr>
            </w:pPr>
          </w:p>
        </w:tc>
        <w:tc>
          <w:tcPr>
            <w:tcW w:w="10460" w:type="dxa"/>
            <w:vAlign w:val="bottom"/>
          </w:tcPr>
          <w:p>
            <w:pPr>
              <w:ind w:left="420"/>
              <w:spacing w:after="0"/>
              <w:rPr>
                <w:sz w:val="20"/>
                <w:szCs w:val="20"/>
                <w:color w:val="auto"/>
              </w:rPr>
            </w:pPr>
            <w:r>
              <w:rPr>
                <w:rFonts w:ascii="Arial" w:cs="Arial" w:eastAsia="Arial" w:hAnsi="Arial"/>
                <w:sz w:val="18"/>
                <w:szCs w:val="18"/>
                <w:color w:val="auto"/>
              </w:rPr>
              <w:t>of New York on February 3, 2010.</w:t>
            </w:r>
          </w:p>
        </w:tc>
      </w:tr>
      <w:tr>
        <w:trPr>
          <w:trHeight w:val="311"/>
        </w:trPr>
        <w:tc>
          <w:tcPr>
            <w:tcW w:w="960" w:type="dxa"/>
            <w:vAlign w:val="bottom"/>
          </w:tcPr>
          <w:p>
            <w:pPr>
              <w:spacing w:after="0"/>
              <w:rPr>
                <w:sz w:val="24"/>
                <w:szCs w:val="24"/>
                <w:color w:val="auto"/>
              </w:rPr>
            </w:pPr>
          </w:p>
        </w:tc>
        <w:tc>
          <w:tcPr>
            <w:tcW w:w="10460" w:type="dxa"/>
            <w:vAlign w:val="bottom"/>
          </w:tcPr>
          <w:p>
            <w:pPr>
              <w:ind w:left="420"/>
              <w:spacing w:after="0"/>
              <w:rPr>
                <w:sz w:val="20"/>
                <w:szCs w:val="20"/>
                <w:color w:val="auto"/>
              </w:rPr>
            </w:pPr>
            <w:r>
              <w:rPr>
                <w:rFonts w:ascii="Arial" w:cs="Arial" w:eastAsia="Arial" w:hAnsi="Arial"/>
                <w:sz w:val="18"/>
                <w:szCs w:val="18"/>
                <w:color w:val="auto"/>
              </w:rPr>
              <w:t>Incorporated by reference to Exhibit 3.1 to Registrant’s Current Report on Form 8-K dated February 3, 2010.</w:t>
            </w:r>
          </w:p>
        </w:tc>
      </w:tr>
      <w:tr>
        <w:trPr>
          <w:trHeight w:val="311"/>
        </w:trPr>
        <w:tc>
          <w:tcPr>
            <w:tcW w:w="960" w:type="dxa"/>
            <w:vAlign w:val="bottom"/>
          </w:tcPr>
          <w:p>
            <w:pPr>
              <w:spacing w:after="0"/>
              <w:rPr>
                <w:sz w:val="20"/>
                <w:szCs w:val="20"/>
                <w:color w:val="auto"/>
              </w:rPr>
            </w:pPr>
            <w:r>
              <w:rPr>
                <w:rFonts w:ascii="Arial" w:cs="Arial" w:eastAsia="Arial" w:hAnsi="Arial"/>
                <w:sz w:val="18"/>
                <w:szCs w:val="18"/>
                <w:color w:val="auto"/>
              </w:rPr>
              <w:t>3(b)</w:t>
            </w:r>
          </w:p>
        </w:tc>
        <w:tc>
          <w:tcPr>
            <w:tcW w:w="10460" w:type="dxa"/>
            <w:vAlign w:val="bottom"/>
          </w:tcPr>
          <w:p>
            <w:pPr>
              <w:ind w:left="420"/>
              <w:spacing w:after="0"/>
              <w:rPr>
                <w:sz w:val="20"/>
                <w:szCs w:val="20"/>
                <w:color w:val="auto"/>
              </w:rPr>
            </w:pPr>
            <w:r>
              <w:rPr>
                <w:rFonts w:ascii="Arial" w:cs="Arial" w:eastAsia="Arial" w:hAnsi="Arial"/>
                <w:sz w:val="18"/>
                <w:szCs w:val="18"/>
                <w:color w:val="auto"/>
              </w:rPr>
              <w:t>By-Laws of Registrant, as amended through May 21, 2009.</w:t>
            </w:r>
          </w:p>
        </w:tc>
      </w:tr>
      <w:tr>
        <w:trPr>
          <w:trHeight w:val="311"/>
        </w:trPr>
        <w:tc>
          <w:tcPr>
            <w:tcW w:w="960" w:type="dxa"/>
            <w:vAlign w:val="bottom"/>
          </w:tcPr>
          <w:p>
            <w:pPr>
              <w:spacing w:after="0"/>
              <w:rPr>
                <w:sz w:val="24"/>
                <w:szCs w:val="24"/>
                <w:color w:val="auto"/>
              </w:rPr>
            </w:pPr>
          </w:p>
        </w:tc>
        <w:tc>
          <w:tcPr>
            <w:tcW w:w="10460" w:type="dxa"/>
            <w:vAlign w:val="bottom"/>
          </w:tcPr>
          <w:p>
            <w:pPr>
              <w:ind w:left="420"/>
              <w:spacing w:after="0"/>
              <w:rPr>
                <w:sz w:val="20"/>
                <w:szCs w:val="20"/>
                <w:color w:val="auto"/>
              </w:rPr>
            </w:pPr>
            <w:r>
              <w:rPr>
                <w:rFonts w:ascii="Arial" w:cs="Arial" w:eastAsia="Arial" w:hAnsi="Arial"/>
                <w:sz w:val="18"/>
                <w:szCs w:val="18"/>
                <w:color w:val="auto"/>
                <w:w w:val="99"/>
              </w:rPr>
              <w:t>Incorporated by reference to Exhibit 3(b) to Registrant’s Current Report on Form 8-K dated May 21, 2009 (filed May 28, 2009).</w:t>
            </w:r>
          </w:p>
        </w:tc>
      </w:tr>
      <w:tr>
        <w:trPr>
          <w:trHeight w:val="302"/>
        </w:trPr>
        <w:tc>
          <w:tcPr>
            <w:tcW w:w="960" w:type="dxa"/>
            <w:vAlign w:val="bottom"/>
          </w:tcPr>
          <w:p>
            <w:pPr>
              <w:spacing w:after="0"/>
              <w:rPr>
                <w:sz w:val="20"/>
                <w:szCs w:val="20"/>
                <w:color w:val="auto"/>
              </w:rPr>
            </w:pPr>
            <w:r>
              <w:rPr>
                <w:rFonts w:ascii="Arial" w:cs="Arial" w:eastAsia="Arial" w:hAnsi="Arial"/>
                <w:sz w:val="18"/>
                <w:szCs w:val="18"/>
                <w:color w:val="auto"/>
              </w:rPr>
              <w:t>4(a)(1)</w:t>
            </w:r>
          </w:p>
        </w:tc>
        <w:tc>
          <w:tcPr>
            <w:tcW w:w="10460" w:type="dxa"/>
            <w:vAlign w:val="bottom"/>
          </w:tcPr>
          <w:p>
            <w:pPr>
              <w:ind w:left="420"/>
              <w:spacing w:after="0"/>
              <w:rPr>
                <w:sz w:val="20"/>
                <w:szCs w:val="20"/>
                <w:color w:val="auto"/>
              </w:rPr>
            </w:pPr>
            <w:r>
              <w:rPr>
                <w:rFonts w:ascii="Arial" w:cs="Arial" w:eastAsia="Arial" w:hAnsi="Arial"/>
                <w:sz w:val="18"/>
                <w:szCs w:val="18"/>
                <w:color w:val="auto"/>
                <w:w w:val="97"/>
              </w:rPr>
              <w:t>Indenture dated as of December 1, 1991, between Registrant and Citibank, N.A., as trustee, relating to unlimited amounts of debt</w:t>
            </w:r>
          </w:p>
        </w:tc>
      </w:tr>
      <w:tr>
        <w:trPr>
          <w:trHeight w:val="203"/>
        </w:trPr>
        <w:tc>
          <w:tcPr>
            <w:tcW w:w="960" w:type="dxa"/>
            <w:vAlign w:val="bottom"/>
          </w:tcPr>
          <w:p>
            <w:pPr>
              <w:spacing w:after="0"/>
              <w:rPr>
                <w:sz w:val="17"/>
                <w:szCs w:val="17"/>
                <w:color w:val="auto"/>
              </w:rPr>
            </w:pPr>
          </w:p>
        </w:tc>
        <w:tc>
          <w:tcPr>
            <w:tcW w:w="10460" w:type="dxa"/>
            <w:vAlign w:val="bottom"/>
          </w:tcPr>
          <w:p>
            <w:pPr>
              <w:ind w:left="420"/>
              <w:spacing w:after="0" w:line="202" w:lineRule="exact"/>
              <w:rPr>
                <w:sz w:val="20"/>
                <w:szCs w:val="20"/>
                <w:color w:val="auto"/>
              </w:rPr>
            </w:pPr>
            <w:r>
              <w:rPr>
                <w:rFonts w:ascii="Arial" w:cs="Arial" w:eastAsia="Arial" w:hAnsi="Arial"/>
                <w:sz w:val="18"/>
                <w:szCs w:val="18"/>
                <w:color w:val="auto"/>
              </w:rPr>
              <w:t>securities, which may be issued from time to time by Registrant when and as authorized by or pursuant to a resolution of</w:t>
            </w:r>
          </w:p>
        </w:tc>
      </w:tr>
      <w:tr>
        <w:trPr>
          <w:trHeight w:val="211"/>
        </w:trPr>
        <w:tc>
          <w:tcPr>
            <w:tcW w:w="960" w:type="dxa"/>
            <w:vAlign w:val="bottom"/>
          </w:tcPr>
          <w:p>
            <w:pPr>
              <w:spacing w:after="0"/>
              <w:rPr>
                <w:sz w:val="18"/>
                <w:szCs w:val="18"/>
                <w:color w:val="auto"/>
              </w:rPr>
            </w:pPr>
          </w:p>
        </w:tc>
        <w:tc>
          <w:tcPr>
            <w:tcW w:w="10460" w:type="dxa"/>
            <w:vAlign w:val="bottom"/>
          </w:tcPr>
          <w:p>
            <w:pPr>
              <w:ind w:left="420"/>
              <w:spacing w:after="0"/>
              <w:rPr>
                <w:sz w:val="20"/>
                <w:szCs w:val="20"/>
                <w:color w:val="auto"/>
              </w:rPr>
            </w:pPr>
            <w:r>
              <w:rPr>
                <w:rFonts w:ascii="Arial" w:cs="Arial" w:eastAsia="Arial" w:hAnsi="Arial"/>
                <w:sz w:val="18"/>
                <w:szCs w:val="18"/>
                <w:color w:val="auto"/>
              </w:rPr>
              <w:t>Registrant’s Board of Directors (the “December 1991 Indenture”).</w:t>
            </w:r>
          </w:p>
        </w:tc>
      </w:tr>
      <w:tr>
        <w:trPr>
          <w:trHeight w:val="311"/>
        </w:trPr>
        <w:tc>
          <w:tcPr>
            <w:tcW w:w="960" w:type="dxa"/>
            <w:vAlign w:val="bottom"/>
          </w:tcPr>
          <w:p>
            <w:pPr>
              <w:spacing w:after="0"/>
              <w:rPr>
                <w:sz w:val="24"/>
                <w:szCs w:val="24"/>
                <w:color w:val="auto"/>
              </w:rPr>
            </w:pPr>
          </w:p>
        </w:tc>
        <w:tc>
          <w:tcPr>
            <w:tcW w:w="10460" w:type="dxa"/>
            <w:vAlign w:val="bottom"/>
          </w:tcPr>
          <w:p>
            <w:pPr>
              <w:ind w:left="420"/>
              <w:spacing w:after="0"/>
              <w:rPr>
                <w:sz w:val="20"/>
                <w:szCs w:val="20"/>
                <w:color w:val="auto"/>
              </w:rPr>
            </w:pPr>
            <w:r>
              <w:rPr>
                <w:rFonts w:ascii="Arial" w:cs="Arial" w:eastAsia="Arial" w:hAnsi="Arial"/>
                <w:sz w:val="18"/>
                <w:szCs w:val="18"/>
                <w:color w:val="auto"/>
              </w:rPr>
              <w:t>Incorporated by reference to Exhibit 4(a) to Registrant’s Registration Statement Nos. 33-44597, 33-49177 and 33-54629.</w:t>
            </w:r>
          </w:p>
        </w:tc>
      </w:tr>
      <w:tr>
        <w:trPr>
          <w:trHeight w:val="302"/>
        </w:trPr>
        <w:tc>
          <w:tcPr>
            <w:tcW w:w="960" w:type="dxa"/>
            <w:vAlign w:val="bottom"/>
          </w:tcPr>
          <w:p>
            <w:pPr>
              <w:spacing w:after="0"/>
              <w:rPr>
                <w:sz w:val="20"/>
                <w:szCs w:val="20"/>
                <w:color w:val="auto"/>
              </w:rPr>
            </w:pPr>
            <w:r>
              <w:rPr>
                <w:rFonts w:ascii="Arial" w:cs="Arial" w:eastAsia="Arial" w:hAnsi="Arial"/>
                <w:sz w:val="18"/>
                <w:szCs w:val="18"/>
                <w:color w:val="auto"/>
              </w:rPr>
              <w:t>4(a)(2)</w:t>
            </w:r>
          </w:p>
        </w:tc>
        <w:tc>
          <w:tcPr>
            <w:tcW w:w="10460" w:type="dxa"/>
            <w:vAlign w:val="bottom"/>
          </w:tcPr>
          <w:p>
            <w:pPr>
              <w:ind w:left="420"/>
              <w:spacing w:after="0"/>
              <w:rPr>
                <w:sz w:val="20"/>
                <w:szCs w:val="20"/>
                <w:color w:val="auto"/>
              </w:rPr>
            </w:pPr>
            <w:r>
              <w:rPr>
                <w:rFonts w:ascii="Arial" w:cs="Arial" w:eastAsia="Arial" w:hAnsi="Arial"/>
                <w:sz w:val="18"/>
                <w:szCs w:val="18"/>
                <w:color w:val="auto"/>
              </w:rPr>
              <w:t>Instrument of Resignation, Appointment and Acceptance dated as of February 1, 2001, among Registrant, Citibank, N.A., as</w:t>
            </w:r>
          </w:p>
        </w:tc>
      </w:tr>
      <w:tr>
        <w:trPr>
          <w:trHeight w:val="211"/>
        </w:trPr>
        <w:tc>
          <w:tcPr>
            <w:tcW w:w="960" w:type="dxa"/>
            <w:vAlign w:val="bottom"/>
          </w:tcPr>
          <w:p>
            <w:pPr>
              <w:spacing w:after="0"/>
              <w:rPr>
                <w:sz w:val="18"/>
                <w:szCs w:val="18"/>
                <w:color w:val="auto"/>
              </w:rPr>
            </w:pPr>
          </w:p>
        </w:tc>
        <w:tc>
          <w:tcPr>
            <w:tcW w:w="10460" w:type="dxa"/>
            <w:vAlign w:val="bottom"/>
          </w:tcPr>
          <w:p>
            <w:pPr>
              <w:ind w:left="420"/>
              <w:spacing w:after="0"/>
              <w:rPr>
                <w:sz w:val="20"/>
                <w:szCs w:val="20"/>
                <w:color w:val="auto"/>
              </w:rPr>
            </w:pPr>
            <w:r>
              <w:rPr>
                <w:rFonts w:ascii="Arial" w:cs="Arial" w:eastAsia="Arial" w:hAnsi="Arial"/>
                <w:sz w:val="18"/>
                <w:szCs w:val="18"/>
                <w:color w:val="auto"/>
              </w:rPr>
              <w:t>resigning trustee, and Wilmington Trust Company, as successor trustee, relating to the December 1991 Indenture.</w:t>
            </w:r>
          </w:p>
        </w:tc>
      </w:tr>
      <w:tr>
        <w:trPr>
          <w:trHeight w:val="302"/>
        </w:trPr>
        <w:tc>
          <w:tcPr>
            <w:tcW w:w="960" w:type="dxa"/>
            <w:vAlign w:val="bottom"/>
          </w:tcPr>
          <w:p>
            <w:pPr>
              <w:spacing w:after="0"/>
              <w:rPr>
                <w:sz w:val="24"/>
                <w:szCs w:val="24"/>
                <w:color w:val="auto"/>
              </w:rPr>
            </w:pPr>
          </w:p>
        </w:tc>
        <w:tc>
          <w:tcPr>
            <w:tcW w:w="10460" w:type="dxa"/>
            <w:vAlign w:val="bottom"/>
          </w:tcPr>
          <w:p>
            <w:pPr>
              <w:ind w:left="420"/>
              <w:spacing w:after="0"/>
              <w:rPr>
                <w:sz w:val="20"/>
                <w:szCs w:val="20"/>
                <w:color w:val="auto"/>
              </w:rPr>
            </w:pPr>
            <w:r>
              <w:rPr>
                <w:rFonts w:ascii="Arial" w:cs="Arial" w:eastAsia="Arial" w:hAnsi="Arial"/>
                <w:sz w:val="18"/>
                <w:szCs w:val="18"/>
                <w:color w:val="auto"/>
                <w:w w:val="98"/>
              </w:rPr>
              <w:t>Incorporated by reference to Exhibit 4(a)(2) to Registrant’s Annual Report on Form 10-K for the fiscal year ended December 31,</w:t>
            </w:r>
          </w:p>
        </w:tc>
      </w:tr>
      <w:tr>
        <w:trPr>
          <w:trHeight w:val="211"/>
        </w:trPr>
        <w:tc>
          <w:tcPr>
            <w:tcW w:w="960" w:type="dxa"/>
            <w:vAlign w:val="bottom"/>
          </w:tcPr>
          <w:p>
            <w:pPr>
              <w:spacing w:after="0"/>
              <w:rPr>
                <w:sz w:val="18"/>
                <w:szCs w:val="18"/>
                <w:color w:val="auto"/>
              </w:rPr>
            </w:pPr>
          </w:p>
        </w:tc>
        <w:tc>
          <w:tcPr>
            <w:tcW w:w="10460" w:type="dxa"/>
            <w:vAlign w:val="bottom"/>
          </w:tcPr>
          <w:p>
            <w:pPr>
              <w:ind w:left="420"/>
              <w:spacing w:after="0"/>
              <w:rPr>
                <w:sz w:val="20"/>
                <w:szCs w:val="20"/>
                <w:color w:val="auto"/>
              </w:rPr>
            </w:pPr>
            <w:r>
              <w:rPr>
                <w:rFonts w:ascii="Arial" w:cs="Arial" w:eastAsia="Arial" w:hAnsi="Arial"/>
                <w:sz w:val="18"/>
                <w:szCs w:val="18"/>
                <w:color w:val="auto"/>
              </w:rPr>
              <w:t>2000 filed on June 7, 2001.</w:t>
            </w:r>
          </w:p>
        </w:tc>
      </w:tr>
      <w:tr>
        <w:trPr>
          <w:trHeight w:val="302"/>
        </w:trPr>
        <w:tc>
          <w:tcPr>
            <w:tcW w:w="960" w:type="dxa"/>
            <w:vAlign w:val="bottom"/>
          </w:tcPr>
          <w:p>
            <w:pPr>
              <w:spacing w:after="0"/>
              <w:rPr>
                <w:sz w:val="20"/>
                <w:szCs w:val="20"/>
                <w:color w:val="auto"/>
              </w:rPr>
            </w:pPr>
            <w:r>
              <w:rPr>
                <w:rFonts w:ascii="Arial" w:cs="Arial" w:eastAsia="Arial" w:hAnsi="Arial"/>
                <w:sz w:val="18"/>
                <w:szCs w:val="18"/>
                <w:color w:val="auto"/>
              </w:rPr>
              <w:t>4(a)(3)</w:t>
            </w:r>
          </w:p>
        </w:tc>
        <w:tc>
          <w:tcPr>
            <w:tcW w:w="10460" w:type="dxa"/>
            <w:vAlign w:val="bottom"/>
          </w:tcPr>
          <w:p>
            <w:pPr>
              <w:ind w:left="420"/>
              <w:spacing w:after="0"/>
              <w:rPr>
                <w:sz w:val="20"/>
                <w:szCs w:val="20"/>
                <w:color w:val="auto"/>
              </w:rPr>
            </w:pPr>
            <w:r>
              <w:rPr>
                <w:rFonts w:ascii="Arial" w:cs="Arial" w:eastAsia="Arial" w:hAnsi="Arial"/>
                <w:sz w:val="18"/>
                <w:szCs w:val="18"/>
                <w:color w:val="auto"/>
              </w:rPr>
              <w:t>Instrument of Resignation, Appointment and Acceptance dated as of July 30, 2008, among Registrant, Wilmington Trust</w:t>
            </w:r>
          </w:p>
        </w:tc>
      </w:tr>
      <w:tr>
        <w:trPr>
          <w:trHeight w:val="203"/>
        </w:trPr>
        <w:tc>
          <w:tcPr>
            <w:tcW w:w="960" w:type="dxa"/>
            <w:vAlign w:val="bottom"/>
          </w:tcPr>
          <w:p>
            <w:pPr>
              <w:spacing w:after="0"/>
              <w:rPr>
                <w:sz w:val="17"/>
                <w:szCs w:val="17"/>
                <w:color w:val="auto"/>
              </w:rPr>
            </w:pPr>
          </w:p>
        </w:tc>
        <w:tc>
          <w:tcPr>
            <w:tcW w:w="10460" w:type="dxa"/>
            <w:vAlign w:val="bottom"/>
          </w:tcPr>
          <w:p>
            <w:pPr>
              <w:ind w:left="420"/>
              <w:spacing w:after="0" w:line="202" w:lineRule="exact"/>
              <w:rPr>
                <w:sz w:val="20"/>
                <w:szCs w:val="20"/>
                <w:color w:val="auto"/>
              </w:rPr>
            </w:pPr>
            <w:r>
              <w:rPr>
                <w:rFonts w:ascii="Arial" w:cs="Arial" w:eastAsia="Arial" w:hAnsi="Arial"/>
                <w:sz w:val="18"/>
                <w:szCs w:val="18"/>
                <w:color w:val="auto"/>
                <w:w w:val="99"/>
              </w:rPr>
              <w:t>Company, as prior trustee, Citibank,, N.A. as prior paying agent, registrar and issuing and paying agent, and The Bank of New</w:t>
            </w:r>
          </w:p>
        </w:tc>
      </w:tr>
      <w:tr>
        <w:trPr>
          <w:trHeight w:val="211"/>
        </w:trPr>
        <w:tc>
          <w:tcPr>
            <w:tcW w:w="960" w:type="dxa"/>
            <w:vAlign w:val="bottom"/>
          </w:tcPr>
          <w:p>
            <w:pPr>
              <w:spacing w:after="0"/>
              <w:rPr>
                <w:sz w:val="18"/>
                <w:szCs w:val="18"/>
                <w:color w:val="auto"/>
              </w:rPr>
            </w:pPr>
          </w:p>
        </w:tc>
        <w:tc>
          <w:tcPr>
            <w:tcW w:w="10460" w:type="dxa"/>
            <w:vAlign w:val="bottom"/>
          </w:tcPr>
          <w:p>
            <w:pPr>
              <w:ind w:left="420"/>
              <w:spacing w:after="0"/>
              <w:rPr>
                <w:sz w:val="20"/>
                <w:szCs w:val="20"/>
                <w:color w:val="auto"/>
              </w:rPr>
            </w:pPr>
            <w:r>
              <w:rPr>
                <w:rFonts w:ascii="Arial" w:cs="Arial" w:eastAsia="Arial" w:hAnsi="Arial"/>
                <w:sz w:val="18"/>
                <w:szCs w:val="18"/>
                <w:color w:val="auto"/>
              </w:rPr>
              <w:t>York Mellon, as successor trustee, relating to the December 1991 Indenture.</w:t>
            </w:r>
          </w:p>
        </w:tc>
      </w:tr>
      <w:tr>
        <w:trPr>
          <w:trHeight w:val="302"/>
        </w:trPr>
        <w:tc>
          <w:tcPr>
            <w:tcW w:w="960" w:type="dxa"/>
            <w:vAlign w:val="bottom"/>
          </w:tcPr>
          <w:p>
            <w:pPr>
              <w:spacing w:after="0"/>
              <w:rPr>
                <w:sz w:val="24"/>
                <w:szCs w:val="24"/>
                <w:color w:val="auto"/>
              </w:rPr>
            </w:pPr>
          </w:p>
        </w:tc>
        <w:tc>
          <w:tcPr>
            <w:tcW w:w="10460" w:type="dxa"/>
            <w:vAlign w:val="bottom"/>
          </w:tcPr>
          <w:p>
            <w:pPr>
              <w:ind w:left="420"/>
              <w:spacing w:after="0"/>
              <w:rPr>
                <w:sz w:val="20"/>
                <w:szCs w:val="20"/>
                <w:color w:val="auto"/>
              </w:rPr>
            </w:pPr>
            <w:r>
              <w:rPr>
                <w:rFonts w:ascii="Arial" w:cs="Arial" w:eastAsia="Arial" w:hAnsi="Arial"/>
                <w:sz w:val="18"/>
                <w:szCs w:val="18"/>
                <w:color w:val="auto"/>
                <w:w w:val="98"/>
              </w:rPr>
              <w:t>Incorporated by reference to Exhibit 4(a)(3) to Registrant’s Annual Report on Form 10-K for the fiscal year ended December 31,</w:t>
            </w:r>
          </w:p>
        </w:tc>
      </w:tr>
      <w:tr>
        <w:trPr>
          <w:trHeight w:val="211"/>
        </w:trPr>
        <w:tc>
          <w:tcPr>
            <w:tcW w:w="960" w:type="dxa"/>
            <w:vAlign w:val="bottom"/>
          </w:tcPr>
          <w:p>
            <w:pPr>
              <w:spacing w:after="0"/>
              <w:rPr>
                <w:sz w:val="18"/>
                <w:szCs w:val="18"/>
                <w:color w:val="auto"/>
              </w:rPr>
            </w:pPr>
          </w:p>
        </w:tc>
        <w:tc>
          <w:tcPr>
            <w:tcW w:w="10460" w:type="dxa"/>
            <w:vAlign w:val="bottom"/>
          </w:tcPr>
          <w:p>
            <w:pPr>
              <w:ind w:left="420"/>
              <w:spacing w:after="0"/>
              <w:rPr>
                <w:sz w:val="20"/>
                <w:szCs w:val="20"/>
                <w:color w:val="auto"/>
              </w:rPr>
            </w:pPr>
            <w:r>
              <w:rPr>
                <w:rFonts w:ascii="Arial" w:cs="Arial" w:eastAsia="Arial" w:hAnsi="Arial"/>
                <w:sz w:val="18"/>
                <w:szCs w:val="18"/>
                <w:color w:val="auto"/>
              </w:rPr>
              <w:t>2008.</w:t>
            </w:r>
          </w:p>
        </w:tc>
      </w:tr>
      <w:tr>
        <w:trPr>
          <w:trHeight w:val="302"/>
        </w:trPr>
        <w:tc>
          <w:tcPr>
            <w:tcW w:w="960" w:type="dxa"/>
            <w:vAlign w:val="bottom"/>
          </w:tcPr>
          <w:p>
            <w:pPr>
              <w:spacing w:after="0"/>
              <w:rPr>
                <w:sz w:val="20"/>
                <w:szCs w:val="20"/>
                <w:color w:val="auto"/>
              </w:rPr>
            </w:pPr>
            <w:r>
              <w:rPr>
                <w:rFonts w:ascii="Arial" w:cs="Arial" w:eastAsia="Arial" w:hAnsi="Arial"/>
                <w:sz w:val="18"/>
                <w:szCs w:val="18"/>
                <w:color w:val="auto"/>
              </w:rPr>
              <w:t>4(b)(1)</w:t>
            </w:r>
          </w:p>
        </w:tc>
        <w:tc>
          <w:tcPr>
            <w:tcW w:w="10460" w:type="dxa"/>
            <w:vAlign w:val="bottom"/>
          </w:tcPr>
          <w:p>
            <w:pPr>
              <w:ind w:left="420"/>
              <w:spacing w:after="0"/>
              <w:rPr>
                <w:sz w:val="20"/>
                <w:szCs w:val="20"/>
                <w:color w:val="auto"/>
              </w:rPr>
            </w:pPr>
            <w:r>
              <w:rPr>
                <w:rFonts w:ascii="Arial" w:cs="Arial" w:eastAsia="Arial" w:hAnsi="Arial"/>
                <w:sz w:val="18"/>
                <w:szCs w:val="18"/>
                <w:color w:val="auto"/>
                <w:w w:val="99"/>
              </w:rPr>
              <w:t>Indenture dated as of January 29, 1997, between Registrant and Bank One, National Association (as successor by merger with</w:t>
            </w:r>
          </w:p>
        </w:tc>
      </w:tr>
      <w:tr>
        <w:trPr>
          <w:trHeight w:val="203"/>
        </w:trPr>
        <w:tc>
          <w:tcPr>
            <w:tcW w:w="960" w:type="dxa"/>
            <w:vAlign w:val="bottom"/>
          </w:tcPr>
          <w:p>
            <w:pPr>
              <w:spacing w:after="0"/>
              <w:rPr>
                <w:sz w:val="17"/>
                <w:szCs w:val="17"/>
                <w:color w:val="auto"/>
              </w:rPr>
            </w:pPr>
          </w:p>
        </w:tc>
        <w:tc>
          <w:tcPr>
            <w:tcW w:w="10460" w:type="dxa"/>
            <w:vAlign w:val="bottom"/>
          </w:tcPr>
          <w:p>
            <w:pPr>
              <w:ind w:left="420"/>
              <w:spacing w:after="0" w:line="202" w:lineRule="exact"/>
              <w:rPr>
                <w:sz w:val="20"/>
                <w:szCs w:val="20"/>
                <w:color w:val="auto"/>
              </w:rPr>
            </w:pPr>
            <w:r>
              <w:rPr>
                <w:rFonts w:ascii="Arial" w:cs="Arial" w:eastAsia="Arial" w:hAnsi="Arial"/>
                <w:sz w:val="18"/>
                <w:szCs w:val="18"/>
                <w:color w:val="auto"/>
              </w:rPr>
              <w:t>The First National Bank of Chicago) (“Bank One”), as trustee (the “January 1997 Indenture”), relating to Registrant’s Junior</w:t>
            </w:r>
          </w:p>
        </w:tc>
      </w:tr>
      <w:tr>
        <w:trPr>
          <w:trHeight w:val="211"/>
        </w:trPr>
        <w:tc>
          <w:tcPr>
            <w:tcW w:w="960" w:type="dxa"/>
            <w:vAlign w:val="bottom"/>
          </w:tcPr>
          <w:p>
            <w:pPr>
              <w:spacing w:after="0"/>
              <w:rPr>
                <w:sz w:val="18"/>
                <w:szCs w:val="18"/>
                <w:color w:val="auto"/>
              </w:rPr>
            </w:pPr>
          </w:p>
        </w:tc>
        <w:tc>
          <w:tcPr>
            <w:tcW w:w="10460" w:type="dxa"/>
            <w:vAlign w:val="bottom"/>
          </w:tcPr>
          <w:p>
            <w:pPr>
              <w:ind w:left="420"/>
              <w:spacing w:after="0"/>
              <w:rPr>
                <w:sz w:val="20"/>
                <w:szCs w:val="20"/>
                <w:color w:val="auto"/>
              </w:rPr>
            </w:pPr>
            <w:r>
              <w:rPr>
                <w:rFonts w:ascii="Arial" w:cs="Arial" w:eastAsia="Arial" w:hAnsi="Arial"/>
                <w:sz w:val="18"/>
                <w:szCs w:val="18"/>
                <w:color w:val="auto"/>
              </w:rPr>
              <w:t>Subordinated Deferrable Interest Debentures (“Junior Subordinated Debentures”).</w:t>
            </w:r>
          </w:p>
        </w:tc>
      </w:tr>
      <w:tr>
        <w:trPr>
          <w:trHeight w:val="311"/>
        </w:trPr>
        <w:tc>
          <w:tcPr>
            <w:tcW w:w="960" w:type="dxa"/>
            <w:vAlign w:val="bottom"/>
          </w:tcPr>
          <w:p>
            <w:pPr>
              <w:spacing w:after="0"/>
              <w:rPr>
                <w:sz w:val="24"/>
                <w:szCs w:val="24"/>
                <w:color w:val="auto"/>
              </w:rPr>
            </w:pPr>
          </w:p>
        </w:tc>
        <w:tc>
          <w:tcPr>
            <w:tcW w:w="10460" w:type="dxa"/>
            <w:vAlign w:val="bottom"/>
          </w:tcPr>
          <w:p>
            <w:pPr>
              <w:ind w:left="420"/>
              <w:spacing w:after="0"/>
              <w:rPr>
                <w:sz w:val="20"/>
                <w:szCs w:val="20"/>
                <w:color w:val="auto"/>
              </w:rPr>
            </w:pPr>
            <w:r>
              <w:rPr>
                <w:rFonts w:ascii="Arial" w:cs="Arial" w:eastAsia="Arial" w:hAnsi="Arial"/>
                <w:sz w:val="18"/>
                <w:szCs w:val="18"/>
                <w:color w:val="auto"/>
              </w:rPr>
              <w:t>Incorporated by reference to Exhibit 4.1 to Registration Statement No. 333-24193.</w:t>
            </w:r>
          </w:p>
        </w:tc>
      </w:tr>
      <w:tr>
        <w:trPr>
          <w:trHeight w:val="311"/>
        </w:trPr>
        <w:tc>
          <w:tcPr>
            <w:tcW w:w="960" w:type="dxa"/>
            <w:vAlign w:val="bottom"/>
          </w:tcPr>
          <w:p>
            <w:pPr>
              <w:spacing w:after="0"/>
              <w:rPr>
                <w:sz w:val="20"/>
                <w:szCs w:val="20"/>
                <w:color w:val="auto"/>
              </w:rPr>
            </w:pPr>
            <w:r>
              <w:rPr>
                <w:rFonts w:ascii="Arial" w:cs="Arial" w:eastAsia="Arial" w:hAnsi="Arial"/>
                <w:sz w:val="18"/>
                <w:szCs w:val="18"/>
                <w:color w:val="auto"/>
              </w:rPr>
              <w:t>4(b)(2)</w:t>
            </w:r>
          </w:p>
        </w:tc>
        <w:tc>
          <w:tcPr>
            <w:tcW w:w="10460" w:type="dxa"/>
            <w:vAlign w:val="bottom"/>
          </w:tcPr>
          <w:p>
            <w:pPr>
              <w:ind w:left="420"/>
              <w:spacing w:after="0"/>
              <w:rPr>
                <w:sz w:val="20"/>
                <w:szCs w:val="20"/>
                <w:color w:val="auto"/>
              </w:rPr>
            </w:pPr>
            <w:r>
              <w:rPr>
                <w:rFonts w:ascii="Arial" w:cs="Arial" w:eastAsia="Arial" w:hAnsi="Arial"/>
                <w:sz w:val="18"/>
                <w:szCs w:val="18"/>
                <w:color w:val="auto"/>
              </w:rPr>
              <w:t>Form of Certificate of Exchange relating to Junior Subordinated Debentures.</w:t>
            </w:r>
          </w:p>
        </w:tc>
      </w:tr>
      <w:tr>
        <w:trPr>
          <w:trHeight w:val="311"/>
        </w:trPr>
        <w:tc>
          <w:tcPr>
            <w:tcW w:w="960" w:type="dxa"/>
            <w:vAlign w:val="bottom"/>
          </w:tcPr>
          <w:p>
            <w:pPr>
              <w:spacing w:after="0"/>
              <w:rPr>
                <w:sz w:val="24"/>
                <w:szCs w:val="24"/>
                <w:color w:val="auto"/>
              </w:rPr>
            </w:pPr>
          </w:p>
        </w:tc>
        <w:tc>
          <w:tcPr>
            <w:tcW w:w="10460" w:type="dxa"/>
            <w:vAlign w:val="bottom"/>
          </w:tcPr>
          <w:p>
            <w:pPr>
              <w:ind w:left="420"/>
              <w:spacing w:after="0"/>
              <w:rPr>
                <w:sz w:val="20"/>
                <w:szCs w:val="20"/>
                <w:color w:val="auto"/>
              </w:rPr>
            </w:pPr>
            <w:r>
              <w:rPr>
                <w:rFonts w:ascii="Arial" w:cs="Arial" w:eastAsia="Arial" w:hAnsi="Arial"/>
                <w:sz w:val="18"/>
                <w:szCs w:val="18"/>
                <w:color w:val="auto"/>
              </w:rPr>
              <w:t>Incorporated by reference to Exhibit A to Exhibit 4.1 to Registration Statement No. 333-24193.</w:t>
            </w:r>
          </w:p>
        </w:tc>
      </w:tr>
      <w:tr>
        <w:trPr>
          <w:trHeight w:val="311"/>
        </w:trPr>
        <w:tc>
          <w:tcPr>
            <w:tcW w:w="960" w:type="dxa"/>
            <w:vAlign w:val="bottom"/>
          </w:tcPr>
          <w:p>
            <w:pPr>
              <w:spacing w:after="0"/>
              <w:rPr>
                <w:sz w:val="20"/>
                <w:szCs w:val="20"/>
                <w:color w:val="auto"/>
              </w:rPr>
            </w:pPr>
            <w:r>
              <w:rPr>
                <w:rFonts w:ascii="Arial" w:cs="Arial" w:eastAsia="Arial" w:hAnsi="Arial"/>
                <w:sz w:val="18"/>
                <w:szCs w:val="18"/>
                <w:color w:val="auto"/>
              </w:rPr>
              <w:t>4(b)(3)</w:t>
            </w:r>
          </w:p>
        </w:tc>
        <w:tc>
          <w:tcPr>
            <w:tcW w:w="10460" w:type="dxa"/>
            <w:vAlign w:val="bottom"/>
          </w:tcPr>
          <w:p>
            <w:pPr>
              <w:ind w:left="420"/>
              <w:spacing w:after="0"/>
              <w:rPr>
                <w:sz w:val="20"/>
                <w:szCs w:val="20"/>
                <w:color w:val="auto"/>
              </w:rPr>
            </w:pPr>
            <w:r>
              <w:rPr>
                <w:rFonts w:ascii="Arial" w:cs="Arial" w:eastAsia="Arial" w:hAnsi="Arial"/>
                <w:sz w:val="18"/>
                <w:szCs w:val="18"/>
                <w:color w:val="auto"/>
              </w:rPr>
              <w:t>Certificate of Trust of Xerox Capital Trust I executed as of January 23, 1997.</w:t>
            </w:r>
          </w:p>
        </w:tc>
      </w:tr>
      <w:tr>
        <w:trPr>
          <w:trHeight w:val="311"/>
        </w:trPr>
        <w:tc>
          <w:tcPr>
            <w:tcW w:w="960" w:type="dxa"/>
            <w:vAlign w:val="bottom"/>
          </w:tcPr>
          <w:p>
            <w:pPr>
              <w:spacing w:after="0"/>
              <w:rPr>
                <w:sz w:val="24"/>
                <w:szCs w:val="24"/>
                <w:color w:val="auto"/>
              </w:rPr>
            </w:pPr>
          </w:p>
        </w:tc>
        <w:tc>
          <w:tcPr>
            <w:tcW w:w="10460" w:type="dxa"/>
            <w:vAlign w:val="bottom"/>
          </w:tcPr>
          <w:p>
            <w:pPr>
              <w:ind w:left="420"/>
              <w:spacing w:after="0"/>
              <w:rPr>
                <w:sz w:val="20"/>
                <w:szCs w:val="20"/>
                <w:color w:val="auto"/>
              </w:rPr>
            </w:pPr>
            <w:r>
              <w:rPr>
                <w:rFonts w:ascii="Arial" w:cs="Arial" w:eastAsia="Arial" w:hAnsi="Arial"/>
                <w:sz w:val="18"/>
                <w:szCs w:val="18"/>
                <w:color w:val="auto"/>
              </w:rPr>
              <w:t>Incorporated by reference to Exhibit 4.3 to Registration Statement No. 333-24193.</w:t>
            </w:r>
          </w:p>
        </w:tc>
      </w:tr>
      <w:tr>
        <w:trPr>
          <w:trHeight w:val="311"/>
        </w:trPr>
        <w:tc>
          <w:tcPr>
            <w:tcW w:w="960" w:type="dxa"/>
            <w:vAlign w:val="bottom"/>
          </w:tcPr>
          <w:p>
            <w:pPr>
              <w:spacing w:after="0"/>
              <w:rPr>
                <w:sz w:val="20"/>
                <w:szCs w:val="20"/>
                <w:color w:val="auto"/>
              </w:rPr>
            </w:pPr>
            <w:r>
              <w:rPr>
                <w:rFonts w:ascii="Arial" w:cs="Arial" w:eastAsia="Arial" w:hAnsi="Arial"/>
                <w:sz w:val="18"/>
                <w:szCs w:val="18"/>
                <w:color w:val="auto"/>
              </w:rPr>
              <w:t>4(b)(4)</w:t>
            </w:r>
          </w:p>
        </w:tc>
        <w:tc>
          <w:tcPr>
            <w:tcW w:w="10460" w:type="dxa"/>
            <w:vAlign w:val="bottom"/>
          </w:tcPr>
          <w:p>
            <w:pPr>
              <w:ind w:left="420"/>
              <w:spacing w:after="0"/>
              <w:rPr>
                <w:sz w:val="20"/>
                <w:szCs w:val="20"/>
                <w:color w:val="auto"/>
              </w:rPr>
            </w:pPr>
            <w:r>
              <w:rPr>
                <w:rFonts w:ascii="Arial" w:cs="Arial" w:eastAsia="Arial" w:hAnsi="Arial"/>
                <w:sz w:val="18"/>
                <w:szCs w:val="18"/>
                <w:color w:val="auto"/>
              </w:rPr>
              <w:t>Amended and Restated Declaration of Trust of Xerox Capital Trust I dated as of January 29, 1997.</w:t>
            </w:r>
          </w:p>
        </w:tc>
      </w:tr>
      <w:tr>
        <w:trPr>
          <w:trHeight w:val="311"/>
        </w:trPr>
        <w:tc>
          <w:tcPr>
            <w:tcW w:w="960" w:type="dxa"/>
            <w:vAlign w:val="bottom"/>
          </w:tcPr>
          <w:p>
            <w:pPr>
              <w:spacing w:after="0"/>
              <w:rPr>
                <w:sz w:val="24"/>
                <w:szCs w:val="24"/>
                <w:color w:val="auto"/>
              </w:rPr>
            </w:pPr>
          </w:p>
        </w:tc>
        <w:tc>
          <w:tcPr>
            <w:tcW w:w="10460" w:type="dxa"/>
            <w:vAlign w:val="bottom"/>
          </w:tcPr>
          <w:p>
            <w:pPr>
              <w:ind w:left="420"/>
              <w:spacing w:after="0"/>
              <w:rPr>
                <w:sz w:val="20"/>
                <w:szCs w:val="20"/>
                <w:color w:val="auto"/>
              </w:rPr>
            </w:pPr>
            <w:r>
              <w:rPr>
                <w:rFonts w:ascii="Arial" w:cs="Arial" w:eastAsia="Arial" w:hAnsi="Arial"/>
                <w:sz w:val="18"/>
                <w:szCs w:val="18"/>
                <w:color w:val="auto"/>
              </w:rPr>
              <w:t>Incorporated by reference to Exhibit 4.4 to Registration Statement No. 333-24193.</w:t>
            </w:r>
          </w:p>
        </w:tc>
      </w:tr>
      <w:tr>
        <w:trPr>
          <w:trHeight w:val="311"/>
        </w:trPr>
        <w:tc>
          <w:tcPr>
            <w:tcW w:w="960" w:type="dxa"/>
            <w:vAlign w:val="bottom"/>
          </w:tcPr>
          <w:p>
            <w:pPr>
              <w:spacing w:after="0"/>
              <w:rPr>
                <w:sz w:val="20"/>
                <w:szCs w:val="20"/>
                <w:color w:val="auto"/>
              </w:rPr>
            </w:pPr>
            <w:r>
              <w:rPr>
                <w:rFonts w:ascii="Arial" w:cs="Arial" w:eastAsia="Arial" w:hAnsi="Arial"/>
                <w:sz w:val="18"/>
                <w:szCs w:val="18"/>
                <w:color w:val="auto"/>
              </w:rPr>
              <w:t>4(b)(5)</w:t>
            </w:r>
          </w:p>
        </w:tc>
        <w:tc>
          <w:tcPr>
            <w:tcW w:w="10460" w:type="dxa"/>
            <w:vAlign w:val="bottom"/>
          </w:tcPr>
          <w:p>
            <w:pPr>
              <w:ind w:left="420"/>
              <w:spacing w:after="0"/>
              <w:rPr>
                <w:sz w:val="20"/>
                <w:szCs w:val="20"/>
                <w:color w:val="auto"/>
              </w:rPr>
            </w:pPr>
            <w:r>
              <w:rPr>
                <w:rFonts w:ascii="Arial" w:cs="Arial" w:eastAsia="Arial" w:hAnsi="Arial"/>
                <w:sz w:val="18"/>
                <w:szCs w:val="18"/>
                <w:color w:val="auto"/>
              </w:rPr>
              <w:t>Form of Exchange Capital Security Certificate for Xerox Capital Trust I.</w:t>
            </w:r>
          </w:p>
        </w:tc>
      </w:tr>
      <w:tr>
        <w:trPr>
          <w:trHeight w:val="311"/>
        </w:trPr>
        <w:tc>
          <w:tcPr>
            <w:tcW w:w="960" w:type="dxa"/>
            <w:vAlign w:val="bottom"/>
          </w:tcPr>
          <w:p>
            <w:pPr>
              <w:spacing w:after="0"/>
              <w:rPr>
                <w:sz w:val="24"/>
                <w:szCs w:val="24"/>
                <w:color w:val="auto"/>
              </w:rPr>
            </w:pPr>
          </w:p>
        </w:tc>
        <w:tc>
          <w:tcPr>
            <w:tcW w:w="10460" w:type="dxa"/>
            <w:vAlign w:val="bottom"/>
          </w:tcPr>
          <w:p>
            <w:pPr>
              <w:ind w:left="420"/>
              <w:spacing w:after="0"/>
              <w:rPr>
                <w:sz w:val="20"/>
                <w:szCs w:val="20"/>
                <w:color w:val="auto"/>
              </w:rPr>
            </w:pPr>
            <w:r>
              <w:rPr>
                <w:rFonts w:ascii="Arial" w:cs="Arial" w:eastAsia="Arial" w:hAnsi="Arial"/>
                <w:sz w:val="18"/>
                <w:szCs w:val="18"/>
                <w:color w:val="auto"/>
              </w:rPr>
              <w:t>Incorporated by reference to Exhibit A-1 to Exhibit 4.4 to Registration Statement No. 333-24193.</w:t>
            </w:r>
          </w:p>
        </w:tc>
      </w:tr>
      <w:tr>
        <w:trPr>
          <w:trHeight w:val="302"/>
        </w:trPr>
        <w:tc>
          <w:tcPr>
            <w:tcW w:w="960" w:type="dxa"/>
            <w:vAlign w:val="bottom"/>
          </w:tcPr>
          <w:p>
            <w:pPr>
              <w:spacing w:after="0"/>
              <w:rPr>
                <w:sz w:val="20"/>
                <w:szCs w:val="20"/>
                <w:color w:val="auto"/>
              </w:rPr>
            </w:pPr>
            <w:r>
              <w:rPr>
                <w:rFonts w:ascii="Arial" w:cs="Arial" w:eastAsia="Arial" w:hAnsi="Arial"/>
                <w:sz w:val="18"/>
                <w:szCs w:val="18"/>
                <w:color w:val="auto"/>
              </w:rPr>
              <w:t>4(b)(6)</w:t>
            </w:r>
          </w:p>
        </w:tc>
        <w:tc>
          <w:tcPr>
            <w:tcW w:w="10460" w:type="dxa"/>
            <w:vAlign w:val="bottom"/>
          </w:tcPr>
          <w:p>
            <w:pPr>
              <w:ind w:left="420"/>
              <w:spacing w:after="0"/>
              <w:rPr>
                <w:sz w:val="20"/>
                <w:szCs w:val="20"/>
                <w:color w:val="auto"/>
              </w:rPr>
            </w:pPr>
            <w:r>
              <w:rPr>
                <w:rFonts w:ascii="Arial" w:cs="Arial" w:eastAsia="Arial" w:hAnsi="Arial"/>
                <w:sz w:val="18"/>
                <w:szCs w:val="18"/>
                <w:color w:val="auto"/>
              </w:rPr>
              <w:t>Series A Capital Securities Guarantee Agreement of Registrant dated as of January 29, 1997, relating to Series A Capital</w:t>
            </w:r>
          </w:p>
        </w:tc>
      </w:tr>
    </w:tbl>
    <w:p>
      <w:pPr>
        <w:ind w:left="1380"/>
        <w:spacing w:after="0"/>
        <w:rPr>
          <w:sz w:val="20"/>
          <w:szCs w:val="20"/>
          <w:color w:val="auto"/>
        </w:rPr>
      </w:pPr>
      <w:r>
        <w:rPr>
          <w:rFonts w:ascii="Arial" w:cs="Arial" w:eastAsia="Arial" w:hAnsi="Arial"/>
          <w:sz w:val="18"/>
          <w:szCs w:val="18"/>
          <w:color w:val="auto"/>
        </w:rPr>
        <w:t>Securities of Xerox Capital Trust I.</w:t>
      </w:r>
    </w:p>
    <w:p>
      <w:pPr>
        <w:spacing w:after="0" w:line="104"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Incorporated by reference to Exhibit 4.6 to Registration Statement No. 333-24193.</w:t>
      </w:r>
    </w:p>
    <w:p>
      <w:pPr>
        <w:spacing w:after="0" w:line="14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Arial" w:cs="Arial" w:eastAsia="Arial" w:hAnsi="Arial"/>
                <w:sz w:val="18"/>
                <w:szCs w:val="18"/>
                <w:color w:val="auto"/>
              </w:rPr>
              <w:t>4(b)(7)</w:t>
            </w:r>
          </w:p>
        </w:tc>
        <w:tc>
          <w:tcPr>
            <w:tcW w:w="10440" w:type="dxa"/>
            <w:vAlign w:val="bottom"/>
          </w:tcPr>
          <w:p>
            <w:pPr>
              <w:ind w:left="420"/>
              <w:spacing w:after="0"/>
              <w:rPr>
                <w:sz w:val="20"/>
                <w:szCs w:val="20"/>
                <w:color w:val="auto"/>
              </w:rPr>
            </w:pPr>
            <w:r>
              <w:rPr>
                <w:rFonts w:ascii="Arial" w:cs="Arial" w:eastAsia="Arial" w:hAnsi="Arial"/>
                <w:sz w:val="18"/>
                <w:szCs w:val="18"/>
                <w:color w:val="auto"/>
              </w:rPr>
              <w:t>Registration Rights Agreement dated January 29, 1997, among Registrant, Xerox Capital Trust I and the initial purchasers</w:t>
            </w:r>
          </w:p>
        </w:tc>
      </w:tr>
      <w:tr>
        <w:trPr>
          <w:trHeight w:val="211"/>
        </w:trPr>
        <w:tc>
          <w:tcPr>
            <w:tcW w:w="960" w:type="dxa"/>
            <w:vAlign w:val="bottom"/>
          </w:tcPr>
          <w:p>
            <w:pPr>
              <w:spacing w:after="0"/>
              <w:rPr>
                <w:sz w:val="18"/>
                <w:szCs w:val="18"/>
                <w:color w:val="auto"/>
              </w:rPr>
            </w:pPr>
          </w:p>
        </w:tc>
        <w:tc>
          <w:tcPr>
            <w:tcW w:w="10440" w:type="dxa"/>
            <w:vAlign w:val="bottom"/>
          </w:tcPr>
          <w:p>
            <w:pPr>
              <w:ind w:left="420"/>
              <w:spacing w:after="0"/>
              <w:rPr>
                <w:sz w:val="20"/>
                <w:szCs w:val="20"/>
                <w:color w:val="auto"/>
              </w:rPr>
            </w:pPr>
            <w:r>
              <w:rPr>
                <w:rFonts w:ascii="Arial" w:cs="Arial" w:eastAsia="Arial" w:hAnsi="Arial"/>
                <w:sz w:val="18"/>
                <w:szCs w:val="18"/>
                <w:color w:val="auto"/>
              </w:rPr>
              <w:t>named therein.</w:t>
            </w:r>
          </w:p>
        </w:tc>
      </w:tr>
      <w:tr>
        <w:trPr>
          <w:trHeight w:val="311"/>
        </w:trPr>
        <w:tc>
          <w:tcPr>
            <w:tcW w:w="960" w:type="dxa"/>
            <w:vAlign w:val="bottom"/>
          </w:tcPr>
          <w:p>
            <w:pPr>
              <w:spacing w:after="0"/>
              <w:rPr>
                <w:sz w:val="24"/>
                <w:szCs w:val="24"/>
                <w:color w:val="auto"/>
              </w:rPr>
            </w:pPr>
          </w:p>
        </w:tc>
        <w:tc>
          <w:tcPr>
            <w:tcW w:w="10440" w:type="dxa"/>
            <w:vAlign w:val="bottom"/>
          </w:tcPr>
          <w:p>
            <w:pPr>
              <w:ind w:left="420"/>
              <w:spacing w:after="0"/>
              <w:rPr>
                <w:sz w:val="20"/>
                <w:szCs w:val="20"/>
                <w:color w:val="auto"/>
              </w:rPr>
            </w:pPr>
            <w:r>
              <w:rPr>
                <w:rFonts w:ascii="Arial" w:cs="Arial" w:eastAsia="Arial" w:hAnsi="Arial"/>
                <w:sz w:val="18"/>
                <w:szCs w:val="18"/>
                <w:color w:val="auto"/>
              </w:rPr>
              <w:t>Incorporated by reference to Exhibit 4.7 to Registration Statement No. 333-24193.</w:t>
            </w:r>
          </w:p>
        </w:tc>
      </w:tr>
      <w:tr>
        <w:trPr>
          <w:trHeight w:val="302"/>
        </w:trPr>
        <w:tc>
          <w:tcPr>
            <w:tcW w:w="960" w:type="dxa"/>
            <w:vAlign w:val="bottom"/>
          </w:tcPr>
          <w:p>
            <w:pPr>
              <w:spacing w:after="0"/>
              <w:rPr>
                <w:sz w:val="20"/>
                <w:szCs w:val="20"/>
                <w:color w:val="auto"/>
              </w:rPr>
            </w:pPr>
            <w:r>
              <w:rPr>
                <w:rFonts w:ascii="Arial" w:cs="Arial" w:eastAsia="Arial" w:hAnsi="Arial"/>
                <w:sz w:val="18"/>
                <w:szCs w:val="18"/>
                <w:color w:val="auto"/>
              </w:rPr>
              <w:t>4(b)(8)</w:t>
            </w:r>
          </w:p>
        </w:tc>
        <w:tc>
          <w:tcPr>
            <w:tcW w:w="10440" w:type="dxa"/>
            <w:vAlign w:val="bottom"/>
          </w:tcPr>
          <w:p>
            <w:pPr>
              <w:ind w:left="420"/>
              <w:spacing w:after="0"/>
              <w:rPr>
                <w:sz w:val="20"/>
                <w:szCs w:val="20"/>
                <w:color w:val="auto"/>
              </w:rPr>
            </w:pPr>
            <w:r>
              <w:rPr>
                <w:rFonts w:ascii="Arial" w:cs="Arial" w:eastAsia="Arial" w:hAnsi="Arial"/>
                <w:sz w:val="18"/>
                <w:szCs w:val="18"/>
                <w:color w:val="auto"/>
              </w:rPr>
              <w:t>Instrument of Resignation, Appointment and Acceptance dated as of November 30, 2001, among Registrant, Bank One as</w:t>
            </w:r>
          </w:p>
        </w:tc>
      </w:tr>
      <w:tr>
        <w:trPr>
          <w:trHeight w:val="203"/>
        </w:trPr>
        <w:tc>
          <w:tcPr>
            <w:tcW w:w="960" w:type="dxa"/>
            <w:vAlign w:val="bottom"/>
          </w:tcPr>
          <w:p>
            <w:pPr>
              <w:spacing w:after="0"/>
              <w:rPr>
                <w:sz w:val="17"/>
                <w:szCs w:val="17"/>
                <w:color w:val="auto"/>
              </w:rPr>
            </w:pPr>
          </w:p>
        </w:tc>
        <w:tc>
          <w:tcPr>
            <w:tcW w:w="10440" w:type="dxa"/>
            <w:vAlign w:val="bottom"/>
          </w:tcPr>
          <w:p>
            <w:pPr>
              <w:ind w:left="420"/>
              <w:spacing w:after="0" w:line="202" w:lineRule="exact"/>
              <w:rPr>
                <w:sz w:val="20"/>
                <w:szCs w:val="20"/>
                <w:color w:val="auto"/>
              </w:rPr>
            </w:pPr>
            <w:r>
              <w:rPr>
                <w:rFonts w:ascii="Arial" w:cs="Arial" w:eastAsia="Arial" w:hAnsi="Arial"/>
                <w:sz w:val="18"/>
                <w:szCs w:val="18"/>
                <w:color w:val="auto"/>
                <w:w w:val="99"/>
              </w:rPr>
              <w:t>resigning trustee, and Wells Fargo Bank Minnesota, National Association (“Wells Fargo”), as successor Trustee, relating to the</w:t>
            </w:r>
          </w:p>
        </w:tc>
      </w:tr>
      <w:tr>
        <w:trPr>
          <w:trHeight w:val="211"/>
        </w:trPr>
        <w:tc>
          <w:tcPr>
            <w:tcW w:w="960" w:type="dxa"/>
            <w:vAlign w:val="bottom"/>
          </w:tcPr>
          <w:p>
            <w:pPr>
              <w:spacing w:after="0"/>
              <w:rPr>
                <w:sz w:val="18"/>
                <w:szCs w:val="18"/>
                <w:color w:val="auto"/>
              </w:rPr>
            </w:pPr>
          </w:p>
        </w:tc>
        <w:tc>
          <w:tcPr>
            <w:tcW w:w="10440" w:type="dxa"/>
            <w:vAlign w:val="bottom"/>
          </w:tcPr>
          <w:p>
            <w:pPr>
              <w:ind w:left="420"/>
              <w:spacing w:after="0"/>
              <w:rPr>
                <w:sz w:val="20"/>
                <w:szCs w:val="20"/>
                <w:color w:val="auto"/>
              </w:rPr>
            </w:pPr>
            <w:r>
              <w:rPr>
                <w:rFonts w:ascii="Arial" w:cs="Arial" w:eastAsia="Arial" w:hAnsi="Arial"/>
                <w:sz w:val="18"/>
                <w:szCs w:val="18"/>
                <w:color w:val="auto"/>
              </w:rPr>
              <w:t>January 1997 Indenture.</w:t>
            </w:r>
          </w:p>
        </w:tc>
      </w:tr>
      <w:tr>
        <w:trPr>
          <w:trHeight w:val="302"/>
        </w:trPr>
        <w:tc>
          <w:tcPr>
            <w:tcW w:w="960" w:type="dxa"/>
            <w:vAlign w:val="bottom"/>
          </w:tcPr>
          <w:p>
            <w:pPr>
              <w:spacing w:after="0"/>
              <w:rPr>
                <w:sz w:val="24"/>
                <w:szCs w:val="24"/>
                <w:color w:val="auto"/>
              </w:rPr>
            </w:pPr>
          </w:p>
        </w:tc>
        <w:tc>
          <w:tcPr>
            <w:tcW w:w="10440" w:type="dxa"/>
            <w:vAlign w:val="bottom"/>
          </w:tcPr>
          <w:p>
            <w:pPr>
              <w:ind w:left="420"/>
              <w:spacing w:after="0"/>
              <w:rPr>
                <w:sz w:val="20"/>
                <w:szCs w:val="20"/>
                <w:color w:val="auto"/>
              </w:rPr>
            </w:pPr>
            <w:r>
              <w:rPr>
                <w:rFonts w:ascii="Arial" w:cs="Arial" w:eastAsia="Arial" w:hAnsi="Arial"/>
                <w:sz w:val="18"/>
                <w:szCs w:val="18"/>
                <w:color w:val="auto"/>
                <w:w w:val="99"/>
              </w:rPr>
              <w:t>Incorporated by reference to Exhibit (c)(8) to Registrant’s Annual Report on Form 10-K for the fiscal year ended December 31,</w:t>
            </w:r>
          </w:p>
        </w:tc>
      </w:tr>
      <w:tr>
        <w:trPr>
          <w:trHeight w:val="211"/>
        </w:trPr>
        <w:tc>
          <w:tcPr>
            <w:tcW w:w="960" w:type="dxa"/>
            <w:vAlign w:val="bottom"/>
          </w:tcPr>
          <w:p>
            <w:pPr>
              <w:spacing w:after="0"/>
              <w:rPr>
                <w:sz w:val="18"/>
                <w:szCs w:val="18"/>
                <w:color w:val="auto"/>
              </w:rPr>
            </w:pPr>
          </w:p>
        </w:tc>
        <w:tc>
          <w:tcPr>
            <w:tcW w:w="10440" w:type="dxa"/>
            <w:vAlign w:val="bottom"/>
          </w:tcPr>
          <w:p>
            <w:pPr>
              <w:ind w:left="420"/>
              <w:spacing w:after="0"/>
              <w:rPr>
                <w:sz w:val="20"/>
                <w:szCs w:val="20"/>
                <w:color w:val="auto"/>
              </w:rPr>
            </w:pPr>
            <w:r>
              <w:rPr>
                <w:rFonts w:ascii="Arial" w:cs="Arial" w:eastAsia="Arial" w:hAnsi="Arial"/>
                <w:sz w:val="18"/>
                <w:szCs w:val="18"/>
                <w:color w:val="auto"/>
              </w:rPr>
              <w:t>2001.</w:t>
            </w:r>
          </w:p>
        </w:tc>
      </w:tr>
      <w:tr>
        <w:trPr>
          <w:trHeight w:val="302"/>
        </w:trPr>
        <w:tc>
          <w:tcPr>
            <w:tcW w:w="960" w:type="dxa"/>
            <w:vAlign w:val="bottom"/>
          </w:tcPr>
          <w:p>
            <w:pPr>
              <w:spacing w:after="0"/>
              <w:rPr>
                <w:sz w:val="20"/>
                <w:szCs w:val="20"/>
                <w:color w:val="auto"/>
              </w:rPr>
            </w:pPr>
            <w:r>
              <w:rPr>
                <w:rFonts w:ascii="Arial" w:cs="Arial" w:eastAsia="Arial" w:hAnsi="Arial"/>
                <w:sz w:val="18"/>
                <w:szCs w:val="18"/>
                <w:color w:val="auto"/>
              </w:rPr>
              <w:t>4(c)(1)</w:t>
            </w:r>
          </w:p>
        </w:tc>
        <w:tc>
          <w:tcPr>
            <w:tcW w:w="10440" w:type="dxa"/>
            <w:vAlign w:val="bottom"/>
          </w:tcPr>
          <w:p>
            <w:pPr>
              <w:ind w:left="420"/>
              <w:spacing w:after="0"/>
              <w:rPr>
                <w:sz w:val="20"/>
                <w:szCs w:val="20"/>
                <w:color w:val="auto"/>
              </w:rPr>
            </w:pPr>
            <w:r>
              <w:rPr>
                <w:rFonts w:ascii="Arial" w:cs="Arial" w:eastAsia="Arial" w:hAnsi="Arial"/>
                <w:sz w:val="18"/>
                <w:szCs w:val="18"/>
                <w:color w:val="auto"/>
              </w:rPr>
              <w:t>Indenture, dated as of June 25, 2003, between Registrant and Wells Fargo, as trustee, relating to unlimited amounts of debt</w:t>
            </w:r>
          </w:p>
        </w:tc>
      </w:tr>
      <w:tr>
        <w:trPr>
          <w:trHeight w:val="203"/>
        </w:trPr>
        <w:tc>
          <w:tcPr>
            <w:tcW w:w="960" w:type="dxa"/>
            <w:vAlign w:val="bottom"/>
          </w:tcPr>
          <w:p>
            <w:pPr>
              <w:spacing w:after="0"/>
              <w:rPr>
                <w:sz w:val="17"/>
                <w:szCs w:val="17"/>
                <w:color w:val="auto"/>
              </w:rPr>
            </w:pPr>
          </w:p>
        </w:tc>
        <w:tc>
          <w:tcPr>
            <w:tcW w:w="10440" w:type="dxa"/>
            <w:vAlign w:val="bottom"/>
          </w:tcPr>
          <w:p>
            <w:pPr>
              <w:ind w:left="420"/>
              <w:spacing w:after="0" w:line="202" w:lineRule="exact"/>
              <w:rPr>
                <w:sz w:val="20"/>
                <w:szCs w:val="20"/>
                <w:color w:val="auto"/>
              </w:rPr>
            </w:pPr>
            <w:r>
              <w:rPr>
                <w:rFonts w:ascii="Arial" w:cs="Arial" w:eastAsia="Arial" w:hAnsi="Arial"/>
                <w:sz w:val="18"/>
                <w:szCs w:val="18"/>
                <w:color w:val="auto"/>
              </w:rPr>
              <w:t>securities which may be issued from time to time by Registrant when and as authorized by or pursuant to a resolution of</w:t>
            </w:r>
          </w:p>
        </w:tc>
      </w:tr>
      <w:tr>
        <w:trPr>
          <w:trHeight w:val="211"/>
        </w:trPr>
        <w:tc>
          <w:tcPr>
            <w:tcW w:w="960" w:type="dxa"/>
            <w:vAlign w:val="bottom"/>
          </w:tcPr>
          <w:p>
            <w:pPr>
              <w:spacing w:after="0"/>
              <w:rPr>
                <w:sz w:val="18"/>
                <w:szCs w:val="18"/>
                <w:color w:val="auto"/>
              </w:rPr>
            </w:pPr>
          </w:p>
        </w:tc>
        <w:tc>
          <w:tcPr>
            <w:tcW w:w="10440" w:type="dxa"/>
            <w:vAlign w:val="bottom"/>
          </w:tcPr>
          <w:p>
            <w:pPr>
              <w:ind w:left="420"/>
              <w:spacing w:after="0"/>
              <w:rPr>
                <w:sz w:val="20"/>
                <w:szCs w:val="20"/>
                <w:color w:val="auto"/>
              </w:rPr>
            </w:pPr>
            <w:r>
              <w:rPr>
                <w:rFonts w:ascii="Arial" w:cs="Arial" w:eastAsia="Arial" w:hAnsi="Arial"/>
                <w:sz w:val="18"/>
                <w:szCs w:val="18"/>
                <w:color w:val="auto"/>
              </w:rPr>
              <w:t>Registrant’s Board of Directors (the “June 25, 2003 Indenture”).</w:t>
            </w:r>
          </w:p>
        </w:tc>
      </w:tr>
      <w:tr>
        <w:trPr>
          <w:trHeight w:val="311"/>
        </w:trPr>
        <w:tc>
          <w:tcPr>
            <w:tcW w:w="960" w:type="dxa"/>
            <w:vAlign w:val="bottom"/>
          </w:tcPr>
          <w:p>
            <w:pPr>
              <w:spacing w:after="0"/>
              <w:rPr>
                <w:sz w:val="24"/>
                <w:szCs w:val="24"/>
                <w:color w:val="auto"/>
              </w:rPr>
            </w:pPr>
          </w:p>
        </w:tc>
        <w:tc>
          <w:tcPr>
            <w:tcW w:w="10440" w:type="dxa"/>
            <w:vAlign w:val="bottom"/>
          </w:tcPr>
          <w:p>
            <w:pPr>
              <w:ind w:left="420"/>
              <w:spacing w:after="0"/>
              <w:rPr>
                <w:sz w:val="20"/>
                <w:szCs w:val="20"/>
                <w:color w:val="auto"/>
              </w:rPr>
            </w:pPr>
            <w:r>
              <w:rPr>
                <w:rFonts w:ascii="Arial" w:cs="Arial" w:eastAsia="Arial" w:hAnsi="Arial"/>
                <w:sz w:val="18"/>
                <w:szCs w:val="18"/>
                <w:color w:val="auto"/>
              </w:rPr>
              <w:t>Incorporated by reference to Exhibit 4.1 to Registrant’s Current Report on Form 8-K dated June 25, 2003.</w:t>
            </w:r>
          </w:p>
        </w:tc>
      </w:tr>
      <w:tr>
        <w:trPr>
          <w:trHeight w:val="311"/>
        </w:trPr>
        <w:tc>
          <w:tcPr>
            <w:tcW w:w="960" w:type="dxa"/>
            <w:vAlign w:val="bottom"/>
          </w:tcPr>
          <w:p>
            <w:pPr>
              <w:spacing w:after="0"/>
              <w:rPr>
                <w:sz w:val="20"/>
                <w:szCs w:val="20"/>
                <w:color w:val="auto"/>
              </w:rPr>
            </w:pPr>
            <w:r>
              <w:rPr>
                <w:rFonts w:ascii="Arial" w:cs="Arial" w:eastAsia="Arial" w:hAnsi="Arial"/>
                <w:sz w:val="18"/>
                <w:szCs w:val="18"/>
                <w:color w:val="auto"/>
              </w:rPr>
              <w:t>4(c)(2)</w:t>
            </w:r>
          </w:p>
        </w:tc>
        <w:tc>
          <w:tcPr>
            <w:tcW w:w="10440" w:type="dxa"/>
            <w:vAlign w:val="bottom"/>
          </w:tcPr>
          <w:p>
            <w:pPr>
              <w:ind w:left="420"/>
              <w:spacing w:after="0"/>
              <w:rPr>
                <w:sz w:val="20"/>
                <w:szCs w:val="20"/>
                <w:color w:val="auto"/>
              </w:rPr>
            </w:pPr>
            <w:r>
              <w:rPr>
                <w:rFonts w:ascii="Arial" w:cs="Arial" w:eastAsia="Arial" w:hAnsi="Arial"/>
                <w:sz w:val="18"/>
                <w:szCs w:val="18"/>
                <w:color w:val="auto"/>
              </w:rPr>
              <w:t>Form of Second Supplemental Indenture to the June 25, 2003 Indenture.</w:t>
            </w:r>
          </w:p>
        </w:tc>
      </w:tr>
      <w:tr>
        <w:trPr>
          <w:trHeight w:val="311"/>
        </w:trPr>
        <w:tc>
          <w:tcPr>
            <w:tcW w:w="960" w:type="dxa"/>
            <w:vAlign w:val="bottom"/>
          </w:tcPr>
          <w:p>
            <w:pPr>
              <w:spacing w:after="0"/>
              <w:rPr>
                <w:sz w:val="24"/>
                <w:szCs w:val="24"/>
                <w:color w:val="auto"/>
              </w:rPr>
            </w:pPr>
          </w:p>
        </w:tc>
        <w:tc>
          <w:tcPr>
            <w:tcW w:w="10440" w:type="dxa"/>
            <w:vAlign w:val="bottom"/>
          </w:tcPr>
          <w:p>
            <w:pPr>
              <w:ind w:left="420"/>
              <w:spacing w:after="0"/>
              <w:rPr>
                <w:sz w:val="20"/>
                <w:szCs w:val="20"/>
                <w:color w:val="auto"/>
              </w:rPr>
            </w:pPr>
            <w:r>
              <w:rPr>
                <w:rFonts w:ascii="Arial" w:cs="Arial" w:eastAsia="Arial" w:hAnsi="Arial"/>
                <w:sz w:val="18"/>
                <w:szCs w:val="18"/>
                <w:color w:val="auto"/>
              </w:rPr>
              <w:t>Incorporated by reference to Exhibit (4)(b)(3) to Registrant’s Registration Statement No. 333-111623.</w:t>
            </w:r>
          </w:p>
        </w:tc>
      </w:tr>
      <w:tr>
        <w:trPr>
          <w:trHeight w:val="311"/>
        </w:trPr>
        <w:tc>
          <w:tcPr>
            <w:tcW w:w="960" w:type="dxa"/>
            <w:vAlign w:val="bottom"/>
          </w:tcPr>
          <w:p>
            <w:pPr>
              <w:spacing w:after="0"/>
              <w:rPr>
                <w:sz w:val="20"/>
                <w:szCs w:val="20"/>
                <w:color w:val="auto"/>
              </w:rPr>
            </w:pPr>
            <w:r>
              <w:rPr>
                <w:rFonts w:ascii="Arial" w:cs="Arial" w:eastAsia="Arial" w:hAnsi="Arial"/>
                <w:sz w:val="18"/>
                <w:szCs w:val="18"/>
                <w:color w:val="auto"/>
              </w:rPr>
              <w:t>4(c)(3)</w:t>
            </w:r>
          </w:p>
        </w:tc>
        <w:tc>
          <w:tcPr>
            <w:tcW w:w="10440" w:type="dxa"/>
            <w:vAlign w:val="bottom"/>
          </w:tcPr>
          <w:p>
            <w:pPr>
              <w:ind w:left="420"/>
              <w:spacing w:after="0"/>
              <w:rPr>
                <w:sz w:val="20"/>
                <w:szCs w:val="20"/>
                <w:color w:val="auto"/>
              </w:rPr>
            </w:pPr>
            <w:r>
              <w:rPr>
                <w:rFonts w:ascii="Arial" w:cs="Arial" w:eastAsia="Arial" w:hAnsi="Arial"/>
                <w:sz w:val="18"/>
                <w:szCs w:val="18"/>
                <w:color w:val="auto"/>
              </w:rPr>
              <w:t>Form of Third Supplemental Indenture, dated as of March 20, 2006, to the June 25, 2003 Indenture.</w:t>
            </w:r>
          </w:p>
        </w:tc>
      </w:tr>
      <w:tr>
        <w:trPr>
          <w:trHeight w:val="311"/>
        </w:trPr>
        <w:tc>
          <w:tcPr>
            <w:tcW w:w="960" w:type="dxa"/>
            <w:vAlign w:val="bottom"/>
          </w:tcPr>
          <w:p>
            <w:pPr>
              <w:spacing w:after="0"/>
              <w:rPr>
                <w:sz w:val="24"/>
                <w:szCs w:val="24"/>
                <w:color w:val="auto"/>
              </w:rPr>
            </w:pPr>
          </w:p>
        </w:tc>
        <w:tc>
          <w:tcPr>
            <w:tcW w:w="10440" w:type="dxa"/>
            <w:vAlign w:val="bottom"/>
          </w:tcPr>
          <w:p>
            <w:pPr>
              <w:ind w:left="420"/>
              <w:spacing w:after="0"/>
              <w:rPr>
                <w:sz w:val="20"/>
                <w:szCs w:val="20"/>
                <w:color w:val="auto"/>
              </w:rPr>
            </w:pPr>
            <w:r>
              <w:rPr>
                <w:rFonts w:ascii="Arial" w:cs="Arial" w:eastAsia="Arial" w:hAnsi="Arial"/>
                <w:sz w:val="18"/>
                <w:szCs w:val="18"/>
                <w:color w:val="auto"/>
              </w:rPr>
              <w:t>Incorporated by reference to Exhibit 4(b)(6) to Registrant’s Current Report on Form 8-K dated March 20, 2006.</w:t>
            </w:r>
          </w:p>
        </w:tc>
      </w:tr>
      <w:tr>
        <w:trPr>
          <w:trHeight w:val="311"/>
        </w:trPr>
        <w:tc>
          <w:tcPr>
            <w:tcW w:w="960" w:type="dxa"/>
            <w:vAlign w:val="bottom"/>
          </w:tcPr>
          <w:p>
            <w:pPr>
              <w:spacing w:after="0"/>
              <w:rPr>
                <w:sz w:val="20"/>
                <w:szCs w:val="20"/>
                <w:color w:val="auto"/>
              </w:rPr>
            </w:pPr>
            <w:r>
              <w:rPr>
                <w:rFonts w:ascii="Arial" w:cs="Arial" w:eastAsia="Arial" w:hAnsi="Arial"/>
                <w:sz w:val="18"/>
                <w:szCs w:val="18"/>
                <w:color w:val="auto"/>
              </w:rPr>
              <w:t>4(c)(4)</w:t>
            </w:r>
          </w:p>
        </w:tc>
        <w:tc>
          <w:tcPr>
            <w:tcW w:w="10440" w:type="dxa"/>
            <w:vAlign w:val="bottom"/>
          </w:tcPr>
          <w:p>
            <w:pPr>
              <w:ind w:left="420"/>
              <w:spacing w:after="0"/>
              <w:rPr>
                <w:sz w:val="20"/>
                <w:szCs w:val="20"/>
                <w:color w:val="auto"/>
              </w:rPr>
            </w:pPr>
            <w:r>
              <w:rPr>
                <w:rFonts w:ascii="Arial" w:cs="Arial" w:eastAsia="Arial" w:hAnsi="Arial"/>
                <w:sz w:val="18"/>
                <w:szCs w:val="18"/>
                <w:color w:val="auto"/>
              </w:rPr>
              <w:t>Form of Fourth Supplemental Indenture, dated as of August 18, 2006, to the June 25, 2003 Indenture.</w:t>
            </w:r>
          </w:p>
        </w:tc>
      </w:tr>
      <w:tr>
        <w:trPr>
          <w:trHeight w:val="311"/>
        </w:trPr>
        <w:tc>
          <w:tcPr>
            <w:tcW w:w="960" w:type="dxa"/>
            <w:vAlign w:val="bottom"/>
          </w:tcPr>
          <w:p>
            <w:pPr>
              <w:spacing w:after="0"/>
              <w:rPr>
                <w:sz w:val="24"/>
                <w:szCs w:val="24"/>
                <w:color w:val="auto"/>
              </w:rPr>
            </w:pPr>
          </w:p>
        </w:tc>
        <w:tc>
          <w:tcPr>
            <w:tcW w:w="10440" w:type="dxa"/>
            <w:vAlign w:val="bottom"/>
          </w:tcPr>
          <w:p>
            <w:pPr>
              <w:ind w:left="420"/>
              <w:spacing w:after="0"/>
              <w:rPr>
                <w:sz w:val="20"/>
                <w:szCs w:val="20"/>
                <w:color w:val="auto"/>
              </w:rPr>
            </w:pPr>
            <w:r>
              <w:rPr>
                <w:rFonts w:ascii="Arial" w:cs="Arial" w:eastAsia="Arial" w:hAnsi="Arial"/>
                <w:sz w:val="18"/>
                <w:szCs w:val="18"/>
                <w:color w:val="auto"/>
              </w:rPr>
              <w:t>Incorporated by reference to Exhibit 4(b)(7) to Registrant’s Current Report on Form 8-K dated August 18, 2006.</w:t>
            </w:r>
          </w:p>
        </w:tc>
      </w:tr>
      <w:tr>
        <w:trPr>
          <w:trHeight w:val="311"/>
        </w:trPr>
        <w:tc>
          <w:tcPr>
            <w:tcW w:w="960" w:type="dxa"/>
            <w:vAlign w:val="bottom"/>
          </w:tcPr>
          <w:p>
            <w:pPr>
              <w:spacing w:after="0"/>
              <w:rPr>
                <w:sz w:val="20"/>
                <w:szCs w:val="20"/>
                <w:color w:val="auto"/>
              </w:rPr>
            </w:pPr>
            <w:r>
              <w:rPr>
                <w:rFonts w:ascii="Arial" w:cs="Arial" w:eastAsia="Arial" w:hAnsi="Arial"/>
                <w:sz w:val="18"/>
                <w:szCs w:val="18"/>
                <w:color w:val="auto"/>
              </w:rPr>
              <w:t>4(c)(5)</w:t>
            </w:r>
          </w:p>
        </w:tc>
        <w:tc>
          <w:tcPr>
            <w:tcW w:w="10440" w:type="dxa"/>
            <w:vAlign w:val="bottom"/>
          </w:tcPr>
          <w:p>
            <w:pPr>
              <w:ind w:left="420"/>
              <w:spacing w:after="0"/>
              <w:rPr>
                <w:sz w:val="20"/>
                <w:szCs w:val="20"/>
                <w:color w:val="auto"/>
              </w:rPr>
            </w:pPr>
            <w:r>
              <w:rPr>
                <w:rFonts w:ascii="Arial" w:cs="Arial" w:eastAsia="Arial" w:hAnsi="Arial"/>
                <w:sz w:val="18"/>
                <w:szCs w:val="18"/>
                <w:color w:val="auto"/>
              </w:rPr>
              <w:t>Form of Fifth Supplemental Indenture, dated as of August 18, 2006, to the June 25, 2003 Indenture.</w:t>
            </w:r>
          </w:p>
        </w:tc>
      </w:tr>
      <w:tr>
        <w:trPr>
          <w:trHeight w:val="311"/>
        </w:trPr>
        <w:tc>
          <w:tcPr>
            <w:tcW w:w="960" w:type="dxa"/>
            <w:vAlign w:val="bottom"/>
          </w:tcPr>
          <w:p>
            <w:pPr>
              <w:spacing w:after="0"/>
              <w:rPr>
                <w:sz w:val="24"/>
                <w:szCs w:val="24"/>
                <w:color w:val="auto"/>
              </w:rPr>
            </w:pPr>
          </w:p>
        </w:tc>
        <w:tc>
          <w:tcPr>
            <w:tcW w:w="10440" w:type="dxa"/>
            <w:vAlign w:val="bottom"/>
          </w:tcPr>
          <w:p>
            <w:pPr>
              <w:ind w:left="420"/>
              <w:spacing w:after="0"/>
              <w:rPr>
                <w:sz w:val="20"/>
                <w:szCs w:val="20"/>
                <w:color w:val="auto"/>
              </w:rPr>
            </w:pPr>
            <w:r>
              <w:rPr>
                <w:rFonts w:ascii="Arial" w:cs="Arial" w:eastAsia="Arial" w:hAnsi="Arial"/>
                <w:sz w:val="18"/>
                <w:szCs w:val="18"/>
                <w:color w:val="auto"/>
              </w:rPr>
              <w:t>Incorporated by reference to Exhibit 4(b)(8) to Registrant’s Current Report on Form 8-K dated August 18, 2006.</w:t>
            </w:r>
          </w:p>
        </w:tc>
      </w:tr>
      <w:tr>
        <w:trPr>
          <w:trHeight w:val="311"/>
        </w:trPr>
        <w:tc>
          <w:tcPr>
            <w:tcW w:w="960" w:type="dxa"/>
            <w:vAlign w:val="bottom"/>
          </w:tcPr>
          <w:p>
            <w:pPr>
              <w:spacing w:after="0"/>
              <w:rPr>
                <w:sz w:val="20"/>
                <w:szCs w:val="20"/>
                <w:color w:val="auto"/>
              </w:rPr>
            </w:pPr>
            <w:r>
              <w:rPr>
                <w:rFonts w:ascii="Arial" w:cs="Arial" w:eastAsia="Arial" w:hAnsi="Arial"/>
                <w:sz w:val="18"/>
                <w:szCs w:val="18"/>
                <w:color w:val="auto"/>
              </w:rPr>
              <w:t>4(c)(6)</w:t>
            </w:r>
          </w:p>
        </w:tc>
        <w:tc>
          <w:tcPr>
            <w:tcW w:w="10440" w:type="dxa"/>
            <w:vAlign w:val="bottom"/>
          </w:tcPr>
          <w:p>
            <w:pPr>
              <w:ind w:left="420"/>
              <w:spacing w:after="0"/>
              <w:rPr>
                <w:sz w:val="20"/>
                <w:szCs w:val="20"/>
                <w:color w:val="auto"/>
              </w:rPr>
            </w:pPr>
            <w:r>
              <w:rPr>
                <w:rFonts w:ascii="Arial" w:cs="Arial" w:eastAsia="Arial" w:hAnsi="Arial"/>
                <w:sz w:val="18"/>
                <w:szCs w:val="18"/>
                <w:color w:val="auto"/>
              </w:rPr>
              <w:t>Form of Sixth Supplemental Indenture, dated as of May 17, 2007 to the June 25, 2003 Indenture.</w:t>
            </w:r>
          </w:p>
        </w:tc>
      </w:tr>
      <w:tr>
        <w:trPr>
          <w:trHeight w:val="311"/>
        </w:trPr>
        <w:tc>
          <w:tcPr>
            <w:tcW w:w="960" w:type="dxa"/>
            <w:vAlign w:val="bottom"/>
          </w:tcPr>
          <w:p>
            <w:pPr>
              <w:spacing w:after="0"/>
              <w:rPr>
                <w:sz w:val="24"/>
                <w:szCs w:val="24"/>
                <w:color w:val="auto"/>
              </w:rPr>
            </w:pPr>
          </w:p>
        </w:tc>
        <w:tc>
          <w:tcPr>
            <w:tcW w:w="10440" w:type="dxa"/>
            <w:vAlign w:val="bottom"/>
          </w:tcPr>
          <w:p>
            <w:pPr>
              <w:ind w:left="420"/>
              <w:spacing w:after="0"/>
              <w:rPr>
                <w:sz w:val="20"/>
                <w:szCs w:val="20"/>
                <w:color w:val="auto"/>
              </w:rPr>
            </w:pPr>
            <w:r>
              <w:rPr>
                <w:rFonts w:ascii="Arial" w:cs="Arial" w:eastAsia="Arial" w:hAnsi="Arial"/>
                <w:sz w:val="18"/>
                <w:szCs w:val="18"/>
                <w:color w:val="auto"/>
              </w:rPr>
              <w:t>Incorporated by reference to Exhibit 4(b)(2) to Registrant’s Registration Statement No. 333-142900.</w:t>
            </w:r>
          </w:p>
        </w:tc>
      </w:tr>
      <w:tr>
        <w:trPr>
          <w:trHeight w:val="302"/>
        </w:trPr>
        <w:tc>
          <w:tcPr>
            <w:tcW w:w="960" w:type="dxa"/>
            <w:vAlign w:val="bottom"/>
          </w:tcPr>
          <w:p>
            <w:pPr>
              <w:spacing w:after="0"/>
              <w:rPr>
                <w:sz w:val="20"/>
                <w:szCs w:val="20"/>
                <w:color w:val="auto"/>
              </w:rPr>
            </w:pPr>
            <w:r>
              <w:rPr>
                <w:rFonts w:ascii="Arial" w:cs="Arial" w:eastAsia="Arial" w:hAnsi="Arial"/>
                <w:sz w:val="18"/>
                <w:szCs w:val="18"/>
                <w:color w:val="auto"/>
              </w:rPr>
              <w:t>4(d)(1)</w:t>
            </w:r>
          </w:p>
        </w:tc>
        <w:tc>
          <w:tcPr>
            <w:tcW w:w="10440" w:type="dxa"/>
            <w:vAlign w:val="bottom"/>
          </w:tcPr>
          <w:p>
            <w:pPr>
              <w:ind w:left="420"/>
              <w:spacing w:after="0"/>
              <w:rPr>
                <w:sz w:val="20"/>
                <w:szCs w:val="20"/>
                <w:color w:val="auto"/>
              </w:rPr>
            </w:pPr>
            <w:r>
              <w:rPr>
                <w:rFonts w:ascii="Arial" w:cs="Arial" w:eastAsia="Arial" w:hAnsi="Arial"/>
                <w:sz w:val="18"/>
                <w:szCs w:val="18"/>
                <w:color w:val="auto"/>
                <w:w w:val="99"/>
              </w:rPr>
              <w:t>Form of Credit Agreement dated as of April 30, 2007 between Registrant and the Initial Lenders named therein, Citibank, N.A.,</w:t>
            </w:r>
          </w:p>
        </w:tc>
      </w:tr>
      <w:tr>
        <w:trPr>
          <w:trHeight w:val="203"/>
        </w:trPr>
        <w:tc>
          <w:tcPr>
            <w:tcW w:w="960" w:type="dxa"/>
            <w:vAlign w:val="bottom"/>
          </w:tcPr>
          <w:p>
            <w:pPr>
              <w:spacing w:after="0"/>
              <w:rPr>
                <w:sz w:val="17"/>
                <w:szCs w:val="17"/>
                <w:color w:val="auto"/>
              </w:rPr>
            </w:pPr>
          </w:p>
        </w:tc>
        <w:tc>
          <w:tcPr>
            <w:tcW w:w="10440" w:type="dxa"/>
            <w:vAlign w:val="bottom"/>
          </w:tcPr>
          <w:p>
            <w:pPr>
              <w:ind w:left="420"/>
              <w:spacing w:after="0" w:line="202" w:lineRule="exact"/>
              <w:rPr>
                <w:sz w:val="20"/>
                <w:szCs w:val="20"/>
                <w:color w:val="auto"/>
              </w:rPr>
            </w:pPr>
            <w:r>
              <w:rPr>
                <w:rFonts w:ascii="Arial" w:cs="Arial" w:eastAsia="Arial" w:hAnsi="Arial"/>
                <w:sz w:val="18"/>
                <w:szCs w:val="18"/>
                <w:color w:val="auto"/>
                <w:w w:val="99"/>
              </w:rPr>
              <w:t>as Administrative Agent, and Citigroup Global Markets Inc. and J.P. Morgan Securities Inc., as Joint Lead Arrangers and Joint</w:t>
            </w:r>
          </w:p>
        </w:tc>
      </w:tr>
      <w:tr>
        <w:trPr>
          <w:trHeight w:val="211"/>
        </w:trPr>
        <w:tc>
          <w:tcPr>
            <w:tcW w:w="960" w:type="dxa"/>
            <w:vAlign w:val="bottom"/>
          </w:tcPr>
          <w:p>
            <w:pPr>
              <w:spacing w:after="0"/>
              <w:rPr>
                <w:sz w:val="18"/>
                <w:szCs w:val="18"/>
                <w:color w:val="auto"/>
              </w:rPr>
            </w:pPr>
          </w:p>
        </w:tc>
        <w:tc>
          <w:tcPr>
            <w:tcW w:w="10440" w:type="dxa"/>
            <w:vAlign w:val="bottom"/>
          </w:tcPr>
          <w:p>
            <w:pPr>
              <w:ind w:left="420"/>
              <w:spacing w:after="0"/>
              <w:rPr>
                <w:sz w:val="20"/>
                <w:szCs w:val="20"/>
                <w:color w:val="auto"/>
              </w:rPr>
            </w:pPr>
            <w:r>
              <w:rPr>
                <w:rFonts w:ascii="Arial" w:cs="Arial" w:eastAsia="Arial" w:hAnsi="Arial"/>
                <w:sz w:val="18"/>
                <w:szCs w:val="18"/>
                <w:color w:val="auto"/>
              </w:rPr>
              <w:t>Bookrunners (the “Credit Agreement”).</w:t>
            </w:r>
          </w:p>
        </w:tc>
      </w:tr>
      <w:tr>
        <w:trPr>
          <w:trHeight w:val="311"/>
        </w:trPr>
        <w:tc>
          <w:tcPr>
            <w:tcW w:w="960" w:type="dxa"/>
            <w:vAlign w:val="bottom"/>
          </w:tcPr>
          <w:p>
            <w:pPr>
              <w:spacing w:after="0"/>
              <w:rPr>
                <w:sz w:val="24"/>
                <w:szCs w:val="24"/>
                <w:color w:val="auto"/>
              </w:rPr>
            </w:pPr>
          </w:p>
        </w:tc>
        <w:tc>
          <w:tcPr>
            <w:tcW w:w="10440" w:type="dxa"/>
            <w:vAlign w:val="bottom"/>
          </w:tcPr>
          <w:p>
            <w:pPr>
              <w:ind w:left="420"/>
              <w:spacing w:after="0"/>
              <w:rPr>
                <w:sz w:val="20"/>
                <w:szCs w:val="20"/>
                <w:color w:val="auto"/>
              </w:rPr>
            </w:pPr>
            <w:r>
              <w:rPr>
                <w:rFonts w:ascii="Arial" w:cs="Arial" w:eastAsia="Arial" w:hAnsi="Arial"/>
                <w:sz w:val="18"/>
                <w:szCs w:val="18"/>
                <w:color w:val="auto"/>
              </w:rPr>
              <w:t>Incorporated by reference to Exhibit 10(j) to Registrant’s Current Report on Form 8-K dated April 30, 2007.</w:t>
            </w:r>
          </w:p>
        </w:tc>
      </w:tr>
      <w:tr>
        <w:trPr>
          <w:trHeight w:val="302"/>
        </w:trPr>
        <w:tc>
          <w:tcPr>
            <w:tcW w:w="960" w:type="dxa"/>
            <w:vAlign w:val="bottom"/>
          </w:tcPr>
          <w:p>
            <w:pPr>
              <w:spacing w:after="0"/>
              <w:rPr>
                <w:sz w:val="20"/>
                <w:szCs w:val="20"/>
                <w:color w:val="auto"/>
              </w:rPr>
            </w:pPr>
            <w:r>
              <w:rPr>
                <w:rFonts w:ascii="Arial" w:cs="Arial" w:eastAsia="Arial" w:hAnsi="Arial"/>
                <w:sz w:val="18"/>
                <w:szCs w:val="18"/>
                <w:color w:val="auto"/>
              </w:rPr>
              <w:t>4(d)(2)</w:t>
            </w:r>
          </w:p>
        </w:tc>
        <w:tc>
          <w:tcPr>
            <w:tcW w:w="10440" w:type="dxa"/>
            <w:vAlign w:val="bottom"/>
          </w:tcPr>
          <w:p>
            <w:pPr>
              <w:ind w:left="420"/>
              <w:spacing w:after="0"/>
              <w:rPr>
                <w:sz w:val="20"/>
                <w:szCs w:val="20"/>
                <w:color w:val="auto"/>
              </w:rPr>
            </w:pPr>
            <w:r>
              <w:rPr>
                <w:rFonts w:ascii="Arial" w:cs="Arial" w:eastAsia="Arial" w:hAnsi="Arial"/>
                <w:sz w:val="18"/>
                <w:szCs w:val="18"/>
                <w:color w:val="auto"/>
              </w:rPr>
              <w:t>Amendment No. 1 to Credit Agreement, dated as of October 27, 2008, among Registrant, the Lenders named therein, and</w:t>
            </w:r>
          </w:p>
        </w:tc>
      </w:tr>
      <w:tr>
        <w:trPr>
          <w:trHeight w:val="211"/>
        </w:trPr>
        <w:tc>
          <w:tcPr>
            <w:tcW w:w="960" w:type="dxa"/>
            <w:vAlign w:val="bottom"/>
          </w:tcPr>
          <w:p>
            <w:pPr>
              <w:spacing w:after="0"/>
              <w:rPr>
                <w:sz w:val="18"/>
                <w:szCs w:val="18"/>
                <w:color w:val="auto"/>
              </w:rPr>
            </w:pPr>
          </w:p>
        </w:tc>
        <w:tc>
          <w:tcPr>
            <w:tcW w:w="10440" w:type="dxa"/>
            <w:vAlign w:val="bottom"/>
          </w:tcPr>
          <w:p>
            <w:pPr>
              <w:ind w:left="420"/>
              <w:spacing w:after="0"/>
              <w:rPr>
                <w:sz w:val="20"/>
                <w:szCs w:val="20"/>
                <w:color w:val="auto"/>
              </w:rPr>
            </w:pPr>
            <w:r>
              <w:rPr>
                <w:rFonts w:ascii="Arial" w:cs="Arial" w:eastAsia="Arial" w:hAnsi="Arial"/>
                <w:sz w:val="18"/>
                <w:szCs w:val="18"/>
                <w:color w:val="auto"/>
              </w:rPr>
              <w:t>Citibank, ,N.A., as agent for the Lenders.</w:t>
            </w:r>
          </w:p>
        </w:tc>
      </w:tr>
      <w:tr>
        <w:trPr>
          <w:trHeight w:val="302"/>
        </w:trPr>
        <w:tc>
          <w:tcPr>
            <w:tcW w:w="960" w:type="dxa"/>
            <w:vAlign w:val="bottom"/>
          </w:tcPr>
          <w:p>
            <w:pPr>
              <w:spacing w:after="0"/>
              <w:rPr>
                <w:sz w:val="24"/>
                <w:szCs w:val="24"/>
                <w:color w:val="auto"/>
              </w:rPr>
            </w:pPr>
          </w:p>
        </w:tc>
        <w:tc>
          <w:tcPr>
            <w:tcW w:w="10440" w:type="dxa"/>
            <w:vAlign w:val="bottom"/>
          </w:tcPr>
          <w:p>
            <w:pPr>
              <w:ind w:left="420"/>
              <w:spacing w:after="0"/>
              <w:rPr>
                <w:sz w:val="20"/>
                <w:szCs w:val="20"/>
                <w:color w:val="auto"/>
              </w:rPr>
            </w:pPr>
            <w:r>
              <w:rPr>
                <w:rFonts w:ascii="Arial" w:cs="Arial" w:eastAsia="Arial" w:hAnsi="Arial"/>
                <w:sz w:val="18"/>
                <w:szCs w:val="18"/>
                <w:color w:val="auto"/>
                <w:w w:val="98"/>
              </w:rPr>
              <w:t>Incorporated by reference to Exhibit 4(g)(2) to Registrant’s Annual Report on Form 10-K for the fiscal year ended December 31,</w:t>
            </w:r>
          </w:p>
        </w:tc>
      </w:tr>
      <w:tr>
        <w:trPr>
          <w:trHeight w:val="211"/>
        </w:trPr>
        <w:tc>
          <w:tcPr>
            <w:tcW w:w="960" w:type="dxa"/>
            <w:vAlign w:val="bottom"/>
          </w:tcPr>
          <w:p>
            <w:pPr>
              <w:spacing w:after="0"/>
              <w:rPr>
                <w:sz w:val="18"/>
                <w:szCs w:val="18"/>
                <w:color w:val="auto"/>
              </w:rPr>
            </w:pPr>
          </w:p>
        </w:tc>
        <w:tc>
          <w:tcPr>
            <w:tcW w:w="10440" w:type="dxa"/>
            <w:vAlign w:val="bottom"/>
          </w:tcPr>
          <w:p>
            <w:pPr>
              <w:ind w:left="420"/>
              <w:spacing w:after="0"/>
              <w:rPr>
                <w:sz w:val="20"/>
                <w:szCs w:val="20"/>
                <w:color w:val="auto"/>
              </w:rPr>
            </w:pPr>
            <w:r>
              <w:rPr>
                <w:rFonts w:ascii="Arial" w:cs="Arial" w:eastAsia="Arial" w:hAnsi="Arial"/>
                <w:sz w:val="18"/>
                <w:szCs w:val="18"/>
                <w:color w:val="auto"/>
              </w:rPr>
              <w:t>2008.</w:t>
            </w:r>
          </w:p>
        </w:tc>
      </w:tr>
      <w:tr>
        <w:trPr>
          <w:trHeight w:val="302"/>
        </w:trPr>
        <w:tc>
          <w:tcPr>
            <w:tcW w:w="960" w:type="dxa"/>
            <w:vAlign w:val="bottom"/>
          </w:tcPr>
          <w:p>
            <w:pPr>
              <w:spacing w:after="0"/>
              <w:rPr>
                <w:sz w:val="20"/>
                <w:szCs w:val="20"/>
                <w:color w:val="auto"/>
              </w:rPr>
            </w:pPr>
            <w:r>
              <w:rPr>
                <w:rFonts w:ascii="Arial" w:cs="Arial" w:eastAsia="Arial" w:hAnsi="Arial"/>
                <w:sz w:val="18"/>
                <w:szCs w:val="18"/>
                <w:color w:val="auto"/>
              </w:rPr>
              <w:t>4(d)(3)</w:t>
            </w:r>
          </w:p>
        </w:tc>
        <w:tc>
          <w:tcPr>
            <w:tcW w:w="10440" w:type="dxa"/>
            <w:vAlign w:val="bottom"/>
          </w:tcPr>
          <w:p>
            <w:pPr>
              <w:ind w:left="420"/>
              <w:spacing w:after="0"/>
              <w:rPr>
                <w:sz w:val="20"/>
                <w:szCs w:val="20"/>
                <w:color w:val="auto"/>
              </w:rPr>
            </w:pPr>
            <w:r>
              <w:rPr>
                <w:rFonts w:ascii="Arial" w:cs="Arial" w:eastAsia="Arial" w:hAnsi="Arial"/>
                <w:sz w:val="18"/>
                <w:szCs w:val="18"/>
                <w:color w:val="auto"/>
              </w:rPr>
              <w:t>Amendment No. 2 to Credit Agreement, dated as of April 23, 2009, between Registrant and the Initial Lenders named therein,</w:t>
            </w:r>
          </w:p>
        </w:tc>
      </w:tr>
      <w:tr>
        <w:trPr>
          <w:trHeight w:val="203"/>
        </w:trPr>
        <w:tc>
          <w:tcPr>
            <w:tcW w:w="960" w:type="dxa"/>
            <w:vAlign w:val="bottom"/>
          </w:tcPr>
          <w:p>
            <w:pPr>
              <w:spacing w:after="0"/>
              <w:rPr>
                <w:sz w:val="17"/>
                <w:szCs w:val="17"/>
                <w:color w:val="auto"/>
              </w:rPr>
            </w:pPr>
          </w:p>
        </w:tc>
        <w:tc>
          <w:tcPr>
            <w:tcW w:w="10440" w:type="dxa"/>
            <w:vAlign w:val="bottom"/>
          </w:tcPr>
          <w:p>
            <w:pPr>
              <w:ind w:left="420"/>
              <w:spacing w:after="0" w:line="202" w:lineRule="exact"/>
              <w:rPr>
                <w:sz w:val="20"/>
                <w:szCs w:val="20"/>
                <w:color w:val="auto"/>
              </w:rPr>
            </w:pPr>
            <w:r>
              <w:rPr>
                <w:rFonts w:ascii="Arial" w:cs="Arial" w:eastAsia="Arial" w:hAnsi="Arial"/>
                <w:sz w:val="18"/>
                <w:szCs w:val="18"/>
                <w:color w:val="auto"/>
              </w:rPr>
              <w:t>Citibank, N.A., as Administrative Agent, and Citigroup Global Markets Inc. and J.P. Morgan Securities Inc., as Joint Lead</w:t>
            </w:r>
          </w:p>
        </w:tc>
      </w:tr>
      <w:tr>
        <w:trPr>
          <w:trHeight w:val="211"/>
        </w:trPr>
        <w:tc>
          <w:tcPr>
            <w:tcW w:w="960" w:type="dxa"/>
            <w:vAlign w:val="bottom"/>
          </w:tcPr>
          <w:p>
            <w:pPr>
              <w:spacing w:after="0"/>
              <w:rPr>
                <w:sz w:val="18"/>
                <w:szCs w:val="18"/>
                <w:color w:val="auto"/>
              </w:rPr>
            </w:pPr>
          </w:p>
        </w:tc>
        <w:tc>
          <w:tcPr>
            <w:tcW w:w="10440" w:type="dxa"/>
            <w:vAlign w:val="bottom"/>
          </w:tcPr>
          <w:p>
            <w:pPr>
              <w:ind w:left="420"/>
              <w:spacing w:after="0"/>
              <w:rPr>
                <w:sz w:val="20"/>
                <w:szCs w:val="20"/>
                <w:color w:val="auto"/>
              </w:rPr>
            </w:pPr>
            <w:r>
              <w:rPr>
                <w:rFonts w:ascii="Arial" w:cs="Arial" w:eastAsia="Arial" w:hAnsi="Arial"/>
                <w:sz w:val="18"/>
                <w:szCs w:val="18"/>
                <w:color w:val="auto"/>
              </w:rPr>
              <w:t>Arrangers and Joint Bookrunners.</w:t>
            </w:r>
          </w:p>
        </w:tc>
      </w:tr>
      <w:tr>
        <w:trPr>
          <w:trHeight w:val="302"/>
        </w:trPr>
        <w:tc>
          <w:tcPr>
            <w:tcW w:w="960" w:type="dxa"/>
            <w:vAlign w:val="bottom"/>
          </w:tcPr>
          <w:p>
            <w:pPr>
              <w:spacing w:after="0"/>
              <w:rPr>
                <w:sz w:val="24"/>
                <w:szCs w:val="24"/>
                <w:color w:val="auto"/>
              </w:rPr>
            </w:pPr>
          </w:p>
        </w:tc>
        <w:tc>
          <w:tcPr>
            <w:tcW w:w="10440" w:type="dxa"/>
            <w:vAlign w:val="bottom"/>
          </w:tcPr>
          <w:p>
            <w:pPr>
              <w:ind w:left="420"/>
              <w:spacing w:after="0"/>
              <w:rPr>
                <w:sz w:val="20"/>
                <w:szCs w:val="20"/>
                <w:color w:val="auto"/>
              </w:rPr>
            </w:pPr>
            <w:r>
              <w:rPr>
                <w:rFonts w:ascii="Arial" w:cs="Arial" w:eastAsia="Arial" w:hAnsi="Arial"/>
                <w:sz w:val="18"/>
                <w:szCs w:val="18"/>
                <w:color w:val="auto"/>
              </w:rPr>
              <w:t>Incorporated by reference to Exhibit 4(g)(3) to Registrant’s Quarterly Report on Form 10-Q for the Quarter ended March 31,</w:t>
            </w:r>
          </w:p>
        </w:tc>
      </w:tr>
      <w:tr>
        <w:trPr>
          <w:trHeight w:val="211"/>
        </w:trPr>
        <w:tc>
          <w:tcPr>
            <w:tcW w:w="960" w:type="dxa"/>
            <w:vAlign w:val="bottom"/>
          </w:tcPr>
          <w:p>
            <w:pPr>
              <w:spacing w:after="0"/>
              <w:rPr>
                <w:sz w:val="18"/>
                <w:szCs w:val="18"/>
                <w:color w:val="auto"/>
              </w:rPr>
            </w:pPr>
          </w:p>
        </w:tc>
        <w:tc>
          <w:tcPr>
            <w:tcW w:w="10440" w:type="dxa"/>
            <w:vAlign w:val="bottom"/>
          </w:tcPr>
          <w:p>
            <w:pPr>
              <w:ind w:left="420"/>
              <w:spacing w:after="0"/>
              <w:rPr>
                <w:sz w:val="20"/>
                <w:szCs w:val="20"/>
                <w:color w:val="auto"/>
              </w:rPr>
            </w:pPr>
            <w:r>
              <w:rPr>
                <w:rFonts w:ascii="Arial" w:cs="Arial" w:eastAsia="Arial" w:hAnsi="Arial"/>
                <w:sz w:val="18"/>
                <w:szCs w:val="18"/>
                <w:color w:val="auto"/>
              </w:rPr>
              <w:t>2009.</w:t>
            </w:r>
          </w:p>
        </w:tc>
      </w:tr>
      <w:tr>
        <w:trPr>
          <w:trHeight w:val="302"/>
        </w:trPr>
        <w:tc>
          <w:tcPr>
            <w:tcW w:w="960" w:type="dxa"/>
            <w:vAlign w:val="bottom"/>
          </w:tcPr>
          <w:p>
            <w:pPr>
              <w:spacing w:after="0"/>
              <w:rPr>
                <w:sz w:val="20"/>
                <w:szCs w:val="20"/>
                <w:color w:val="auto"/>
              </w:rPr>
            </w:pPr>
            <w:r>
              <w:rPr>
                <w:rFonts w:ascii="Arial" w:cs="Arial" w:eastAsia="Arial" w:hAnsi="Arial"/>
                <w:sz w:val="18"/>
                <w:szCs w:val="18"/>
                <w:color w:val="auto"/>
              </w:rPr>
              <w:t>4(d)(4)</w:t>
            </w:r>
          </w:p>
        </w:tc>
        <w:tc>
          <w:tcPr>
            <w:tcW w:w="10440" w:type="dxa"/>
            <w:vAlign w:val="bottom"/>
          </w:tcPr>
          <w:p>
            <w:pPr>
              <w:ind w:left="420"/>
              <w:spacing w:after="0"/>
              <w:rPr>
                <w:sz w:val="20"/>
                <w:szCs w:val="20"/>
                <w:color w:val="auto"/>
              </w:rPr>
            </w:pPr>
            <w:r>
              <w:rPr>
                <w:rFonts w:ascii="Arial" w:cs="Arial" w:eastAsia="Arial" w:hAnsi="Arial"/>
                <w:sz w:val="18"/>
                <w:szCs w:val="18"/>
                <w:color w:val="auto"/>
                <w:w w:val="97"/>
              </w:rPr>
              <w:t>Amendment No. 3 to Credit Agreement, dated as of October 19, 2009, between Registrant and the Initial Lenders named therein,</w:t>
            </w:r>
          </w:p>
        </w:tc>
      </w:tr>
      <w:tr>
        <w:trPr>
          <w:trHeight w:val="203"/>
        </w:trPr>
        <w:tc>
          <w:tcPr>
            <w:tcW w:w="960" w:type="dxa"/>
            <w:vAlign w:val="bottom"/>
          </w:tcPr>
          <w:p>
            <w:pPr>
              <w:spacing w:after="0"/>
              <w:rPr>
                <w:sz w:val="17"/>
                <w:szCs w:val="17"/>
                <w:color w:val="auto"/>
              </w:rPr>
            </w:pPr>
          </w:p>
        </w:tc>
        <w:tc>
          <w:tcPr>
            <w:tcW w:w="10440" w:type="dxa"/>
            <w:vAlign w:val="bottom"/>
          </w:tcPr>
          <w:p>
            <w:pPr>
              <w:ind w:left="420"/>
              <w:spacing w:after="0" w:line="202" w:lineRule="exact"/>
              <w:rPr>
                <w:sz w:val="20"/>
                <w:szCs w:val="20"/>
                <w:color w:val="auto"/>
              </w:rPr>
            </w:pPr>
            <w:r>
              <w:rPr>
                <w:rFonts w:ascii="Arial" w:cs="Arial" w:eastAsia="Arial" w:hAnsi="Arial"/>
                <w:sz w:val="18"/>
                <w:szCs w:val="18"/>
                <w:color w:val="auto"/>
              </w:rPr>
              <w:t>Citibank, N.A., as Administrative Agent, and Citigroup Global Markets Inc. and J.P. Morgan Securities Inc., as Joint Lead</w:t>
            </w:r>
          </w:p>
        </w:tc>
      </w:tr>
      <w:tr>
        <w:trPr>
          <w:trHeight w:val="211"/>
        </w:trPr>
        <w:tc>
          <w:tcPr>
            <w:tcW w:w="960" w:type="dxa"/>
            <w:vAlign w:val="bottom"/>
          </w:tcPr>
          <w:p>
            <w:pPr>
              <w:spacing w:after="0"/>
              <w:rPr>
                <w:sz w:val="18"/>
                <w:szCs w:val="18"/>
                <w:color w:val="auto"/>
              </w:rPr>
            </w:pPr>
          </w:p>
        </w:tc>
        <w:tc>
          <w:tcPr>
            <w:tcW w:w="10440" w:type="dxa"/>
            <w:vAlign w:val="bottom"/>
          </w:tcPr>
          <w:p>
            <w:pPr>
              <w:ind w:left="420"/>
              <w:spacing w:after="0"/>
              <w:rPr>
                <w:sz w:val="20"/>
                <w:szCs w:val="20"/>
                <w:color w:val="auto"/>
              </w:rPr>
            </w:pPr>
            <w:r>
              <w:rPr>
                <w:rFonts w:ascii="Arial" w:cs="Arial" w:eastAsia="Arial" w:hAnsi="Arial"/>
                <w:sz w:val="18"/>
                <w:szCs w:val="18"/>
                <w:color w:val="auto"/>
              </w:rPr>
              <w:t>Arrangers and Joint Bookrunners.</w:t>
            </w:r>
          </w:p>
        </w:tc>
      </w:tr>
      <w:tr>
        <w:trPr>
          <w:trHeight w:val="351"/>
        </w:trPr>
        <w:tc>
          <w:tcPr>
            <w:tcW w:w="960" w:type="dxa"/>
            <w:vAlign w:val="bottom"/>
          </w:tcPr>
          <w:p>
            <w:pPr>
              <w:spacing w:after="0"/>
              <w:rPr>
                <w:sz w:val="24"/>
                <w:szCs w:val="24"/>
                <w:color w:val="auto"/>
              </w:rPr>
            </w:pPr>
          </w:p>
        </w:tc>
        <w:tc>
          <w:tcPr>
            <w:tcW w:w="10440" w:type="dxa"/>
            <w:vAlign w:val="bottom"/>
          </w:tcPr>
          <w:p>
            <w:pPr>
              <w:ind w:left="470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 w:type="dxa"/>
            <w:vAlign w:val="bottom"/>
          </w:tcPr>
          <w:p>
            <w:pPr>
              <w:spacing w:after="0"/>
              <w:rPr>
                <w:sz w:val="17"/>
                <w:szCs w:val="17"/>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w w:val="97"/>
              </w:rPr>
              <w:t>Incorporated by reference to Exhibit 4(g)(4) to Registrant’s Quarterly Report on Form 10-Q for the Quarter ended September 30,</w:t>
            </w:r>
          </w:p>
        </w:tc>
      </w:tr>
      <w:tr>
        <w:trPr>
          <w:trHeight w:val="211"/>
        </w:trPr>
        <w:tc>
          <w:tcPr>
            <w:tcW w:w="960" w:type="dxa"/>
            <w:vAlign w:val="bottom"/>
          </w:tcPr>
          <w:p>
            <w:pPr>
              <w:spacing w:after="0"/>
              <w:rPr>
                <w:sz w:val="18"/>
                <w:szCs w:val="18"/>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rPr>
              <w:t>2009.</w:t>
            </w:r>
          </w:p>
        </w:tc>
      </w:tr>
      <w:tr>
        <w:trPr>
          <w:trHeight w:val="311"/>
        </w:trPr>
        <w:tc>
          <w:tcPr>
            <w:tcW w:w="960" w:type="dxa"/>
            <w:vAlign w:val="bottom"/>
          </w:tcPr>
          <w:p>
            <w:pPr>
              <w:spacing w:after="0"/>
              <w:rPr>
                <w:sz w:val="20"/>
                <w:szCs w:val="20"/>
                <w:color w:val="auto"/>
              </w:rPr>
            </w:pPr>
            <w:r>
              <w:rPr>
                <w:rFonts w:ascii="Arial" w:cs="Arial" w:eastAsia="Arial" w:hAnsi="Arial"/>
                <w:sz w:val="18"/>
                <w:szCs w:val="18"/>
                <w:color w:val="auto"/>
              </w:rPr>
              <w:t>4(e)</w:t>
            </w:r>
          </w:p>
        </w:tc>
        <w:tc>
          <w:tcPr>
            <w:tcW w:w="10360" w:type="dxa"/>
            <w:vAlign w:val="bottom"/>
          </w:tcPr>
          <w:p>
            <w:pPr>
              <w:ind w:left="420"/>
              <w:spacing w:after="0"/>
              <w:rPr>
                <w:sz w:val="20"/>
                <w:szCs w:val="20"/>
                <w:color w:val="auto"/>
              </w:rPr>
            </w:pPr>
            <w:r>
              <w:rPr>
                <w:rFonts w:ascii="Arial" w:cs="Arial" w:eastAsia="Arial" w:hAnsi="Arial"/>
                <w:sz w:val="18"/>
                <w:szCs w:val="18"/>
                <w:color w:val="auto"/>
              </w:rPr>
              <w:t>Master Demand Note dated December 10, 2003 between Registrant and Xerox Credit Corporation.</w:t>
            </w:r>
          </w:p>
        </w:tc>
      </w:tr>
      <w:tr>
        <w:trPr>
          <w:trHeight w:val="302"/>
        </w:trPr>
        <w:tc>
          <w:tcPr>
            <w:tcW w:w="960" w:type="dxa"/>
            <w:vAlign w:val="bottom"/>
          </w:tcPr>
          <w:p>
            <w:pPr>
              <w:spacing w:after="0"/>
              <w:rPr>
                <w:sz w:val="24"/>
                <w:szCs w:val="24"/>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w w:val="99"/>
              </w:rPr>
              <w:t>Incorporated by reference to Exhibit 4(m) to Registrant’s Annual Report on Form 10-K for the fiscal year ended December 31,</w:t>
            </w:r>
          </w:p>
        </w:tc>
      </w:tr>
      <w:tr>
        <w:trPr>
          <w:trHeight w:val="211"/>
        </w:trPr>
        <w:tc>
          <w:tcPr>
            <w:tcW w:w="960" w:type="dxa"/>
            <w:vAlign w:val="bottom"/>
          </w:tcPr>
          <w:p>
            <w:pPr>
              <w:spacing w:after="0"/>
              <w:rPr>
                <w:sz w:val="18"/>
                <w:szCs w:val="18"/>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rPr>
              <w:t>2003.</w:t>
            </w:r>
          </w:p>
        </w:tc>
      </w:tr>
      <w:tr>
        <w:trPr>
          <w:trHeight w:val="302"/>
        </w:trPr>
        <w:tc>
          <w:tcPr>
            <w:tcW w:w="960" w:type="dxa"/>
            <w:vAlign w:val="bottom"/>
          </w:tcPr>
          <w:p>
            <w:pPr>
              <w:spacing w:after="0"/>
              <w:rPr>
                <w:sz w:val="20"/>
                <w:szCs w:val="20"/>
                <w:color w:val="auto"/>
              </w:rPr>
            </w:pPr>
            <w:r>
              <w:rPr>
                <w:rFonts w:ascii="Arial" w:cs="Arial" w:eastAsia="Arial" w:hAnsi="Arial"/>
                <w:sz w:val="18"/>
                <w:szCs w:val="18"/>
                <w:color w:val="auto"/>
              </w:rPr>
              <w:t>4(f)</w:t>
            </w:r>
          </w:p>
        </w:tc>
        <w:tc>
          <w:tcPr>
            <w:tcW w:w="10360" w:type="dxa"/>
            <w:vAlign w:val="bottom"/>
          </w:tcPr>
          <w:p>
            <w:pPr>
              <w:ind w:left="420"/>
              <w:spacing w:after="0"/>
              <w:rPr>
                <w:sz w:val="20"/>
                <w:szCs w:val="20"/>
                <w:color w:val="auto"/>
              </w:rPr>
            </w:pPr>
            <w:r>
              <w:rPr>
                <w:rFonts w:ascii="Arial" w:cs="Arial" w:eastAsia="Arial" w:hAnsi="Arial"/>
                <w:sz w:val="18"/>
                <w:szCs w:val="18"/>
                <w:color w:val="auto"/>
              </w:rPr>
              <w:t>Form of Indenture dated as of December 4, 2009 between Xerox Corporation and the Bank of New York Mellon, as trustee,</w:t>
            </w:r>
          </w:p>
        </w:tc>
      </w:tr>
      <w:tr>
        <w:trPr>
          <w:trHeight w:val="211"/>
        </w:trPr>
        <w:tc>
          <w:tcPr>
            <w:tcW w:w="960" w:type="dxa"/>
            <w:vAlign w:val="bottom"/>
          </w:tcPr>
          <w:p>
            <w:pPr>
              <w:spacing w:after="0"/>
              <w:rPr>
                <w:sz w:val="18"/>
                <w:szCs w:val="18"/>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rPr>
              <w:t>relating to an unlimited amount of senior debt securities.</w:t>
            </w:r>
          </w:p>
        </w:tc>
      </w:tr>
      <w:tr>
        <w:trPr>
          <w:trHeight w:val="302"/>
        </w:trPr>
        <w:tc>
          <w:tcPr>
            <w:tcW w:w="960" w:type="dxa"/>
            <w:vAlign w:val="bottom"/>
          </w:tcPr>
          <w:p>
            <w:pPr>
              <w:spacing w:after="0"/>
              <w:rPr>
                <w:sz w:val="24"/>
                <w:szCs w:val="24"/>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w w:val="97"/>
              </w:rPr>
              <w:t>Incorporated by reference to Exhibit 4(b)(5) to Post-Effective Amendment No. 1 to Registrant’s Registration Statement No. 333-</w:t>
            </w:r>
          </w:p>
        </w:tc>
      </w:tr>
      <w:tr>
        <w:trPr>
          <w:trHeight w:val="211"/>
        </w:trPr>
        <w:tc>
          <w:tcPr>
            <w:tcW w:w="960" w:type="dxa"/>
            <w:vAlign w:val="bottom"/>
          </w:tcPr>
          <w:p>
            <w:pPr>
              <w:spacing w:after="0"/>
              <w:rPr>
                <w:sz w:val="18"/>
                <w:szCs w:val="18"/>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rPr>
              <w:t>142900.</w:t>
            </w:r>
          </w:p>
        </w:tc>
      </w:tr>
      <w:tr>
        <w:trPr>
          <w:trHeight w:val="302"/>
        </w:trPr>
        <w:tc>
          <w:tcPr>
            <w:tcW w:w="960" w:type="dxa"/>
            <w:vAlign w:val="bottom"/>
          </w:tcPr>
          <w:p>
            <w:pPr>
              <w:spacing w:after="0"/>
              <w:rPr>
                <w:sz w:val="20"/>
                <w:szCs w:val="20"/>
                <w:color w:val="auto"/>
              </w:rPr>
            </w:pPr>
            <w:r>
              <w:rPr>
                <w:rFonts w:ascii="Arial" w:cs="Arial" w:eastAsia="Arial" w:hAnsi="Arial"/>
                <w:sz w:val="18"/>
                <w:szCs w:val="18"/>
                <w:color w:val="auto"/>
              </w:rPr>
              <w:t>4(g)(1)</w:t>
            </w:r>
          </w:p>
        </w:tc>
        <w:tc>
          <w:tcPr>
            <w:tcW w:w="10360" w:type="dxa"/>
            <w:vAlign w:val="bottom"/>
          </w:tcPr>
          <w:p>
            <w:pPr>
              <w:ind w:left="420"/>
              <w:spacing w:after="0"/>
              <w:rPr>
                <w:sz w:val="20"/>
                <w:szCs w:val="20"/>
                <w:color w:val="auto"/>
              </w:rPr>
            </w:pPr>
            <w:r>
              <w:rPr>
                <w:rFonts w:ascii="Arial" w:cs="Arial" w:eastAsia="Arial" w:hAnsi="Arial"/>
                <w:sz w:val="18"/>
                <w:szCs w:val="18"/>
                <w:color w:val="auto"/>
                <w:w w:val="97"/>
              </w:rPr>
              <w:t>Indenture, dated as of June 6, 2005, by and between Affiliated Computer Services, Inc. (“ACS”) as Issuer and The Bank of New</w:t>
            </w:r>
          </w:p>
        </w:tc>
      </w:tr>
      <w:tr>
        <w:trPr>
          <w:trHeight w:val="211"/>
        </w:trPr>
        <w:tc>
          <w:tcPr>
            <w:tcW w:w="960" w:type="dxa"/>
            <w:vAlign w:val="bottom"/>
          </w:tcPr>
          <w:p>
            <w:pPr>
              <w:spacing w:after="0"/>
              <w:rPr>
                <w:sz w:val="18"/>
                <w:szCs w:val="18"/>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rPr>
              <w:t>York Trust Company, N.A. as Trustee (the “June 6, 2005 Indenture”).</w:t>
            </w:r>
          </w:p>
        </w:tc>
      </w:tr>
      <w:tr>
        <w:trPr>
          <w:trHeight w:val="311"/>
        </w:trPr>
        <w:tc>
          <w:tcPr>
            <w:tcW w:w="960" w:type="dxa"/>
            <w:vAlign w:val="bottom"/>
          </w:tcPr>
          <w:p>
            <w:pPr>
              <w:spacing w:after="0"/>
              <w:rPr>
                <w:sz w:val="24"/>
                <w:szCs w:val="24"/>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rPr>
              <w:t>Incorporated by reference to Exhibit 4.1 to ACS’s Current Report on Form 8-K, filed June 6, 2005.</w:t>
            </w:r>
          </w:p>
        </w:tc>
      </w:tr>
      <w:tr>
        <w:trPr>
          <w:trHeight w:val="311"/>
        </w:trPr>
        <w:tc>
          <w:tcPr>
            <w:tcW w:w="960" w:type="dxa"/>
            <w:vAlign w:val="bottom"/>
          </w:tcPr>
          <w:p>
            <w:pPr>
              <w:spacing w:after="0"/>
              <w:rPr>
                <w:sz w:val="20"/>
                <w:szCs w:val="20"/>
                <w:color w:val="auto"/>
              </w:rPr>
            </w:pPr>
            <w:r>
              <w:rPr>
                <w:rFonts w:ascii="Arial" w:cs="Arial" w:eastAsia="Arial" w:hAnsi="Arial"/>
                <w:sz w:val="18"/>
                <w:szCs w:val="18"/>
                <w:color w:val="auto"/>
              </w:rPr>
              <w:t>4(g)(2)</w:t>
            </w:r>
          </w:p>
        </w:tc>
        <w:tc>
          <w:tcPr>
            <w:tcW w:w="10360" w:type="dxa"/>
            <w:vAlign w:val="bottom"/>
          </w:tcPr>
          <w:p>
            <w:pPr>
              <w:ind w:left="420"/>
              <w:spacing w:after="0"/>
              <w:rPr>
                <w:sz w:val="20"/>
                <w:szCs w:val="20"/>
                <w:color w:val="auto"/>
              </w:rPr>
            </w:pPr>
            <w:r>
              <w:rPr>
                <w:rFonts w:ascii="Arial" w:cs="Arial" w:eastAsia="Arial" w:hAnsi="Arial"/>
                <w:sz w:val="18"/>
                <w:szCs w:val="18"/>
                <w:color w:val="auto"/>
              </w:rPr>
              <w:t>Second Supplemental Indenture, dated as of June 6, 2005, to the June 6, 2005 Indenture.</w:t>
            </w:r>
          </w:p>
        </w:tc>
      </w:tr>
      <w:tr>
        <w:trPr>
          <w:trHeight w:val="311"/>
        </w:trPr>
        <w:tc>
          <w:tcPr>
            <w:tcW w:w="960" w:type="dxa"/>
            <w:vAlign w:val="bottom"/>
          </w:tcPr>
          <w:p>
            <w:pPr>
              <w:spacing w:after="0"/>
              <w:rPr>
                <w:sz w:val="24"/>
                <w:szCs w:val="24"/>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rPr>
              <w:t>Incorporated by reference to Exhibit 4.3 to ACS’s Current Report on Form 8-K, filed June 6, 2005.</w:t>
            </w:r>
          </w:p>
        </w:tc>
      </w:tr>
      <w:tr>
        <w:trPr>
          <w:trHeight w:val="302"/>
        </w:trPr>
        <w:tc>
          <w:tcPr>
            <w:tcW w:w="960" w:type="dxa"/>
            <w:vAlign w:val="bottom"/>
          </w:tcPr>
          <w:p>
            <w:pPr>
              <w:spacing w:after="0"/>
              <w:rPr>
                <w:sz w:val="20"/>
                <w:szCs w:val="20"/>
                <w:color w:val="auto"/>
              </w:rPr>
            </w:pPr>
            <w:r>
              <w:rPr>
                <w:rFonts w:ascii="Arial" w:cs="Arial" w:eastAsia="Arial" w:hAnsi="Arial"/>
                <w:sz w:val="18"/>
                <w:szCs w:val="18"/>
                <w:color w:val="auto"/>
              </w:rPr>
              <w:t>4(g)(3)</w:t>
            </w:r>
          </w:p>
        </w:tc>
        <w:tc>
          <w:tcPr>
            <w:tcW w:w="10360" w:type="dxa"/>
            <w:vAlign w:val="bottom"/>
          </w:tcPr>
          <w:p>
            <w:pPr>
              <w:ind w:left="420"/>
              <w:spacing w:after="0"/>
              <w:rPr>
                <w:sz w:val="20"/>
                <w:szCs w:val="20"/>
                <w:color w:val="auto"/>
              </w:rPr>
            </w:pPr>
            <w:r>
              <w:rPr>
                <w:rFonts w:ascii="Arial" w:cs="Arial" w:eastAsia="Arial" w:hAnsi="Arial"/>
                <w:sz w:val="18"/>
                <w:szCs w:val="18"/>
                <w:color w:val="auto"/>
                <w:w w:val="98"/>
              </w:rPr>
              <w:t>Third Supplemental Indenture, dated as of February 5, 2010, to the June 6, 2005 Indenture between Boulder Acquisition Corp.,</w:t>
            </w:r>
          </w:p>
        </w:tc>
      </w:tr>
      <w:tr>
        <w:trPr>
          <w:trHeight w:val="211"/>
        </w:trPr>
        <w:tc>
          <w:tcPr>
            <w:tcW w:w="960" w:type="dxa"/>
            <w:vAlign w:val="bottom"/>
          </w:tcPr>
          <w:p>
            <w:pPr>
              <w:spacing w:after="0"/>
              <w:rPr>
                <w:sz w:val="18"/>
                <w:szCs w:val="18"/>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rPr>
              <w:t>the successor to ACS, and The Bank of New York Trust Company, N.A.</w:t>
            </w:r>
          </w:p>
        </w:tc>
      </w:tr>
      <w:tr>
        <w:trPr>
          <w:trHeight w:val="302"/>
        </w:trPr>
        <w:tc>
          <w:tcPr>
            <w:tcW w:w="960" w:type="dxa"/>
            <w:vAlign w:val="bottom"/>
          </w:tcPr>
          <w:p>
            <w:pPr>
              <w:spacing w:after="0"/>
              <w:rPr>
                <w:sz w:val="24"/>
                <w:szCs w:val="24"/>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w w:val="98"/>
              </w:rPr>
              <w:t>Incorporated by reference to Exhibit 4(j)(4) to Registrant’s Annual Report on Form 10-K for the fiscal year ended December 31,</w:t>
            </w:r>
          </w:p>
        </w:tc>
      </w:tr>
      <w:tr>
        <w:trPr>
          <w:trHeight w:val="211"/>
        </w:trPr>
        <w:tc>
          <w:tcPr>
            <w:tcW w:w="960" w:type="dxa"/>
            <w:vAlign w:val="bottom"/>
          </w:tcPr>
          <w:p>
            <w:pPr>
              <w:spacing w:after="0"/>
              <w:rPr>
                <w:sz w:val="18"/>
                <w:szCs w:val="18"/>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rPr>
              <w:t>2009.</w:t>
            </w:r>
          </w:p>
        </w:tc>
      </w:tr>
      <w:tr>
        <w:trPr>
          <w:trHeight w:val="302"/>
        </w:trPr>
        <w:tc>
          <w:tcPr>
            <w:tcW w:w="960" w:type="dxa"/>
            <w:vAlign w:val="bottom"/>
          </w:tcPr>
          <w:p>
            <w:pPr>
              <w:spacing w:after="0"/>
              <w:rPr>
                <w:sz w:val="20"/>
                <w:szCs w:val="20"/>
                <w:color w:val="auto"/>
              </w:rPr>
            </w:pPr>
            <w:r>
              <w:rPr>
                <w:rFonts w:ascii="Arial" w:cs="Arial" w:eastAsia="Arial" w:hAnsi="Arial"/>
                <w:sz w:val="18"/>
                <w:szCs w:val="18"/>
                <w:color w:val="auto"/>
              </w:rPr>
              <w:t>4(h)</w:t>
            </w:r>
          </w:p>
        </w:tc>
        <w:tc>
          <w:tcPr>
            <w:tcW w:w="10360" w:type="dxa"/>
            <w:vAlign w:val="bottom"/>
          </w:tcPr>
          <w:p>
            <w:pPr>
              <w:ind w:left="420"/>
              <w:spacing w:after="0"/>
              <w:rPr>
                <w:sz w:val="20"/>
                <w:szCs w:val="20"/>
                <w:color w:val="auto"/>
              </w:rPr>
            </w:pPr>
            <w:r>
              <w:rPr>
                <w:rFonts w:ascii="Arial" w:cs="Arial" w:eastAsia="Arial" w:hAnsi="Arial"/>
                <w:sz w:val="18"/>
                <w:szCs w:val="18"/>
                <w:color w:val="auto"/>
              </w:rPr>
              <w:t>Instruments with respect to long-term debt where the total amount of securities authorized thereunder does not exceed 10</w:t>
            </w:r>
          </w:p>
        </w:tc>
      </w:tr>
      <w:tr>
        <w:trPr>
          <w:trHeight w:val="203"/>
        </w:trPr>
        <w:tc>
          <w:tcPr>
            <w:tcW w:w="960" w:type="dxa"/>
            <w:vAlign w:val="bottom"/>
          </w:tcPr>
          <w:p>
            <w:pPr>
              <w:spacing w:after="0"/>
              <w:rPr>
                <w:sz w:val="17"/>
                <w:szCs w:val="17"/>
                <w:color w:val="auto"/>
              </w:rPr>
            </w:pPr>
          </w:p>
        </w:tc>
        <w:tc>
          <w:tcPr>
            <w:tcW w:w="10360" w:type="dxa"/>
            <w:vAlign w:val="bottom"/>
          </w:tcPr>
          <w:p>
            <w:pPr>
              <w:ind w:left="420"/>
              <w:spacing w:after="0" w:line="202" w:lineRule="exact"/>
              <w:rPr>
                <w:sz w:val="20"/>
                <w:szCs w:val="20"/>
                <w:color w:val="auto"/>
              </w:rPr>
            </w:pPr>
            <w:r>
              <w:rPr>
                <w:rFonts w:ascii="Arial" w:cs="Arial" w:eastAsia="Arial" w:hAnsi="Arial"/>
                <w:sz w:val="18"/>
                <w:szCs w:val="18"/>
                <w:color w:val="auto"/>
                <w:w w:val="99"/>
              </w:rPr>
              <w:t>percent of the total assets of Registrant and its subsidiaries on a consolidated basis have not been filed. Registrant agrees to</w:t>
            </w:r>
          </w:p>
        </w:tc>
      </w:tr>
      <w:tr>
        <w:trPr>
          <w:trHeight w:val="211"/>
        </w:trPr>
        <w:tc>
          <w:tcPr>
            <w:tcW w:w="960" w:type="dxa"/>
            <w:vAlign w:val="bottom"/>
          </w:tcPr>
          <w:p>
            <w:pPr>
              <w:spacing w:after="0"/>
              <w:rPr>
                <w:sz w:val="18"/>
                <w:szCs w:val="18"/>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rPr>
              <w:t>furnish to the Commission a copy of each such instrument upon request.</w:t>
            </w:r>
          </w:p>
        </w:tc>
      </w:tr>
    </w:tbl>
    <w:p>
      <w:pPr>
        <w:spacing w:after="0" w:line="100" w:lineRule="exact"/>
        <w:rPr>
          <w:sz w:val="20"/>
          <w:szCs w:val="20"/>
          <w:color w:val="auto"/>
        </w:rPr>
      </w:pPr>
    </w:p>
    <w:p>
      <w:pPr>
        <w:ind w:left="1380" w:right="200" w:hanging="1372"/>
        <w:spacing w:after="0" w:line="264" w:lineRule="auto"/>
        <w:tabs>
          <w:tab w:leader="none" w:pos="13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management contracts or compensatory plans or arrangements listed below that are applicable to the executive officers named in the Summary Compensation Table which appears in Registrant’s 2010 Proxy Statement are preceded by an asterisk</w:t>
      </w:r>
    </w:p>
    <w:p>
      <w:pPr>
        <w:ind w:left="1380"/>
        <w:spacing w:after="0"/>
        <w:rPr>
          <w:rFonts w:ascii="Arial" w:cs="Arial" w:eastAsia="Arial" w:hAnsi="Arial"/>
          <w:sz w:val="16"/>
          <w:szCs w:val="16"/>
          <w:color w:val="auto"/>
        </w:rPr>
      </w:pPr>
      <w:r>
        <w:rPr>
          <w:rFonts w:ascii="Arial" w:cs="Arial" w:eastAsia="Arial" w:hAnsi="Arial"/>
          <w:sz w:val="18"/>
          <w:szCs w:val="18"/>
          <w:color w:val="auto"/>
        </w:rPr>
        <w:t>(*).</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040" w:type="dxa"/>
            <w:vAlign w:val="bottom"/>
          </w:tcPr>
          <w:p>
            <w:pPr>
              <w:spacing w:after="0"/>
              <w:rPr>
                <w:sz w:val="20"/>
                <w:szCs w:val="20"/>
                <w:color w:val="auto"/>
              </w:rPr>
            </w:pPr>
            <w:r>
              <w:rPr>
                <w:rFonts w:ascii="Arial" w:cs="Arial" w:eastAsia="Arial" w:hAnsi="Arial"/>
                <w:sz w:val="18"/>
                <w:szCs w:val="18"/>
                <w:color w:val="auto"/>
              </w:rPr>
              <w:t>*10(a)(1)</w:t>
            </w:r>
          </w:p>
        </w:tc>
        <w:tc>
          <w:tcPr>
            <w:tcW w:w="10340" w:type="dxa"/>
            <w:vAlign w:val="bottom"/>
          </w:tcPr>
          <w:p>
            <w:pPr>
              <w:ind w:left="340"/>
              <w:spacing w:after="0"/>
              <w:rPr>
                <w:sz w:val="20"/>
                <w:szCs w:val="20"/>
                <w:color w:val="auto"/>
              </w:rPr>
            </w:pPr>
            <w:r>
              <w:rPr>
                <w:rFonts w:ascii="Arial" w:cs="Arial" w:eastAsia="Arial" w:hAnsi="Arial"/>
                <w:sz w:val="18"/>
                <w:szCs w:val="18"/>
                <w:color w:val="auto"/>
              </w:rPr>
              <w:t>Registrant’s Form of Separation Agreement (with salary continuance) – February 2010.</w:t>
            </w:r>
          </w:p>
        </w:tc>
      </w:tr>
      <w:tr>
        <w:trPr>
          <w:trHeight w:val="302"/>
        </w:trPr>
        <w:tc>
          <w:tcPr>
            <w:tcW w:w="1040" w:type="dxa"/>
            <w:vAlign w:val="bottom"/>
          </w:tcPr>
          <w:p>
            <w:pPr>
              <w:spacing w:after="0"/>
              <w:rPr>
                <w:sz w:val="24"/>
                <w:szCs w:val="24"/>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w w:val="97"/>
              </w:rPr>
              <w:t>Incorporated by reference to Exhibit 10(a)(1) to Registrant’s Annual Report on Form 10-K for the fiscal year ended December 31,</w:t>
            </w:r>
          </w:p>
        </w:tc>
      </w:tr>
      <w:tr>
        <w:trPr>
          <w:trHeight w:val="211"/>
        </w:trPr>
        <w:tc>
          <w:tcPr>
            <w:tcW w:w="104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rPr>
              <w:t>2009.</w:t>
            </w:r>
          </w:p>
        </w:tc>
      </w:tr>
      <w:tr>
        <w:trPr>
          <w:trHeight w:val="311"/>
        </w:trPr>
        <w:tc>
          <w:tcPr>
            <w:tcW w:w="1040" w:type="dxa"/>
            <w:vAlign w:val="bottom"/>
          </w:tcPr>
          <w:p>
            <w:pPr>
              <w:spacing w:after="0"/>
              <w:rPr>
                <w:sz w:val="20"/>
                <w:szCs w:val="20"/>
                <w:color w:val="auto"/>
              </w:rPr>
            </w:pPr>
            <w:r>
              <w:rPr>
                <w:rFonts w:ascii="Arial" w:cs="Arial" w:eastAsia="Arial" w:hAnsi="Arial"/>
                <w:sz w:val="18"/>
                <w:szCs w:val="18"/>
                <w:color w:val="auto"/>
              </w:rPr>
              <w:t>*10(a)(2)</w:t>
            </w:r>
          </w:p>
        </w:tc>
        <w:tc>
          <w:tcPr>
            <w:tcW w:w="10340" w:type="dxa"/>
            <w:vAlign w:val="bottom"/>
          </w:tcPr>
          <w:p>
            <w:pPr>
              <w:ind w:left="340"/>
              <w:spacing w:after="0"/>
              <w:rPr>
                <w:sz w:val="20"/>
                <w:szCs w:val="20"/>
                <w:color w:val="auto"/>
              </w:rPr>
            </w:pPr>
            <w:r>
              <w:rPr>
                <w:rFonts w:ascii="Arial" w:cs="Arial" w:eastAsia="Arial" w:hAnsi="Arial"/>
                <w:sz w:val="18"/>
                <w:szCs w:val="18"/>
                <w:color w:val="auto"/>
              </w:rPr>
              <w:t>Registrant’s Form of Separation Agreement (without salary continuance) – February 2010.</w:t>
            </w:r>
          </w:p>
        </w:tc>
      </w:tr>
      <w:tr>
        <w:trPr>
          <w:trHeight w:val="302"/>
        </w:trPr>
        <w:tc>
          <w:tcPr>
            <w:tcW w:w="1040" w:type="dxa"/>
            <w:vAlign w:val="bottom"/>
          </w:tcPr>
          <w:p>
            <w:pPr>
              <w:spacing w:after="0"/>
              <w:rPr>
                <w:sz w:val="24"/>
                <w:szCs w:val="24"/>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w w:val="97"/>
              </w:rPr>
              <w:t>Incorporated by reference to Exhibit 10(a)(2) to Registrant’s Annual Report on Form 10-K for the fiscal year ended December 31,</w:t>
            </w:r>
          </w:p>
        </w:tc>
      </w:tr>
      <w:tr>
        <w:trPr>
          <w:trHeight w:val="211"/>
        </w:trPr>
        <w:tc>
          <w:tcPr>
            <w:tcW w:w="104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rPr>
              <w:t>2009.</w:t>
            </w:r>
          </w:p>
        </w:tc>
      </w:tr>
      <w:tr>
        <w:trPr>
          <w:trHeight w:val="311"/>
        </w:trPr>
        <w:tc>
          <w:tcPr>
            <w:tcW w:w="1040" w:type="dxa"/>
            <w:vAlign w:val="bottom"/>
          </w:tcPr>
          <w:p>
            <w:pPr>
              <w:spacing w:after="0"/>
              <w:rPr>
                <w:sz w:val="20"/>
                <w:szCs w:val="20"/>
                <w:color w:val="auto"/>
              </w:rPr>
            </w:pPr>
            <w:r>
              <w:rPr>
                <w:rFonts w:ascii="Arial" w:cs="Arial" w:eastAsia="Arial" w:hAnsi="Arial"/>
                <w:sz w:val="18"/>
                <w:szCs w:val="18"/>
                <w:color w:val="auto"/>
              </w:rPr>
              <w:t>*10(b)(1)</w:t>
            </w:r>
          </w:p>
        </w:tc>
        <w:tc>
          <w:tcPr>
            <w:tcW w:w="10340" w:type="dxa"/>
            <w:vAlign w:val="bottom"/>
          </w:tcPr>
          <w:p>
            <w:pPr>
              <w:ind w:left="340"/>
              <w:spacing w:after="0"/>
              <w:rPr>
                <w:sz w:val="20"/>
                <w:szCs w:val="20"/>
                <w:color w:val="auto"/>
              </w:rPr>
            </w:pPr>
            <w:r>
              <w:rPr>
                <w:rFonts w:ascii="Arial" w:cs="Arial" w:eastAsia="Arial" w:hAnsi="Arial"/>
                <w:sz w:val="18"/>
                <w:szCs w:val="18"/>
                <w:color w:val="auto"/>
              </w:rPr>
              <w:t>Registrant’s 1991 Long-Term Incentive Plan, as amended and restated December 4, 2007 (“1991 LTIP”).</w:t>
            </w:r>
          </w:p>
        </w:tc>
      </w:tr>
      <w:tr>
        <w:trPr>
          <w:trHeight w:val="302"/>
        </w:trPr>
        <w:tc>
          <w:tcPr>
            <w:tcW w:w="1040" w:type="dxa"/>
            <w:vAlign w:val="bottom"/>
          </w:tcPr>
          <w:p>
            <w:pPr>
              <w:spacing w:after="0"/>
              <w:rPr>
                <w:sz w:val="24"/>
                <w:szCs w:val="24"/>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w w:val="97"/>
              </w:rPr>
              <w:t>Incorporated by reference to Exhibit 10(b)(1) to Registrant’s Annual Report on Form 10-K for the fiscal year ended December 31,</w:t>
            </w:r>
          </w:p>
        </w:tc>
      </w:tr>
      <w:tr>
        <w:trPr>
          <w:trHeight w:val="211"/>
        </w:trPr>
        <w:tc>
          <w:tcPr>
            <w:tcW w:w="104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rPr>
              <w:t>2007.</w:t>
            </w:r>
          </w:p>
        </w:tc>
      </w:tr>
      <w:tr>
        <w:trPr>
          <w:trHeight w:val="311"/>
        </w:trPr>
        <w:tc>
          <w:tcPr>
            <w:tcW w:w="1040" w:type="dxa"/>
            <w:vAlign w:val="bottom"/>
          </w:tcPr>
          <w:p>
            <w:pPr>
              <w:spacing w:after="0"/>
              <w:rPr>
                <w:sz w:val="20"/>
                <w:szCs w:val="20"/>
                <w:color w:val="auto"/>
              </w:rPr>
            </w:pPr>
            <w:r>
              <w:rPr>
                <w:rFonts w:ascii="Arial" w:cs="Arial" w:eastAsia="Arial" w:hAnsi="Arial"/>
                <w:sz w:val="18"/>
                <w:szCs w:val="18"/>
                <w:color w:val="auto"/>
              </w:rPr>
              <w:t>*10(b)(2)</w:t>
            </w:r>
          </w:p>
        </w:tc>
        <w:tc>
          <w:tcPr>
            <w:tcW w:w="10340" w:type="dxa"/>
            <w:vAlign w:val="bottom"/>
          </w:tcPr>
          <w:p>
            <w:pPr>
              <w:ind w:left="340"/>
              <w:spacing w:after="0"/>
              <w:rPr>
                <w:sz w:val="20"/>
                <w:szCs w:val="20"/>
                <w:color w:val="auto"/>
              </w:rPr>
            </w:pPr>
            <w:r>
              <w:rPr>
                <w:rFonts w:ascii="Arial" w:cs="Arial" w:eastAsia="Arial" w:hAnsi="Arial"/>
                <w:sz w:val="18"/>
                <w:szCs w:val="18"/>
                <w:color w:val="auto"/>
              </w:rPr>
              <w:t>Form of Agreements under 1991 LTIP, as amended through July 12, 2007.</w:t>
            </w:r>
          </w:p>
        </w:tc>
      </w:tr>
      <w:tr>
        <w:trPr>
          <w:trHeight w:val="302"/>
        </w:trPr>
        <w:tc>
          <w:tcPr>
            <w:tcW w:w="1040" w:type="dxa"/>
            <w:vAlign w:val="bottom"/>
          </w:tcPr>
          <w:p>
            <w:pPr>
              <w:spacing w:after="0"/>
              <w:rPr>
                <w:sz w:val="24"/>
                <w:szCs w:val="24"/>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w w:val="97"/>
              </w:rPr>
              <w:t>Incorporated by reference to Exhibit 10(b)(2) to Registrant’s Annual Report on Form 10-K for the fiscal year ended December 31,</w:t>
            </w:r>
          </w:p>
        </w:tc>
      </w:tr>
      <w:tr>
        <w:trPr>
          <w:trHeight w:val="211"/>
        </w:trPr>
        <w:tc>
          <w:tcPr>
            <w:tcW w:w="104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rPr>
              <w:t>2007.</w:t>
            </w:r>
          </w:p>
        </w:tc>
      </w:tr>
      <w:tr>
        <w:trPr>
          <w:trHeight w:val="311"/>
        </w:trPr>
        <w:tc>
          <w:tcPr>
            <w:tcW w:w="1040" w:type="dxa"/>
            <w:vAlign w:val="bottom"/>
          </w:tcPr>
          <w:p>
            <w:pPr>
              <w:spacing w:after="0"/>
              <w:rPr>
                <w:sz w:val="20"/>
                <w:szCs w:val="20"/>
                <w:color w:val="auto"/>
              </w:rPr>
            </w:pPr>
            <w:r>
              <w:rPr>
                <w:rFonts w:ascii="Arial" w:cs="Arial" w:eastAsia="Arial" w:hAnsi="Arial"/>
                <w:sz w:val="18"/>
                <w:szCs w:val="18"/>
                <w:color w:val="auto"/>
              </w:rPr>
              <w:t>*10(b)(3)</w:t>
            </w:r>
          </w:p>
        </w:tc>
        <w:tc>
          <w:tcPr>
            <w:tcW w:w="10340" w:type="dxa"/>
            <w:vAlign w:val="bottom"/>
          </w:tcPr>
          <w:p>
            <w:pPr>
              <w:ind w:left="340"/>
              <w:spacing w:after="0"/>
              <w:rPr>
                <w:sz w:val="20"/>
                <w:szCs w:val="20"/>
                <w:color w:val="auto"/>
              </w:rPr>
            </w:pPr>
            <w:r>
              <w:rPr>
                <w:rFonts w:ascii="Arial" w:cs="Arial" w:eastAsia="Arial" w:hAnsi="Arial"/>
                <w:sz w:val="18"/>
                <w:szCs w:val="18"/>
                <w:color w:val="auto"/>
              </w:rPr>
              <w:t>Amendment dated December 4, 2007 to 1991 LTIP.</w:t>
            </w:r>
          </w:p>
        </w:tc>
      </w:tr>
      <w:tr>
        <w:trPr>
          <w:trHeight w:val="302"/>
        </w:trPr>
        <w:tc>
          <w:tcPr>
            <w:tcW w:w="1040" w:type="dxa"/>
            <w:vAlign w:val="bottom"/>
          </w:tcPr>
          <w:p>
            <w:pPr>
              <w:spacing w:after="0"/>
              <w:rPr>
                <w:sz w:val="24"/>
                <w:szCs w:val="24"/>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w w:val="97"/>
              </w:rPr>
              <w:t>Incorporated by reference to Exhibit 10(b)(3) to Registrant’s Annual Report on Form 10-K for the fiscal year ended December 31,</w:t>
            </w:r>
          </w:p>
        </w:tc>
      </w:tr>
      <w:tr>
        <w:trPr>
          <w:trHeight w:val="211"/>
        </w:trPr>
        <w:tc>
          <w:tcPr>
            <w:tcW w:w="104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rPr>
              <w:t>2007.</w:t>
            </w:r>
          </w:p>
        </w:tc>
      </w:tr>
      <w:tr>
        <w:trPr>
          <w:trHeight w:val="311"/>
        </w:trPr>
        <w:tc>
          <w:tcPr>
            <w:tcW w:w="1040" w:type="dxa"/>
            <w:vAlign w:val="bottom"/>
          </w:tcPr>
          <w:p>
            <w:pPr>
              <w:spacing w:after="0"/>
              <w:rPr>
                <w:sz w:val="20"/>
                <w:szCs w:val="20"/>
                <w:color w:val="auto"/>
              </w:rPr>
            </w:pPr>
            <w:r>
              <w:rPr>
                <w:rFonts w:ascii="Arial" w:cs="Arial" w:eastAsia="Arial" w:hAnsi="Arial"/>
                <w:sz w:val="18"/>
                <w:szCs w:val="18"/>
                <w:color w:val="auto"/>
              </w:rPr>
              <w:t>10(c)(1)</w:t>
            </w:r>
          </w:p>
        </w:tc>
        <w:tc>
          <w:tcPr>
            <w:tcW w:w="10340" w:type="dxa"/>
            <w:vAlign w:val="bottom"/>
          </w:tcPr>
          <w:p>
            <w:pPr>
              <w:ind w:left="340"/>
              <w:spacing w:after="0"/>
              <w:rPr>
                <w:sz w:val="20"/>
                <w:szCs w:val="20"/>
                <w:color w:val="auto"/>
              </w:rPr>
            </w:pPr>
            <w:r>
              <w:rPr>
                <w:rFonts w:ascii="Arial" w:cs="Arial" w:eastAsia="Arial" w:hAnsi="Arial"/>
                <w:sz w:val="18"/>
                <w:szCs w:val="18"/>
                <w:color w:val="auto"/>
              </w:rPr>
              <w:t>Registrant’s 1996 Non-employee Director Stock Option Plan, as amended and restated December 5, 2007 (“1996 NDSOP”).</w:t>
            </w:r>
          </w:p>
        </w:tc>
      </w:tr>
      <w:tr>
        <w:trPr>
          <w:trHeight w:val="302"/>
        </w:trPr>
        <w:tc>
          <w:tcPr>
            <w:tcW w:w="1040" w:type="dxa"/>
            <w:vAlign w:val="bottom"/>
          </w:tcPr>
          <w:p>
            <w:pPr>
              <w:spacing w:after="0"/>
              <w:rPr>
                <w:sz w:val="24"/>
                <w:szCs w:val="24"/>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w w:val="97"/>
              </w:rPr>
              <w:t>Incorporated by reference to Exhibit 10(c)(1) to Registrant’s Annual Report on Form 10-K for the fiscal year ended December 31,</w:t>
            </w:r>
          </w:p>
        </w:tc>
      </w:tr>
      <w:tr>
        <w:trPr>
          <w:trHeight w:val="211"/>
        </w:trPr>
        <w:tc>
          <w:tcPr>
            <w:tcW w:w="104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rPr>
              <w:t>2007.</w:t>
            </w:r>
          </w:p>
        </w:tc>
      </w:tr>
      <w:tr>
        <w:trPr>
          <w:trHeight w:val="311"/>
        </w:trPr>
        <w:tc>
          <w:tcPr>
            <w:tcW w:w="1040" w:type="dxa"/>
            <w:vAlign w:val="bottom"/>
          </w:tcPr>
          <w:p>
            <w:pPr>
              <w:spacing w:after="0"/>
              <w:rPr>
                <w:sz w:val="20"/>
                <w:szCs w:val="20"/>
                <w:color w:val="auto"/>
              </w:rPr>
            </w:pPr>
            <w:r>
              <w:rPr>
                <w:rFonts w:ascii="Arial" w:cs="Arial" w:eastAsia="Arial" w:hAnsi="Arial"/>
                <w:sz w:val="18"/>
                <w:szCs w:val="18"/>
                <w:color w:val="auto"/>
              </w:rPr>
              <w:t>10(c)(2)</w:t>
            </w:r>
          </w:p>
        </w:tc>
        <w:tc>
          <w:tcPr>
            <w:tcW w:w="10340" w:type="dxa"/>
            <w:vAlign w:val="bottom"/>
          </w:tcPr>
          <w:p>
            <w:pPr>
              <w:ind w:left="340"/>
              <w:spacing w:after="0"/>
              <w:rPr>
                <w:sz w:val="20"/>
                <w:szCs w:val="20"/>
                <w:color w:val="auto"/>
              </w:rPr>
            </w:pPr>
            <w:r>
              <w:rPr>
                <w:rFonts w:ascii="Arial" w:cs="Arial" w:eastAsia="Arial" w:hAnsi="Arial"/>
                <w:sz w:val="18"/>
                <w:szCs w:val="18"/>
                <w:color w:val="auto"/>
              </w:rPr>
              <w:t>Amendment dated December 5, 2007 to 1996 NDSOP.</w:t>
            </w:r>
          </w:p>
        </w:tc>
      </w:tr>
      <w:tr>
        <w:trPr>
          <w:trHeight w:val="302"/>
        </w:trPr>
        <w:tc>
          <w:tcPr>
            <w:tcW w:w="1040" w:type="dxa"/>
            <w:vAlign w:val="bottom"/>
          </w:tcPr>
          <w:p>
            <w:pPr>
              <w:spacing w:after="0"/>
              <w:rPr>
                <w:sz w:val="24"/>
                <w:szCs w:val="24"/>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w w:val="97"/>
              </w:rPr>
              <w:t>Incorporated by reference to Exhibit 10(c)(2) to Registrant’s Annual Report on Form 10-K for the fiscal year ended December 31,</w:t>
            </w:r>
          </w:p>
        </w:tc>
      </w:tr>
      <w:tr>
        <w:trPr>
          <w:trHeight w:val="211"/>
        </w:trPr>
        <w:tc>
          <w:tcPr>
            <w:tcW w:w="104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rPr>
              <w:t>2007.</w:t>
            </w:r>
          </w:p>
        </w:tc>
      </w:tr>
      <w:tr>
        <w:trPr>
          <w:trHeight w:val="351"/>
        </w:trPr>
        <w:tc>
          <w:tcPr>
            <w:tcW w:w="1040" w:type="dxa"/>
            <w:vAlign w:val="bottom"/>
          </w:tcPr>
          <w:p>
            <w:pPr>
              <w:spacing w:after="0"/>
              <w:rPr>
                <w:sz w:val="24"/>
                <w:szCs w:val="24"/>
                <w:color w:val="auto"/>
              </w:rPr>
            </w:pPr>
          </w:p>
        </w:tc>
        <w:tc>
          <w:tcPr>
            <w:tcW w:w="10340" w:type="dxa"/>
            <w:vAlign w:val="bottom"/>
          </w:tcPr>
          <w:p>
            <w:pPr>
              <w:ind w:left="462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10(d)(1)</w:t>
            </w:r>
          </w:p>
        </w:tc>
        <w:tc>
          <w:tcPr>
            <w:tcW w:w="10340" w:type="dxa"/>
            <w:vAlign w:val="bottom"/>
          </w:tcPr>
          <w:p>
            <w:pPr>
              <w:ind w:left="340"/>
              <w:spacing w:after="0"/>
              <w:rPr>
                <w:sz w:val="20"/>
                <w:szCs w:val="20"/>
                <w:color w:val="auto"/>
              </w:rPr>
            </w:pPr>
            <w:r>
              <w:rPr>
                <w:rFonts w:ascii="Arial" w:cs="Arial" w:eastAsia="Arial" w:hAnsi="Arial"/>
                <w:sz w:val="18"/>
                <w:szCs w:val="18"/>
                <w:color w:val="auto"/>
                <w:w w:val="98"/>
              </w:rPr>
              <w:t>Registrant’s 2004 Equity Compensation Plan for Non-Employee Directors, as amended and restated December 5, 2007 (“2004</w:t>
            </w:r>
          </w:p>
        </w:tc>
      </w:tr>
      <w:tr>
        <w:trPr>
          <w:trHeight w:val="211"/>
        </w:trPr>
        <w:tc>
          <w:tcPr>
            <w:tcW w:w="104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rPr>
              <w:t>ECPNED”).</w:t>
            </w:r>
          </w:p>
        </w:tc>
      </w:tr>
      <w:tr>
        <w:trPr>
          <w:trHeight w:val="302"/>
        </w:trPr>
        <w:tc>
          <w:tcPr>
            <w:tcW w:w="1040" w:type="dxa"/>
            <w:vAlign w:val="bottom"/>
          </w:tcPr>
          <w:p>
            <w:pPr>
              <w:spacing w:after="0"/>
              <w:rPr>
                <w:sz w:val="24"/>
                <w:szCs w:val="24"/>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w w:val="97"/>
              </w:rPr>
              <w:t>Incorporated by reference to Exhibit 10(d)(1) to Registrant’s Annual Report on Form 10-K for the fiscal year ended December 31,</w:t>
            </w:r>
          </w:p>
        </w:tc>
      </w:tr>
      <w:tr>
        <w:trPr>
          <w:trHeight w:val="211"/>
        </w:trPr>
        <w:tc>
          <w:tcPr>
            <w:tcW w:w="104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rPr>
              <w:t>2007.</w:t>
            </w:r>
          </w:p>
        </w:tc>
      </w:tr>
      <w:tr>
        <w:trPr>
          <w:trHeight w:val="311"/>
        </w:trPr>
        <w:tc>
          <w:tcPr>
            <w:tcW w:w="1040" w:type="dxa"/>
            <w:vAlign w:val="bottom"/>
          </w:tcPr>
          <w:p>
            <w:pPr>
              <w:spacing w:after="0"/>
              <w:rPr>
                <w:sz w:val="20"/>
                <w:szCs w:val="20"/>
                <w:color w:val="auto"/>
              </w:rPr>
            </w:pPr>
            <w:r>
              <w:rPr>
                <w:rFonts w:ascii="Arial" w:cs="Arial" w:eastAsia="Arial" w:hAnsi="Arial"/>
                <w:sz w:val="18"/>
                <w:szCs w:val="18"/>
                <w:color w:val="auto"/>
              </w:rPr>
              <w:t>10(d)(2)</w:t>
            </w:r>
          </w:p>
        </w:tc>
        <w:tc>
          <w:tcPr>
            <w:tcW w:w="10340" w:type="dxa"/>
            <w:vAlign w:val="bottom"/>
          </w:tcPr>
          <w:p>
            <w:pPr>
              <w:ind w:left="340"/>
              <w:spacing w:after="0"/>
              <w:rPr>
                <w:sz w:val="20"/>
                <w:szCs w:val="20"/>
                <w:color w:val="auto"/>
              </w:rPr>
            </w:pPr>
            <w:r>
              <w:rPr>
                <w:rFonts w:ascii="Arial" w:cs="Arial" w:eastAsia="Arial" w:hAnsi="Arial"/>
                <w:sz w:val="18"/>
                <w:szCs w:val="18"/>
                <w:color w:val="auto"/>
              </w:rPr>
              <w:t>Form of Agreement under 2004 ECPNED.</w:t>
            </w:r>
          </w:p>
        </w:tc>
      </w:tr>
      <w:tr>
        <w:trPr>
          <w:trHeight w:val="302"/>
        </w:trPr>
        <w:tc>
          <w:tcPr>
            <w:tcW w:w="1040" w:type="dxa"/>
            <w:vAlign w:val="bottom"/>
          </w:tcPr>
          <w:p>
            <w:pPr>
              <w:spacing w:after="0"/>
              <w:rPr>
                <w:sz w:val="24"/>
                <w:szCs w:val="24"/>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rPr>
              <w:t>Incorporated by reference to Exhibit 10(d)(2) to Registrant’s Quarterly Report on Form 10-Q for the Quarter ended March 31,</w:t>
            </w:r>
          </w:p>
        </w:tc>
      </w:tr>
      <w:tr>
        <w:trPr>
          <w:trHeight w:val="211"/>
        </w:trPr>
        <w:tc>
          <w:tcPr>
            <w:tcW w:w="104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rPr>
              <w:t>2005.</w:t>
            </w:r>
          </w:p>
        </w:tc>
      </w:tr>
      <w:tr>
        <w:trPr>
          <w:trHeight w:val="311"/>
        </w:trPr>
        <w:tc>
          <w:tcPr>
            <w:tcW w:w="1040" w:type="dxa"/>
            <w:vAlign w:val="bottom"/>
          </w:tcPr>
          <w:p>
            <w:pPr>
              <w:spacing w:after="0"/>
              <w:rPr>
                <w:sz w:val="20"/>
                <w:szCs w:val="20"/>
                <w:color w:val="auto"/>
              </w:rPr>
            </w:pPr>
            <w:r>
              <w:rPr>
                <w:rFonts w:ascii="Arial" w:cs="Arial" w:eastAsia="Arial" w:hAnsi="Arial"/>
                <w:sz w:val="18"/>
                <w:szCs w:val="18"/>
                <w:color w:val="auto"/>
              </w:rPr>
              <w:t>10(d)(3)</w:t>
            </w:r>
          </w:p>
        </w:tc>
        <w:tc>
          <w:tcPr>
            <w:tcW w:w="10340" w:type="dxa"/>
            <w:vAlign w:val="bottom"/>
          </w:tcPr>
          <w:p>
            <w:pPr>
              <w:ind w:left="340"/>
              <w:spacing w:after="0"/>
              <w:rPr>
                <w:sz w:val="20"/>
                <w:szCs w:val="20"/>
                <w:color w:val="auto"/>
              </w:rPr>
            </w:pPr>
            <w:r>
              <w:rPr>
                <w:rFonts w:ascii="Arial" w:cs="Arial" w:eastAsia="Arial" w:hAnsi="Arial"/>
                <w:sz w:val="18"/>
                <w:szCs w:val="18"/>
                <w:color w:val="auto"/>
              </w:rPr>
              <w:t>Form of Grant Summary under 2004 ECPNED.</w:t>
            </w:r>
          </w:p>
        </w:tc>
      </w:tr>
      <w:tr>
        <w:trPr>
          <w:trHeight w:val="302"/>
        </w:trPr>
        <w:tc>
          <w:tcPr>
            <w:tcW w:w="1040" w:type="dxa"/>
            <w:vAlign w:val="bottom"/>
          </w:tcPr>
          <w:p>
            <w:pPr>
              <w:spacing w:after="0"/>
              <w:rPr>
                <w:sz w:val="24"/>
                <w:szCs w:val="24"/>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rPr>
              <w:t>Incorporated by reference to Exhibit 10(d)(3) to Registrant’s Quarterly Report on Form 10-Q for the Quarter ended March 31,</w:t>
            </w:r>
          </w:p>
        </w:tc>
      </w:tr>
      <w:tr>
        <w:trPr>
          <w:trHeight w:val="211"/>
        </w:trPr>
        <w:tc>
          <w:tcPr>
            <w:tcW w:w="104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rPr>
              <w:t>2005.</w:t>
            </w:r>
          </w:p>
        </w:tc>
      </w:tr>
      <w:tr>
        <w:trPr>
          <w:trHeight w:val="311"/>
        </w:trPr>
        <w:tc>
          <w:tcPr>
            <w:tcW w:w="1040" w:type="dxa"/>
            <w:vAlign w:val="bottom"/>
          </w:tcPr>
          <w:p>
            <w:pPr>
              <w:spacing w:after="0"/>
              <w:rPr>
                <w:sz w:val="20"/>
                <w:szCs w:val="20"/>
                <w:color w:val="auto"/>
              </w:rPr>
            </w:pPr>
            <w:r>
              <w:rPr>
                <w:rFonts w:ascii="Arial" w:cs="Arial" w:eastAsia="Arial" w:hAnsi="Arial"/>
                <w:sz w:val="18"/>
                <w:szCs w:val="18"/>
                <w:color w:val="auto"/>
              </w:rPr>
              <w:t>10(d)(4)</w:t>
            </w:r>
          </w:p>
        </w:tc>
        <w:tc>
          <w:tcPr>
            <w:tcW w:w="10340" w:type="dxa"/>
            <w:vAlign w:val="bottom"/>
          </w:tcPr>
          <w:p>
            <w:pPr>
              <w:ind w:left="340"/>
              <w:spacing w:after="0"/>
              <w:rPr>
                <w:sz w:val="20"/>
                <w:szCs w:val="20"/>
                <w:color w:val="auto"/>
              </w:rPr>
            </w:pPr>
            <w:r>
              <w:rPr>
                <w:rFonts w:ascii="Arial" w:cs="Arial" w:eastAsia="Arial" w:hAnsi="Arial"/>
                <w:sz w:val="18"/>
                <w:szCs w:val="18"/>
                <w:color w:val="auto"/>
              </w:rPr>
              <w:t>Form of DSU Deferral under 2004 ECPNED.</w:t>
            </w:r>
          </w:p>
        </w:tc>
      </w:tr>
      <w:tr>
        <w:trPr>
          <w:trHeight w:val="302"/>
        </w:trPr>
        <w:tc>
          <w:tcPr>
            <w:tcW w:w="1040" w:type="dxa"/>
            <w:vAlign w:val="bottom"/>
          </w:tcPr>
          <w:p>
            <w:pPr>
              <w:spacing w:after="0"/>
              <w:rPr>
                <w:sz w:val="24"/>
                <w:szCs w:val="24"/>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rPr>
              <w:t>Incorporated by reference to Exhibit 10(d)(4) to Registrant’s Quarterly Report on Form 10-Q for the Quarter ended March 31,</w:t>
            </w:r>
          </w:p>
        </w:tc>
      </w:tr>
      <w:tr>
        <w:trPr>
          <w:trHeight w:val="211"/>
        </w:trPr>
        <w:tc>
          <w:tcPr>
            <w:tcW w:w="104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rPr>
              <w:t>2005.</w:t>
            </w:r>
          </w:p>
        </w:tc>
      </w:tr>
      <w:tr>
        <w:trPr>
          <w:trHeight w:val="311"/>
        </w:trPr>
        <w:tc>
          <w:tcPr>
            <w:tcW w:w="1040" w:type="dxa"/>
            <w:vAlign w:val="bottom"/>
          </w:tcPr>
          <w:p>
            <w:pPr>
              <w:spacing w:after="0"/>
              <w:rPr>
                <w:sz w:val="20"/>
                <w:szCs w:val="20"/>
                <w:color w:val="auto"/>
              </w:rPr>
            </w:pPr>
            <w:r>
              <w:rPr>
                <w:rFonts w:ascii="Arial" w:cs="Arial" w:eastAsia="Arial" w:hAnsi="Arial"/>
                <w:sz w:val="18"/>
                <w:szCs w:val="18"/>
                <w:color w:val="auto"/>
              </w:rPr>
              <w:t>10(d)(5)</w:t>
            </w:r>
          </w:p>
        </w:tc>
        <w:tc>
          <w:tcPr>
            <w:tcW w:w="10340" w:type="dxa"/>
            <w:vAlign w:val="bottom"/>
          </w:tcPr>
          <w:p>
            <w:pPr>
              <w:ind w:left="340"/>
              <w:spacing w:after="0"/>
              <w:rPr>
                <w:sz w:val="20"/>
                <w:szCs w:val="20"/>
                <w:color w:val="auto"/>
              </w:rPr>
            </w:pPr>
            <w:r>
              <w:rPr>
                <w:rFonts w:ascii="Arial" w:cs="Arial" w:eastAsia="Arial" w:hAnsi="Arial"/>
                <w:sz w:val="18"/>
                <w:szCs w:val="18"/>
                <w:color w:val="auto"/>
              </w:rPr>
              <w:t>Amendment dated December 5, 2007 to 2004 ECPNED.</w:t>
            </w:r>
          </w:p>
        </w:tc>
      </w:tr>
      <w:tr>
        <w:trPr>
          <w:trHeight w:val="302"/>
        </w:trPr>
        <w:tc>
          <w:tcPr>
            <w:tcW w:w="1040" w:type="dxa"/>
            <w:vAlign w:val="bottom"/>
          </w:tcPr>
          <w:p>
            <w:pPr>
              <w:spacing w:after="0"/>
              <w:rPr>
                <w:sz w:val="24"/>
                <w:szCs w:val="24"/>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w w:val="97"/>
              </w:rPr>
              <w:t>Incorporated by reference to Exhibit 10(d)(5) to Registrant’s Annual Report on Form 10-K for the fiscal year ended December 31,</w:t>
            </w:r>
          </w:p>
        </w:tc>
      </w:tr>
      <w:tr>
        <w:trPr>
          <w:trHeight w:val="211"/>
        </w:trPr>
        <w:tc>
          <w:tcPr>
            <w:tcW w:w="104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rPr>
              <w:t>2007.</w:t>
            </w:r>
          </w:p>
        </w:tc>
      </w:tr>
      <w:tr>
        <w:trPr>
          <w:trHeight w:val="311"/>
        </w:trPr>
        <w:tc>
          <w:tcPr>
            <w:tcW w:w="1040" w:type="dxa"/>
            <w:vAlign w:val="bottom"/>
          </w:tcPr>
          <w:p>
            <w:pPr>
              <w:spacing w:after="0"/>
              <w:rPr>
                <w:sz w:val="20"/>
                <w:szCs w:val="20"/>
                <w:color w:val="auto"/>
              </w:rPr>
            </w:pPr>
            <w:r>
              <w:rPr>
                <w:rFonts w:ascii="Arial" w:cs="Arial" w:eastAsia="Arial" w:hAnsi="Arial"/>
                <w:sz w:val="18"/>
                <w:szCs w:val="18"/>
                <w:color w:val="auto"/>
              </w:rPr>
              <w:t>*10(e)(1)</w:t>
            </w:r>
          </w:p>
        </w:tc>
        <w:tc>
          <w:tcPr>
            <w:tcW w:w="10340" w:type="dxa"/>
            <w:vAlign w:val="bottom"/>
          </w:tcPr>
          <w:p>
            <w:pPr>
              <w:ind w:left="340"/>
              <w:spacing w:after="0"/>
              <w:rPr>
                <w:sz w:val="20"/>
                <w:szCs w:val="20"/>
                <w:color w:val="auto"/>
              </w:rPr>
            </w:pPr>
            <w:r>
              <w:rPr>
                <w:rFonts w:ascii="Arial" w:cs="Arial" w:eastAsia="Arial" w:hAnsi="Arial"/>
                <w:sz w:val="18"/>
                <w:szCs w:val="18"/>
                <w:color w:val="auto"/>
              </w:rPr>
              <w:t>Registrant’s 2004 Performance Incentive Plan, as amended and restated as of December 6, 2005 (“2004 PIP”).</w:t>
            </w:r>
          </w:p>
        </w:tc>
      </w:tr>
      <w:tr>
        <w:trPr>
          <w:trHeight w:val="302"/>
        </w:trPr>
        <w:tc>
          <w:tcPr>
            <w:tcW w:w="1040" w:type="dxa"/>
            <w:vAlign w:val="bottom"/>
          </w:tcPr>
          <w:p>
            <w:pPr>
              <w:spacing w:after="0"/>
              <w:rPr>
                <w:sz w:val="24"/>
                <w:szCs w:val="24"/>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w w:val="97"/>
              </w:rPr>
              <w:t>Incorporated by reference to Exhibit 10(e)(1) to Registrant’s Annual Report on Form 10-K for the fiscal year ended December 31,</w:t>
            </w:r>
          </w:p>
        </w:tc>
      </w:tr>
      <w:tr>
        <w:trPr>
          <w:trHeight w:val="211"/>
        </w:trPr>
        <w:tc>
          <w:tcPr>
            <w:tcW w:w="104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rPr>
              <w:t>2005.</w:t>
            </w:r>
          </w:p>
        </w:tc>
      </w:tr>
      <w:tr>
        <w:trPr>
          <w:trHeight w:val="311"/>
        </w:trPr>
        <w:tc>
          <w:tcPr>
            <w:tcW w:w="1040" w:type="dxa"/>
            <w:vAlign w:val="bottom"/>
          </w:tcPr>
          <w:p>
            <w:pPr>
              <w:spacing w:after="0"/>
              <w:rPr>
                <w:sz w:val="20"/>
                <w:szCs w:val="20"/>
                <w:color w:val="auto"/>
              </w:rPr>
            </w:pPr>
            <w:r>
              <w:rPr>
                <w:rFonts w:ascii="Arial" w:cs="Arial" w:eastAsia="Arial" w:hAnsi="Arial"/>
                <w:sz w:val="18"/>
                <w:szCs w:val="18"/>
                <w:color w:val="auto"/>
              </w:rPr>
              <w:t>*10(e)(2)</w:t>
            </w:r>
          </w:p>
        </w:tc>
        <w:tc>
          <w:tcPr>
            <w:tcW w:w="10340" w:type="dxa"/>
            <w:vAlign w:val="bottom"/>
          </w:tcPr>
          <w:p>
            <w:pPr>
              <w:ind w:left="340"/>
              <w:spacing w:after="0"/>
              <w:rPr>
                <w:sz w:val="20"/>
                <w:szCs w:val="20"/>
                <w:color w:val="auto"/>
              </w:rPr>
            </w:pPr>
            <w:r>
              <w:rPr>
                <w:rFonts w:ascii="Arial" w:cs="Arial" w:eastAsia="Arial" w:hAnsi="Arial"/>
                <w:sz w:val="18"/>
                <w:szCs w:val="18"/>
                <w:color w:val="auto"/>
              </w:rPr>
              <w:t>Form of Amendment to Agreements under 2004 PIP.</w:t>
            </w:r>
          </w:p>
        </w:tc>
      </w:tr>
      <w:tr>
        <w:trPr>
          <w:trHeight w:val="311"/>
        </w:trPr>
        <w:tc>
          <w:tcPr>
            <w:tcW w:w="1040" w:type="dxa"/>
            <w:vAlign w:val="bottom"/>
          </w:tcPr>
          <w:p>
            <w:pPr>
              <w:spacing w:after="0"/>
              <w:rPr>
                <w:sz w:val="24"/>
                <w:szCs w:val="24"/>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rPr>
              <w:t>Incorporated by reference to Exhibit 10(e)(7) to Registrant’s Current Report on Form 8-K dated May 19, 2005.</w:t>
            </w:r>
          </w:p>
        </w:tc>
      </w:tr>
      <w:tr>
        <w:trPr>
          <w:trHeight w:val="311"/>
        </w:trPr>
        <w:tc>
          <w:tcPr>
            <w:tcW w:w="1040" w:type="dxa"/>
            <w:vAlign w:val="bottom"/>
          </w:tcPr>
          <w:p>
            <w:pPr>
              <w:spacing w:after="0"/>
              <w:rPr>
                <w:sz w:val="20"/>
                <w:szCs w:val="20"/>
                <w:color w:val="auto"/>
              </w:rPr>
            </w:pPr>
            <w:r>
              <w:rPr>
                <w:rFonts w:ascii="Arial" w:cs="Arial" w:eastAsia="Arial" w:hAnsi="Arial"/>
                <w:sz w:val="18"/>
                <w:szCs w:val="18"/>
                <w:color w:val="auto"/>
              </w:rPr>
              <w:t>*10(e)(3)</w:t>
            </w:r>
          </w:p>
        </w:tc>
        <w:tc>
          <w:tcPr>
            <w:tcW w:w="10340" w:type="dxa"/>
            <w:vAlign w:val="bottom"/>
          </w:tcPr>
          <w:p>
            <w:pPr>
              <w:ind w:left="340"/>
              <w:spacing w:after="0"/>
              <w:rPr>
                <w:sz w:val="20"/>
                <w:szCs w:val="20"/>
                <w:color w:val="auto"/>
              </w:rPr>
            </w:pPr>
            <w:r>
              <w:rPr>
                <w:rFonts w:ascii="Arial" w:cs="Arial" w:eastAsia="Arial" w:hAnsi="Arial"/>
                <w:sz w:val="18"/>
                <w:szCs w:val="18"/>
                <w:color w:val="auto"/>
              </w:rPr>
              <w:t>Registrant’s 2004 Performance Incentive Plan, as amended and restated as of February 15, 2007 (“2007 PIP”).</w:t>
            </w:r>
          </w:p>
        </w:tc>
      </w:tr>
      <w:tr>
        <w:trPr>
          <w:trHeight w:val="302"/>
        </w:trPr>
        <w:tc>
          <w:tcPr>
            <w:tcW w:w="1040" w:type="dxa"/>
            <w:vAlign w:val="bottom"/>
          </w:tcPr>
          <w:p>
            <w:pPr>
              <w:spacing w:after="0"/>
              <w:rPr>
                <w:sz w:val="24"/>
                <w:szCs w:val="24"/>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w w:val="99"/>
              </w:rPr>
              <w:t>Incorporated by reference to Exhibit 10(e)(10) to Registrant’s Annual Report on Form 10-K for the fiscal year ended December</w:t>
            </w:r>
          </w:p>
        </w:tc>
      </w:tr>
      <w:tr>
        <w:trPr>
          <w:trHeight w:val="211"/>
        </w:trPr>
        <w:tc>
          <w:tcPr>
            <w:tcW w:w="104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rPr>
              <w:t>31, 2006.</w:t>
            </w:r>
          </w:p>
        </w:tc>
      </w:tr>
      <w:tr>
        <w:trPr>
          <w:trHeight w:val="311"/>
        </w:trPr>
        <w:tc>
          <w:tcPr>
            <w:tcW w:w="1040" w:type="dxa"/>
            <w:vAlign w:val="bottom"/>
          </w:tcPr>
          <w:p>
            <w:pPr>
              <w:spacing w:after="0"/>
              <w:rPr>
                <w:sz w:val="20"/>
                <w:szCs w:val="20"/>
                <w:color w:val="auto"/>
              </w:rPr>
            </w:pPr>
            <w:r>
              <w:rPr>
                <w:rFonts w:ascii="Arial" w:cs="Arial" w:eastAsia="Arial" w:hAnsi="Arial"/>
                <w:sz w:val="18"/>
                <w:szCs w:val="18"/>
                <w:color w:val="auto"/>
              </w:rPr>
              <w:t>*10(e)(4)</w:t>
            </w:r>
          </w:p>
        </w:tc>
        <w:tc>
          <w:tcPr>
            <w:tcW w:w="10340" w:type="dxa"/>
            <w:vAlign w:val="bottom"/>
          </w:tcPr>
          <w:p>
            <w:pPr>
              <w:ind w:left="340"/>
              <w:spacing w:after="0"/>
              <w:rPr>
                <w:sz w:val="20"/>
                <w:szCs w:val="20"/>
                <w:color w:val="auto"/>
              </w:rPr>
            </w:pPr>
            <w:r>
              <w:rPr>
                <w:rFonts w:ascii="Arial" w:cs="Arial" w:eastAsia="Arial" w:hAnsi="Arial"/>
                <w:sz w:val="18"/>
                <w:szCs w:val="18"/>
                <w:color w:val="auto"/>
              </w:rPr>
              <w:t>Registrant’s 2004 Performance Incentive Plan, as amended and restated as of December 4, 2007 (“2007-2 PIP”).</w:t>
            </w:r>
          </w:p>
        </w:tc>
      </w:tr>
      <w:tr>
        <w:trPr>
          <w:trHeight w:val="302"/>
        </w:trPr>
        <w:tc>
          <w:tcPr>
            <w:tcW w:w="1040" w:type="dxa"/>
            <w:vAlign w:val="bottom"/>
          </w:tcPr>
          <w:p>
            <w:pPr>
              <w:spacing w:after="0"/>
              <w:rPr>
                <w:sz w:val="24"/>
                <w:szCs w:val="24"/>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w w:val="99"/>
              </w:rPr>
              <w:t>Incorporated by reference to Exhibit 10(e)(15) to Registrant’s Annual Report on Form 10-K for the fiscal year ended December</w:t>
            </w:r>
          </w:p>
        </w:tc>
      </w:tr>
      <w:tr>
        <w:trPr>
          <w:trHeight w:val="211"/>
        </w:trPr>
        <w:tc>
          <w:tcPr>
            <w:tcW w:w="104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rPr>
              <w:t>31, 2007.</w:t>
            </w:r>
          </w:p>
        </w:tc>
      </w:tr>
      <w:tr>
        <w:trPr>
          <w:trHeight w:val="311"/>
        </w:trPr>
        <w:tc>
          <w:tcPr>
            <w:tcW w:w="1040" w:type="dxa"/>
            <w:vAlign w:val="bottom"/>
          </w:tcPr>
          <w:p>
            <w:pPr>
              <w:spacing w:after="0"/>
              <w:rPr>
                <w:sz w:val="20"/>
                <w:szCs w:val="20"/>
                <w:color w:val="auto"/>
              </w:rPr>
            </w:pPr>
            <w:r>
              <w:rPr>
                <w:rFonts w:ascii="Arial" w:cs="Arial" w:eastAsia="Arial" w:hAnsi="Arial"/>
                <w:sz w:val="18"/>
                <w:szCs w:val="18"/>
                <w:color w:val="auto"/>
              </w:rPr>
              <w:t>*10(e)(5)</w:t>
            </w:r>
          </w:p>
        </w:tc>
        <w:tc>
          <w:tcPr>
            <w:tcW w:w="10340" w:type="dxa"/>
            <w:vAlign w:val="bottom"/>
          </w:tcPr>
          <w:p>
            <w:pPr>
              <w:ind w:left="340"/>
              <w:spacing w:after="0"/>
              <w:rPr>
                <w:sz w:val="20"/>
                <w:szCs w:val="20"/>
                <w:color w:val="auto"/>
              </w:rPr>
            </w:pPr>
            <w:r>
              <w:rPr>
                <w:rFonts w:ascii="Arial" w:cs="Arial" w:eastAsia="Arial" w:hAnsi="Arial"/>
                <w:sz w:val="18"/>
                <w:szCs w:val="18"/>
                <w:color w:val="auto"/>
              </w:rPr>
              <w:t>Performance Elements for 2008 Executive Long-Term Incentive Program (“2008 ELTIP”).</w:t>
            </w:r>
          </w:p>
        </w:tc>
      </w:tr>
      <w:tr>
        <w:trPr>
          <w:trHeight w:val="302"/>
        </w:trPr>
        <w:tc>
          <w:tcPr>
            <w:tcW w:w="1040" w:type="dxa"/>
            <w:vAlign w:val="bottom"/>
          </w:tcPr>
          <w:p>
            <w:pPr>
              <w:spacing w:after="0"/>
              <w:rPr>
                <w:sz w:val="24"/>
                <w:szCs w:val="24"/>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w w:val="99"/>
              </w:rPr>
              <w:t>Incorporated by reference to Exhibit 10(e)(17) to Registrant’s Annual Report on Form 10-K for the fiscal year ended December</w:t>
            </w:r>
          </w:p>
        </w:tc>
      </w:tr>
      <w:tr>
        <w:trPr>
          <w:trHeight w:val="211"/>
        </w:trPr>
        <w:tc>
          <w:tcPr>
            <w:tcW w:w="104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rPr>
              <w:t>31, 2007.</w:t>
            </w:r>
          </w:p>
        </w:tc>
      </w:tr>
      <w:tr>
        <w:trPr>
          <w:trHeight w:val="311"/>
        </w:trPr>
        <w:tc>
          <w:tcPr>
            <w:tcW w:w="1040" w:type="dxa"/>
            <w:vAlign w:val="bottom"/>
          </w:tcPr>
          <w:p>
            <w:pPr>
              <w:spacing w:after="0"/>
              <w:rPr>
                <w:sz w:val="20"/>
                <w:szCs w:val="20"/>
                <w:color w:val="auto"/>
              </w:rPr>
            </w:pPr>
            <w:r>
              <w:rPr>
                <w:rFonts w:ascii="Arial" w:cs="Arial" w:eastAsia="Arial" w:hAnsi="Arial"/>
                <w:sz w:val="18"/>
                <w:szCs w:val="18"/>
                <w:color w:val="auto"/>
              </w:rPr>
              <w:t>*10(e)(6)</w:t>
            </w:r>
          </w:p>
        </w:tc>
        <w:tc>
          <w:tcPr>
            <w:tcW w:w="10340" w:type="dxa"/>
            <w:vAlign w:val="bottom"/>
          </w:tcPr>
          <w:p>
            <w:pPr>
              <w:ind w:left="340"/>
              <w:spacing w:after="0"/>
              <w:rPr>
                <w:sz w:val="20"/>
                <w:szCs w:val="20"/>
                <w:color w:val="auto"/>
              </w:rPr>
            </w:pPr>
            <w:r>
              <w:rPr>
                <w:rFonts w:ascii="Arial" w:cs="Arial" w:eastAsia="Arial" w:hAnsi="Arial"/>
                <w:sz w:val="18"/>
                <w:szCs w:val="18"/>
                <w:color w:val="auto"/>
              </w:rPr>
              <w:t>Form of Executive Long-Term Incentive Program Award Summary under 2008 ELTIP.</w:t>
            </w:r>
          </w:p>
        </w:tc>
      </w:tr>
      <w:tr>
        <w:trPr>
          <w:trHeight w:val="302"/>
        </w:trPr>
        <w:tc>
          <w:tcPr>
            <w:tcW w:w="1040" w:type="dxa"/>
            <w:vAlign w:val="bottom"/>
          </w:tcPr>
          <w:p>
            <w:pPr>
              <w:spacing w:after="0"/>
              <w:rPr>
                <w:sz w:val="24"/>
                <w:szCs w:val="24"/>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w w:val="99"/>
              </w:rPr>
              <w:t>Incorporated by reference to Exhibit 10(e)(18) to Registrant’s Annual Report on Form 10-K for the fiscal year ended December</w:t>
            </w:r>
          </w:p>
        </w:tc>
      </w:tr>
      <w:tr>
        <w:trPr>
          <w:trHeight w:val="211"/>
        </w:trPr>
        <w:tc>
          <w:tcPr>
            <w:tcW w:w="104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rPr>
              <w:t>31, 2007.</w:t>
            </w:r>
          </w:p>
        </w:tc>
      </w:tr>
      <w:tr>
        <w:trPr>
          <w:trHeight w:val="311"/>
        </w:trPr>
        <w:tc>
          <w:tcPr>
            <w:tcW w:w="1040" w:type="dxa"/>
            <w:vAlign w:val="bottom"/>
          </w:tcPr>
          <w:p>
            <w:pPr>
              <w:spacing w:after="0"/>
              <w:rPr>
                <w:sz w:val="20"/>
                <w:szCs w:val="20"/>
                <w:color w:val="auto"/>
              </w:rPr>
            </w:pPr>
            <w:r>
              <w:rPr>
                <w:rFonts w:ascii="Arial" w:cs="Arial" w:eastAsia="Arial" w:hAnsi="Arial"/>
                <w:sz w:val="18"/>
                <w:szCs w:val="18"/>
                <w:color w:val="auto"/>
              </w:rPr>
              <w:t>*10(e)(7)</w:t>
            </w:r>
          </w:p>
        </w:tc>
        <w:tc>
          <w:tcPr>
            <w:tcW w:w="10340" w:type="dxa"/>
            <w:vAlign w:val="bottom"/>
          </w:tcPr>
          <w:p>
            <w:pPr>
              <w:ind w:left="340"/>
              <w:spacing w:after="0"/>
              <w:rPr>
                <w:sz w:val="20"/>
                <w:szCs w:val="20"/>
                <w:color w:val="auto"/>
              </w:rPr>
            </w:pPr>
            <w:r>
              <w:rPr>
                <w:rFonts w:ascii="Arial" w:cs="Arial" w:eastAsia="Arial" w:hAnsi="Arial"/>
                <w:sz w:val="18"/>
                <w:szCs w:val="18"/>
                <w:color w:val="auto"/>
              </w:rPr>
              <w:t>2008 Form of Executive Long-Term Incentive Program Award Agreement under the 2007-2 PIP.</w:t>
            </w:r>
          </w:p>
        </w:tc>
      </w:tr>
      <w:tr>
        <w:trPr>
          <w:trHeight w:val="302"/>
        </w:trPr>
        <w:tc>
          <w:tcPr>
            <w:tcW w:w="1040" w:type="dxa"/>
            <w:vAlign w:val="bottom"/>
          </w:tcPr>
          <w:p>
            <w:pPr>
              <w:spacing w:after="0"/>
              <w:rPr>
                <w:sz w:val="24"/>
                <w:szCs w:val="24"/>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w w:val="99"/>
              </w:rPr>
              <w:t>Incorporated by reference to Exhibit 10(e)(19) to Registrant’s Annual Report on Form 10-K for the fiscal year ended December</w:t>
            </w:r>
          </w:p>
        </w:tc>
      </w:tr>
      <w:tr>
        <w:trPr>
          <w:trHeight w:val="211"/>
        </w:trPr>
        <w:tc>
          <w:tcPr>
            <w:tcW w:w="104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rPr>
              <w:t>31, 2007.</w:t>
            </w:r>
          </w:p>
        </w:tc>
      </w:tr>
      <w:tr>
        <w:trPr>
          <w:trHeight w:val="311"/>
        </w:trPr>
        <w:tc>
          <w:tcPr>
            <w:tcW w:w="1040" w:type="dxa"/>
            <w:vAlign w:val="bottom"/>
          </w:tcPr>
          <w:p>
            <w:pPr>
              <w:spacing w:after="0"/>
              <w:rPr>
                <w:sz w:val="20"/>
                <w:szCs w:val="20"/>
                <w:color w:val="auto"/>
              </w:rPr>
            </w:pPr>
            <w:r>
              <w:rPr>
                <w:rFonts w:ascii="Arial" w:cs="Arial" w:eastAsia="Arial" w:hAnsi="Arial"/>
                <w:sz w:val="18"/>
                <w:szCs w:val="18"/>
                <w:color w:val="auto"/>
              </w:rPr>
              <w:t>*10(e)(8)</w:t>
            </w:r>
          </w:p>
        </w:tc>
        <w:tc>
          <w:tcPr>
            <w:tcW w:w="10340" w:type="dxa"/>
            <w:vAlign w:val="bottom"/>
          </w:tcPr>
          <w:p>
            <w:pPr>
              <w:ind w:left="340"/>
              <w:spacing w:after="0"/>
              <w:rPr>
                <w:sz w:val="20"/>
                <w:szCs w:val="20"/>
                <w:color w:val="auto"/>
              </w:rPr>
            </w:pPr>
            <w:r>
              <w:rPr>
                <w:rFonts w:ascii="Arial" w:cs="Arial" w:eastAsia="Arial" w:hAnsi="Arial"/>
                <w:sz w:val="18"/>
                <w:szCs w:val="18"/>
                <w:color w:val="auto"/>
              </w:rPr>
              <w:t>Amendment dated December 4, 2007 to 2007-2 PIP.</w:t>
            </w:r>
          </w:p>
        </w:tc>
      </w:tr>
      <w:tr>
        <w:trPr>
          <w:trHeight w:val="302"/>
        </w:trPr>
        <w:tc>
          <w:tcPr>
            <w:tcW w:w="1040" w:type="dxa"/>
            <w:vAlign w:val="bottom"/>
          </w:tcPr>
          <w:p>
            <w:pPr>
              <w:spacing w:after="0"/>
              <w:rPr>
                <w:sz w:val="24"/>
                <w:szCs w:val="24"/>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w w:val="99"/>
              </w:rPr>
              <w:t>Incorporated by reference to Exhibit 10(e)(20) to Registrant’s Annual Report on Form 10-K for the fiscal year ended December</w:t>
            </w:r>
          </w:p>
        </w:tc>
      </w:tr>
      <w:tr>
        <w:trPr>
          <w:trHeight w:val="211"/>
        </w:trPr>
        <w:tc>
          <w:tcPr>
            <w:tcW w:w="104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rPr>
              <w:t>31, 2007.</w:t>
            </w:r>
          </w:p>
        </w:tc>
      </w:tr>
      <w:tr>
        <w:trPr>
          <w:trHeight w:val="351"/>
        </w:trPr>
        <w:tc>
          <w:tcPr>
            <w:tcW w:w="1040" w:type="dxa"/>
            <w:vAlign w:val="bottom"/>
          </w:tcPr>
          <w:p>
            <w:pPr>
              <w:spacing w:after="0"/>
              <w:rPr>
                <w:sz w:val="24"/>
                <w:szCs w:val="24"/>
                <w:color w:val="auto"/>
              </w:rPr>
            </w:pPr>
          </w:p>
        </w:tc>
        <w:tc>
          <w:tcPr>
            <w:tcW w:w="10340" w:type="dxa"/>
            <w:vAlign w:val="bottom"/>
          </w:tcPr>
          <w:p>
            <w:pPr>
              <w:ind w:left="462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100" w:type="dxa"/>
            <w:vAlign w:val="bottom"/>
          </w:tcPr>
          <w:p>
            <w:pPr>
              <w:spacing w:after="0"/>
              <w:rPr>
                <w:sz w:val="20"/>
                <w:szCs w:val="20"/>
                <w:color w:val="auto"/>
              </w:rPr>
            </w:pPr>
            <w:r>
              <w:rPr>
                <w:rFonts w:ascii="Arial" w:cs="Arial" w:eastAsia="Arial" w:hAnsi="Arial"/>
                <w:sz w:val="18"/>
                <w:szCs w:val="18"/>
                <w:color w:val="auto"/>
              </w:rPr>
              <w:t>*10(e)(9)</w:t>
            </w:r>
          </w:p>
        </w:tc>
        <w:tc>
          <w:tcPr>
            <w:tcW w:w="10260" w:type="dxa"/>
            <w:vAlign w:val="bottom"/>
          </w:tcPr>
          <w:p>
            <w:pPr>
              <w:ind w:left="280"/>
              <w:spacing w:after="0"/>
              <w:rPr>
                <w:sz w:val="20"/>
                <w:szCs w:val="20"/>
                <w:color w:val="auto"/>
              </w:rPr>
            </w:pPr>
            <w:r>
              <w:rPr>
                <w:rFonts w:ascii="Arial" w:cs="Arial" w:eastAsia="Arial" w:hAnsi="Arial"/>
                <w:sz w:val="18"/>
                <w:szCs w:val="18"/>
                <w:color w:val="auto"/>
              </w:rPr>
              <w:t>Amendment No. 1 dated December 17, 2008 to 2007-2 PIP.</w:t>
            </w:r>
          </w:p>
        </w:tc>
      </w:tr>
      <w:tr>
        <w:trPr>
          <w:trHeight w:val="302"/>
        </w:trPr>
        <w:tc>
          <w:tcPr>
            <w:tcW w:w="1100" w:type="dxa"/>
            <w:vAlign w:val="bottom"/>
          </w:tcPr>
          <w:p>
            <w:pPr>
              <w:spacing w:after="0"/>
              <w:rPr>
                <w:sz w:val="24"/>
                <w:szCs w:val="24"/>
                <w:color w:val="auto"/>
              </w:rPr>
            </w:pPr>
          </w:p>
        </w:tc>
        <w:tc>
          <w:tcPr>
            <w:tcW w:w="10260" w:type="dxa"/>
            <w:vAlign w:val="bottom"/>
          </w:tcPr>
          <w:p>
            <w:pPr>
              <w:ind w:left="280"/>
              <w:spacing w:after="0"/>
              <w:rPr>
                <w:sz w:val="20"/>
                <w:szCs w:val="20"/>
                <w:color w:val="auto"/>
              </w:rPr>
            </w:pPr>
            <w:r>
              <w:rPr>
                <w:rFonts w:ascii="Arial" w:cs="Arial" w:eastAsia="Arial" w:hAnsi="Arial"/>
                <w:sz w:val="18"/>
                <w:szCs w:val="18"/>
                <w:color w:val="auto"/>
                <w:w w:val="99"/>
              </w:rPr>
              <w:t>Incorporated by reference to Exhibit 10(e)(22) to Registrant’s Annual Report on Form 10-K for the fiscal year ended December</w:t>
            </w:r>
          </w:p>
        </w:tc>
      </w:tr>
      <w:tr>
        <w:trPr>
          <w:trHeight w:val="211"/>
        </w:trPr>
        <w:tc>
          <w:tcPr>
            <w:tcW w:w="1100" w:type="dxa"/>
            <w:vAlign w:val="bottom"/>
          </w:tcPr>
          <w:p>
            <w:pPr>
              <w:spacing w:after="0"/>
              <w:rPr>
                <w:sz w:val="18"/>
                <w:szCs w:val="18"/>
                <w:color w:val="auto"/>
              </w:rPr>
            </w:pPr>
          </w:p>
        </w:tc>
        <w:tc>
          <w:tcPr>
            <w:tcW w:w="10260" w:type="dxa"/>
            <w:vAlign w:val="bottom"/>
          </w:tcPr>
          <w:p>
            <w:pPr>
              <w:ind w:left="280"/>
              <w:spacing w:after="0"/>
              <w:rPr>
                <w:sz w:val="20"/>
                <w:szCs w:val="20"/>
                <w:color w:val="auto"/>
              </w:rPr>
            </w:pPr>
            <w:r>
              <w:rPr>
                <w:rFonts w:ascii="Arial" w:cs="Arial" w:eastAsia="Arial" w:hAnsi="Arial"/>
                <w:sz w:val="18"/>
                <w:szCs w:val="18"/>
                <w:color w:val="auto"/>
              </w:rPr>
              <w:t>31, 2008.</w:t>
            </w:r>
          </w:p>
        </w:tc>
      </w:tr>
      <w:tr>
        <w:trPr>
          <w:trHeight w:val="311"/>
        </w:trPr>
        <w:tc>
          <w:tcPr>
            <w:tcW w:w="1100" w:type="dxa"/>
            <w:vAlign w:val="bottom"/>
          </w:tcPr>
          <w:p>
            <w:pPr>
              <w:spacing w:after="0"/>
              <w:rPr>
                <w:sz w:val="20"/>
                <w:szCs w:val="20"/>
                <w:color w:val="auto"/>
              </w:rPr>
            </w:pPr>
            <w:r>
              <w:rPr>
                <w:rFonts w:ascii="Arial" w:cs="Arial" w:eastAsia="Arial" w:hAnsi="Arial"/>
                <w:sz w:val="18"/>
                <w:szCs w:val="18"/>
                <w:color w:val="auto"/>
              </w:rPr>
              <w:t>*10(e)(10)</w:t>
            </w:r>
          </w:p>
        </w:tc>
        <w:tc>
          <w:tcPr>
            <w:tcW w:w="10260" w:type="dxa"/>
            <w:vAlign w:val="bottom"/>
          </w:tcPr>
          <w:p>
            <w:pPr>
              <w:ind w:left="280"/>
              <w:spacing w:after="0"/>
              <w:rPr>
                <w:sz w:val="20"/>
                <w:szCs w:val="20"/>
                <w:color w:val="auto"/>
              </w:rPr>
            </w:pPr>
            <w:r>
              <w:rPr>
                <w:rFonts w:ascii="Arial" w:cs="Arial" w:eastAsia="Arial" w:hAnsi="Arial"/>
                <w:sz w:val="18"/>
                <w:szCs w:val="18"/>
                <w:color w:val="auto"/>
              </w:rPr>
              <w:t>Amendment No. 2 dated February 16, 2009 to 2007-2 PIP.</w:t>
            </w:r>
          </w:p>
        </w:tc>
      </w:tr>
      <w:tr>
        <w:trPr>
          <w:trHeight w:val="302"/>
        </w:trPr>
        <w:tc>
          <w:tcPr>
            <w:tcW w:w="1100" w:type="dxa"/>
            <w:vAlign w:val="bottom"/>
          </w:tcPr>
          <w:p>
            <w:pPr>
              <w:spacing w:after="0"/>
              <w:rPr>
                <w:sz w:val="24"/>
                <w:szCs w:val="24"/>
                <w:color w:val="auto"/>
              </w:rPr>
            </w:pPr>
          </w:p>
        </w:tc>
        <w:tc>
          <w:tcPr>
            <w:tcW w:w="10260" w:type="dxa"/>
            <w:vAlign w:val="bottom"/>
          </w:tcPr>
          <w:p>
            <w:pPr>
              <w:ind w:left="280"/>
              <w:spacing w:after="0"/>
              <w:rPr>
                <w:sz w:val="20"/>
                <w:szCs w:val="20"/>
                <w:color w:val="auto"/>
              </w:rPr>
            </w:pPr>
            <w:r>
              <w:rPr>
                <w:rFonts w:ascii="Arial" w:cs="Arial" w:eastAsia="Arial" w:hAnsi="Arial"/>
                <w:sz w:val="18"/>
                <w:szCs w:val="18"/>
                <w:color w:val="auto"/>
                <w:w w:val="99"/>
              </w:rPr>
              <w:t>Incorporated by reference to Exhibit 10(e)(23) to Registrant’s Quarterly Report on Form 10-Q for the quarter ended March 31,</w:t>
            </w:r>
          </w:p>
        </w:tc>
      </w:tr>
      <w:tr>
        <w:trPr>
          <w:trHeight w:val="211"/>
        </w:trPr>
        <w:tc>
          <w:tcPr>
            <w:tcW w:w="1100" w:type="dxa"/>
            <w:vAlign w:val="bottom"/>
          </w:tcPr>
          <w:p>
            <w:pPr>
              <w:spacing w:after="0"/>
              <w:rPr>
                <w:sz w:val="18"/>
                <w:szCs w:val="18"/>
                <w:color w:val="auto"/>
              </w:rPr>
            </w:pPr>
          </w:p>
        </w:tc>
        <w:tc>
          <w:tcPr>
            <w:tcW w:w="10260" w:type="dxa"/>
            <w:vAlign w:val="bottom"/>
          </w:tcPr>
          <w:p>
            <w:pPr>
              <w:ind w:left="280"/>
              <w:spacing w:after="0"/>
              <w:rPr>
                <w:sz w:val="20"/>
                <w:szCs w:val="20"/>
                <w:color w:val="auto"/>
              </w:rPr>
            </w:pPr>
            <w:r>
              <w:rPr>
                <w:rFonts w:ascii="Arial" w:cs="Arial" w:eastAsia="Arial" w:hAnsi="Arial"/>
                <w:sz w:val="18"/>
                <w:szCs w:val="18"/>
                <w:color w:val="auto"/>
              </w:rPr>
              <w:t>2009.</w:t>
            </w:r>
          </w:p>
        </w:tc>
      </w:tr>
      <w:tr>
        <w:trPr>
          <w:trHeight w:val="311"/>
        </w:trPr>
        <w:tc>
          <w:tcPr>
            <w:tcW w:w="1100" w:type="dxa"/>
            <w:vAlign w:val="bottom"/>
          </w:tcPr>
          <w:p>
            <w:pPr>
              <w:spacing w:after="0"/>
              <w:rPr>
                <w:sz w:val="20"/>
                <w:szCs w:val="20"/>
                <w:color w:val="auto"/>
              </w:rPr>
            </w:pPr>
            <w:r>
              <w:rPr>
                <w:rFonts w:ascii="Arial" w:cs="Arial" w:eastAsia="Arial" w:hAnsi="Arial"/>
                <w:sz w:val="18"/>
                <w:szCs w:val="18"/>
                <w:color w:val="auto"/>
              </w:rPr>
              <w:t>*10(e)(11)</w:t>
            </w:r>
          </w:p>
        </w:tc>
        <w:tc>
          <w:tcPr>
            <w:tcW w:w="10260" w:type="dxa"/>
            <w:vAlign w:val="bottom"/>
          </w:tcPr>
          <w:p>
            <w:pPr>
              <w:ind w:left="280"/>
              <w:spacing w:after="0"/>
              <w:rPr>
                <w:sz w:val="20"/>
                <w:szCs w:val="20"/>
                <w:color w:val="auto"/>
              </w:rPr>
            </w:pPr>
            <w:r>
              <w:rPr>
                <w:rFonts w:ascii="Arial" w:cs="Arial" w:eastAsia="Arial" w:hAnsi="Arial"/>
                <w:sz w:val="18"/>
                <w:szCs w:val="18"/>
                <w:color w:val="auto"/>
              </w:rPr>
              <w:t>Performance Elements for 2009 Executive Long-Term Incentive Program (“2009 ELTIP”).</w:t>
            </w:r>
          </w:p>
        </w:tc>
      </w:tr>
      <w:tr>
        <w:trPr>
          <w:trHeight w:val="311"/>
        </w:trPr>
        <w:tc>
          <w:tcPr>
            <w:tcW w:w="1100" w:type="dxa"/>
            <w:vAlign w:val="bottom"/>
          </w:tcPr>
          <w:p>
            <w:pPr>
              <w:spacing w:after="0"/>
              <w:rPr>
                <w:sz w:val="24"/>
                <w:szCs w:val="24"/>
                <w:color w:val="auto"/>
              </w:rPr>
            </w:pPr>
          </w:p>
        </w:tc>
        <w:tc>
          <w:tcPr>
            <w:tcW w:w="10260" w:type="dxa"/>
            <w:vAlign w:val="bottom"/>
          </w:tcPr>
          <w:p>
            <w:pPr>
              <w:ind w:left="280"/>
              <w:spacing w:after="0"/>
              <w:rPr>
                <w:sz w:val="20"/>
                <w:szCs w:val="20"/>
                <w:color w:val="auto"/>
              </w:rPr>
            </w:pPr>
            <w:r>
              <w:rPr>
                <w:rFonts w:ascii="Arial" w:cs="Arial" w:eastAsia="Arial" w:hAnsi="Arial"/>
                <w:sz w:val="18"/>
                <w:szCs w:val="18"/>
                <w:color w:val="auto"/>
              </w:rPr>
              <w:t>Incorporated by reference to Item 5.02 of Registrant’s Current Report on Form 8-K dated June 30, 2009.</w:t>
            </w:r>
          </w:p>
        </w:tc>
      </w:tr>
      <w:tr>
        <w:trPr>
          <w:trHeight w:val="311"/>
        </w:trPr>
        <w:tc>
          <w:tcPr>
            <w:tcW w:w="1100" w:type="dxa"/>
            <w:vAlign w:val="bottom"/>
          </w:tcPr>
          <w:p>
            <w:pPr>
              <w:spacing w:after="0"/>
              <w:rPr>
                <w:sz w:val="20"/>
                <w:szCs w:val="20"/>
                <w:color w:val="auto"/>
              </w:rPr>
            </w:pPr>
            <w:r>
              <w:rPr>
                <w:rFonts w:ascii="Arial" w:cs="Arial" w:eastAsia="Arial" w:hAnsi="Arial"/>
                <w:sz w:val="18"/>
                <w:szCs w:val="18"/>
                <w:color w:val="auto"/>
              </w:rPr>
              <w:t>*10(e)(12)</w:t>
            </w:r>
          </w:p>
        </w:tc>
        <w:tc>
          <w:tcPr>
            <w:tcW w:w="10260" w:type="dxa"/>
            <w:vAlign w:val="bottom"/>
          </w:tcPr>
          <w:p>
            <w:pPr>
              <w:ind w:left="280"/>
              <w:spacing w:after="0"/>
              <w:rPr>
                <w:sz w:val="20"/>
                <w:szCs w:val="20"/>
                <w:color w:val="auto"/>
              </w:rPr>
            </w:pPr>
            <w:r>
              <w:rPr>
                <w:rFonts w:ascii="Arial" w:cs="Arial" w:eastAsia="Arial" w:hAnsi="Arial"/>
                <w:sz w:val="18"/>
                <w:szCs w:val="18"/>
                <w:color w:val="auto"/>
              </w:rPr>
              <w:t>Form of Executive Long-Term Incentive Program Award Agreement under 2009 ELTIP.</w:t>
            </w:r>
          </w:p>
        </w:tc>
      </w:tr>
      <w:tr>
        <w:trPr>
          <w:trHeight w:val="311"/>
        </w:trPr>
        <w:tc>
          <w:tcPr>
            <w:tcW w:w="1100" w:type="dxa"/>
            <w:vAlign w:val="bottom"/>
          </w:tcPr>
          <w:p>
            <w:pPr>
              <w:spacing w:after="0"/>
              <w:rPr>
                <w:sz w:val="24"/>
                <w:szCs w:val="24"/>
                <w:color w:val="auto"/>
              </w:rPr>
            </w:pPr>
          </w:p>
        </w:tc>
        <w:tc>
          <w:tcPr>
            <w:tcW w:w="10260" w:type="dxa"/>
            <w:vAlign w:val="bottom"/>
          </w:tcPr>
          <w:p>
            <w:pPr>
              <w:ind w:left="280"/>
              <w:spacing w:after="0"/>
              <w:rPr>
                <w:sz w:val="20"/>
                <w:szCs w:val="20"/>
                <w:color w:val="auto"/>
              </w:rPr>
            </w:pPr>
            <w:r>
              <w:rPr>
                <w:rFonts w:ascii="Arial" w:cs="Arial" w:eastAsia="Arial" w:hAnsi="Arial"/>
                <w:sz w:val="18"/>
                <w:szCs w:val="18"/>
                <w:color w:val="auto"/>
              </w:rPr>
              <w:t>Incorporated by reference to Exhibit 10(e)(23) to Registrant’s Current Report on Form 8-K dated June 30, 2009.</w:t>
            </w:r>
          </w:p>
        </w:tc>
      </w:tr>
      <w:tr>
        <w:trPr>
          <w:trHeight w:val="311"/>
        </w:trPr>
        <w:tc>
          <w:tcPr>
            <w:tcW w:w="1100" w:type="dxa"/>
            <w:vAlign w:val="bottom"/>
          </w:tcPr>
          <w:p>
            <w:pPr>
              <w:spacing w:after="0"/>
              <w:rPr>
                <w:sz w:val="20"/>
                <w:szCs w:val="20"/>
                <w:color w:val="auto"/>
              </w:rPr>
            </w:pPr>
            <w:r>
              <w:rPr>
                <w:rFonts w:ascii="Arial" w:cs="Arial" w:eastAsia="Arial" w:hAnsi="Arial"/>
                <w:sz w:val="18"/>
                <w:szCs w:val="18"/>
                <w:color w:val="auto"/>
              </w:rPr>
              <w:t>*10(e)(13)</w:t>
            </w:r>
          </w:p>
        </w:tc>
        <w:tc>
          <w:tcPr>
            <w:tcW w:w="10260" w:type="dxa"/>
            <w:vAlign w:val="bottom"/>
          </w:tcPr>
          <w:p>
            <w:pPr>
              <w:ind w:left="280"/>
              <w:spacing w:after="0"/>
              <w:rPr>
                <w:sz w:val="20"/>
                <w:szCs w:val="20"/>
                <w:color w:val="auto"/>
              </w:rPr>
            </w:pPr>
            <w:r>
              <w:rPr>
                <w:rFonts w:ascii="Arial" w:cs="Arial" w:eastAsia="Arial" w:hAnsi="Arial"/>
                <w:sz w:val="18"/>
                <w:szCs w:val="18"/>
                <w:color w:val="auto"/>
              </w:rPr>
              <w:t>Form of Executive Long-Term Incentive Program Award Summary under 2009 ELTIP.</w:t>
            </w:r>
          </w:p>
        </w:tc>
      </w:tr>
      <w:tr>
        <w:trPr>
          <w:trHeight w:val="311"/>
        </w:trPr>
        <w:tc>
          <w:tcPr>
            <w:tcW w:w="1100" w:type="dxa"/>
            <w:vAlign w:val="bottom"/>
          </w:tcPr>
          <w:p>
            <w:pPr>
              <w:spacing w:after="0"/>
              <w:rPr>
                <w:sz w:val="24"/>
                <w:szCs w:val="24"/>
                <w:color w:val="auto"/>
              </w:rPr>
            </w:pPr>
          </w:p>
        </w:tc>
        <w:tc>
          <w:tcPr>
            <w:tcW w:w="10260" w:type="dxa"/>
            <w:vAlign w:val="bottom"/>
          </w:tcPr>
          <w:p>
            <w:pPr>
              <w:ind w:left="280"/>
              <w:spacing w:after="0"/>
              <w:rPr>
                <w:sz w:val="20"/>
                <w:szCs w:val="20"/>
                <w:color w:val="auto"/>
              </w:rPr>
            </w:pPr>
            <w:r>
              <w:rPr>
                <w:rFonts w:ascii="Arial" w:cs="Arial" w:eastAsia="Arial" w:hAnsi="Arial"/>
                <w:sz w:val="18"/>
                <w:szCs w:val="18"/>
                <w:color w:val="auto"/>
              </w:rPr>
              <w:t>Incorporated by reference to Exhibit 10(e)(24) to Registrant’s Current Report on Form 8-K dated June 30, 2009.</w:t>
            </w:r>
          </w:p>
        </w:tc>
      </w:tr>
      <w:tr>
        <w:trPr>
          <w:trHeight w:val="311"/>
        </w:trPr>
        <w:tc>
          <w:tcPr>
            <w:tcW w:w="1100" w:type="dxa"/>
            <w:vAlign w:val="bottom"/>
          </w:tcPr>
          <w:p>
            <w:pPr>
              <w:spacing w:after="0"/>
              <w:rPr>
                <w:sz w:val="20"/>
                <w:szCs w:val="20"/>
                <w:color w:val="auto"/>
              </w:rPr>
            </w:pPr>
            <w:r>
              <w:rPr>
                <w:rFonts w:ascii="Arial" w:cs="Arial" w:eastAsia="Arial" w:hAnsi="Arial"/>
                <w:sz w:val="18"/>
                <w:szCs w:val="18"/>
                <w:color w:val="auto"/>
              </w:rPr>
              <w:t>*10(e)(14)</w:t>
            </w:r>
          </w:p>
        </w:tc>
        <w:tc>
          <w:tcPr>
            <w:tcW w:w="10260" w:type="dxa"/>
            <w:vAlign w:val="bottom"/>
          </w:tcPr>
          <w:p>
            <w:pPr>
              <w:ind w:left="280"/>
              <w:spacing w:after="0"/>
              <w:rPr>
                <w:sz w:val="20"/>
                <w:szCs w:val="20"/>
                <w:color w:val="auto"/>
              </w:rPr>
            </w:pPr>
            <w:r>
              <w:rPr>
                <w:rFonts w:ascii="Arial" w:cs="Arial" w:eastAsia="Arial" w:hAnsi="Arial"/>
                <w:sz w:val="18"/>
                <w:szCs w:val="18"/>
                <w:color w:val="auto"/>
              </w:rPr>
              <w:t>Annual Performance Incentive Plan for 2010.</w:t>
            </w:r>
          </w:p>
        </w:tc>
      </w:tr>
      <w:tr>
        <w:trPr>
          <w:trHeight w:val="311"/>
        </w:trPr>
        <w:tc>
          <w:tcPr>
            <w:tcW w:w="1100" w:type="dxa"/>
            <w:vAlign w:val="bottom"/>
          </w:tcPr>
          <w:p>
            <w:pPr>
              <w:spacing w:after="0"/>
              <w:rPr>
                <w:sz w:val="20"/>
                <w:szCs w:val="20"/>
                <w:color w:val="auto"/>
              </w:rPr>
            </w:pPr>
            <w:r>
              <w:rPr>
                <w:rFonts w:ascii="Arial" w:cs="Arial" w:eastAsia="Arial" w:hAnsi="Arial"/>
                <w:sz w:val="18"/>
                <w:szCs w:val="18"/>
                <w:color w:val="auto"/>
              </w:rPr>
              <w:t>*10(e)(15)</w:t>
            </w:r>
          </w:p>
        </w:tc>
        <w:tc>
          <w:tcPr>
            <w:tcW w:w="10260" w:type="dxa"/>
            <w:vAlign w:val="bottom"/>
          </w:tcPr>
          <w:p>
            <w:pPr>
              <w:ind w:left="280"/>
              <w:spacing w:after="0"/>
              <w:rPr>
                <w:sz w:val="20"/>
                <w:szCs w:val="20"/>
                <w:color w:val="auto"/>
              </w:rPr>
            </w:pPr>
            <w:r>
              <w:rPr>
                <w:rFonts w:ascii="Arial" w:cs="Arial" w:eastAsia="Arial" w:hAnsi="Arial"/>
                <w:sz w:val="18"/>
                <w:szCs w:val="18"/>
                <w:color w:val="auto"/>
              </w:rPr>
              <w:t>Performance Elements for 2010 Executive Long-Term Incentive Program (“2010 ELTIP”).</w:t>
            </w:r>
          </w:p>
        </w:tc>
      </w:tr>
      <w:tr>
        <w:trPr>
          <w:trHeight w:val="302"/>
        </w:trPr>
        <w:tc>
          <w:tcPr>
            <w:tcW w:w="1100" w:type="dxa"/>
            <w:vAlign w:val="bottom"/>
          </w:tcPr>
          <w:p>
            <w:pPr>
              <w:spacing w:after="0"/>
              <w:rPr>
                <w:sz w:val="24"/>
                <w:szCs w:val="24"/>
                <w:color w:val="auto"/>
              </w:rPr>
            </w:pPr>
          </w:p>
        </w:tc>
        <w:tc>
          <w:tcPr>
            <w:tcW w:w="10260" w:type="dxa"/>
            <w:vAlign w:val="bottom"/>
          </w:tcPr>
          <w:p>
            <w:pPr>
              <w:ind w:left="280"/>
              <w:spacing w:after="0"/>
              <w:rPr>
                <w:sz w:val="20"/>
                <w:szCs w:val="20"/>
                <w:color w:val="auto"/>
              </w:rPr>
            </w:pPr>
            <w:r>
              <w:rPr>
                <w:rFonts w:ascii="Arial" w:cs="Arial" w:eastAsia="Arial" w:hAnsi="Arial"/>
                <w:sz w:val="18"/>
                <w:szCs w:val="18"/>
                <w:color w:val="auto"/>
                <w:w w:val="99"/>
              </w:rPr>
              <w:t>Incorporated by reference to Exhibit 10(e)(21) to Registrant’s Annual Report on Form 10-K for the fiscal year ended December</w:t>
            </w:r>
          </w:p>
        </w:tc>
      </w:tr>
      <w:tr>
        <w:trPr>
          <w:trHeight w:val="211"/>
        </w:trPr>
        <w:tc>
          <w:tcPr>
            <w:tcW w:w="1100" w:type="dxa"/>
            <w:vAlign w:val="bottom"/>
          </w:tcPr>
          <w:p>
            <w:pPr>
              <w:spacing w:after="0"/>
              <w:rPr>
                <w:sz w:val="18"/>
                <w:szCs w:val="18"/>
                <w:color w:val="auto"/>
              </w:rPr>
            </w:pPr>
          </w:p>
        </w:tc>
        <w:tc>
          <w:tcPr>
            <w:tcW w:w="10260" w:type="dxa"/>
            <w:vAlign w:val="bottom"/>
          </w:tcPr>
          <w:p>
            <w:pPr>
              <w:ind w:left="280"/>
              <w:spacing w:after="0"/>
              <w:rPr>
                <w:sz w:val="20"/>
                <w:szCs w:val="20"/>
                <w:color w:val="auto"/>
              </w:rPr>
            </w:pPr>
            <w:r>
              <w:rPr>
                <w:rFonts w:ascii="Arial" w:cs="Arial" w:eastAsia="Arial" w:hAnsi="Arial"/>
                <w:sz w:val="18"/>
                <w:szCs w:val="18"/>
                <w:color w:val="auto"/>
              </w:rPr>
              <w:t>31, 2009.</w:t>
            </w:r>
          </w:p>
        </w:tc>
      </w:tr>
      <w:tr>
        <w:trPr>
          <w:trHeight w:val="311"/>
        </w:trPr>
        <w:tc>
          <w:tcPr>
            <w:tcW w:w="1100" w:type="dxa"/>
            <w:vAlign w:val="bottom"/>
          </w:tcPr>
          <w:p>
            <w:pPr>
              <w:spacing w:after="0"/>
              <w:rPr>
                <w:sz w:val="20"/>
                <w:szCs w:val="20"/>
                <w:color w:val="auto"/>
              </w:rPr>
            </w:pPr>
            <w:r>
              <w:rPr>
                <w:rFonts w:ascii="Arial" w:cs="Arial" w:eastAsia="Arial" w:hAnsi="Arial"/>
                <w:sz w:val="18"/>
                <w:szCs w:val="18"/>
                <w:color w:val="auto"/>
              </w:rPr>
              <w:t>*10(e)(16)</w:t>
            </w:r>
          </w:p>
        </w:tc>
        <w:tc>
          <w:tcPr>
            <w:tcW w:w="10260" w:type="dxa"/>
            <w:vAlign w:val="bottom"/>
          </w:tcPr>
          <w:p>
            <w:pPr>
              <w:ind w:left="280"/>
              <w:spacing w:after="0"/>
              <w:rPr>
                <w:sz w:val="20"/>
                <w:szCs w:val="20"/>
                <w:color w:val="auto"/>
              </w:rPr>
            </w:pPr>
            <w:r>
              <w:rPr>
                <w:rFonts w:ascii="Arial" w:cs="Arial" w:eastAsia="Arial" w:hAnsi="Arial"/>
                <w:sz w:val="18"/>
                <w:szCs w:val="18"/>
                <w:color w:val="auto"/>
              </w:rPr>
              <w:t>Form of Executive Long-Term Incentive Program Award Agreement under 2010 ELTIP.</w:t>
            </w:r>
          </w:p>
        </w:tc>
      </w:tr>
      <w:tr>
        <w:trPr>
          <w:trHeight w:val="302"/>
        </w:trPr>
        <w:tc>
          <w:tcPr>
            <w:tcW w:w="1100" w:type="dxa"/>
            <w:vAlign w:val="bottom"/>
          </w:tcPr>
          <w:p>
            <w:pPr>
              <w:spacing w:after="0"/>
              <w:rPr>
                <w:sz w:val="24"/>
                <w:szCs w:val="24"/>
                <w:color w:val="auto"/>
              </w:rPr>
            </w:pPr>
          </w:p>
        </w:tc>
        <w:tc>
          <w:tcPr>
            <w:tcW w:w="10260" w:type="dxa"/>
            <w:vAlign w:val="bottom"/>
          </w:tcPr>
          <w:p>
            <w:pPr>
              <w:ind w:left="280"/>
              <w:spacing w:after="0"/>
              <w:rPr>
                <w:sz w:val="20"/>
                <w:szCs w:val="20"/>
                <w:color w:val="auto"/>
              </w:rPr>
            </w:pPr>
            <w:r>
              <w:rPr>
                <w:rFonts w:ascii="Arial" w:cs="Arial" w:eastAsia="Arial" w:hAnsi="Arial"/>
                <w:sz w:val="18"/>
                <w:szCs w:val="18"/>
                <w:color w:val="auto"/>
                <w:w w:val="99"/>
              </w:rPr>
              <w:t>Incorporated by reference to Exhibit 10(e)(22) to Registrant’s Annual Report on Form 10-K for the fiscal year ended December</w:t>
            </w:r>
          </w:p>
        </w:tc>
      </w:tr>
      <w:tr>
        <w:trPr>
          <w:trHeight w:val="211"/>
        </w:trPr>
        <w:tc>
          <w:tcPr>
            <w:tcW w:w="1100" w:type="dxa"/>
            <w:vAlign w:val="bottom"/>
          </w:tcPr>
          <w:p>
            <w:pPr>
              <w:spacing w:after="0"/>
              <w:rPr>
                <w:sz w:val="18"/>
                <w:szCs w:val="18"/>
                <w:color w:val="auto"/>
              </w:rPr>
            </w:pPr>
          </w:p>
        </w:tc>
        <w:tc>
          <w:tcPr>
            <w:tcW w:w="10260" w:type="dxa"/>
            <w:vAlign w:val="bottom"/>
          </w:tcPr>
          <w:p>
            <w:pPr>
              <w:ind w:left="280"/>
              <w:spacing w:after="0"/>
              <w:rPr>
                <w:sz w:val="20"/>
                <w:szCs w:val="20"/>
                <w:color w:val="auto"/>
              </w:rPr>
            </w:pPr>
            <w:r>
              <w:rPr>
                <w:rFonts w:ascii="Arial" w:cs="Arial" w:eastAsia="Arial" w:hAnsi="Arial"/>
                <w:sz w:val="18"/>
                <w:szCs w:val="18"/>
                <w:color w:val="auto"/>
              </w:rPr>
              <w:t>31, 2009.</w:t>
            </w:r>
          </w:p>
        </w:tc>
      </w:tr>
      <w:tr>
        <w:trPr>
          <w:trHeight w:val="311"/>
        </w:trPr>
        <w:tc>
          <w:tcPr>
            <w:tcW w:w="1100" w:type="dxa"/>
            <w:vAlign w:val="bottom"/>
          </w:tcPr>
          <w:p>
            <w:pPr>
              <w:spacing w:after="0"/>
              <w:rPr>
                <w:sz w:val="20"/>
                <w:szCs w:val="20"/>
                <w:color w:val="auto"/>
              </w:rPr>
            </w:pPr>
            <w:r>
              <w:rPr>
                <w:rFonts w:ascii="Arial" w:cs="Arial" w:eastAsia="Arial" w:hAnsi="Arial"/>
                <w:sz w:val="18"/>
                <w:szCs w:val="18"/>
                <w:color w:val="auto"/>
              </w:rPr>
              <w:t>*10(e)(17)</w:t>
            </w:r>
          </w:p>
        </w:tc>
        <w:tc>
          <w:tcPr>
            <w:tcW w:w="10260" w:type="dxa"/>
            <w:vAlign w:val="bottom"/>
          </w:tcPr>
          <w:p>
            <w:pPr>
              <w:ind w:left="280"/>
              <w:spacing w:after="0"/>
              <w:rPr>
                <w:sz w:val="20"/>
                <w:szCs w:val="20"/>
                <w:color w:val="auto"/>
              </w:rPr>
            </w:pPr>
            <w:r>
              <w:rPr>
                <w:rFonts w:ascii="Arial" w:cs="Arial" w:eastAsia="Arial" w:hAnsi="Arial"/>
                <w:sz w:val="18"/>
                <w:szCs w:val="18"/>
                <w:color w:val="auto"/>
              </w:rPr>
              <w:t>Form of Executive Long-Term Incentive Program Award Summary under 2010 ELTIP.</w:t>
            </w:r>
          </w:p>
        </w:tc>
      </w:tr>
      <w:tr>
        <w:trPr>
          <w:trHeight w:val="302"/>
        </w:trPr>
        <w:tc>
          <w:tcPr>
            <w:tcW w:w="1100" w:type="dxa"/>
            <w:vAlign w:val="bottom"/>
          </w:tcPr>
          <w:p>
            <w:pPr>
              <w:spacing w:after="0"/>
              <w:rPr>
                <w:sz w:val="24"/>
                <w:szCs w:val="24"/>
                <w:color w:val="auto"/>
              </w:rPr>
            </w:pPr>
          </w:p>
        </w:tc>
        <w:tc>
          <w:tcPr>
            <w:tcW w:w="10260" w:type="dxa"/>
            <w:vAlign w:val="bottom"/>
          </w:tcPr>
          <w:p>
            <w:pPr>
              <w:ind w:left="280"/>
              <w:spacing w:after="0"/>
              <w:rPr>
                <w:sz w:val="20"/>
                <w:szCs w:val="20"/>
                <w:color w:val="auto"/>
              </w:rPr>
            </w:pPr>
            <w:r>
              <w:rPr>
                <w:rFonts w:ascii="Arial" w:cs="Arial" w:eastAsia="Arial" w:hAnsi="Arial"/>
                <w:sz w:val="18"/>
                <w:szCs w:val="18"/>
                <w:color w:val="auto"/>
                <w:w w:val="99"/>
              </w:rPr>
              <w:t>Incorporated by reference to Exhibit 10(e)(23) to Registrant’s Annual Report on Form 10-K for the fiscal year ended December</w:t>
            </w:r>
          </w:p>
        </w:tc>
      </w:tr>
      <w:tr>
        <w:trPr>
          <w:trHeight w:val="211"/>
        </w:trPr>
        <w:tc>
          <w:tcPr>
            <w:tcW w:w="1100" w:type="dxa"/>
            <w:vAlign w:val="bottom"/>
          </w:tcPr>
          <w:p>
            <w:pPr>
              <w:spacing w:after="0"/>
              <w:rPr>
                <w:sz w:val="18"/>
                <w:szCs w:val="18"/>
                <w:color w:val="auto"/>
              </w:rPr>
            </w:pPr>
          </w:p>
        </w:tc>
        <w:tc>
          <w:tcPr>
            <w:tcW w:w="10260" w:type="dxa"/>
            <w:vAlign w:val="bottom"/>
          </w:tcPr>
          <w:p>
            <w:pPr>
              <w:ind w:left="280"/>
              <w:spacing w:after="0"/>
              <w:rPr>
                <w:sz w:val="20"/>
                <w:szCs w:val="20"/>
                <w:color w:val="auto"/>
              </w:rPr>
            </w:pPr>
            <w:r>
              <w:rPr>
                <w:rFonts w:ascii="Arial" w:cs="Arial" w:eastAsia="Arial" w:hAnsi="Arial"/>
                <w:sz w:val="18"/>
                <w:szCs w:val="18"/>
                <w:color w:val="auto"/>
              </w:rPr>
              <w:t>31, 2009.</w:t>
            </w:r>
          </w:p>
        </w:tc>
      </w:tr>
      <w:tr>
        <w:trPr>
          <w:trHeight w:val="311"/>
        </w:trPr>
        <w:tc>
          <w:tcPr>
            <w:tcW w:w="1100" w:type="dxa"/>
            <w:vAlign w:val="bottom"/>
          </w:tcPr>
          <w:p>
            <w:pPr>
              <w:spacing w:after="0"/>
              <w:rPr>
                <w:sz w:val="20"/>
                <w:szCs w:val="20"/>
                <w:color w:val="auto"/>
              </w:rPr>
            </w:pPr>
            <w:r>
              <w:rPr>
                <w:rFonts w:ascii="Arial" w:cs="Arial" w:eastAsia="Arial" w:hAnsi="Arial"/>
                <w:sz w:val="18"/>
                <w:szCs w:val="18"/>
                <w:color w:val="auto"/>
              </w:rPr>
              <w:t>*10(e)(18)</w:t>
            </w:r>
          </w:p>
        </w:tc>
        <w:tc>
          <w:tcPr>
            <w:tcW w:w="10260" w:type="dxa"/>
            <w:vAlign w:val="bottom"/>
          </w:tcPr>
          <w:p>
            <w:pPr>
              <w:ind w:left="280"/>
              <w:spacing w:after="0"/>
              <w:rPr>
                <w:sz w:val="20"/>
                <w:szCs w:val="20"/>
                <w:color w:val="auto"/>
              </w:rPr>
            </w:pPr>
            <w:r>
              <w:rPr>
                <w:rFonts w:ascii="Arial" w:cs="Arial" w:eastAsia="Arial" w:hAnsi="Arial"/>
                <w:sz w:val="18"/>
                <w:szCs w:val="18"/>
                <w:color w:val="auto"/>
              </w:rPr>
              <w:t>Registrant’s 2004 Performance Incentive Plan, as amended and restated May 20, 2010.</w:t>
            </w:r>
          </w:p>
        </w:tc>
      </w:tr>
      <w:tr>
        <w:trPr>
          <w:trHeight w:val="311"/>
        </w:trPr>
        <w:tc>
          <w:tcPr>
            <w:tcW w:w="1100" w:type="dxa"/>
            <w:vAlign w:val="bottom"/>
          </w:tcPr>
          <w:p>
            <w:pPr>
              <w:spacing w:after="0"/>
              <w:rPr>
                <w:sz w:val="24"/>
                <w:szCs w:val="24"/>
                <w:color w:val="auto"/>
              </w:rPr>
            </w:pPr>
          </w:p>
        </w:tc>
        <w:tc>
          <w:tcPr>
            <w:tcW w:w="10260" w:type="dxa"/>
            <w:vAlign w:val="bottom"/>
          </w:tcPr>
          <w:p>
            <w:pPr>
              <w:ind w:left="280"/>
              <w:spacing w:after="0"/>
              <w:rPr>
                <w:sz w:val="20"/>
                <w:szCs w:val="20"/>
                <w:color w:val="auto"/>
              </w:rPr>
            </w:pPr>
            <w:r>
              <w:rPr>
                <w:rFonts w:ascii="Arial" w:cs="Arial" w:eastAsia="Arial" w:hAnsi="Arial"/>
                <w:sz w:val="18"/>
                <w:szCs w:val="18"/>
                <w:color w:val="auto"/>
              </w:rPr>
              <w:t>Incorporated by reference to Exhibit 10(e)(24) to Registrant’s Current Report on Form 8-K dated May 20, 2010.</w:t>
            </w:r>
          </w:p>
        </w:tc>
      </w:tr>
      <w:tr>
        <w:trPr>
          <w:trHeight w:val="311"/>
        </w:trPr>
        <w:tc>
          <w:tcPr>
            <w:tcW w:w="1100" w:type="dxa"/>
            <w:vAlign w:val="bottom"/>
          </w:tcPr>
          <w:p>
            <w:pPr>
              <w:spacing w:after="0"/>
              <w:rPr>
                <w:sz w:val="20"/>
                <w:szCs w:val="20"/>
                <w:color w:val="auto"/>
              </w:rPr>
            </w:pPr>
            <w:r>
              <w:rPr>
                <w:rFonts w:ascii="Arial" w:cs="Arial" w:eastAsia="Arial" w:hAnsi="Arial"/>
                <w:sz w:val="18"/>
                <w:szCs w:val="18"/>
                <w:color w:val="auto"/>
              </w:rPr>
              <w:t>*10(e)(19)</w:t>
            </w:r>
          </w:p>
        </w:tc>
        <w:tc>
          <w:tcPr>
            <w:tcW w:w="10260" w:type="dxa"/>
            <w:vAlign w:val="bottom"/>
          </w:tcPr>
          <w:p>
            <w:pPr>
              <w:ind w:left="280"/>
              <w:spacing w:after="0"/>
              <w:rPr>
                <w:sz w:val="20"/>
                <w:szCs w:val="20"/>
                <w:color w:val="auto"/>
              </w:rPr>
            </w:pPr>
            <w:r>
              <w:rPr>
                <w:rFonts w:ascii="Arial" w:cs="Arial" w:eastAsia="Arial" w:hAnsi="Arial"/>
                <w:sz w:val="18"/>
                <w:szCs w:val="18"/>
                <w:color w:val="auto"/>
              </w:rPr>
              <w:t>Annual Performance Incentive Plan 2011</w:t>
            </w:r>
          </w:p>
        </w:tc>
      </w:tr>
      <w:tr>
        <w:trPr>
          <w:trHeight w:val="311"/>
        </w:trPr>
        <w:tc>
          <w:tcPr>
            <w:tcW w:w="1100" w:type="dxa"/>
            <w:vAlign w:val="bottom"/>
          </w:tcPr>
          <w:p>
            <w:pPr>
              <w:spacing w:after="0"/>
              <w:rPr>
                <w:sz w:val="20"/>
                <w:szCs w:val="20"/>
                <w:color w:val="auto"/>
              </w:rPr>
            </w:pPr>
            <w:r>
              <w:rPr>
                <w:rFonts w:ascii="Arial" w:cs="Arial" w:eastAsia="Arial" w:hAnsi="Arial"/>
                <w:sz w:val="18"/>
                <w:szCs w:val="18"/>
                <w:color w:val="auto"/>
              </w:rPr>
              <w:t>*10(e)(20)</w:t>
            </w:r>
          </w:p>
        </w:tc>
        <w:tc>
          <w:tcPr>
            <w:tcW w:w="10260" w:type="dxa"/>
            <w:vAlign w:val="bottom"/>
          </w:tcPr>
          <w:p>
            <w:pPr>
              <w:ind w:left="280"/>
              <w:spacing w:after="0"/>
              <w:rPr>
                <w:sz w:val="20"/>
                <w:szCs w:val="20"/>
                <w:color w:val="auto"/>
              </w:rPr>
            </w:pPr>
            <w:r>
              <w:rPr>
                <w:rFonts w:ascii="Arial" w:cs="Arial" w:eastAsia="Arial" w:hAnsi="Arial"/>
                <w:sz w:val="18"/>
                <w:szCs w:val="18"/>
                <w:color w:val="auto"/>
              </w:rPr>
              <w:t>Performance Elements for 2011 Executive Long-Term Incentive Program (“2011 ELTIP”)</w:t>
            </w:r>
          </w:p>
        </w:tc>
      </w:tr>
      <w:tr>
        <w:trPr>
          <w:trHeight w:val="311"/>
        </w:trPr>
        <w:tc>
          <w:tcPr>
            <w:tcW w:w="1100" w:type="dxa"/>
            <w:vAlign w:val="bottom"/>
          </w:tcPr>
          <w:p>
            <w:pPr>
              <w:spacing w:after="0"/>
              <w:rPr>
                <w:sz w:val="20"/>
                <w:szCs w:val="20"/>
                <w:color w:val="auto"/>
              </w:rPr>
            </w:pPr>
            <w:r>
              <w:rPr>
                <w:rFonts w:ascii="Arial" w:cs="Arial" w:eastAsia="Arial" w:hAnsi="Arial"/>
                <w:sz w:val="18"/>
                <w:szCs w:val="18"/>
                <w:color w:val="auto"/>
              </w:rPr>
              <w:t>*10(e)(21)</w:t>
            </w:r>
          </w:p>
        </w:tc>
        <w:tc>
          <w:tcPr>
            <w:tcW w:w="10260" w:type="dxa"/>
            <w:vAlign w:val="bottom"/>
          </w:tcPr>
          <w:p>
            <w:pPr>
              <w:ind w:left="280"/>
              <w:spacing w:after="0"/>
              <w:rPr>
                <w:sz w:val="20"/>
                <w:szCs w:val="20"/>
                <w:color w:val="auto"/>
              </w:rPr>
            </w:pPr>
            <w:r>
              <w:rPr>
                <w:rFonts w:ascii="Arial" w:cs="Arial" w:eastAsia="Arial" w:hAnsi="Arial"/>
                <w:sz w:val="18"/>
                <w:szCs w:val="18"/>
                <w:color w:val="auto"/>
              </w:rPr>
              <w:t>Form of Executive Long-Term Incentive Award under 2011 ELTIP</w:t>
            </w:r>
          </w:p>
        </w:tc>
      </w:tr>
      <w:tr>
        <w:trPr>
          <w:trHeight w:val="311"/>
        </w:trPr>
        <w:tc>
          <w:tcPr>
            <w:tcW w:w="1100" w:type="dxa"/>
            <w:vAlign w:val="bottom"/>
          </w:tcPr>
          <w:p>
            <w:pPr>
              <w:spacing w:after="0"/>
              <w:rPr>
                <w:sz w:val="20"/>
                <w:szCs w:val="20"/>
                <w:color w:val="auto"/>
              </w:rPr>
            </w:pPr>
            <w:r>
              <w:rPr>
                <w:rFonts w:ascii="Arial" w:cs="Arial" w:eastAsia="Arial" w:hAnsi="Arial"/>
                <w:sz w:val="18"/>
                <w:szCs w:val="18"/>
                <w:color w:val="auto"/>
              </w:rPr>
              <w:t>*10(e)(22)</w:t>
            </w:r>
          </w:p>
        </w:tc>
        <w:tc>
          <w:tcPr>
            <w:tcW w:w="10260" w:type="dxa"/>
            <w:vAlign w:val="bottom"/>
          </w:tcPr>
          <w:p>
            <w:pPr>
              <w:ind w:left="280"/>
              <w:spacing w:after="0"/>
              <w:rPr>
                <w:sz w:val="20"/>
                <w:szCs w:val="20"/>
                <w:color w:val="auto"/>
              </w:rPr>
            </w:pPr>
            <w:r>
              <w:rPr>
                <w:rFonts w:ascii="Arial" w:cs="Arial" w:eastAsia="Arial" w:hAnsi="Arial"/>
                <w:sz w:val="18"/>
                <w:szCs w:val="18"/>
                <w:color w:val="auto"/>
              </w:rPr>
              <w:t>Form of Executive Long-Term Incentive Program Award Summary under 2011 ELTIP</w:t>
            </w:r>
          </w:p>
        </w:tc>
      </w:tr>
      <w:tr>
        <w:trPr>
          <w:trHeight w:val="302"/>
        </w:trPr>
        <w:tc>
          <w:tcPr>
            <w:tcW w:w="1100" w:type="dxa"/>
            <w:vAlign w:val="bottom"/>
          </w:tcPr>
          <w:p>
            <w:pPr>
              <w:spacing w:after="0"/>
              <w:rPr>
                <w:sz w:val="20"/>
                <w:szCs w:val="20"/>
                <w:color w:val="auto"/>
              </w:rPr>
            </w:pPr>
            <w:r>
              <w:rPr>
                <w:rFonts w:ascii="Arial" w:cs="Arial" w:eastAsia="Arial" w:hAnsi="Arial"/>
                <w:sz w:val="18"/>
                <w:szCs w:val="18"/>
                <w:color w:val="auto"/>
              </w:rPr>
              <w:t>*10(f)(1)</w:t>
            </w:r>
          </w:p>
        </w:tc>
        <w:tc>
          <w:tcPr>
            <w:tcW w:w="10260" w:type="dxa"/>
            <w:vAlign w:val="bottom"/>
          </w:tcPr>
          <w:p>
            <w:pPr>
              <w:ind w:left="280"/>
              <w:spacing w:after="0"/>
              <w:rPr>
                <w:sz w:val="20"/>
                <w:szCs w:val="20"/>
                <w:color w:val="auto"/>
              </w:rPr>
            </w:pPr>
            <w:r>
              <w:rPr>
                <w:rFonts w:ascii="Arial" w:cs="Arial" w:eastAsia="Arial" w:hAnsi="Arial"/>
                <w:sz w:val="18"/>
                <w:szCs w:val="18"/>
                <w:color w:val="auto"/>
                <w:w w:val="97"/>
              </w:rPr>
              <w:t>2008 Restatement of Registrant’s Unfunded Retirement Income Guarantee Plan, as amended through February 12, 2008 (“2008</w:t>
            </w:r>
          </w:p>
        </w:tc>
      </w:tr>
      <w:tr>
        <w:trPr>
          <w:trHeight w:val="211"/>
        </w:trPr>
        <w:tc>
          <w:tcPr>
            <w:tcW w:w="1100" w:type="dxa"/>
            <w:vAlign w:val="bottom"/>
          </w:tcPr>
          <w:p>
            <w:pPr>
              <w:spacing w:after="0"/>
              <w:rPr>
                <w:sz w:val="18"/>
                <w:szCs w:val="18"/>
                <w:color w:val="auto"/>
              </w:rPr>
            </w:pPr>
          </w:p>
        </w:tc>
        <w:tc>
          <w:tcPr>
            <w:tcW w:w="10260" w:type="dxa"/>
            <w:vAlign w:val="bottom"/>
          </w:tcPr>
          <w:p>
            <w:pPr>
              <w:ind w:left="280"/>
              <w:spacing w:after="0"/>
              <w:rPr>
                <w:sz w:val="20"/>
                <w:szCs w:val="20"/>
                <w:color w:val="auto"/>
              </w:rPr>
            </w:pPr>
            <w:r>
              <w:rPr>
                <w:rFonts w:ascii="Arial" w:cs="Arial" w:eastAsia="Arial" w:hAnsi="Arial"/>
                <w:sz w:val="18"/>
                <w:szCs w:val="18"/>
                <w:color w:val="auto"/>
              </w:rPr>
              <w:t>URIGP”).</w:t>
            </w:r>
          </w:p>
        </w:tc>
      </w:tr>
      <w:tr>
        <w:trPr>
          <w:trHeight w:val="302"/>
        </w:trPr>
        <w:tc>
          <w:tcPr>
            <w:tcW w:w="1100" w:type="dxa"/>
            <w:vAlign w:val="bottom"/>
          </w:tcPr>
          <w:p>
            <w:pPr>
              <w:spacing w:after="0"/>
              <w:rPr>
                <w:sz w:val="24"/>
                <w:szCs w:val="24"/>
                <w:color w:val="auto"/>
              </w:rPr>
            </w:pPr>
          </w:p>
        </w:tc>
        <w:tc>
          <w:tcPr>
            <w:tcW w:w="10260" w:type="dxa"/>
            <w:vAlign w:val="bottom"/>
          </w:tcPr>
          <w:p>
            <w:pPr>
              <w:ind w:left="280"/>
              <w:spacing w:after="0"/>
              <w:rPr>
                <w:sz w:val="20"/>
                <w:szCs w:val="20"/>
                <w:color w:val="auto"/>
              </w:rPr>
            </w:pPr>
            <w:r>
              <w:rPr>
                <w:rFonts w:ascii="Arial" w:cs="Arial" w:eastAsia="Arial" w:hAnsi="Arial"/>
                <w:sz w:val="18"/>
                <w:szCs w:val="18"/>
                <w:color w:val="auto"/>
                <w:w w:val="97"/>
              </w:rPr>
              <w:t>Incorporated by reference to Exhibit 10(f)(1) to Registrant’s Annual Report on Form 10-K for the fiscal year ended December 31,</w:t>
            </w:r>
          </w:p>
        </w:tc>
      </w:tr>
      <w:tr>
        <w:trPr>
          <w:trHeight w:val="211"/>
        </w:trPr>
        <w:tc>
          <w:tcPr>
            <w:tcW w:w="1100" w:type="dxa"/>
            <w:vAlign w:val="bottom"/>
          </w:tcPr>
          <w:p>
            <w:pPr>
              <w:spacing w:after="0"/>
              <w:rPr>
                <w:sz w:val="18"/>
                <w:szCs w:val="18"/>
                <w:color w:val="auto"/>
              </w:rPr>
            </w:pPr>
          </w:p>
        </w:tc>
        <w:tc>
          <w:tcPr>
            <w:tcW w:w="10260" w:type="dxa"/>
            <w:vAlign w:val="bottom"/>
          </w:tcPr>
          <w:p>
            <w:pPr>
              <w:ind w:left="280"/>
              <w:spacing w:after="0"/>
              <w:rPr>
                <w:sz w:val="20"/>
                <w:szCs w:val="20"/>
                <w:color w:val="auto"/>
              </w:rPr>
            </w:pPr>
            <w:r>
              <w:rPr>
                <w:rFonts w:ascii="Arial" w:cs="Arial" w:eastAsia="Arial" w:hAnsi="Arial"/>
                <w:sz w:val="18"/>
                <w:szCs w:val="18"/>
                <w:color w:val="auto"/>
              </w:rPr>
              <w:t>2008.</w:t>
            </w:r>
          </w:p>
        </w:tc>
      </w:tr>
      <w:tr>
        <w:trPr>
          <w:trHeight w:val="311"/>
        </w:trPr>
        <w:tc>
          <w:tcPr>
            <w:tcW w:w="1100" w:type="dxa"/>
            <w:vAlign w:val="bottom"/>
          </w:tcPr>
          <w:p>
            <w:pPr>
              <w:spacing w:after="0"/>
              <w:rPr>
                <w:sz w:val="20"/>
                <w:szCs w:val="20"/>
                <w:color w:val="auto"/>
              </w:rPr>
            </w:pPr>
            <w:r>
              <w:rPr>
                <w:rFonts w:ascii="Arial" w:cs="Arial" w:eastAsia="Arial" w:hAnsi="Arial"/>
                <w:sz w:val="18"/>
                <w:szCs w:val="18"/>
                <w:color w:val="auto"/>
              </w:rPr>
              <w:t>*10(f)(2)</w:t>
            </w:r>
          </w:p>
        </w:tc>
        <w:tc>
          <w:tcPr>
            <w:tcW w:w="10260" w:type="dxa"/>
            <w:vAlign w:val="bottom"/>
          </w:tcPr>
          <w:p>
            <w:pPr>
              <w:ind w:left="280"/>
              <w:spacing w:after="0"/>
              <w:rPr>
                <w:sz w:val="20"/>
                <w:szCs w:val="20"/>
                <w:color w:val="auto"/>
              </w:rPr>
            </w:pPr>
            <w:r>
              <w:rPr>
                <w:rFonts w:ascii="Arial" w:cs="Arial" w:eastAsia="Arial" w:hAnsi="Arial"/>
                <w:sz w:val="18"/>
                <w:szCs w:val="18"/>
                <w:color w:val="auto"/>
              </w:rPr>
              <w:t>Amendment No. 1 to 2008 URIGP.</w:t>
            </w:r>
          </w:p>
        </w:tc>
      </w:tr>
      <w:tr>
        <w:trPr>
          <w:trHeight w:val="302"/>
        </w:trPr>
        <w:tc>
          <w:tcPr>
            <w:tcW w:w="1100" w:type="dxa"/>
            <w:vAlign w:val="bottom"/>
          </w:tcPr>
          <w:p>
            <w:pPr>
              <w:spacing w:after="0"/>
              <w:rPr>
                <w:sz w:val="24"/>
                <w:szCs w:val="24"/>
                <w:color w:val="auto"/>
              </w:rPr>
            </w:pPr>
          </w:p>
        </w:tc>
        <w:tc>
          <w:tcPr>
            <w:tcW w:w="10260" w:type="dxa"/>
            <w:vAlign w:val="bottom"/>
          </w:tcPr>
          <w:p>
            <w:pPr>
              <w:ind w:left="280"/>
              <w:spacing w:after="0"/>
              <w:rPr>
                <w:sz w:val="20"/>
                <w:szCs w:val="20"/>
                <w:color w:val="auto"/>
              </w:rPr>
            </w:pPr>
            <w:r>
              <w:rPr>
                <w:rFonts w:ascii="Arial" w:cs="Arial" w:eastAsia="Arial" w:hAnsi="Arial"/>
                <w:sz w:val="18"/>
                <w:szCs w:val="18"/>
                <w:color w:val="auto"/>
                <w:w w:val="97"/>
              </w:rPr>
              <w:t>Incorporated by reference to Exhibit 10(f)(2) to Registrant’s Annual Report on Form 10-K for the fiscal year ended December 31,</w:t>
            </w:r>
          </w:p>
        </w:tc>
      </w:tr>
      <w:tr>
        <w:trPr>
          <w:trHeight w:val="211"/>
        </w:trPr>
        <w:tc>
          <w:tcPr>
            <w:tcW w:w="1100" w:type="dxa"/>
            <w:vAlign w:val="bottom"/>
          </w:tcPr>
          <w:p>
            <w:pPr>
              <w:spacing w:after="0"/>
              <w:rPr>
                <w:sz w:val="18"/>
                <w:szCs w:val="18"/>
                <w:color w:val="auto"/>
              </w:rPr>
            </w:pPr>
          </w:p>
        </w:tc>
        <w:tc>
          <w:tcPr>
            <w:tcW w:w="10260" w:type="dxa"/>
            <w:vAlign w:val="bottom"/>
          </w:tcPr>
          <w:p>
            <w:pPr>
              <w:ind w:left="280"/>
              <w:spacing w:after="0"/>
              <w:rPr>
                <w:sz w:val="20"/>
                <w:szCs w:val="20"/>
                <w:color w:val="auto"/>
              </w:rPr>
            </w:pPr>
            <w:r>
              <w:rPr>
                <w:rFonts w:ascii="Arial" w:cs="Arial" w:eastAsia="Arial" w:hAnsi="Arial"/>
                <w:sz w:val="18"/>
                <w:szCs w:val="18"/>
                <w:color w:val="auto"/>
              </w:rPr>
              <w:t>2008.</w:t>
            </w:r>
          </w:p>
        </w:tc>
      </w:tr>
      <w:tr>
        <w:trPr>
          <w:trHeight w:val="311"/>
        </w:trPr>
        <w:tc>
          <w:tcPr>
            <w:tcW w:w="1100" w:type="dxa"/>
            <w:vAlign w:val="bottom"/>
          </w:tcPr>
          <w:p>
            <w:pPr>
              <w:spacing w:after="0"/>
              <w:rPr>
                <w:sz w:val="20"/>
                <w:szCs w:val="20"/>
                <w:color w:val="auto"/>
              </w:rPr>
            </w:pPr>
            <w:r>
              <w:rPr>
                <w:rFonts w:ascii="Arial" w:cs="Arial" w:eastAsia="Arial" w:hAnsi="Arial"/>
                <w:sz w:val="18"/>
                <w:szCs w:val="18"/>
                <w:color w:val="auto"/>
              </w:rPr>
              <w:t>*10(f)(3)</w:t>
            </w:r>
          </w:p>
        </w:tc>
        <w:tc>
          <w:tcPr>
            <w:tcW w:w="10260" w:type="dxa"/>
            <w:vAlign w:val="bottom"/>
          </w:tcPr>
          <w:p>
            <w:pPr>
              <w:ind w:left="280"/>
              <w:spacing w:after="0"/>
              <w:rPr>
                <w:sz w:val="20"/>
                <w:szCs w:val="20"/>
                <w:color w:val="auto"/>
              </w:rPr>
            </w:pPr>
            <w:r>
              <w:rPr>
                <w:rFonts w:ascii="Arial" w:cs="Arial" w:eastAsia="Arial" w:hAnsi="Arial"/>
                <w:sz w:val="18"/>
                <w:szCs w:val="18"/>
                <w:color w:val="auto"/>
              </w:rPr>
              <w:t>Amendment No. 2 dated March 6, 2009 to 2008 URIGP.</w:t>
            </w:r>
          </w:p>
        </w:tc>
      </w:tr>
      <w:tr>
        <w:trPr>
          <w:trHeight w:val="302"/>
        </w:trPr>
        <w:tc>
          <w:tcPr>
            <w:tcW w:w="1100" w:type="dxa"/>
            <w:vAlign w:val="bottom"/>
          </w:tcPr>
          <w:p>
            <w:pPr>
              <w:spacing w:after="0"/>
              <w:rPr>
                <w:sz w:val="24"/>
                <w:szCs w:val="24"/>
                <w:color w:val="auto"/>
              </w:rPr>
            </w:pPr>
          </w:p>
        </w:tc>
        <w:tc>
          <w:tcPr>
            <w:tcW w:w="10260" w:type="dxa"/>
            <w:vAlign w:val="bottom"/>
          </w:tcPr>
          <w:p>
            <w:pPr>
              <w:ind w:left="280"/>
              <w:spacing w:after="0"/>
              <w:rPr>
                <w:sz w:val="20"/>
                <w:szCs w:val="20"/>
                <w:color w:val="auto"/>
              </w:rPr>
            </w:pPr>
            <w:r>
              <w:rPr>
                <w:rFonts w:ascii="Arial" w:cs="Arial" w:eastAsia="Arial" w:hAnsi="Arial"/>
                <w:sz w:val="18"/>
                <w:szCs w:val="18"/>
                <w:color w:val="auto"/>
              </w:rPr>
              <w:t>Incorporated by reference to Exhibit 10(f)(3) to Registrant’s Quarterly Report on Form 10-Q for the Quarter ended March 31,</w:t>
            </w:r>
          </w:p>
        </w:tc>
      </w:tr>
      <w:tr>
        <w:trPr>
          <w:trHeight w:val="211"/>
        </w:trPr>
        <w:tc>
          <w:tcPr>
            <w:tcW w:w="1100" w:type="dxa"/>
            <w:vAlign w:val="bottom"/>
          </w:tcPr>
          <w:p>
            <w:pPr>
              <w:spacing w:after="0"/>
              <w:rPr>
                <w:sz w:val="18"/>
                <w:szCs w:val="18"/>
                <w:color w:val="auto"/>
              </w:rPr>
            </w:pPr>
          </w:p>
        </w:tc>
        <w:tc>
          <w:tcPr>
            <w:tcW w:w="10260" w:type="dxa"/>
            <w:vAlign w:val="bottom"/>
          </w:tcPr>
          <w:p>
            <w:pPr>
              <w:ind w:left="280"/>
              <w:spacing w:after="0"/>
              <w:rPr>
                <w:sz w:val="20"/>
                <w:szCs w:val="20"/>
                <w:color w:val="auto"/>
              </w:rPr>
            </w:pPr>
            <w:r>
              <w:rPr>
                <w:rFonts w:ascii="Arial" w:cs="Arial" w:eastAsia="Arial" w:hAnsi="Arial"/>
                <w:sz w:val="18"/>
                <w:szCs w:val="18"/>
                <w:color w:val="auto"/>
              </w:rPr>
              <w:t>2009.</w:t>
            </w:r>
          </w:p>
        </w:tc>
      </w:tr>
      <w:tr>
        <w:trPr>
          <w:trHeight w:val="311"/>
        </w:trPr>
        <w:tc>
          <w:tcPr>
            <w:tcW w:w="1100" w:type="dxa"/>
            <w:vAlign w:val="bottom"/>
          </w:tcPr>
          <w:p>
            <w:pPr>
              <w:spacing w:after="0"/>
              <w:rPr>
                <w:sz w:val="20"/>
                <w:szCs w:val="20"/>
                <w:color w:val="auto"/>
              </w:rPr>
            </w:pPr>
            <w:r>
              <w:rPr>
                <w:rFonts w:ascii="Arial" w:cs="Arial" w:eastAsia="Arial" w:hAnsi="Arial"/>
                <w:sz w:val="18"/>
                <w:szCs w:val="18"/>
                <w:color w:val="auto"/>
              </w:rPr>
              <w:t>*10(f)(4)</w:t>
            </w:r>
          </w:p>
        </w:tc>
        <w:tc>
          <w:tcPr>
            <w:tcW w:w="10260" w:type="dxa"/>
            <w:vAlign w:val="bottom"/>
          </w:tcPr>
          <w:p>
            <w:pPr>
              <w:ind w:left="280"/>
              <w:spacing w:after="0"/>
              <w:rPr>
                <w:sz w:val="20"/>
                <w:szCs w:val="20"/>
                <w:color w:val="auto"/>
              </w:rPr>
            </w:pPr>
            <w:r>
              <w:rPr>
                <w:rFonts w:ascii="Arial" w:cs="Arial" w:eastAsia="Arial" w:hAnsi="Arial"/>
                <w:sz w:val="18"/>
                <w:szCs w:val="18"/>
                <w:color w:val="auto"/>
              </w:rPr>
              <w:t>Amendment No. 3 dated May 5, 2009 to 2008 URIGP.</w:t>
            </w:r>
          </w:p>
        </w:tc>
      </w:tr>
      <w:tr>
        <w:trPr>
          <w:trHeight w:val="351"/>
        </w:trPr>
        <w:tc>
          <w:tcPr>
            <w:tcW w:w="1100" w:type="dxa"/>
            <w:vAlign w:val="bottom"/>
          </w:tcPr>
          <w:p>
            <w:pPr>
              <w:spacing w:after="0"/>
              <w:rPr>
                <w:sz w:val="24"/>
                <w:szCs w:val="24"/>
                <w:color w:val="auto"/>
              </w:rPr>
            </w:pPr>
          </w:p>
        </w:tc>
        <w:tc>
          <w:tcPr>
            <w:tcW w:w="10260" w:type="dxa"/>
            <w:vAlign w:val="bottom"/>
          </w:tcPr>
          <w:p>
            <w:pPr>
              <w:ind w:left="4560"/>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360"/>
          </w:cols>
          <w:pgMar w:left="240" w:top="459" w:right="2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04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w w:val="97"/>
              </w:rPr>
              <w:t>Incorporated by reference to Exhibit 10(f)(3) to Registrant’s Quarterly Report on Form 10-Q for the Quarter ended June 30, 2009.</w:t>
            </w:r>
          </w:p>
        </w:tc>
      </w:tr>
      <w:tr>
        <w:trPr>
          <w:trHeight w:val="311"/>
        </w:trPr>
        <w:tc>
          <w:tcPr>
            <w:tcW w:w="1040" w:type="dxa"/>
            <w:vAlign w:val="bottom"/>
          </w:tcPr>
          <w:p>
            <w:pPr>
              <w:spacing w:after="0"/>
              <w:rPr>
                <w:sz w:val="20"/>
                <w:szCs w:val="20"/>
                <w:color w:val="auto"/>
              </w:rPr>
            </w:pPr>
            <w:r>
              <w:rPr>
                <w:rFonts w:ascii="Arial" w:cs="Arial" w:eastAsia="Arial" w:hAnsi="Arial"/>
                <w:sz w:val="18"/>
                <w:szCs w:val="18"/>
                <w:color w:val="auto"/>
              </w:rPr>
              <w:t>*10(f)(5)</w:t>
            </w:r>
          </w:p>
        </w:tc>
        <w:tc>
          <w:tcPr>
            <w:tcW w:w="10340" w:type="dxa"/>
            <w:vAlign w:val="bottom"/>
          </w:tcPr>
          <w:p>
            <w:pPr>
              <w:ind w:left="340"/>
              <w:spacing w:after="0"/>
              <w:rPr>
                <w:sz w:val="20"/>
                <w:szCs w:val="20"/>
                <w:color w:val="auto"/>
              </w:rPr>
            </w:pPr>
            <w:r>
              <w:rPr>
                <w:rFonts w:ascii="Arial" w:cs="Arial" w:eastAsia="Arial" w:hAnsi="Arial"/>
                <w:sz w:val="18"/>
                <w:szCs w:val="18"/>
                <w:color w:val="auto"/>
              </w:rPr>
              <w:t>Amendment No. 4 dated October 9, 2009 to 2008 URIGP.</w:t>
            </w:r>
          </w:p>
        </w:tc>
      </w:tr>
      <w:tr>
        <w:trPr>
          <w:trHeight w:val="302"/>
        </w:trPr>
        <w:tc>
          <w:tcPr>
            <w:tcW w:w="1040" w:type="dxa"/>
            <w:vAlign w:val="bottom"/>
          </w:tcPr>
          <w:p>
            <w:pPr>
              <w:spacing w:after="0"/>
              <w:rPr>
                <w:sz w:val="24"/>
                <w:szCs w:val="24"/>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w w:val="97"/>
              </w:rPr>
              <w:t>Incorporated by reference to Exhibit 10(f)(3) to Registrant’s Quarterly Report on Form 10-Q for the Quarter ended September 30,</w:t>
            </w:r>
          </w:p>
        </w:tc>
      </w:tr>
      <w:tr>
        <w:trPr>
          <w:trHeight w:val="211"/>
        </w:trPr>
        <w:tc>
          <w:tcPr>
            <w:tcW w:w="104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rPr>
              <w:t>2009.</w:t>
            </w:r>
          </w:p>
        </w:tc>
      </w:tr>
      <w:tr>
        <w:trPr>
          <w:trHeight w:val="311"/>
        </w:trPr>
        <w:tc>
          <w:tcPr>
            <w:tcW w:w="1040" w:type="dxa"/>
            <w:vAlign w:val="bottom"/>
          </w:tcPr>
          <w:p>
            <w:pPr>
              <w:spacing w:after="0"/>
              <w:rPr>
                <w:sz w:val="20"/>
                <w:szCs w:val="20"/>
                <w:color w:val="auto"/>
              </w:rPr>
            </w:pPr>
            <w:r>
              <w:rPr>
                <w:rFonts w:ascii="Arial" w:cs="Arial" w:eastAsia="Arial" w:hAnsi="Arial"/>
                <w:sz w:val="18"/>
                <w:szCs w:val="18"/>
                <w:color w:val="auto"/>
              </w:rPr>
              <w:t>*10(f)(6)</w:t>
            </w:r>
          </w:p>
        </w:tc>
        <w:tc>
          <w:tcPr>
            <w:tcW w:w="10340" w:type="dxa"/>
            <w:vAlign w:val="bottom"/>
          </w:tcPr>
          <w:p>
            <w:pPr>
              <w:ind w:left="340"/>
              <w:spacing w:after="0"/>
              <w:rPr>
                <w:sz w:val="20"/>
                <w:szCs w:val="20"/>
                <w:color w:val="auto"/>
              </w:rPr>
            </w:pPr>
            <w:r>
              <w:rPr>
                <w:rFonts w:ascii="Arial" w:cs="Arial" w:eastAsia="Arial" w:hAnsi="Arial"/>
                <w:sz w:val="18"/>
                <w:szCs w:val="18"/>
                <w:color w:val="auto"/>
              </w:rPr>
              <w:t>Amendment No. 5 dated December 1, 2009 to 2008 URIGP.</w:t>
            </w:r>
          </w:p>
        </w:tc>
      </w:tr>
      <w:tr>
        <w:trPr>
          <w:trHeight w:val="302"/>
        </w:trPr>
        <w:tc>
          <w:tcPr>
            <w:tcW w:w="1040" w:type="dxa"/>
            <w:vAlign w:val="bottom"/>
          </w:tcPr>
          <w:p>
            <w:pPr>
              <w:spacing w:after="0"/>
              <w:rPr>
                <w:sz w:val="24"/>
                <w:szCs w:val="24"/>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w w:val="97"/>
              </w:rPr>
              <w:t>Incorporated by reference to Exhibit 10(f)(6) to Registrant’s Annual Report on Form 10-K for the fiscal year ended December 31,</w:t>
            </w:r>
          </w:p>
        </w:tc>
      </w:tr>
      <w:tr>
        <w:trPr>
          <w:trHeight w:val="211"/>
        </w:trPr>
        <w:tc>
          <w:tcPr>
            <w:tcW w:w="104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rPr>
              <w:t>2009.</w:t>
            </w:r>
          </w:p>
        </w:tc>
      </w:tr>
      <w:tr>
        <w:trPr>
          <w:trHeight w:val="311"/>
        </w:trPr>
        <w:tc>
          <w:tcPr>
            <w:tcW w:w="1040" w:type="dxa"/>
            <w:vAlign w:val="bottom"/>
          </w:tcPr>
          <w:p>
            <w:pPr>
              <w:spacing w:after="0"/>
              <w:rPr>
                <w:sz w:val="20"/>
                <w:szCs w:val="20"/>
                <w:color w:val="auto"/>
              </w:rPr>
            </w:pPr>
            <w:r>
              <w:rPr>
                <w:rFonts w:ascii="Arial" w:cs="Arial" w:eastAsia="Arial" w:hAnsi="Arial"/>
                <w:sz w:val="18"/>
                <w:szCs w:val="18"/>
                <w:color w:val="auto"/>
              </w:rPr>
              <w:t>*10(f)(7)</w:t>
            </w:r>
          </w:p>
        </w:tc>
        <w:tc>
          <w:tcPr>
            <w:tcW w:w="10340" w:type="dxa"/>
            <w:vAlign w:val="bottom"/>
          </w:tcPr>
          <w:p>
            <w:pPr>
              <w:ind w:left="340"/>
              <w:spacing w:after="0"/>
              <w:rPr>
                <w:sz w:val="20"/>
                <w:szCs w:val="20"/>
                <w:color w:val="auto"/>
              </w:rPr>
            </w:pPr>
            <w:r>
              <w:rPr>
                <w:rFonts w:ascii="Arial" w:cs="Arial" w:eastAsia="Arial" w:hAnsi="Arial"/>
                <w:sz w:val="18"/>
                <w:szCs w:val="18"/>
                <w:color w:val="auto"/>
              </w:rPr>
              <w:t>Amendment No. 6 dated March 10, 2010 to 2008 URIGP.</w:t>
            </w:r>
          </w:p>
        </w:tc>
      </w:tr>
      <w:tr>
        <w:trPr>
          <w:trHeight w:val="302"/>
        </w:trPr>
        <w:tc>
          <w:tcPr>
            <w:tcW w:w="1040" w:type="dxa"/>
            <w:vAlign w:val="bottom"/>
          </w:tcPr>
          <w:p>
            <w:pPr>
              <w:spacing w:after="0"/>
              <w:rPr>
                <w:sz w:val="24"/>
                <w:szCs w:val="24"/>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rPr>
              <w:t>Incorporated by reference to Exhibit 10(f)(7) to Registrant’s Quarterly Report on Form 10-Q for the Quarter ended March 31,</w:t>
            </w:r>
          </w:p>
        </w:tc>
      </w:tr>
      <w:tr>
        <w:trPr>
          <w:trHeight w:val="211"/>
        </w:trPr>
        <w:tc>
          <w:tcPr>
            <w:tcW w:w="104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rPr>
              <w:t>2010.</w:t>
            </w:r>
          </w:p>
        </w:tc>
      </w:tr>
      <w:tr>
        <w:trPr>
          <w:trHeight w:val="302"/>
        </w:trPr>
        <w:tc>
          <w:tcPr>
            <w:tcW w:w="1040" w:type="dxa"/>
            <w:vAlign w:val="bottom"/>
          </w:tcPr>
          <w:p>
            <w:pPr>
              <w:spacing w:after="0"/>
              <w:rPr>
                <w:sz w:val="20"/>
                <w:szCs w:val="20"/>
                <w:color w:val="auto"/>
              </w:rPr>
            </w:pPr>
            <w:r>
              <w:rPr>
                <w:rFonts w:ascii="Arial" w:cs="Arial" w:eastAsia="Arial" w:hAnsi="Arial"/>
                <w:sz w:val="18"/>
                <w:szCs w:val="18"/>
                <w:color w:val="auto"/>
              </w:rPr>
              <w:t>*10(g)(1)</w:t>
            </w:r>
          </w:p>
        </w:tc>
        <w:tc>
          <w:tcPr>
            <w:tcW w:w="10340" w:type="dxa"/>
            <w:vAlign w:val="bottom"/>
          </w:tcPr>
          <w:p>
            <w:pPr>
              <w:ind w:left="340"/>
              <w:spacing w:after="0"/>
              <w:rPr>
                <w:sz w:val="20"/>
                <w:szCs w:val="20"/>
                <w:color w:val="auto"/>
              </w:rPr>
            </w:pPr>
            <w:r>
              <w:rPr>
                <w:rFonts w:ascii="Arial" w:cs="Arial" w:eastAsia="Arial" w:hAnsi="Arial"/>
                <w:sz w:val="18"/>
                <w:szCs w:val="18"/>
                <w:color w:val="auto"/>
                <w:w w:val="99"/>
              </w:rPr>
              <w:t>2004 Restatement of Registrant’s Unfunded Supplemental Executive Retirement Plan, as amended and restated December 4,</w:t>
            </w:r>
          </w:p>
        </w:tc>
      </w:tr>
      <w:tr>
        <w:trPr>
          <w:trHeight w:val="211"/>
        </w:trPr>
        <w:tc>
          <w:tcPr>
            <w:tcW w:w="104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rPr>
              <w:t>2007 (“2007 USERP”).</w:t>
            </w:r>
          </w:p>
        </w:tc>
      </w:tr>
      <w:tr>
        <w:trPr>
          <w:trHeight w:val="302"/>
        </w:trPr>
        <w:tc>
          <w:tcPr>
            <w:tcW w:w="1040" w:type="dxa"/>
            <w:vAlign w:val="bottom"/>
          </w:tcPr>
          <w:p>
            <w:pPr>
              <w:spacing w:after="0"/>
              <w:rPr>
                <w:sz w:val="24"/>
                <w:szCs w:val="24"/>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w w:val="97"/>
              </w:rPr>
              <w:t>Incorporated by reference to Exhibit 10(g)(1) to Registrant’s Annual Report on Form 10-K for the fiscal year ended December 31,</w:t>
            </w:r>
          </w:p>
        </w:tc>
      </w:tr>
      <w:tr>
        <w:trPr>
          <w:trHeight w:val="211"/>
        </w:trPr>
        <w:tc>
          <w:tcPr>
            <w:tcW w:w="104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rPr>
              <w:t>2007.</w:t>
            </w:r>
          </w:p>
        </w:tc>
      </w:tr>
      <w:tr>
        <w:trPr>
          <w:trHeight w:val="311"/>
        </w:trPr>
        <w:tc>
          <w:tcPr>
            <w:tcW w:w="1040" w:type="dxa"/>
            <w:vAlign w:val="bottom"/>
          </w:tcPr>
          <w:p>
            <w:pPr>
              <w:spacing w:after="0"/>
              <w:rPr>
                <w:sz w:val="20"/>
                <w:szCs w:val="20"/>
                <w:color w:val="auto"/>
              </w:rPr>
            </w:pPr>
            <w:r>
              <w:rPr>
                <w:rFonts w:ascii="Arial" w:cs="Arial" w:eastAsia="Arial" w:hAnsi="Arial"/>
                <w:sz w:val="18"/>
                <w:szCs w:val="18"/>
                <w:color w:val="auto"/>
              </w:rPr>
              <w:t>*10(g)(2)</w:t>
            </w:r>
          </w:p>
        </w:tc>
        <w:tc>
          <w:tcPr>
            <w:tcW w:w="10340" w:type="dxa"/>
            <w:vAlign w:val="bottom"/>
          </w:tcPr>
          <w:p>
            <w:pPr>
              <w:ind w:left="340"/>
              <w:spacing w:after="0"/>
              <w:rPr>
                <w:sz w:val="20"/>
                <w:szCs w:val="20"/>
                <w:color w:val="auto"/>
              </w:rPr>
            </w:pPr>
            <w:r>
              <w:rPr>
                <w:rFonts w:ascii="Arial" w:cs="Arial" w:eastAsia="Arial" w:hAnsi="Arial"/>
                <w:sz w:val="18"/>
                <w:szCs w:val="18"/>
                <w:color w:val="auto"/>
              </w:rPr>
              <w:t>Amendment dated December 4, 2007 to Registrant’s 2007 USERP.</w:t>
            </w:r>
          </w:p>
        </w:tc>
      </w:tr>
      <w:tr>
        <w:trPr>
          <w:trHeight w:val="302"/>
        </w:trPr>
        <w:tc>
          <w:tcPr>
            <w:tcW w:w="1040" w:type="dxa"/>
            <w:vAlign w:val="bottom"/>
          </w:tcPr>
          <w:p>
            <w:pPr>
              <w:spacing w:after="0"/>
              <w:rPr>
                <w:sz w:val="24"/>
                <w:szCs w:val="24"/>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w w:val="97"/>
              </w:rPr>
              <w:t>Incorporated by reference to Exhibit 10(g)(2) to Registrant’s Annual Report on Form 10-K for the fiscal year ended December 31,</w:t>
            </w:r>
          </w:p>
        </w:tc>
      </w:tr>
      <w:tr>
        <w:trPr>
          <w:trHeight w:val="211"/>
        </w:trPr>
        <w:tc>
          <w:tcPr>
            <w:tcW w:w="104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rPr>
              <w:t>2007.</w:t>
            </w:r>
          </w:p>
        </w:tc>
      </w:tr>
      <w:tr>
        <w:trPr>
          <w:trHeight w:val="311"/>
        </w:trPr>
        <w:tc>
          <w:tcPr>
            <w:tcW w:w="1040" w:type="dxa"/>
            <w:vAlign w:val="bottom"/>
          </w:tcPr>
          <w:p>
            <w:pPr>
              <w:spacing w:after="0"/>
              <w:rPr>
                <w:sz w:val="20"/>
                <w:szCs w:val="20"/>
                <w:color w:val="auto"/>
              </w:rPr>
            </w:pPr>
            <w:r>
              <w:rPr>
                <w:rFonts w:ascii="Arial" w:cs="Arial" w:eastAsia="Arial" w:hAnsi="Arial"/>
                <w:sz w:val="18"/>
                <w:szCs w:val="18"/>
                <w:color w:val="auto"/>
              </w:rPr>
              <w:t>*10(g)(3)</w:t>
            </w:r>
          </w:p>
        </w:tc>
        <w:tc>
          <w:tcPr>
            <w:tcW w:w="10340" w:type="dxa"/>
            <w:vAlign w:val="bottom"/>
          </w:tcPr>
          <w:p>
            <w:pPr>
              <w:ind w:left="340"/>
              <w:spacing w:after="0"/>
              <w:rPr>
                <w:sz w:val="20"/>
                <w:szCs w:val="20"/>
                <w:color w:val="auto"/>
              </w:rPr>
            </w:pPr>
            <w:r>
              <w:rPr>
                <w:rFonts w:ascii="Arial" w:cs="Arial" w:eastAsia="Arial" w:hAnsi="Arial"/>
                <w:sz w:val="18"/>
                <w:szCs w:val="18"/>
                <w:color w:val="auto"/>
              </w:rPr>
              <w:t>Amendment No. 1 dated December 11, 2008 to Registrant’s 2007 USERP.</w:t>
            </w:r>
          </w:p>
        </w:tc>
      </w:tr>
      <w:tr>
        <w:trPr>
          <w:trHeight w:val="302"/>
        </w:trPr>
        <w:tc>
          <w:tcPr>
            <w:tcW w:w="1040" w:type="dxa"/>
            <w:vAlign w:val="bottom"/>
          </w:tcPr>
          <w:p>
            <w:pPr>
              <w:spacing w:after="0"/>
              <w:rPr>
                <w:sz w:val="24"/>
                <w:szCs w:val="24"/>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w w:val="97"/>
              </w:rPr>
              <w:t>Incorporated by reference to Exhibit 10(g)(3) to Registrant’s Annual Report on Form 10-K for the fiscal year ended December 31,</w:t>
            </w:r>
          </w:p>
        </w:tc>
      </w:tr>
      <w:tr>
        <w:trPr>
          <w:trHeight w:val="211"/>
        </w:trPr>
        <w:tc>
          <w:tcPr>
            <w:tcW w:w="104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rPr>
              <w:t>2008.</w:t>
            </w:r>
          </w:p>
        </w:tc>
      </w:tr>
      <w:tr>
        <w:trPr>
          <w:trHeight w:val="311"/>
        </w:trPr>
        <w:tc>
          <w:tcPr>
            <w:tcW w:w="1040" w:type="dxa"/>
            <w:vAlign w:val="bottom"/>
          </w:tcPr>
          <w:p>
            <w:pPr>
              <w:spacing w:after="0"/>
              <w:rPr>
                <w:sz w:val="20"/>
                <w:szCs w:val="20"/>
                <w:color w:val="auto"/>
              </w:rPr>
            </w:pPr>
            <w:r>
              <w:rPr>
                <w:rFonts w:ascii="Arial" w:cs="Arial" w:eastAsia="Arial" w:hAnsi="Arial"/>
                <w:sz w:val="18"/>
                <w:szCs w:val="18"/>
                <w:color w:val="auto"/>
              </w:rPr>
              <w:t>10(h)</w:t>
            </w:r>
          </w:p>
        </w:tc>
        <w:tc>
          <w:tcPr>
            <w:tcW w:w="10340" w:type="dxa"/>
            <w:vAlign w:val="bottom"/>
          </w:tcPr>
          <w:p>
            <w:pPr>
              <w:ind w:left="340"/>
              <w:spacing w:after="0"/>
              <w:rPr>
                <w:sz w:val="20"/>
                <w:szCs w:val="20"/>
                <w:color w:val="auto"/>
              </w:rPr>
            </w:pPr>
            <w:r>
              <w:rPr>
                <w:rFonts w:ascii="Arial" w:cs="Arial" w:eastAsia="Arial" w:hAnsi="Arial"/>
                <w:sz w:val="18"/>
                <w:szCs w:val="18"/>
                <w:color w:val="auto"/>
                <w:w w:val="99"/>
              </w:rPr>
              <w:t>1996 Amendment and Restatement of Registrant’s Restricted Stock Plan for Directors, as amended through February 4, 2002.</w:t>
            </w:r>
          </w:p>
        </w:tc>
      </w:tr>
      <w:tr>
        <w:trPr>
          <w:trHeight w:val="302"/>
        </w:trPr>
        <w:tc>
          <w:tcPr>
            <w:tcW w:w="1040" w:type="dxa"/>
            <w:vAlign w:val="bottom"/>
          </w:tcPr>
          <w:p>
            <w:pPr>
              <w:spacing w:after="0"/>
              <w:rPr>
                <w:sz w:val="24"/>
                <w:szCs w:val="24"/>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w w:val="99"/>
              </w:rPr>
              <w:t>Incorporated by reference to Exhibit 10(h) to Registrant’s Annual Report on Form 10-K for the fiscal year ended December 31,</w:t>
            </w:r>
          </w:p>
        </w:tc>
      </w:tr>
      <w:tr>
        <w:trPr>
          <w:trHeight w:val="211"/>
        </w:trPr>
        <w:tc>
          <w:tcPr>
            <w:tcW w:w="104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rPr>
              <w:t>2004.</w:t>
            </w:r>
          </w:p>
        </w:tc>
      </w:tr>
      <w:tr>
        <w:trPr>
          <w:trHeight w:val="302"/>
        </w:trPr>
        <w:tc>
          <w:tcPr>
            <w:tcW w:w="1040" w:type="dxa"/>
            <w:vAlign w:val="bottom"/>
          </w:tcPr>
          <w:p>
            <w:pPr>
              <w:spacing w:after="0"/>
              <w:rPr>
                <w:sz w:val="20"/>
                <w:szCs w:val="20"/>
                <w:color w:val="auto"/>
              </w:rPr>
            </w:pPr>
            <w:r>
              <w:rPr>
                <w:rFonts w:ascii="Arial" w:cs="Arial" w:eastAsia="Arial" w:hAnsi="Arial"/>
                <w:sz w:val="18"/>
                <w:szCs w:val="18"/>
                <w:color w:val="auto"/>
              </w:rPr>
              <w:t>*10(i)(1)</w:t>
            </w:r>
          </w:p>
        </w:tc>
        <w:tc>
          <w:tcPr>
            <w:tcW w:w="10340" w:type="dxa"/>
            <w:vAlign w:val="bottom"/>
          </w:tcPr>
          <w:p>
            <w:pPr>
              <w:ind w:left="340"/>
              <w:spacing w:after="0"/>
              <w:rPr>
                <w:sz w:val="20"/>
                <w:szCs w:val="20"/>
                <w:color w:val="auto"/>
              </w:rPr>
            </w:pPr>
            <w:r>
              <w:rPr>
                <w:rFonts w:ascii="Arial" w:cs="Arial" w:eastAsia="Arial" w:hAnsi="Arial"/>
                <w:sz w:val="18"/>
                <w:szCs w:val="18"/>
                <w:color w:val="auto"/>
                <w:w w:val="98"/>
              </w:rPr>
              <w:t>Form of Severance Letter Agreement entered into with various executive officers, effective October 12, 2007 (“2007 Severance</w:t>
            </w:r>
          </w:p>
        </w:tc>
      </w:tr>
      <w:tr>
        <w:trPr>
          <w:trHeight w:val="211"/>
        </w:trPr>
        <w:tc>
          <w:tcPr>
            <w:tcW w:w="104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rPr>
              <w:t>Letter”).</w:t>
            </w:r>
          </w:p>
        </w:tc>
      </w:tr>
      <w:tr>
        <w:trPr>
          <w:trHeight w:val="302"/>
        </w:trPr>
        <w:tc>
          <w:tcPr>
            <w:tcW w:w="1040" w:type="dxa"/>
            <w:vAlign w:val="bottom"/>
          </w:tcPr>
          <w:p>
            <w:pPr>
              <w:spacing w:after="0"/>
              <w:rPr>
                <w:sz w:val="24"/>
                <w:szCs w:val="24"/>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w w:val="97"/>
              </w:rPr>
              <w:t>Incorporated by reference to Exhibit 10(i)(1) to Registrant’s Annual Report on Form 10-K for the fiscal year ended December 31,</w:t>
            </w:r>
          </w:p>
        </w:tc>
      </w:tr>
      <w:tr>
        <w:trPr>
          <w:trHeight w:val="211"/>
        </w:trPr>
        <w:tc>
          <w:tcPr>
            <w:tcW w:w="104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rPr>
              <w:t>2007.</w:t>
            </w:r>
          </w:p>
        </w:tc>
      </w:tr>
      <w:tr>
        <w:trPr>
          <w:trHeight w:val="311"/>
        </w:trPr>
        <w:tc>
          <w:tcPr>
            <w:tcW w:w="1040" w:type="dxa"/>
            <w:vAlign w:val="bottom"/>
          </w:tcPr>
          <w:p>
            <w:pPr>
              <w:spacing w:after="0"/>
              <w:rPr>
                <w:sz w:val="20"/>
                <w:szCs w:val="20"/>
                <w:color w:val="auto"/>
              </w:rPr>
            </w:pPr>
            <w:r>
              <w:rPr>
                <w:rFonts w:ascii="Arial" w:cs="Arial" w:eastAsia="Arial" w:hAnsi="Arial"/>
                <w:sz w:val="18"/>
                <w:szCs w:val="18"/>
                <w:color w:val="auto"/>
              </w:rPr>
              <w:t>*10(i)(2)</w:t>
            </w:r>
          </w:p>
        </w:tc>
        <w:tc>
          <w:tcPr>
            <w:tcW w:w="10340" w:type="dxa"/>
            <w:vAlign w:val="bottom"/>
          </w:tcPr>
          <w:p>
            <w:pPr>
              <w:ind w:left="340"/>
              <w:spacing w:after="0"/>
              <w:rPr>
                <w:sz w:val="20"/>
                <w:szCs w:val="20"/>
                <w:color w:val="auto"/>
              </w:rPr>
            </w:pPr>
            <w:r>
              <w:rPr>
                <w:rFonts w:ascii="Arial" w:cs="Arial" w:eastAsia="Arial" w:hAnsi="Arial"/>
                <w:sz w:val="18"/>
                <w:szCs w:val="18"/>
                <w:color w:val="auto"/>
              </w:rPr>
              <w:t>Amendment dated December 4, 2007 to 2007 Severance Letter.</w:t>
            </w:r>
          </w:p>
        </w:tc>
      </w:tr>
      <w:tr>
        <w:trPr>
          <w:trHeight w:val="302"/>
        </w:trPr>
        <w:tc>
          <w:tcPr>
            <w:tcW w:w="1040" w:type="dxa"/>
            <w:vAlign w:val="bottom"/>
          </w:tcPr>
          <w:p>
            <w:pPr>
              <w:spacing w:after="0"/>
              <w:rPr>
                <w:sz w:val="24"/>
                <w:szCs w:val="24"/>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w w:val="97"/>
              </w:rPr>
              <w:t>Incorporated by reference to Exhibit 10(i)(2) to Registrant’s Annual Report on Form 10-K for the fiscal year ended December 31,</w:t>
            </w:r>
          </w:p>
        </w:tc>
      </w:tr>
      <w:tr>
        <w:trPr>
          <w:trHeight w:val="211"/>
        </w:trPr>
        <w:tc>
          <w:tcPr>
            <w:tcW w:w="104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rPr>
              <w:t>2007</w:t>
            </w:r>
          </w:p>
        </w:tc>
      </w:tr>
      <w:tr>
        <w:trPr>
          <w:trHeight w:val="311"/>
        </w:trPr>
        <w:tc>
          <w:tcPr>
            <w:tcW w:w="1040" w:type="dxa"/>
            <w:vAlign w:val="bottom"/>
          </w:tcPr>
          <w:p>
            <w:pPr>
              <w:spacing w:after="0"/>
              <w:rPr>
                <w:sz w:val="20"/>
                <w:szCs w:val="20"/>
                <w:color w:val="auto"/>
              </w:rPr>
            </w:pPr>
            <w:r>
              <w:rPr>
                <w:rFonts w:ascii="Arial" w:cs="Arial" w:eastAsia="Arial" w:hAnsi="Arial"/>
                <w:sz w:val="18"/>
                <w:szCs w:val="18"/>
                <w:color w:val="auto"/>
              </w:rPr>
              <w:t>*10(i)(3)</w:t>
            </w:r>
          </w:p>
        </w:tc>
        <w:tc>
          <w:tcPr>
            <w:tcW w:w="10340" w:type="dxa"/>
            <w:vAlign w:val="bottom"/>
          </w:tcPr>
          <w:p>
            <w:pPr>
              <w:ind w:left="340"/>
              <w:spacing w:after="0"/>
              <w:rPr>
                <w:sz w:val="20"/>
                <w:szCs w:val="20"/>
                <w:color w:val="auto"/>
              </w:rPr>
            </w:pPr>
            <w:r>
              <w:rPr>
                <w:rFonts w:ascii="Arial" w:cs="Arial" w:eastAsia="Arial" w:hAnsi="Arial"/>
                <w:sz w:val="18"/>
                <w:szCs w:val="18"/>
                <w:color w:val="auto"/>
              </w:rPr>
              <w:t>Amendment dated December 17, 2008 to 2007 Severance Letter.</w:t>
            </w:r>
          </w:p>
        </w:tc>
      </w:tr>
      <w:tr>
        <w:trPr>
          <w:trHeight w:val="302"/>
        </w:trPr>
        <w:tc>
          <w:tcPr>
            <w:tcW w:w="1040" w:type="dxa"/>
            <w:vAlign w:val="bottom"/>
          </w:tcPr>
          <w:p>
            <w:pPr>
              <w:spacing w:after="0"/>
              <w:rPr>
                <w:sz w:val="24"/>
                <w:szCs w:val="24"/>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w w:val="97"/>
              </w:rPr>
              <w:t>Incorporated by reference to Exhibit 10(i)(3) to Registrant’s Annual Report on Form 10-K for the fiscal year ended December 31,</w:t>
            </w:r>
          </w:p>
        </w:tc>
      </w:tr>
      <w:tr>
        <w:trPr>
          <w:trHeight w:val="211"/>
        </w:trPr>
        <w:tc>
          <w:tcPr>
            <w:tcW w:w="104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rPr>
              <w:t>2008.</w:t>
            </w:r>
          </w:p>
        </w:tc>
      </w:tr>
      <w:tr>
        <w:trPr>
          <w:trHeight w:val="311"/>
        </w:trPr>
        <w:tc>
          <w:tcPr>
            <w:tcW w:w="1040" w:type="dxa"/>
            <w:vAlign w:val="bottom"/>
          </w:tcPr>
          <w:p>
            <w:pPr>
              <w:spacing w:after="0"/>
              <w:rPr>
                <w:sz w:val="20"/>
                <w:szCs w:val="20"/>
                <w:color w:val="auto"/>
              </w:rPr>
            </w:pPr>
            <w:r>
              <w:rPr>
                <w:rFonts w:ascii="Arial" w:cs="Arial" w:eastAsia="Arial" w:hAnsi="Arial"/>
                <w:sz w:val="18"/>
                <w:szCs w:val="18"/>
                <w:color w:val="auto"/>
              </w:rPr>
              <w:t>*10(j)(1)</w:t>
            </w:r>
          </w:p>
        </w:tc>
        <w:tc>
          <w:tcPr>
            <w:tcW w:w="10340" w:type="dxa"/>
            <w:vAlign w:val="bottom"/>
          </w:tcPr>
          <w:p>
            <w:pPr>
              <w:ind w:left="340"/>
              <w:spacing w:after="0"/>
              <w:rPr>
                <w:sz w:val="20"/>
                <w:szCs w:val="20"/>
                <w:color w:val="auto"/>
              </w:rPr>
            </w:pPr>
            <w:r>
              <w:rPr>
                <w:rFonts w:ascii="Arial" w:cs="Arial" w:eastAsia="Arial" w:hAnsi="Arial"/>
                <w:sz w:val="18"/>
                <w:szCs w:val="18"/>
                <w:color w:val="auto"/>
              </w:rPr>
              <w:t>Registrant’s Universal Life Plan effective July 1, 2003.</w:t>
            </w:r>
          </w:p>
        </w:tc>
      </w:tr>
      <w:tr>
        <w:trPr>
          <w:trHeight w:val="302"/>
        </w:trPr>
        <w:tc>
          <w:tcPr>
            <w:tcW w:w="1040" w:type="dxa"/>
            <w:vAlign w:val="bottom"/>
          </w:tcPr>
          <w:p>
            <w:pPr>
              <w:spacing w:after="0"/>
              <w:rPr>
                <w:sz w:val="24"/>
                <w:szCs w:val="24"/>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rPr>
              <w:t>Incorporated by reference to Exhibit 10(j) to Registrant’s Annual Report on Form 10-K for the fiscal year ended December 31,</w:t>
            </w:r>
          </w:p>
        </w:tc>
      </w:tr>
      <w:tr>
        <w:trPr>
          <w:trHeight w:val="211"/>
        </w:trPr>
        <w:tc>
          <w:tcPr>
            <w:tcW w:w="104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rPr>
              <w:t>2004.</w:t>
            </w:r>
          </w:p>
        </w:tc>
      </w:tr>
      <w:tr>
        <w:trPr>
          <w:trHeight w:val="311"/>
        </w:trPr>
        <w:tc>
          <w:tcPr>
            <w:tcW w:w="1040" w:type="dxa"/>
            <w:vAlign w:val="bottom"/>
          </w:tcPr>
          <w:p>
            <w:pPr>
              <w:spacing w:after="0"/>
              <w:rPr>
                <w:sz w:val="20"/>
                <w:szCs w:val="20"/>
                <w:color w:val="auto"/>
              </w:rPr>
            </w:pPr>
            <w:r>
              <w:rPr>
                <w:rFonts w:ascii="Arial" w:cs="Arial" w:eastAsia="Arial" w:hAnsi="Arial"/>
                <w:sz w:val="18"/>
                <w:szCs w:val="18"/>
                <w:color w:val="auto"/>
              </w:rPr>
              <w:t>*10(j)(2)</w:t>
            </w:r>
          </w:p>
        </w:tc>
        <w:tc>
          <w:tcPr>
            <w:tcW w:w="10340" w:type="dxa"/>
            <w:vAlign w:val="bottom"/>
          </w:tcPr>
          <w:p>
            <w:pPr>
              <w:ind w:left="340"/>
              <w:spacing w:after="0"/>
              <w:rPr>
                <w:sz w:val="20"/>
                <w:szCs w:val="20"/>
                <w:color w:val="auto"/>
              </w:rPr>
            </w:pPr>
            <w:r>
              <w:rPr>
                <w:rFonts w:ascii="Arial" w:cs="Arial" w:eastAsia="Arial" w:hAnsi="Arial"/>
                <w:sz w:val="18"/>
                <w:szCs w:val="18"/>
                <w:color w:val="auto"/>
              </w:rPr>
              <w:t>Amendment No. 3 to Registrant’s Universal Life Plan.</w:t>
            </w:r>
          </w:p>
        </w:tc>
      </w:tr>
      <w:tr>
        <w:trPr>
          <w:trHeight w:val="302"/>
        </w:trPr>
        <w:tc>
          <w:tcPr>
            <w:tcW w:w="1040" w:type="dxa"/>
            <w:vAlign w:val="bottom"/>
          </w:tcPr>
          <w:p>
            <w:pPr>
              <w:spacing w:after="0"/>
              <w:rPr>
                <w:sz w:val="24"/>
                <w:szCs w:val="24"/>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w w:val="97"/>
              </w:rPr>
              <w:t>Incorporated by reference to Exhibit 10(j)(2) to Registrant’s Quarterly Report on Form 10-Q for the Quarter ended September 30,</w:t>
            </w:r>
          </w:p>
        </w:tc>
      </w:tr>
      <w:tr>
        <w:trPr>
          <w:trHeight w:val="211"/>
        </w:trPr>
        <w:tc>
          <w:tcPr>
            <w:tcW w:w="104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rPr>
              <w:t>2006.</w:t>
            </w:r>
          </w:p>
        </w:tc>
      </w:tr>
      <w:tr>
        <w:trPr>
          <w:trHeight w:val="311"/>
        </w:trPr>
        <w:tc>
          <w:tcPr>
            <w:tcW w:w="1040" w:type="dxa"/>
            <w:vAlign w:val="bottom"/>
          </w:tcPr>
          <w:p>
            <w:pPr>
              <w:spacing w:after="0"/>
              <w:rPr>
                <w:sz w:val="20"/>
                <w:szCs w:val="20"/>
                <w:color w:val="auto"/>
              </w:rPr>
            </w:pPr>
            <w:r>
              <w:rPr>
                <w:rFonts w:ascii="Arial" w:cs="Arial" w:eastAsia="Arial" w:hAnsi="Arial"/>
                <w:sz w:val="18"/>
                <w:szCs w:val="18"/>
                <w:color w:val="auto"/>
              </w:rPr>
              <w:t>*10(j)(3)</w:t>
            </w:r>
          </w:p>
        </w:tc>
        <w:tc>
          <w:tcPr>
            <w:tcW w:w="10340" w:type="dxa"/>
            <w:vAlign w:val="bottom"/>
          </w:tcPr>
          <w:p>
            <w:pPr>
              <w:ind w:left="340"/>
              <w:spacing w:after="0"/>
              <w:rPr>
                <w:sz w:val="20"/>
                <w:szCs w:val="20"/>
                <w:color w:val="auto"/>
              </w:rPr>
            </w:pPr>
            <w:r>
              <w:rPr>
                <w:rFonts w:ascii="Arial" w:cs="Arial" w:eastAsia="Arial" w:hAnsi="Arial"/>
                <w:sz w:val="18"/>
                <w:szCs w:val="18"/>
                <w:color w:val="auto"/>
              </w:rPr>
              <w:t>Amendment No. 4 dated September 28, 2009 to Registrant’s Universal Life Plan.</w:t>
            </w:r>
          </w:p>
        </w:tc>
      </w:tr>
      <w:tr>
        <w:trPr>
          <w:trHeight w:val="351"/>
        </w:trPr>
        <w:tc>
          <w:tcPr>
            <w:tcW w:w="1040" w:type="dxa"/>
            <w:vAlign w:val="bottom"/>
          </w:tcPr>
          <w:p>
            <w:pPr>
              <w:spacing w:after="0"/>
              <w:rPr>
                <w:sz w:val="24"/>
                <w:szCs w:val="24"/>
                <w:color w:val="auto"/>
              </w:rPr>
            </w:pPr>
          </w:p>
        </w:tc>
        <w:tc>
          <w:tcPr>
            <w:tcW w:w="10340" w:type="dxa"/>
            <w:vAlign w:val="bottom"/>
          </w:tcPr>
          <w:p>
            <w:pPr>
              <w:ind w:left="4620"/>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w w:val="97"/>
              </w:rPr>
              <w:t>Incorporated by reference to Exhibit 10(j)(3) to Registrant’s Quarterly Report on Form 10-Q for the Quarter ended September 30,</w:t>
            </w:r>
          </w:p>
        </w:tc>
      </w:tr>
      <w:tr>
        <w:trPr>
          <w:trHeight w:val="211"/>
        </w:trPr>
        <w:tc>
          <w:tcPr>
            <w:tcW w:w="1000" w:type="dxa"/>
            <w:vAlign w:val="bottom"/>
          </w:tcPr>
          <w:p>
            <w:pPr>
              <w:spacing w:after="0"/>
              <w:rPr>
                <w:sz w:val="18"/>
                <w:szCs w:val="18"/>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2009.</w:t>
            </w:r>
          </w:p>
        </w:tc>
      </w:tr>
      <w:tr>
        <w:trPr>
          <w:trHeight w:val="311"/>
        </w:trPr>
        <w:tc>
          <w:tcPr>
            <w:tcW w:w="1000" w:type="dxa"/>
            <w:vAlign w:val="bottom"/>
          </w:tcPr>
          <w:p>
            <w:pPr>
              <w:spacing w:after="0"/>
              <w:rPr>
                <w:sz w:val="20"/>
                <w:szCs w:val="20"/>
                <w:color w:val="auto"/>
              </w:rPr>
            </w:pPr>
            <w:r>
              <w:rPr>
                <w:rFonts w:ascii="Arial" w:cs="Arial" w:eastAsia="Arial" w:hAnsi="Arial"/>
                <w:sz w:val="18"/>
                <w:szCs w:val="18"/>
                <w:color w:val="auto"/>
              </w:rPr>
              <w:t>10(k)(1)</w:t>
            </w:r>
          </w:p>
        </w:tc>
        <w:tc>
          <w:tcPr>
            <w:tcW w:w="10360" w:type="dxa"/>
            <w:vAlign w:val="bottom"/>
          </w:tcPr>
          <w:p>
            <w:pPr>
              <w:ind w:left="380"/>
              <w:spacing w:after="0"/>
              <w:rPr>
                <w:sz w:val="20"/>
                <w:szCs w:val="20"/>
                <w:color w:val="auto"/>
              </w:rPr>
            </w:pPr>
            <w:r>
              <w:rPr>
                <w:rFonts w:ascii="Arial" w:cs="Arial" w:eastAsia="Arial" w:hAnsi="Arial"/>
                <w:sz w:val="18"/>
                <w:szCs w:val="18"/>
                <w:color w:val="auto"/>
              </w:rPr>
              <w:t>Registrant’s Deferred Compensation Plan for Directors, as amended and restated December 5, 2007 (“DCPD”).</w:t>
            </w:r>
          </w:p>
        </w:tc>
      </w:tr>
      <w:tr>
        <w:trPr>
          <w:trHeight w:val="302"/>
        </w:trPr>
        <w:tc>
          <w:tcPr>
            <w:tcW w:w="1000" w:type="dxa"/>
            <w:vAlign w:val="bottom"/>
          </w:tcPr>
          <w:p>
            <w:pPr>
              <w:spacing w:after="0"/>
              <w:rPr>
                <w:sz w:val="24"/>
                <w:szCs w:val="24"/>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w w:val="97"/>
              </w:rPr>
              <w:t>Incorporated by reference to Exhibit 10(k)(1) to Registrant’s Annual Report on Form 10-K for the fiscal year ended December 31,</w:t>
            </w:r>
          </w:p>
        </w:tc>
      </w:tr>
      <w:tr>
        <w:trPr>
          <w:trHeight w:val="211"/>
        </w:trPr>
        <w:tc>
          <w:tcPr>
            <w:tcW w:w="1000" w:type="dxa"/>
            <w:vAlign w:val="bottom"/>
          </w:tcPr>
          <w:p>
            <w:pPr>
              <w:spacing w:after="0"/>
              <w:rPr>
                <w:sz w:val="18"/>
                <w:szCs w:val="18"/>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2007.</w:t>
            </w:r>
          </w:p>
        </w:tc>
      </w:tr>
      <w:tr>
        <w:trPr>
          <w:trHeight w:val="311"/>
        </w:trPr>
        <w:tc>
          <w:tcPr>
            <w:tcW w:w="1000" w:type="dxa"/>
            <w:vAlign w:val="bottom"/>
          </w:tcPr>
          <w:p>
            <w:pPr>
              <w:spacing w:after="0"/>
              <w:rPr>
                <w:sz w:val="20"/>
                <w:szCs w:val="20"/>
                <w:color w:val="auto"/>
              </w:rPr>
            </w:pPr>
            <w:r>
              <w:rPr>
                <w:rFonts w:ascii="Arial" w:cs="Arial" w:eastAsia="Arial" w:hAnsi="Arial"/>
                <w:sz w:val="18"/>
                <w:szCs w:val="18"/>
                <w:color w:val="auto"/>
              </w:rPr>
              <w:t>10(k)(2)</w:t>
            </w:r>
          </w:p>
        </w:tc>
        <w:tc>
          <w:tcPr>
            <w:tcW w:w="10360" w:type="dxa"/>
            <w:vAlign w:val="bottom"/>
          </w:tcPr>
          <w:p>
            <w:pPr>
              <w:ind w:left="380"/>
              <w:spacing w:after="0"/>
              <w:rPr>
                <w:sz w:val="20"/>
                <w:szCs w:val="20"/>
                <w:color w:val="auto"/>
              </w:rPr>
            </w:pPr>
            <w:r>
              <w:rPr>
                <w:rFonts w:ascii="Arial" w:cs="Arial" w:eastAsia="Arial" w:hAnsi="Arial"/>
                <w:sz w:val="18"/>
                <w:szCs w:val="18"/>
                <w:color w:val="auto"/>
              </w:rPr>
              <w:t>Amendment dated December 5, 2007 to DCPD.</w:t>
            </w:r>
          </w:p>
        </w:tc>
      </w:tr>
      <w:tr>
        <w:trPr>
          <w:trHeight w:val="302"/>
        </w:trPr>
        <w:tc>
          <w:tcPr>
            <w:tcW w:w="1000" w:type="dxa"/>
            <w:vAlign w:val="bottom"/>
          </w:tcPr>
          <w:p>
            <w:pPr>
              <w:spacing w:after="0"/>
              <w:rPr>
                <w:sz w:val="24"/>
                <w:szCs w:val="24"/>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w w:val="97"/>
              </w:rPr>
              <w:t>Incorporated by reference to Exhibit 10(k)(2) to Registrant’s Annual Report on Form 10-K for the fiscal year ended December 31,</w:t>
            </w:r>
          </w:p>
        </w:tc>
      </w:tr>
      <w:tr>
        <w:trPr>
          <w:trHeight w:val="211"/>
        </w:trPr>
        <w:tc>
          <w:tcPr>
            <w:tcW w:w="1000" w:type="dxa"/>
            <w:vAlign w:val="bottom"/>
          </w:tcPr>
          <w:p>
            <w:pPr>
              <w:spacing w:after="0"/>
              <w:rPr>
                <w:sz w:val="18"/>
                <w:szCs w:val="18"/>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2007</w:t>
            </w:r>
          </w:p>
        </w:tc>
      </w:tr>
      <w:tr>
        <w:trPr>
          <w:trHeight w:val="311"/>
        </w:trPr>
        <w:tc>
          <w:tcPr>
            <w:tcW w:w="1000" w:type="dxa"/>
            <w:vAlign w:val="bottom"/>
          </w:tcPr>
          <w:p>
            <w:pPr>
              <w:spacing w:after="0"/>
              <w:rPr>
                <w:sz w:val="20"/>
                <w:szCs w:val="20"/>
                <w:color w:val="auto"/>
              </w:rPr>
            </w:pPr>
            <w:r>
              <w:rPr>
                <w:rFonts w:ascii="Arial" w:cs="Arial" w:eastAsia="Arial" w:hAnsi="Arial"/>
                <w:sz w:val="18"/>
                <w:szCs w:val="18"/>
                <w:color w:val="auto"/>
              </w:rPr>
              <w:t>10(k)(3)</w:t>
            </w:r>
          </w:p>
        </w:tc>
        <w:tc>
          <w:tcPr>
            <w:tcW w:w="10360" w:type="dxa"/>
            <w:vAlign w:val="bottom"/>
          </w:tcPr>
          <w:p>
            <w:pPr>
              <w:ind w:left="380"/>
              <w:spacing w:after="0"/>
              <w:rPr>
                <w:sz w:val="20"/>
                <w:szCs w:val="20"/>
                <w:color w:val="auto"/>
              </w:rPr>
            </w:pPr>
            <w:r>
              <w:rPr>
                <w:rFonts w:ascii="Arial" w:cs="Arial" w:eastAsia="Arial" w:hAnsi="Arial"/>
                <w:sz w:val="18"/>
                <w:szCs w:val="18"/>
                <w:color w:val="auto"/>
              </w:rPr>
              <w:t>Amendment No. 2 dated May 17, 2010 to DCPD.</w:t>
            </w:r>
          </w:p>
        </w:tc>
      </w:tr>
      <w:tr>
        <w:trPr>
          <w:trHeight w:val="302"/>
        </w:trPr>
        <w:tc>
          <w:tcPr>
            <w:tcW w:w="1000" w:type="dxa"/>
            <w:vAlign w:val="bottom"/>
          </w:tcPr>
          <w:p>
            <w:pPr>
              <w:spacing w:after="0"/>
              <w:rPr>
                <w:sz w:val="24"/>
                <w:szCs w:val="24"/>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Incorporated by reference to Exhibit 10(k)(3) to Registrant’s Quarterly Report on Form 10-Q for the quarter ended March 31,</w:t>
            </w:r>
          </w:p>
        </w:tc>
      </w:tr>
      <w:tr>
        <w:trPr>
          <w:trHeight w:val="211"/>
        </w:trPr>
        <w:tc>
          <w:tcPr>
            <w:tcW w:w="1000" w:type="dxa"/>
            <w:vAlign w:val="bottom"/>
          </w:tcPr>
          <w:p>
            <w:pPr>
              <w:spacing w:after="0"/>
              <w:rPr>
                <w:sz w:val="18"/>
                <w:szCs w:val="18"/>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2010.</w:t>
            </w:r>
          </w:p>
        </w:tc>
      </w:tr>
      <w:tr>
        <w:trPr>
          <w:trHeight w:val="311"/>
        </w:trPr>
        <w:tc>
          <w:tcPr>
            <w:tcW w:w="1000" w:type="dxa"/>
            <w:vAlign w:val="bottom"/>
          </w:tcPr>
          <w:p>
            <w:pPr>
              <w:spacing w:after="0"/>
              <w:rPr>
                <w:sz w:val="20"/>
                <w:szCs w:val="20"/>
                <w:color w:val="auto"/>
              </w:rPr>
            </w:pPr>
            <w:r>
              <w:rPr>
                <w:rFonts w:ascii="Arial" w:cs="Arial" w:eastAsia="Arial" w:hAnsi="Arial"/>
                <w:sz w:val="18"/>
                <w:szCs w:val="18"/>
                <w:color w:val="auto"/>
              </w:rPr>
              <w:t>*10(l)</w:t>
            </w:r>
          </w:p>
        </w:tc>
        <w:tc>
          <w:tcPr>
            <w:tcW w:w="10360" w:type="dxa"/>
            <w:vAlign w:val="bottom"/>
          </w:tcPr>
          <w:p>
            <w:pPr>
              <w:ind w:left="380"/>
              <w:spacing w:after="0"/>
              <w:rPr>
                <w:sz w:val="20"/>
                <w:szCs w:val="20"/>
                <w:color w:val="auto"/>
              </w:rPr>
            </w:pPr>
            <w:r>
              <w:rPr>
                <w:rFonts w:ascii="Arial" w:cs="Arial" w:eastAsia="Arial" w:hAnsi="Arial"/>
                <w:sz w:val="18"/>
                <w:szCs w:val="18"/>
                <w:color w:val="auto"/>
              </w:rPr>
              <w:t>Registrant’s Deferred Compensation Plan for Executives, 2004 Restatement, as amended through August 11, 2004.</w:t>
            </w:r>
          </w:p>
        </w:tc>
      </w:tr>
      <w:tr>
        <w:trPr>
          <w:trHeight w:val="302"/>
        </w:trPr>
        <w:tc>
          <w:tcPr>
            <w:tcW w:w="1000" w:type="dxa"/>
            <w:vAlign w:val="bottom"/>
          </w:tcPr>
          <w:p>
            <w:pPr>
              <w:spacing w:after="0"/>
              <w:rPr>
                <w:sz w:val="24"/>
                <w:szCs w:val="24"/>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w w:val="99"/>
              </w:rPr>
              <w:t>Incorporated by reference to Exhibit 10(l) to Registrant’s Quarterly Report on Form 10-Q for the Quarter ended September 30,</w:t>
            </w:r>
          </w:p>
        </w:tc>
      </w:tr>
      <w:tr>
        <w:trPr>
          <w:trHeight w:val="211"/>
        </w:trPr>
        <w:tc>
          <w:tcPr>
            <w:tcW w:w="1000" w:type="dxa"/>
            <w:vAlign w:val="bottom"/>
          </w:tcPr>
          <w:p>
            <w:pPr>
              <w:spacing w:after="0"/>
              <w:rPr>
                <w:sz w:val="18"/>
                <w:szCs w:val="18"/>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2004.</w:t>
            </w:r>
          </w:p>
        </w:tc>
      </w:tr>
      <w:tr>
        <w:trPr>
          <w:trHeight w:val="311"/>
        </w:trPr>
        <w:tc>
          <w:tcPr>
            <w:tcW w:w="1000" w:type="dxa"/>
            <w:vAlign w:val="bottom"/>
          </w:tcPr>
          <w:p>
            <w:pPr>
              <w:spacing w:after="0"/>
              <w:rPr>
                <w:sz w:val="20"/>
                <w:szCs w:val="20"/>
                <w:color w:val="auto"/>
              </w:rPr>
            </w:pPr>
            <w:r>
              <w:rPr>
                <w:rFonts w:ascii="Arial" w:cs="Arial" w:eastAsia="Arial" w:hAnsi="Arial"/>
                <w:sz w:val="18"/>
                <w:szCs w:val="18"/>
                <w:color w:val="auto"/>
              </w:rPr>
              <w:t>*10(m)</w:t>
            </w:r>
          </w:p>
        </w:tc>
        <w:tc>
          <w:tcPr>
            <w:tcW w:w="10360" w:type="dxa"/>
            <w:vAlign w:val="bottom"/>
          </w:tcPr>
          <w:p>
            <w:pPr>
              <w:ind w:left="380"/>
              <w:spacing w:after="0"/>
              <w:rPr>
                <w:sz w:val="20"/>
                <w:szCs w:val="20"/>
                <w:color w:val="auto"/>
              </w:rPr>
            </w:pPr>
            <w:r>
              <w:rPr>
                <w:rFonts w:ascii="Arial" w:cs="Arial" w:eastAsia="Arial" w:hAnsi="Arial"/>
                <w:sz w:val="18"/>
                <w:szCs w:val="18"/>
                <w:color w:val="auto"/>
              </w:rPr>
              <w:t>Registrant’s 1998 Employee Stock Option Plan, as amended through October 9, 2000.</w:t>
            </w:r>
          </w:p>
        </w:tc>
      </w:tr>
      <w:tr>
        <w:trPr>
          <w:trHeight w:val="302"/>
        </w:trPr>
        <w:tc>
          <w:tcPr>
            <w:tcW w:w="1000" w:type="dxa"/>
            <w:vAlign w:val="bottom"/>
          </w:tcPr>
          <w:p>
            <w:pPr>
              <w:spacing w:after="0"/>
              <w:rPr>
                <w:sz w:val="24"/>
                <w:szCs w:val="24"/>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w w:val="98"/>
              </w:rPr>
              <w:t>Incorporated by reference to Exhibit 10(m) to Registrant’s Annual Report on Form 10-K for the fiscal year ended December 31,</w:t>
            </w:r>
          </w:p>
        </w:tc>
      </w:tr>
      <w:tr>
        <w:trPr>
          <w:trHeight w:val="211"/>
        </w:trPr>
        <w:tc>
          <w:tcPr>
            <w:tcW w:w="1000" w:type="dxa"/>
            <w:vAlign w:val="bottom"/>
          </w:tcPr>
          <w:p>
            <w:pPr>
              <w:spacing w:after="0"/>
              <w:rPr>
                <w:sz w:val="18"/>
                <w:szCs w:val="18"/>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2008.</w:t>
            </w:r>
          </w:p>
        </w:tc>
      </w:tr>
      <w:tr>
        <w:trPr>
          <w:trHeight w:val="302"/>
        </w:trPr>
        <w:tc>
          <w:tcPr>
            <w:tcW w:w="1000" w:type="dxa"/>
            <w:vAlign w:val="bottom"/>
          </w:tcPr>
          <w:p>
            <w:pPr>
              <w:spacing w:after="0"/>
              <w:rPr>
                <w:sz w:val="20"/>
                <w:szCs w:val="20"/>
                <w:color w:val="auto"/>
              </w:rPr>
            </w:pPr>
            <w:r>
              <w:rPr>
                <w:rFonts w:ascii="Arial" w:cs="Arial" w:eastAsia="Arial" w:hAnsi="Arial"/>
                <w:sz w:val="18"/>
                <w:szCs w:val="18"/>
                <w:color w:val="auto"/>
              </w:rPr>
              <w:t>10(n)</w:t>
            </w:r>
          </w:p>
        </w:tc>
        <w:tc>
          <w:tcPr>
            <w:tcW w:w="10360" w:type="dxa"/>
            <w:vAlign w:val="bottom"/>
          </w:tcPr>
          <w:p>
            <w:pPr>
              <w:ind w:left="380"/>
              <w:spacing w:after="0"/>
              <w:rPr>
                <w:sz w:val="20"/>
                <w:szCs w:val="20"/>
                <w:color w:val="auto"/>
              </w:rPr>
            </w:pPr>
            <w:r>
              <w:rPr>
                <w:rFonts w:ascii="Arial" w:cs="Arial" w:eastAsia="Arial" w:hAnsi="Arial"/>
                <w:sz w:val="18"/>
                <w:szCs w:val="18"/>
                <w:color w:val="auto"/>
                <w:w w:val="98"/>
              </w:rPr>
              <w:t>Separation Agreement dated May 11, 2000 between Registrant and G. Richard Thoman, former President and Chief Executive</w:t>
            </w:r>
          </w:p>
        </w:tc>
      </w:tr>
      <w:tr>
        <w:trPr>
          <w:trHeight w:val="211"/>
        </w:trPr>
        <w:tc>
          <w:tcPr>
            <w:tcW w:w="1000" w:type="dxa"/>
            <w:vAlign w:val="bottom"/>
          </w:tcPr>
          <w:p>
            <w:pPr>
              <w:spacing w:after="0"/>
              <w:rPr>
                <w:sz w:val="18"/>
                <w:szCs w:val="18"/>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Officer of Registrant.</w:t>
            </w:r>
          </w:p>
        </w:tc>
      </w:tr>
      <w:tr>
        <w:trPr>
          <w:trHeight w:val="302"/>
        </w:trPr>
        <w:tc>
          <w:tcPr>
            <w:tcW w:w="1000" w:type="dxa"/>
            <w:vAlign w:val="bottom"/>
          </w:tcPr>
          <w:p>
            <w:pPr>
              <w:spacing w:after="0"/>
              <w:rPr>
                <w:sz w:val="24"/>
                <w:szCs w:val="24"/>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w w:val="99"/>
              </w:rPr>
              <w:t>Incorporated by reference to Exhibit 10(n) to Registrant’s Annual Report on Form 10-K for the fiscal year ended December 31,</w:t>
            </w:r>
          </w:p>
        </w:tc>
      </w:tr>
      <w:tr>
        <w:trPr>
          <w:trHeight w:val="211"/>
        </w:trPr>
        <w:tc>
          <w:tcPr>
            <w:tcW w:w="1000" w:type="dxa"/>
            <w:vAlign w:val="bottom"/>
          </w:tcPr>
          <w:p>
            <w:pPr>
              <w:spacing w:after="0"/>
              <w:rPr>
                <w:sz w:val="18"/>
                <w:szCs w:val="18"/>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2005.</w:t>
            </w:r>
          </w:p>
        </w:tc>
      </w:tr>
      <w:tr>
        <w:trPr>
          <w:trHeight w:val="302"/>
        </w:trPr>
        <w:tc>
          <w:tcPr>
            <w:tcW w:w="1000" w:type="dxa"/>
            <w:vAlign w:val="bottom"/>
          </w:tcPr>
          <w:p>
            <w:pPr>
              <w:spacing w:after="0"/>
              <w:rPr>
                <w:sz w:val="20"/>
                <w:szCs w:val="20"/>
                <w:color w:val="auto"/>
              </w:rPr>
            </w:pPr>
            <w:r>
              <w:rPr>
                <w:rFonts w:ascii="Arial" w:cs="Arial" w:eastAsia="Arial" w:hAnsi="Arial"/>
                <w:sz w:val="18"/>
                <w:szCs w:val="18"/>
                <w:color w:val="auto"/>
              </w:rPr>
              <w:t>*10(o)</w:t>
            </w:r>
          </w:p>
        </w:tc>
        <w:tc>
          <w:tcPr>
            <w:tcW w:w="10360" w:type="dxa"/>
            <w:vAlign w:val="bottom"/>
          </w:tcPr>
          <w:p>
            <w:pPr>
              <w:ind w:left="380"/>
              <w:spacing w:after="0"/>
              <w:rPr>
                <w:sz w:val="20"/>
                <w:szCs w:val="20"/>
                <w:color w:val="auto"/>
              </w:rPr>
            </w:pPr>
            <w:r>
              <w:rPr>
                <w:rFonts w:ascii="Arial" w:cs="Arial" w:eastAsia="Arial" w:hAnsi="Arial"/>
                <w:sz w:val="18"/>
                <w:szCs w:val="18"/>
                <w:color w:val="auto"/>
              </w:rPr>
              <w:t>Letter Agreement dated May 20, 2002 between Registrant and Lawrence A. Zimmerman, Senior Vice President and Chief</w:t>
            </w:r>
          </w:p>
        </w:tc>
      </w:tr>
      <w:tr>
        <w:trPr>
          <w:trHeight w:val="211"/>
        </w:trPr>
        <w:tc>
          <w:tcPr>
            <w:tcW w:w="1000" w:type="dxa"/>
            <w:vAlign w:val="bottom"/>
          </w:tcPr>
          <w:p>
            <w:pPr>
              <w:spacing w:after="0"/>
              <w:rPr>
                <w:sz w:val="18"/>
                <w:szCs w:val="18"/>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Financial Officer of Registrant.</w:t>
            </w:r>
          </w:p>
        </w:tc>
      </w:tr>
      <w:tr>
        <w:trPr>
          <w:trHeight w:val="302"/>
        </w:trPr>
        <w:tc>
          <w:tcPr>
            <w:tcW w:w="1000" w:type="dxa"/>
            <w:vAlign w:val="bottom"/>
          </w:tcPr>
          <w:p>
            <w:pPr>
              <w:spacing w:after="0"/>
              <w:rPr>
                <w:sz w:val="24"/>
                <w:szCs w:val="24"/>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w w:val="99"/>
              </w:rPr>
              <w:t>Incorporated by reference to Exhibit 10(o) to Registrant’s Annual Report on Form 10-K for the fiscal year ended December 31,</w:t>
            </w:r>
          </w:p>
        </w:tc>
      </w:tr>
      <w:tr>
        <w:trPr>
          <w:trHeight w:val="211"/>
        </w:trPr>
        <w:tc>
          <w:tcPr>
            <w:tcW w:w="1000" w:type="dxa"/>
            <w:vAlign w:val="bottom"/>
          </w:tcPr>
          <w:p>
            <w:pPr>
              <w:spacing w:after="0"/>
              <w:rPr>
                <w:sz w:val="18"/>
                <w:szCs w:val="18"/>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2008.</w:t>
            </w:r>
          </w:p>
        </w:tc>
      </w:tr>
      <w:tr>
        <w:trPr>
          <w:trHeight w:val="311"/>
        </w:trPr>
        <w:tc>
          <w:tcPr>
            <w:tcW w:w="1000" w:type="dxa"/>
            <w:vAlign w:val="bottom"/>
          </w:tcPr>
          <w:p>
            <w:pPr>
              <w:spacing w:after="0"/>
              <w:rPr>
                <w:sz w:val="20"/>
                <w:szCs w:val="20"/>
                <w:color w:val="auto"/>
              </w:rPr>
            </w:pPr>
            <w:r>
              <w:rPr>
                <w:rFonts w:ascii="Arial" w:cs="Arial" w:eastAsia="Arial" w:hAnsi="Arial"/>
                <w:sz w:val="18"/>
                <w:szCs w:val="18"/>
                <w:color w:val="auto"/>
              </w:rPr>
              <w:t>*10(p)</w:t>
            </w:r>
          </w:p>
        </w:tc>
        <w:tc>
          <w:tcPr>
            <w:tcW w:w="10360" w:type="dxa"/>
            <w:vAlign w:val="bottom"/>
          </w:tcPr>
          <w:p>
            <w:pPr>
              <w:ind w:left="380"/>
              <w:spacing w:after="0"/>
              <w:rPr>
                <w:sz w:val="20"/>
                <w:szCs w:val="20"/>
                <w:color w:val="auto"/>
              </w:rPr>
            </w:pPr>
            <w:r>
              <w:rPr>
                <w:rFonts w:ascii="Arial" w:cs="Arial" w:eastAsia="Arial" w:hAnsi="Arial"/>
                <w:sz w:val="18"/>
                <w:szCs w:val="18"/>
                <w:color w:val="auto"/>
              </w:rPr>
              <w:t>Uniform Rule dated December 17, 2008 for all Deferred Compensation Promised by Registrant.</w:t>
            </w:r>
          </w:p>
        </w:tc>
      </w:tr>
      <w:tr>
        <w:trPr>
          <w:trHeight w:val="302"/>
        </w:trPr>
        <w:tc>
          <w:tcPr>
            <w:tcW w:w="1000" w:type="dxa"/>
            <w:vAlign w:val="bottom"/>
          </w:tcPr>
          <w:p>
            <w:pPr>
              <w:spacing w:after="0"/>
              <w:rPr>
                <w:sz w:val="24"/>
                <w:szCs w:val="24"/>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w w:val="99"/>
              </w:rPr>
              <w:t>Incorporated by reference to Exhibit 10(r) to Registrant’s Annual Report on Form 10-K for the fiscal year ended December 31,</w:t>
            </w:r>
          </w:p>
        </w:tc>
      </w:tr>
      <w:tr>
        <w:trPr>
          <w:trHeight w:val="211"/>
        </w:trPr>
        <w:tc>
          <w:tcPr>
            <w:tcW w:w="1000" w:type="dxa"/>
            <w:vAlign w:val="bottom"/>
          </w:tcPr>
          <w:p>
            <w:pPr>
              <w:spacing w:after="0"/>
              <w:rPr>
                <w:sz w:val="18"/>
                <w:szCs w:val="18"/>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2008.</w:t>
            </w:r>
          </w:p>
        </w:tc>
      </w:tr>
      <w:tr>
        <w:trPr>
          <w:trHeight w:val="311"/>
        </w:trPr>
        <w:tc>
          <w:tcPr>
            <w:tcW w:w="1000" w:type="dxa"/>
            <w:vAlign w:val="bottom"/>
          </w:tcPr>
          <w:p>
            <w:pPr>
              <w:spacing w:after="0"/>
              <w:rPr>
                <w:sz w:val="20"/>
                <w:szCs w:val="20"/>
                <w:color w:val="auto"/>
              </w:rPr>
            </w:pPr>
            <w:r>
              <w:rPr>
                <w:rFonts w:ascii="Arial" w:cs="Arial" w:eastAsia="Arial" w:hAnsi="Arial"/>
                <w:sz w:val="18"/>
                <w:szCs w:val="18"/>
                <w:color w:val="auto"/>
              </w:rPr>
              <w:t>10(q)</w:t>
            </w:r>
          </w:p>
        </w:tc>
        <w:tc>
          <w:tcPr>
            <w:tcW w:w="10360" w:type="dxa"/>
            <w:vAlign w:val="bottom"/>
          </w:tcPr>
          <w:p>
            <w:pPr>
              <w:ind w:left="380"/>
              <w:spacing w:after="0"/>
              <w:rPr>
                <w:sz w:val="20"/>
                <w:szCs w:val="20"/>
                <w:color w:val="auto"/>
              </w:rPr>
            </w:pPr>
            <w:r>
              <w:rPr>
                <w:rFonts w:ascii="Arial" w:cs="Arial" w:eastAsia="Arial" w:hAnsi="Arial"/>
                <w:sz w:val="18"/>
                <w:szCs w:val="18"/>
                <w:color w:val="auto"/>
              </w:rPr>
              <w:t>2006 Technology Agreement, effective as of April 1, 2006, by and between Registrant and Fuji Xerox Co., Ltd.</w:t>
            </w:r>
          </w:p>
        </w:tc>
      </w:tr>
      <w:tr>
        <w:trPr>
          <w:trHeight w:val="311"/>
        </w:trPr>
        <w:tc>
          <w:tcPr>
            <w:tcW w:w="1000" w:type="dxa"/>
            <w:vAlign w:val="bottom"/>
          </w:tcPr>
          <w:p>
            <w:pPr>
              <w:spacing w:after="0"/>
              <w:rPr>
                <w:sz w:val="24"/>
                <w:szCs w:val="24"/>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Incorporated by reference to Exhibit 99.1 to Registrant’s Current Report on Form 8-K dated March 9, 2006.**</w:t>
            </w:r>
          </w:p>
        </w:tc>
      </w:tr>
      <w:tr>
        <w:trPr>
          <w:trHeight w:val="311"/>
        </w:trPr>
        <w:tc>
          <w:tcPr>
            <w:tcW w:w="1000" w:type="dxa"/>
            <w:vAlign w:val="bottom"/>
          </w:tcPr>
          <w:p>
            <w:pPr>
              <w:spacing w:after="0"/>
              <w:rPr>
                <w:sz w:val="20"/>
                <w:szCs w:val="20"/>
                <w:color w:val="auto"/>
              </w:rPr>
            </w:pPr>
            <w:r>
              <w:rPr>
                <w:rFonts w:ascii="Arial" w:cs="Arial" w:eastAsia="Arial" w:hAnsi="Arial"/>
                <w:sz w:val="18"/>
                <w:szCs w:val="18"/>
                <w:color w:val="auto"/>
              </w:rPr>
              <w:t>*10(r)</w:t>
            </w:r>
          </w:p>
        </w:tc>
        <w:tc>
          <w:tcPr>
            <w:tcW w:w="10360" w:type="dxa"/>
            <w:vAlign w:val="bottom"/>
          </w:tcPr>
          <w:p>
            <w:pPr>
              <w:ind w:left="380"/>
              <w:spacing w:after="0"/>
              <w:rPr>
                <w:sz w:val="20"/>
                <w:szCs w:val="20"/>
                <w:color w:val="auto"/>
              </w:rPr>
            </w:pPr>
            <w:r>
              <w:rPr>
                <w:rFonts w:ascii="Arial" w:cs="Arial" w:eastAsia="Arial" w:hAnsi="Arial"/>
                <w:sz w:val="18"/>
                <w:szCs w:val="18"/>
                <w:color w:val="auto"/>
              </w:rPr>
              <w:t>Form of 2009 Long-Term Cash Incentive Award for Anne M. Mulcahy.</w:t>
            </w:r>
          </w:p>
        </w:tc>
      </w:tr>
      <w:tr>
        <w:trPr>
          <w:trHeight w:val="311"/>
        </w:trPr>
        <w:tc>
          <w:tcPr>
            <w:tcW w:w="1000" w:type="dxa"/>
            <w:vAlign w:val="bottom"/>
          </w:tcPr>
          <w:p>
            <w:pPr>
              <w:spacing w:after="0"/>
              <w:rPr>
                <w:sz w:val="24"/>
                <w:szCs w:val="24"/>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Incorporated by reference to Exhibit 10(t) to Registrant’s Current Report on Form 8-K dated June 30, 2009.</w:t>
            </w:r>
          </w:p>
        </w:tc>
      </w:tr>
      <w:tr>
        <w:trPr>
          <w:trHeight w:val="311"/>
        </w:trPr>
        <w:tc>
          <w:tcPr>
            <w:tcW w:w="1000" w:type="dxa"/>
            <w:vAlign w:val="bottom"/>
          </w:tcPr>
          <w:p>
            <w:pPr>
              <w:spacing w:after="0"/>
              <w:rPr>
                <w:sz w:val="20"/>
                <w:szCs w:val="20"/>
                <w:color w:val="auto"/>
              </w:rPr>
            </w:pPr>
            <w:r>
              <w:rPr>
                <w:rFonts w:ascii="Arial" w:cs="Arial" w:eastAsia="Arial" w:hAnsi="Arial"/>
                <w:sz w:val="18"/>
                <w:szCs w:val="18"/>
                <w:color w:val="auto"/>
              </w:rPr>
              <w:t>*10(s)</w:t>
            </w:r>
          </w:p>
        </w:tc>
        <w:tc>
          <w:tcPr>
            <w:tcW w:w="10360" w:type="dxa"/>
            <w:vAlign w:val="bottom"/>
          </w:tcPr>
          <w:p>
            <w:pPr>
              <w:ind w:left="380"/>
              <w:spacing w:after="0"/>
              <w:rPr>
                <w:sz w:val="20"/>
                <w:szCs w:val="20"/>
                <w:color w:val="auto"/>
              </w:rPr>
            </w:pPr>
            <w:r>
              <w:rPr>
                <w:rFonts w:ascii="Arial" w:cs="Arial" w:eastAsia="Arial" w:hAnsi="Arial"/>
                <w:sz w:val="18"/>
                <w:szCs w:val="18"/>
                <w:color w:val="auto"/>
              </w:rPr>
              <w:t>Form of 2009 Long-Term Cash Incentive Award for Lawrence A. Zimmerman.</w:t>
            </w:r>
          </w:p>
        </w:tc>
      </w:tr>
      <w:tr>
        <w:trPr>
          <w:trHeight w:val="311"/>
        </w:trPr>
        <w:tc>
          <w:tcPr>
            <w:tcW w:w="1000" w:type="dxa"/>
            <w:vAlign w:val="bottom"/>
          </w:tcPr>
          <w:p>
            <w:pPr>
              <w:spacing w:after="0"/>
              <w:rPr>
                <w:sz w:val="24"/>
                <w:szCs w:val="24"/>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Incorporated by reference to Exhibit 10(u) to Registrant’s Current Report on Form 8-K dated June 30, 2009.</w:t>
            </w:r>
          </w:p>
        </w:tc>
      </w:tr>
      <w:tr>
        <w:trPr>
          <w:trHeight w:val="311"/>
        </w:trPr>
        <w:tc>
          <w:tcPr>
            <w:tcW w:w="1000" w:type="dxa"/>
            <w:vAlign w:val="bottom"/>
          </w:tcPr>
          <w:p>
            <w:pPr>
              <w:spacing w:after="0"/>
              <w:rPr>
                <w:sz w:val="20"/>
                <w:szCs w:val="20"/>
                <w:color w:val="auto"/>
              </w:rPr>
            </w:pPr>
            <w:r>
              <w:rPr>
                <w:rFonts w:ascii="Arial" w:cs="Arial" w:eastAsia="Arial" w:hAnsi="Arial"/>
                <w:sz w:val="18"/>
                <w:szCs w:val="18"/>
                <w:color w:val="auto"/>
              </w:rPr>
              <w:t>*10(t)</w:t>
            </w:r>
          </w:p>
        </w:tc>
        <w:tc>
          <w:tcPr>
            <w:tcW w:w="10360" w:type="dxa"/>
            <w:vAlign w:val="bottom"/>
          </w:tcPr>
          <w:p>
            <w:pPr>
              <w:ind w:left="380"/>
              <w:spacing w:after="0"/>
              <w:rPr>
                <w:sz w:val="20"/>
                <w:szCs w:val="20"/>
                <w:color w:val="auto"/>
              </w:rPr>
            </w:pPr>
            <w:r>
              <w:rPr>
                <w:rFonts w:ascii="Arial" w:cs="Arial" w:eastAsia="Arial" w:hAnsi="Arial"/>
                <w:sz w:val="18"/>
                <w:szCs w:val="18"/>
                <w:color w:val="auto"/>
              </w:rPr>
              <w:t>Form of Severance Agreement entered into with various executive officers, effective October 2010.</w:t>
            </w:r>
          </w:p>
        </w:tc>
      </w:tr>
      <w:tr>
        <w:trPr>
          <w:trHeight w:val="311"/>
        </w:trPr>
        <w:tc>
          <w:tcPr>
            <w:tcW w:w="1000" w:type="dxa"/>
            <w:vAlign w:val="bottom"/>
          </w:tcPr>
          <w:p>
            <w:pPr>
              <w:spacing w:after="0"/>
              <w:rPr>
                <w:sz w:val="20"/>
                <w:szCs w:val="20"/>
                <w:color w:val="auto"/>
              </w:rPr>
            </w:pPr>
            <w:r>
              <w:rPr>
                <w:rFonts w:ascii="Arial" w:cs="Arial" w:eastAsia="Arial" w:hAnsi="Arial"/>
                <w:sz w:val="18"/>
                <w:szCs w:val="18"/>
                <w:color w:val="auto"/>
              </w:rPr>
              <w:t>*10(u)</w:t>
            </w:r>
          </w:p>
        </w:tc>
        <w:tc>
          <w:tcPr>
            <w:tcW w:w="10360" w:type="dxa"/>
            <w:vAlign w:val="bottom"/>
          </w:tcPr>
          <w:p>
            <w:pPr>
              <w:ind w:left="380"/>
              <w:spacing w:after="0"/>
              <w:rPr>
                <w:sz w:val="20"/>
                <w:szCs w:val="20"/>
                <w:color w:val="auto"/>
              </w:rPr>
            </w:pPr>
            <w:r>
              <w:rPr>
                <w:rFonts w:ascii="Arial" w:cs="Arial" w:eastAsia="Arial" w:hAnsi="Arial"/>
                <w:sz w:val="18"/>
                <w:szCs w:val="18"/>
                <w:color w:val="auto"/>
              </w:rPr>
              <w:t>Senior Executive Agreement dated September 27, 2009 among ACS, Registrant and Lynn Blodgett.</w:t>
            </w:r>
          </w:p>
        </w:tc>
      </w:tr>
      <w:tr>
        <w:trPr>
          <w:trHeight w:val="311"/>
        </w:trPr>
        <w:tc>
          <w:tcPr>
            <w:tcW w:w="1000" w:type="dxa"/>
            <w:vAlign w:val="bottom"/>
          </w:tcPr>
          <w:p>
            <w:pPr>
              <w:spacing w:after="0"/>
              <w:rPr>
                <w:sz w:val="24"/>
                <w:szCs w:val="24"/>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Incorporated by reference to Exhibit 10.2 to ACS’s Current Report on Form 8-K dated September 27, 2009.</w:t>
            </w:r>
          </w:p>
        </w:tc>
      </w:tr>
      <w:tr>
        <w:trPr>
          <w:trHeight w:val="351"/>
        </w:trPr>
        <w:tc>
          <w:tcPr>
            <w:tcW w:w="1000" w:type="dxa"/>
            <w:vAlign w:val="bottom"/>
          </w:tcPr>
          <w:p>
            <w:pPr>
              <w:spacing w:after="0"/>
              <w:rPr>
                <w:sz w:val="24"/>
                <w:szCs w:val="24"/>
                <w:color w:val="auto"/>
              </w:rPr>
            </w:pPr>
          </w:p>
        </w:tc>
        <w:tc>
          <w:tcPr>
            <w:tcW w:w="10360" w:type="dxa"/>
            <w:vAlign w:val="bottom"/>
          </w:tcPr>
          <w:p>
            <w:pPr>
              <w:ind w:left="4660"/>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360"/>
          </w:cols>
          <w:pgMar w:left="240" w:top="459" w:right="2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040" w:type="dxa"/>
            <w:vAlign w:val="bottom"/>
          </w:tcPr>
          <w:p>
            <w:pPr>
              <w:spacing w:after="0"/>
              <w:rPr>
                <w:sz w:val="20"/>
                <w:szCs w:val="20"/>
                <w:color w:val="auto"/>
              </w:rPr>
            </w:pPr>
            <w:r>
              <w:rPr>
                <w:rFonts w:ascii="Arial" w:cs="Arial" w:eastAsia="Arial" w:hAnsi="Arial"/>
                <w:sz w:val="18"/>
                <w:szCs w:val="18"/>
                <w:color w:val="auto"/>
              </w:rPr>
              <w:t>*10(v)(1)</w:t>
            </w:r>
          </w:p>
        </w:tc>
        <w:tc>
          <w:tcPr>
            <w:tcW w:w="10320" w:type="dxa"/>
            <w:vAlign w:val="bottom"/>
          </w:tcPr>
          <w:p>
            <w:pPr>
              <w:ind w:left="340"/>
              <w:spacing w:after="0"/>
              <w:rPr>
                <w:sz w:val="20"/>
                <w:szCs w:val="20"/>
                <w:color w:val="auto"/>
              </w:rPr>
            </w:pPr>
            <w:r>
              <w:rPr>
                <w:rFonts w:ascii="Arial" w:cs="Arial" w:eastAsia="Arial" w:hAnsi="Arial"/>
                <w:sz w:val="18"/>
                <w:szCs w:val="18"/>
                <w:color w:val="auto"/>
              </w:rPr>
              <w:t>Affiliated Computer Services, Inc. (“ACS”) 1997 Stock Incentive Plan (“ACS 1997 SIP”)</w:t>
            </w:r>
          </w:p>
        </w:tc>
      </w:tr>
      <w:tr>
        <w:trPr>
          <w:trHeight w:val="311"/>
        </w:trPr>
        <w:tc>
          <w:tcPr>
            <w:tcW w:w="1040" w:type="dxa"/>
            <w:vAlign w:val="bottom"/>
          </w:tcPr>
          <w:p>
            <w:pPr>
              <w:spacing w:after="0"/>
              <w:rPr>
                <w:sz w:val="24"/>
                <w:szCs w:val="24"/>
                <w:color w:val="auto"/>
              </w:rPr>
            </w:pPr>
          </w:p>
        </w:tc>
        <w:tc>
          <w:tcPr>
            <w:tcW w:w="10320" w:type="dxa"/>
            <w:vAlign w:val="bottom"/>
          </w:tcPr>
          <w:p>
            <w:pPr>
              <w:ind w:left="340"/>
              <w:spacing w:after="0"/>
              <w:rPr>
                <w:sz w:val="20"/>
                <w:szCs w:val="20"/>
                <w:color w:val="auto"/>
              </w:rPr>
            </w:pPr>
            <w:r>
              <w:rPr>
                <w:rFonts w:ascii="Arial" w:cs="Arial" w:eastAsia="Arial" w:hAnsi="Arial"/>
                <w:sz w:val="18"/>
                <w:szCs w:val="18"/>
                <w:color w:val="auto"/>
              </w:rPr>
              <w:t>Incorporated by reference to Appendix D to ACS’s Joint Proxy Statement on Schedule 14A, filed November 14, 1997.</w:t>
            </w:r>
          </w:p>
        </w:tc>
      </w:tr>
      <w:tr>
        <w:trPr>
          <w:trHeight w:val="311"/>
        </w:trPr>
        <w:tc>
          <w:tcPr>
            <w:tcW w:w="1040" w:type="dxa"/>
            <w:vAlign w:val="bottom"/>
          </w:tcPr>
          <w:p>
            <w:pPr>
              <w:spacing w:after="0"/>
              <w:rPr>
                <w:sz w:val="20"/>
                <w:szCs w:val="20"/>
                <w:color w:val="auto"/>
              </w:rPr>
            </w:pPr>
            <w:r>
              <w:rPr>
                <w:rFonts w:ascii="Arial" w:cs="Arial" w:eastAsia="Arial" w:hAnsi="Arial"/>
                <w:sz w:val="18"/>
                <w:szCs w:val="18"/>
                <w:color w:val="auto"/>
              </w:rPr>
              <w:t>*10(v)(2)</w:t>
            </w:r>
          </w:p>
        </w:tc>
        <w:tc>
          <w:tcPr>
            <w:tcW w:w="10320" w:type="dxa"/>
            <w:vAlign w:val="bottom"/>
          </w:tcPr>
          <w:p>
            <w:pPr>
              <w:ind w:left="340"/>
              <w:spacing w:after="0"/>
              <w:rPr>
                <w:sz w:val="20"/>
                <w:szCs w:val="20"/>
                <w:color w:val="auto"/>
              </w:rPr>
            </w:pPr>
            <w:r>
              <w:rPr>
                <w:rFonts w:ascii="Arial" w:cs="Arial" w:eastAsia="Arial" w:hAnsi="Arial"/>
                <w:sz w:val="18"/>
                <w:szCs w:val="18"/>
                <w:color w:val="auto"/>
              </w:rPr>
              <w:t>Amendment No. 1 dated October 28, 2004 to ACS 1997 SIP.</w:t>
            </w:r>
          </w:p>
        </w:tc>
      </w:tr>
      <w:tr>
        <w:trPr>
          <w:trHeight w:val="311"/>
        </w:trPr>
        <w:tc>
          <w:tcPr>
            <w:tcW w:w="1040" w:type="dxa"/>
            <w:vAlign w:val="bottom"/>
          </w:tcPr>
          <w:p>
            <w:pPr>
              <w:spacing w:after="0"/>
              <w:rPr>
                <w:sz w:val="24"/>
                <w:szCs w:val="24"/>
                <w:color w:val="auto"/>
              </w:rPr>
            </w:pPr>
          </w:p>
        </w:tc>
        <w:tc>
          <w:tcPr>
            <w:tcW w:w="10320" w:type="dxa"/>
            <w:vAlign w:val="bottom"/>
          </w:tcPr>
          <w:p>
            <w:pPr>
              <w:ind w:left="340"/>
              <w:spacing w:after="0"/>
              <w:rPr>
                <w:sz w:val="20"/>
                <w:szCs w:val="20"/>
                <w:color w:val="auto"/>
              </w:rPr>
            </w:pPr>
            <w:r>
              <w:rPr>
                <w:rFonts w:ascii="Arial" w:cs="Arial" w:eastAsia="Arial" w:hAnsi="Arial"/>
                <w:sz w:val="18"/>
                <w:szCs w:val="18"/>
                <w:color w:val="auto"/>
              </w:rPr>
              <w:t>Incorporated by reference to Exhibit 4.6 to ACS’s Registration Statement on Form S-8, filed December 6, 2005.</w:t>
            </w:r>
          </w:p>
        </w:tc>
      </w:tr>
      <w:tr>
        <w:trPr>
          <w:trHeight w:val="311"/>
        </w:trPr>
        <w:tc>
          <w:tcPr>
            <w:tcW w:w="1040" w:type="dxa"/>
            <w:vAlign w:val="bottom"/>
          </w:tcPr>
          <w:p>
            <w:pPr>
              <w:spacing w:after="0"/>
              <w:rPr>
                <w:sz w:val="20"/>
                <w:szCs w:val="20"/>
                <w:color w:val="auto"/>
              </w:rPr>
            </w:pPr>
            <w:r>
              <w:rPr>
                <w:rFonts w:ascii="Arial" w:cs="Arial" w:eastAsia="Arial" w:hAnsi="Arial"/>
                <w:sz w:val="18"/>
                <w:szCs w:val="18"/>
                <w:color w:val="auto"/>
              </w:rPr>
              <w:t>*10(w)</w:t>
            </w:r>
          </w:p>
        </w:tc>
        <w:tc>
          <w:tcPr>
            <w:tcW w:w="10320" w:type="dxa"/>
            <w:vAlign w:val="bottom"/>
          </w:tcPr>
          <w:p>
            <w:pPr>
              <w:ind w:left="340"/>
              <w:spacing w:after="0"/>
              <w:rPr>
                <w:sz w:val="20"/>
                <w:szCs w:val="20"/>
                <w:color w:val="auto"/>
              </w:rPr>
            </w:pPr>
            <w:r>
              <w:rPr>
                <w:rFonts w:ascii="Arial" w:cs="Arial" w:eastAsia="Arial" w:hAnsi="Arial"/>
                <w:sz w:val="18"/>
                <w:szCs w:val="18"/>
                <w:color w:val="auto"/>
              </w:rPr>
              <w:t>ACS Amended and Restated 2007 Equity Incentive Plan.</w:t>
            </w:r>
          </w:p>
        </w:tc>
      </w:tr>
      <w:tr>
        <w:trPr>
          <w:trHeight w:val="311"/>
        </w:trPr>
        <w:tc>
          <w:tcPr>
            <w:tcW w:w="1040" w:type="dxa"/>
            <w:vAlign w:val="bottom"/>
          </w:tcPr>
          <w:p>
            <w:pPr>
              <w:spacing w:after="0"/>
              <w:rPr>
                <w:sz w:val="24"/>
                <w:szCs w:val="24"/>
                <w:color w:val="auto"/>
              </w:rPr>
            </w:pPr>
          </w:p>
        </w:tc>
        <w:tc>
          <w:tcPr>
            <w:tcW w:w="10320" w:type="dxa"/>
            <w:vAlign w:val="bottom"/>
          </w:tcPr>
          <w:p>
            <w:pPr>
              <w:ind w:left="340"/>
              <w:spacing w:after="0"/>
              <w:rPr>
                <w:sz w:val="20"/>
                <w:szCs w:val="20"/>
                <w:color w:val="auto"/>
              </w:rPr>
            </w:pPr>
            <w:r>
              <w:rPr>
                <w:rFonts w:ascii="Arial" w:cs="Arial" w:eastAsia="Arial" w:hAnsi="Arial"/>
                <w:sz w:val="18"/>
                <w:szCs w:val="18"/>
                <w:color w:val="auto"/>
              </w:rPr>
              <w:t>Incorporated by reference to Exhibit 10.1 to ACS’s Current Report on Form 8-K filed August 21, 2009.</w:t>
            </w:r>
          </w:p>
        </w:tc>
      </w:tr>
      <w:tr>
        <w:trPr>
          <w:trHeight w:val="311"/>
        </w:trPr>
        <w:tc>
          <w:tcPr>
            <w:tcW w:w="1040" w:type="dxa"/>
            <w:vAlign w:val="bottom"/>
          </w:tcPr>
          <w:p>
            <w:pPr>
              <w:spacing w:after="0"/>
              <w:rPr>
                <w:sz w:val="20"/>
                <w:szCs w:val="20"/>
                <w:color w:val="auto"/>
              </w:rPr>
            </w:pPr>
            <w:r>
              <w:rPr>
                <w:rFonts w:ascii="Arial" w:cs="Arial" w:eastAsia="Arial" w:hAnsi="Arial"/>
                <w:sz w:val="18"/>
                <w:szCs w:val="18"/>
                <w:color w:val="auto"/>
              </w:rPr>
              <w:t>*10(x)</w:t>
            </w:r>
          </w:p>
        </w:tc>
        <w:tc>
          <w:tcPr>
            <w:tcW w:w="10320" w:type="dxa"/>
            <w:vAlign w:val="bottom"/>
          </w:tcPr>
          <w:p>
            <w:pPr>
              <w:ind w:left="340"/>
              <w:spacing w:after="0"/>
              <w:rPr>
                <w:sz w:val="20"/>
                <w:szCs w:val="20"/>
                <w:color w:val="auto"/>
              </w:rPr>
            </w:pPr>
            <w:r>
              <w:rPr>
                <w:rFonts w:ascii="Arial" w:cs="Arial" w:eastAsia="Arial" w:hAnsi="Arial"/>
                <w:sz w:val="18"/>
                <w:szCs w:val="18"/>
                <w:color w:val="auto"/>
              </w:rPr>
              <w:t>ACS Senior Executive Annual Incentive Plan.</w:t>
            </w:r>
          </w:p>
        </w:tc>
      </w:tr>
      <w:tr>
        <w:trPr>
          <w:trHeight w:val="311"/>
        </w:trPr>
        <w:tc>
          <w:tcPr>
            <w:tcW w:w="1040" w:type="dxa"/>
            <w:vAlign w:val="bottom"/>
          </w:tcPr>
          <w:p>
            <w:pPr>
              <w:spacing w:after="0"/>
              <w:rPr>
                <w:sz w:val="24"/>
                <w:szCs w:val="24"/>
                <w:color w:val="auto"/>
              </w:rPr>
            </w:pPr>
          </w:p>
        </w:tc>
        <w:tc>
          <w:tcPr>
            <w:tcW w:w="10320" w:type="dxa"/>
            <w:vAlign w:val="bottom"/>
          </w:tcPr>
          <w:p>
            <w:pPr>
              <w:ind w:left="340"/>
              <w:spacing w:after="0"/>
              <w:rPr>
                <w:sz w:val="20"/>
                <w:szCs w:val="20"/>
                <w:color w:val="auto"/>
              </w:rPr>
            </w:pPr>
            <w:r>
              <w:rPr>
                <w:rFonts w:ascii="Arial" w:cs="Arial" w:eastAsia="Arial" w:hAnsi="Arial"/>
                <w:sz w:val="18"/>
                <w:szCs w:val="18"/>
                <w:color w:val="auto"/>
              </w:rPr>
              <w:t>Incorporated by reference to Exhibit A to ACS’s Proxy Statement on Schedule 14A, filed April 14, 2009.</w:t>
            </w:r>
          </w:p>
        </w:tc>
      </w:tr>
      <w:tr>
        <w:trPr>
          <w:trHeight w:val="311"/>
        </w:trPr>
        <w:tc>
          <w:tcPr>
            <w:tcW w:w="1040" w:type="dxa"/>
            <w:vAlign w:val="bottom"/>
          </w:tcPr>
          <w:p>
            <w:pPr>
              <w:spacing w:after="0"/>
              <w:rPr>
                <w:sz w:val="20"/>
                <w:szCs w:val="20"/>
                <w:color w:val="auto"/>
              </w:rPr>
            </w:pPr>
            <w:r>
              <w:rPr>
                <w:rFonts w:ascii="Arial" w:cs="Arial" w:eastAsia="Arial" w:hAnsi="Arial"/>
                <w:sz w:val="18"/>
                <w:szCs w:val="18"/>
                <w:color w:val="auto"/>
              </w:rPr>
              <w:t>*10(y)</w:t>
            </w:r>
          </w:p>
        </w:tc>
        <w:tc>
          <w:tcPr>
            <w:tcW w:w="10320" w:type="dxa"/>
            <w:vAlign w:val="bottom"/>
          </w:tcPr>
          <w:p>
            <w:pPr>
              <w:ind w:left="340"/>
              <w:spacing w:after="0"/>
              <w:rPr>
                <w:sz w:val="20"/>
                <w:szCs w:val="20"/>
                <w:color w:val="auto"/>
              </w:rPr>
            </w:pPr>
            <w:r>
              <w:rPr>
                <w:rFonts w:ascii="Arial" w:cs="Arial" w:eastAsia="Arial" w:hAnsi="Arial"/>
                <w:sz w:val="18"/>
                <w:szCs w:val="18"/>
                <w:color w:val="auto"/>
              </w:rPr>
              <w:t>ACS 401(k) Supplemental Plan. Effective as of July 1, 2000, as amended.</w:t>
            </w:r>
          </w:p>
        </w:tc>
      </w:tr>
      <w:tr>
        <w:trPr>
          <w:trHeight w:val="311"/>
        </w:trPr>
        <w:tc>
          <w:tcPr>
            <w:tcW w:w="1040" w:type="dxa"/>
            <w:vAlign w:val="bottom"/>
          </w:tcPr>
          <w:p>
            <w:pPr>
              <w:spacing w:after="0"/>
              <w:rPr>
                <w:sz w:val="24"/>
                <w:szCs w:val="24"/>
                <w:color w:val="auto"/>
              </w:rPr>
            </w:pPr>
          </w:p>
        </w:tc>
        <w:tc>
          <w:tcPr>
            <w:tcW w:w="10320" w:type="dxa"/>
            <w:vAlign w:val="bottom"/>
          </w:tcPr>
          <w:p>
            <w:pPr>
              <w:ind w:left="340"/>
              <w:spacing w:after="0"/>
              <w:rPr>
                <w:sz w:val="20"/>
                <w:szCs w:val="20"/>
                <w:color w:val="auto"/>
              </w:rPr>
            </w:pPr>
            <w:r>
              <w:rPr>
                <w:rFonts w:ascii="Arial" w:cs="Arial" w:eastAsia="Arial" w:hAnsi="Arial"/>
                <w:sz w:val="18"/>
                <w:szCs w:val="18"/>
                <w:color w:val="auto"/>
              </w:rPr>
              <w:t>Incorporated by reference to Exhibit 10.15 to ACS’s Annual Report on Form 10-K for the fiscal year ended June 30, 2004.</w:t>
            </w:r>
          </w:p>
        </w:tc>
      </w:tr>
      <w:tr>
        <w:trPr>
          <w:trHeight w:val="311"/>
        </w:trPr>
        <w:tc>
          <w:tcPr>
            <w:tcW w:w="1040" w:type="dxa"/>
            <w:vAlign w:val="bottom"/>
          </w:tcPr>
          <w:p>
            <w:pPr>
              <w:spacing w:after="0"/>
              <w:rPr>
                <w:sz w:val="20"/>
                <w:szCs w:val="20"/>
                <w:color w:val="auto"/>
              </w:rPr>
            </w:pPr>
            <w:r>
              <w:rPr>
                <w:rFonts w:ascii="Arial" w:cs="Arial" w:eastAsia="Arial" w:hAnsi="Arial"/>
                <w:sz w:val="18"/>
                <w:szCs w:val="18"/>
                <w:color w:val="auto"/>
              </w:rPr>
              <w:t>*10(z)</w:t>
            </w:r>
          </w:p>
        </w:tc>
        <w:tc>
          <w:tcPr>
            <w:tcW w:w="10320" w:type="dxa"/>
            <w:vAlign w:val="bottom"/>
          </w:tcPr>
          <w:p>
            <w:pPr>
              <w:ind w:left="340"/>
              <w:spacing w:after="0"/>
              <w:rPr>
                <w:sz w:val="20"/>
                <w:szCs w:val="20"/>
                <w:color w:val="auto"/>
              </w:rPr>
            </w:pPr>
            <w:r>
              <w:rPr>
                <w:rFonts w:ascii="Arial" w:cs="Arial" w:eastAsia="Arial" w:hAnsi="Arial"/>
                <w:sz w:val="18"/>
                <w:szCs w:val="18"/>
                <w:color w:val="auto"/>
              </w:rPr>
              <w:t>ACS Executive Benefit Plan, effective as of January 1, 2002, as amended.</w:t>
            </w:r>
          </w:p>
        </w:tc>
      </w:tr>
      <w:tr>
        <w:trPr>
          <w:trHeight w:val="311"/>
        </w:trPr>
        <w:tc>
          <w:tcPr>
            <w:tcW w:w="1040" w:type="dxa"/>
            <w:vAlign w:val="bottom"/>
          </w:tcPr>
          <w:p>
            <w:pPr>
              <w:spacing w:after="0"/>
              <w:rPr>
                <w:sz w:val="24"/>
                <w:szCs w:val="24"/>
                <w:color w:val="auto"/>
              </w:rPr>
            </w:pPr>
          </w:p>
        </w:tc>
        <w:tc>
          <w:tcPr>
            <w:tcW w:w="10320" w:type="dxa"/>
            <w:vAlign w:val="bottom"/>
          </w:tcPr>
          <w:p>
            <w:pPr>
              <w:ind w:left="340"/>
              <w:spacing w:after="0"/>
              <w:rPr>
                <w:sz w:val="20"/>
                <w:szCs w:val="20"/>
                <w:color w:val="auto"/>
              </w:rPr>
            </w:pPr>
            <w:r>
              <w:rPr>
                <w:rFonts w:ascii="Arial" w:cs="Arial" w:eastAsia="Arial" w:hAnsi="Arial"/>
                <w:sz w:val="18"/>
                <w:szCs w:val="18"/>
                <w:color w:val="auto"/>
              </w:rPr>
              <w:t>Incorporated by reference to Exhibit 10.15 to ACS’s Annual Report on Form 10-K for the fiscal year ended June 30, 2005.</w:t>
            </w:r>
          </w:p>
        </w:tc>
      </w:tr>
      <w:tr>
        <w:trPr>
          <w:trHeight w:val="302"/>
        </w:trPr>
        <w:tc>
          <w:tcPr>
            <w:tcW w:w="1040" w:type="dxa"/>
            <w:vAlign w:val="bottom"/>
          </w:tcPr>
          <w:p>
            <w:pPr>
              <w:spacing w:after="0"/>
              <w:rPr>
                <w:sz w:val="20"/>
                <w:szCs w:val="20"/>
                <w:color w:val="auto"/>
              </w:rPr>
            </w:pPr>
            <w:r>
              <w:rPr>
                <w:rFonts w:ascii="Arial" w:cs="Arial" w:eastAsia="Arial" w:hAnsi="Arial"/>
                <w:sz w:val="18"/>
                <w:szCs w:val="18"/>
                <w:color w:val="auto"/>
              </w:rPr>
              <w:t>*10(aa)</w:t>
            </w:r>
          </w:p>
        </w:tc>
        <w:tc>
          <w:tcPr>
            <w:tcW w:w="10320" w:type="dxa"/>
            <w:vAlign w:val="bottom"/>
          </w:tcPr>
          <w:p>
            <w:pPr>
              <w:ind w:left="340"/>
              <w:spacing w:after="0"/>
              <w:rPr>
                <w:sz w:val="20"/>
                <w:szCs w:val="20"/>
                <w:color w:val="auto"/>
              </w:rPr>
            </w:pPr>
            <w:r>
              <w:rPr>
                <w:rFonts w:ascii="Arial" w:cs="Arial" w:eastAsia="Arial" w:hAnsi="Arial"/>
                <w:sz w:val="18"/>
                <w:szCs w:val="18"/>
                <w:color w:val="auto"/>
                <w:w w:val="97"/>
              </w:rPr>
              <w:t>Letter Agreement dated December 20, 2010 between Registrant and Luca Maestri, Executive Vice President and Chief Financial</w:t>
            </w:r>
          </w:p>
        </w:tc>
      </w:tr>
      <w:tr>
        <w:trPr>
          <w:trHeight w:val="211"/>
        </w:trPr>
        <w:tc>
          <w:tcPr>
            <w:tcW w:w="1040" w:type="dxa"/>
            <w:vAlign w:val="bottom"/>
          </w:tcPr>
          <w:p>
            <w:pPr>
              <w:spacing w:after="0"/>
              <w:rPr>
                <w:sz w:val="18"/>
                <w:szCs w:val="18"/>
                <w:color w:val="auto"/>
              </w:rPr>
            </w:pPr>
          </w:p>
        </w:tc>
        <w:tc>
          <w:tcPr>
            <w:tcW w:w="10320" w:type="dxa"/>
            <w:vAlign w:val="bottom"/>
          </w:tcPr>
          <w:p>
            <w:pPr>
              <w:ind w:left="340"/>
              <w:spacing w:after="0"/>
              <w:rPr>
                <w:sz w:val="20"/>
                <w:szCs w:val="20"/>
                <w:color w:val="auto"/>
              </w:rPr>
            </w:pPr>
            <w:r>
              <w:rPr>
                <w:rFonts w:ascii="Arial" w:cs="Arial" w:eastAsia="Arial" w:hAnsi="Arial"/>
                <w:sz w:val="18"/>
                <w:szCs w:val="18"/>
                <w:color w:val="auto"/>
              </w:rPr>
              <w:t>Officer of Registrant.</w:t>
            </w:r>
          </w:p>
        </w:tc>
      </w:tr>
    </w:tbl>
    <w:p>
      <w:pPr>
        <w:spacing w:after="0" w:line="1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Incorporated by reference to Exhibit 10(cc) to Registrant’s Current Report on Form 8-K dated January 25, 2011.</w:t>
      </w:r>
    </w:p>
    <w:p>
      <w:pPr>
        <w:spacing w:after="0" w:line="104" w:lineRule="exact"/>
        <w:rPr>
          <w:sz w:val="20"/>
          <w:szCs w:val="20"/>
          <w:color w:val="auto"/>
        </w:rPr>
      </w:pPr>
    </w:p>
    <w:p>
      <w:pPr>
        <w:ind w:left="1380" w:right="160" w:hanging="1372"/>
        <w:spacing w:after="0" w:line="239" w:lineRule="auto"/>
        <w:tabs>
          <w:tab w:leader="none" w:pos="1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Computation of Ratio of Earnings to Fixed charges and the Ratio of Earnings to Combined Fixed Charges and Preferred Stock Dividends.</w:t>
      </w:r>
    </w:p>
    <w:p>
      <w:pPr>
        <w:spacing w:after="0" w:line="100" w:lineRule="exact"/>
        <w:rPr>
          <w:rFonts w:ascii="Arial" w:cs="Arial" w:eastAsia="Arial" w:hAnsi="Arial"/>
          <w:sz w:val="18"/>
          <w:szCs w:val="18"/>
          <w:color w:val="auto"/>
        </w:rPr>
      </w:pPr>
    </w:p>
    <w:p>
      <w:pPr>
        <w:ind w:left="1380" w:hanging="1372"/>
        <w:spacing w:after="0"/>
        <w:tabs>
          <w:tab w:leader="none" w:pos="1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Registrant’s 2010 Annual Report to Shareholders.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040" w:type="dxa"/>
            <w:vAlign w:val="bottom"/>
          </w:tcPr>
          <w:p>
            <w:pPr>
              <w:spacing w:after="0"/>
              <w:rPr>
                <w:sz w:val="20"/>
                <w:szCs w:val="20"/>
                <w:color w:val="auto"/>
              </w:rPr>
            </w:pPr>
            <w:r>
              <w:rPr>
                <w:rFonts w:ascii="Arial" w:cs="Arial" w:eastAsia="Arial" w:hAnsi="Arial"/>
                <w:sz w:val="18"/>
                <w:szCs w:val="18"/>
                <w:color w:val="auto"/>
              </w:rPr>
              <w:t>21</w:t>
            </w:r>
          </w:p>
        </w:tc>
        <w:tc>
          <w:tcPr>
            <w:tcW w:w="10000" w:type="dxa"/>
            <w:vAlign w:val="bottom"/>
          </w:tcPr>
          <w:p>
            <w:pPr>
              <w:ind w:left="340"/>
              <w:spacing w:after="0"/>
              <w:rPr>
                <w:sz w:val="20"/>
                <w:szCs w:val="20"/>
                <w:color w:val="auto"/>
              </w:rPr>
            </w:pPr>
            <w:r>
              <w:rPr>
                <w:rFonts w:ascii="Arial" w:cs="Arial" w:eastAsia="Arial" w:hAnsi="Arial"/>
                <w:sz w:val="18"/>
                <w:szCs w:val="18"/>
                <w:color w:val="auto"/>
              </w:rPr>
              <w:t>Subsidiaries of Registrant.</w:t>
            </w:r>
          </w:p>
        </w:tc>
      </w:tr>
      <w:tr>
        <w:trPr>
          <w:trHeight w:val="311"/>
        </w:trPr>
        <w:tc>
          <w:tcPr>
            <w:tcW w:w="1040" w:type="dxa"/>
            <w:vAlign w:val="bottom"/>
          </w:tcPr>
          <w:p>
            <w:pPr>
              <w:spacing w:after="0"/>
              <w:rPr>
                <w:sz w:val="20"/>
                <w:szCs w:val="20"/>
                <w:color w:val="auto"/>
              </w:rPr>
            </w:pPr>
            <w:r>
              <w:rPr>
                <w:rFonts w:ascii="Arial" w:cs="Arial" w:eastAsia="Arial" w:hAnsi="Arial"/>
                <w:sz w:val="18"/>
                <w:szCs w:val="18"/>
                <w:color w:val="auto"/>
              </w:rPr>
              <w:t>23</w:t>
            </w:r>
          </w:p>
        </w:tc>
        <w:tc>
          <w:tcPr>
            <w:tcW w:w="10000" w:type="dxa"/>
            <w:vAlign w:val="bottom"/>
          </w:tcPr>
          <w:p>
            <w:pPr>
              <w:ind w:left="340"/>
              <w:spacing w:after="0"/>
              <w:rPr>
                <w:sz w:val="20"/>
                <w:szCs w:val="20"/>
                <w:color w:val="auto"/>
              </w:rPr>
            </w:pPr>
            <w:r>
              <w:rPr>
                <w:rFonts w:ascii="Arial" w:cs="Arial" w:eastAsia="Arial" w:hAnsi="Arial"/>
                <w:sz w:val="18"/>
                <w:szCs w:val="18"/>
                <w:color w:val="auto"/>
              </w:rPr>
              <w:t>Consent of PricewaterhouseCoopers LLP.</w:t>
            </w:r>
          </w:p>
        </w:tc>
      </w:tr>
      <w:tr>
        <w:trPr>
          <w:trHeight w:val="311"/>
        </w:trPr>
        <w:tc>
          <w:tcPr>
            <w:tcW w:w="1040" w:type="dxa"/>
            <w:vAlign w:val="bottom"/>
          </w:tcPr>
          <w:p>
            <w:pPr>
              <w:spacing w:after="0"/>
              <w:rPr>
                <w:sz w:val="20"/>
                <w:szCs w:val="20"/>
                <w:color w:val="auto"/>
              </w:rPr>
            </w:pPr>
            <w:r>
              <w:rPr>
                <w:rFonts w:ascii="Arial" w:cs="Arial" w:eastAsia="Arial" w:hAnsi="Arial"/>
                <w:sz w:val="18"/>
                <w:szCs w:val="18"/>
                <w:color w:val="auto"/>
              </w:rPr>
              <w:t>31(a)</w:t>
            </w:r>
          </w:p>
        </w:tc>
        <w:tc>
          <w:tcPr>
            <w:tcW w:w="10000" w:type="dxa"/>
            <w:vAlign w:val="bottom"/>
          </w:tcPr>
          <w:p>
            <w:pPr>
              <w:ind w:left="340"/>
              <w:spacing w:after="0"/>
              <w:rPr>
                <w:sz w:val="20"/>
                <w:szCs w:val="20"/>
                <w:color w:val="auto"/>
              </w:rPr>
            </w:pPr>
            <w:r>
              <w:rPr>
                <w:rFonts w:ascii="Arial" w:cs="Arial" w:eastAsia="Arial" w:hAnsi="Arial"/>
                <w:sz w:val="18"/>
                <w:szCs w:val="18"/>
                <w:color w:val="auto"/>
              </w:rPr>
              <w:t>Certification of CEO pursuant to Rule 13a-14(a) or Rule 15d-14(a).</w:t>
            </w:r>
          </w:p>
        </w:tc>
      </w:tr>
      <w:tr>
        <w:trPr>
          <w:trHeight w:val="311"/>
        </w:trPr>
        <w:tc>
          <w:tcPr>
            <w:tcW w:w="1040" w:type="dxa"/>
            <w:vAlign w:val="bottom"/>
          </w:tcPr>
          <w:p>
            <w:pPr>
              <w:spacing w:after="0"/>
              <w:rPr>
                <w:sz w:val="20"/>
                <w:szCs w:val="20"/>
                <w:color w:val="auto"/>
              </w:rPr>
            </w:pPr>
            <w:r>
              <w:rPr>
                <w:rFonts w:ascii="Arial" w:cs="Arial" w:eastAsia="Arial" w:hAnsi="Arial"/>
                <w:sz w:val="18"/>
                <w:szCs w:val="18"/>
                <w:color w:val="auto"/>
              </w:rPr>
              <w:t>31(b)</w:t>
            </w:r>
          </w:p>
        </w:tc>
        <w:tc>
          <w:tcPr>
            <w:tcW w:w="10000" w:type="dxa"/>
            <w:vAlign w:val="bottom"/>
          </w:tcPr>
          <w:p>
            <w:pPr>
              <w:ind w:left="340"/>
              <w:spacing w:after="0"/>
              <w:rPr>
                <w:sz w:val="20"/>
                <w:szCs w:val="20"/>
                <w:color w:val="auto"/>
              </w:rPr>
            </w:pPr>
            <w:r>
              <w:rPr>
                <w:rFonts w:ascii="Arial" w:cs="Arial" w:eastAsia="Arial" w:hAnsi="Arial"/>
                <w:sz w:val="18"/>
                <w:szCs w:val="18"/>
                <w:color w:val="auto"/>
              </w:rPr>
              <w:t>Certification of CFO pursuant to Rule 13a-14(a) or Rule 15d-14(a).</w:t>
            </w:r>
          </w:p>
        </w:tc>
      </w:tr>
      <w:tr>
        <w:trPr>
          <w:trHeight w:val="311"/>
        </w:trPr>
        <w:tc>
          <w:tcPr>
            <w:tcW w:w="1040" w:type="dxa"/>
            <w:vAlign w:val="bottom"/>
          </w:tcPr>
          <w:p>
            <w:pPr>
              <w:spacing w:after="0"/>
              <w:rPr>
                <w:sz w:val="20"/>
                <w:szCs w:val="20"/>
                <w:color w:val="auto"/>
              </w:rPr>
            </w:pPr>
            <w:r>
              <w:rPr>
                <w:rFonts w:ascii="Arial" w:cs="Arial" w:eastAsia="Arial" w:hAnsi="Arial"/>
                <w:sz w:val="18"/>
                <w:szCs w:val="18"/>
                <w:color w:val="auto"/>
              </w:rPr>
              <w:t>32</w:t>
            </w:r>
          </w:p>
        </w:tc>
        <w:tc>
          <w:tcPr>
            <w:tcW w:w="10000" w:type="dxa"/>
            <w:vAlign w:val="bottom"/>
          </w:tcPr>
          <w:p>
            <w:pPr>
              <w:ind w:left="340"/>
              <w:spacing w:after="0"/>
              <w:rPr>
                <w:sz w:val="20"/>
                <w:szCs w:val="20"/>
                <w:color w:val="auto"/>
              </w:rPr>
            </w:pPr>
            <w:r>
              <w:rPr>
                <w:rFonts w:ascii="Arial" w:cs="Arial" w:eastAsia="Arial" w:hAnsi="Arial"/>
                <w:sz w:val="18"/>
                <w:szCs w:val="18"/>
                <w:color w:val="auto"/>
                <w:w w:val="97"/>
              </w:rPr>
              <w:t>Certification of CEO and CFO pursuant to 18 U.S.C. §1350 as adopted pursuant to §906 of the Sarbanes-Oxley Act of 2002.</w:t>
            </w:r>
          </w:p>
        </w:tc>
      </w:tr>
      <w:tr>
        <w:trPr>
          <w:trHeight w:val="311"/>
        </w:trPr>
        <w:tc>
          <w:tcPr>
            <w:tcW w:w="1040" w:type="dxa"/>
            <w:vAlign w:val="bottom"/>
          </w:tcPr>
          <w:p>
            <w:pPr>
              <w:spacing w:after="0"/>
              <w:rPr>
                <w:sz w:val="24"/>
                <w:szCs w:val="24"/>
                <w:color w:val="auto"/>
              </w:rPr>
            </w:pPr>
          </w:p>
        </w:tc>
        <w:tc>
          <w:tcPr>
            <w:tcW w:w="10000" w:type="dxa"/>
            <w:vAlign w:val="bottom"/>
          </w:tcPr>
          <w:p>
            <w:pPr>
              <w:ind w:left="340"/>
              <w:spacing w:after="0"/>
              <w:rPr>
                <w:sz w:val="20"/>
                <w:szCs w:val="20"/>
                <w:color w:val="auto"/>
              </w:rPr>
            </w:pPr>
            <w:r>
              <w:rPr>
                <w:rFonts w:ascii="Arial" w:cs="Arial" w:eastAsia="Arial" w:hAnsi="Arial"/>
                <w:sz w:val="18"/>
                <w:szCs w:val="18"/>
                <w:color w:val="auto"/>
              </w:rPr>
              <w:t>Incorporated by reference to Exhibit 99.2 to Registrant’s Current Report on Form 8-K dated April 11, 2002.</w:t>
            </w:r>
          </w:p>
        </w:tc>
      </w:tr>
      <w:tr>
        <w:trPr>
          <w:trHeight w:val="311"/>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10000" w:type="dxa"/>
            <w:vAlign w:val="bottom"/>
          </w:tcPr>
          <w:p>
            <w:pPr>
              <w:ind w:left="340"/>
              <w:spacing w:after="0"/>
              <w:rPr>
                <w:sz w:val="20"/>
                <w:szCs w:val="20"/>
                <w:color w:val="auto"/>
              </w:rPr>
            </w:pPr>
            <w:r>
              <w:rPr>
                <w:rFonts w:ascii="Arial" w:cs="Arial" w:eastAsia="Arial" w:hAnsi="Arial"/>
                <w:sz w:val="18"/>
                <w:szCs w:val="18"/>
                <w:color w:val="auto"/>
              </w:rPr>
              <w:t>XBRL Taxonomy Extension Calculation Linkbase.</w:t>
            </w:r>
          </w:p>
        </w:tc>
      </w:tr>
      <w:tr>
        <w:trPr>
          <w:trHeight w:val="311"/>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10000" w:type="dxa"/>
            <w:vAlign w:val="bottom"/>
          </w:tcPr>
          <w:p>
            <w:pPr>
              <w:ind w:left="340"/>
              <w:spacing w:after="0"/>
              <w:rPr>
                <w:sz w:val="20"/>
                <w:szCs w:val="20"/>
                <w:color w:val="auto"/>
              </w:rPr>
            </w:pPr>
            <w:r>
              <w:rPr>
                <w:rFonts w:ascii="Arial" w:cs="Arial" w:eastAsia="Arial" w:hAnsi="Arial"/>
                <w:sz w:val="18"/>
                <w:szCs w:val="18"/>
                <w:color w:val="auto"/>
              </w:rPr>
              <w:t>XBRL Taxonomy Extension Definition Linkbase.</w:t>
            </w:r>
          </w:p>
        </w:tc>
      </w:tr>
      <w:tr>
        <w:trPr>
          <w:trHeight w:val="311"/>
        </w:trPr>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10000" w:type="dxa"/>
            <w:vAlign w:val="bottom"/>
          </w:tcPr>
          <w:p>
            <w:pPr>
              <w:ind w:left="340"/>
              <w:spacing w:after="0"/>
              <w:rPr>
                <w:sz w:val="20"/>
                <w:szCs w:val="20"/>
                <w:color w:val="auto"/>
              </w:rPr>
            </w:pPr>
            <w:r>
              <w:rPr>
                <w:rFonts w:ascii="Arial" w:cs="Arial" w:eastAsia="Arial" w:hAnsi="Arial"/>
                <w:sz w:val="18"/>
                <w:szCs w:val="18"/>
                <w:color w:val="auto"/>
              </w:rPr>
              <w:t>XBRL Instance Document.</w:t>
            </w:r>
          </w:p>
        </w:tc>
      </w:tr>
      <w:tr>
        <w:trPr>
          <w:trHeight w:val="351"/>
        </w:trPr>
        <w:tc>
          <w:tcPr>
            <w:tcW w:w="1040" w:type="dxa"/>
            <w:vAlign w:val="bottom"/>
          </w:tcPr>
          <w:p>
            <w:pPr>
              <w:spacing w:after="0"/>
              <w:rPr>
                <w:sz w:val="24"/>
                <w:szCs w:val="24"/>
                <w:color w:val="auto"/>
              </w:rPr>
            </w:pPr>
          </w:p>
        </w:tc>
        <w:tc>
          <w:tcPr>
            <w:tcW w:w="10000" w:type="dxa"/>
            <w:vAlign w:val="bottom"/>
          </w:tcPr>
          <w:p>
            <w:pPr>
              <w:ind w:left="4620"/>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360"/>
          </w:cols>
          <w:pgMar w:left="240" w:top="459" w:right="2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tbl>
      <w:tblPr>
        <w:tblLayout w:type="fixed"/>
        <w:tblInd w:w="100" w:type="dxa"/>
        <w:tblCellMar>
          <w:top w:w="0" w:type="dxa"/>
          <w:left w:w="0" w:type="dxa"/>
          <w:bottom w:w="0" w:type="dxa"/>
          <w:right w:w="0" w:type="dxa"/>
        </w:tblCellMar>
      </w:tblPr>
      <w:tr>
        <w:trPr>
          <w:trHeight w:val="211"/>
        </w:trPr>
        <w:tc>
          <w:tcPr>
            <w:tcW w:w="1000" w:type="dxa"/>
            <w:vAlign w:val="bottom"/>
          </w:tcPr>
          <w:p>
            <w:pPr>
              <w:spacing w:after="0"/>
              <w:rPr>
                <w:sz w:val="20"/>
                <w:szCs w:val="20"/>
                <w:color w:val="auto"/>
              </w:rPr>
            </w:pPr>
            <w:r>
              <w:rPr>
                <w:rFonts w:ascii="Arial" w:cs="Arial" w:eastAsia="Arial" w:hAnsi="Arial"/>
                <w:sz w:val="18"/>
                <w:szCs w:val="18"/>
                <w:color w:val="auto"/>
              </w:rPr>
              <w:t>101.LAB</w:t>
            </w:r>
          </w:p>
        </w:tc>
        <w:tc>
          <w:tcPr>
            <w:tcW w:w="4240" w:type="dxa"/>
            <w:vAlign w:val="bottom"/>
          </w:tcPr>
          <w:p>
            <w:pPr>
              <w:ind w:left="280"/>
              <w:spacing w:after="0"/>
              <w:rPr>
                <w:sz w:val="20"/>
                <w:szCs w:val="20"/>
                <w:color w:val="auto"/>
              </w:rPr>
            </w:pPr>
            <w:r>
              <w:rPr>
                <w:rFonts w:ascii="Arial" w:cs="Arial" w:eastAsia="Arial" w:hAnsi="Arial"/>
                <w:sz w:val="18"/>
                <w:szCs w:val="18"/>
                <w:color w:val="auto"/>
              </w:rPr>
              <w:t>XBRL Taxonomy Extension Label Linkbase.</w:t>
            </w:r>
          </w:p>
        </w:tc>
      </w:tr>
      <w:tr>
        <w:trPr>
          <w:trHeight w:val="311"/>
        </w:trPr>
        <w:tc>
          <w:tcPr>
            <w:tcW w:w="1000" w:type="dxa"/>
            <w:vAlign w:val="bottom"/>
          </w:tcPr>
          <w:p>
            <w:pPr>
              <w:spacing w:after="0"/>
              <w:rPr>
                <w:sz w:val="20"/>
                <w:szCs w:val="20"/>
                <w:color w:val="auto"/>
              </w:rPr>
            </w:pPr>
            <w:r>
              <w:rPr>
                <w:rFonts w:ascii="Arial" w:cs="Arial" w:eastAsia="Arial" w:hAnsi="Arial"/>
                <w:sz w:val="18"/>
                <w:szCs w:val="18"/>
                <w:color w:val="auto"/>
              </w:rPr>
              <w:t>101.PRE</w:t>
            </w:r>
          </w:p>
        </w:tc>
        <w:tc>
          <w:tcPr>
            <w:tcW w:w="4240" w:type="dxa"/>
            <w:vAlign w:val="bottom"/>
          </w:tcPr>
          <w:p>
            <w:pPr>
              <w:ind w:left="280"/>
              <w:spacing w:after="0"/>
              <w:rPr>
                <w:sz w:val="20"/>
                <w:szCs w:val="20"/>
                <w:color w:val="auto"/>
              </w:rPr>
            </w:pPr>
            <w:r>
              <w:rPr>
                <w:rFonts w:ascii="Arial" w:cs="Arial" w:eastAsia="Arial" w:hAnsi="Arial"/>
                <w:sz w:val="18"/>
                <w:szCs w:val="18"/>
                <w:color w:val="auto"/>
                <w:w w:val="96"/>
              </w:rPr>
              <w:t>XBRL Taxonomy Extension Presentation Linkbase.</w:t>
            </w:r>
          </w:p>
        </w:tc>
      </w:tr>
      <w:tr>
        <w:trPr>
          <w:trHeight w:val="311"/>
        </w:trPr>
        <w:tc>
          <w:tcPr>
            <w:tcW w:w="1000" w:type="dxa"/>
            <w:vAlign w:val="bottom"/>
          </w:tcPr>
          <w:p>
            <w:pPr>
              <w:spacing w:after="0"/>
              <w:rPr>
                <w:sz w:val="20"/>
                <w:szCs w:val="20"/>
                <w:color w:val="auto"/>
              </w:rPr>
            </w:pPr>
            <w:r>
              <w:rPr>
                <w:rFonts w:ascii="Arial" w:cs="Arial" w:eastAsia="Arial" w:hAnsi="Arial"/>
                <w:sz w:val="18"/>
                <w:szCs w:val="18"/>
                <w:color w:val="auto"/>
              </w:rPr>
              <w:t>101.SCH</w:t>
            </w:r>
          </w:p>
        </w:tc>
        <w:tc>
          <w:tcPr>
            <w:tcW w:w="4240" w:type="dxa"/>
            <w:vAlign w:val="bottom"/>
          </w:tcPr>
          <w:p>
            <w:pPr>
              <w:ind w:left="280"/>
              <w:spacing w:after="0"/>
              <w:rPr>
                <w:sz w:val="20"/>
                <w:szCs w:val="20"/>
                <w:color w:val="auto"/>
              </w:rPr>
            </w:pPr>
            <w:r>
              <w:rPr>
                <w:rFonts w:ascii="Arial" w:cs="Arial" w:eastAsia="Arial" w:hAnsi="Arial"/>
                <w:sz w:val="18"/>
                <w:szCs w:val="18"/>
                <w:color w:val="auto"/>
              </w:rPr>
              <w:t>XBRL Taxonomy Extension Schema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289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6" w:lineRule="exact"/>
        <w:rPr>
          <w:sz w:val="20"/>
          <w:szCs w:val="20"/>
          <w:color w:val="auto"/>
        </w:rPr>
      </w:pPr>
    </w:p>
    <w:p>
      <w:pPr>
        <w:ind w:left="340" w:hanging="332"/>
        <w:spacing w:after="0" w:line="231" w:lineRule="auto"/>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Pursuant to the Freedom of Information Act and/or a request for confidential treatment filed with the Securities and Exchange Commission under Rule 24b-2 of the Securities Exchange Act of 1934, as amended, the confidential portion of this material has been omitted and filed separately with the Securities and Exchange Commission.</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00"/>
          </w:cols>
          <w:pgMar w:left="240" w:top="459" w:right="35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10(e)(14)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Annual Performance Incentive Plan for 2010 (“2010 APIP”)</w:t>
      </w:r>
    </w:p>
    <w:p>
      <w:pPr>
        <w:spacing w:after="0" w:line="269"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Under the 2010 APIP, executive officers of the Company are eligible to receive performance related cash payments. Payments are, in general, only made if performance objectives established by the Compensation Committee of the Board of Directors (the “Committee”) are met.</w:t>
      </w:r>
    </w:p>
    <w:p>
      <w:pPr>
        <w:spacing w:after="0" w:line="15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Committee previously approved an incentive target opportunity for 2010, expressed as a percentage of base salary, for each participating officer. Certain additional goals were established for some officers based on business unit goals. The Committee also established overall threshold, target and maximum measures of performance for the 2010 APIP. The performance measures and weightings were adjusted Earnings per Share (weighted at 40%), Cash Flow from Operations (weighted at 40%) and Pro Forma Revenue Growth (adjusted to exclude the impact of changes in the translation of foreign currencies into U.S. dollars) (weighted at 20%).</w:t>
      </w:r>
    </w:p>
    <w:p>
      <w:pPr>
        <w:spacing w:after="0" w:line="157"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The performance against the 2010 APIP goals was as follows: adjusted earnings per share and cash flow from operations exceeded maximum, and pro forma constant currency revenue growth was at target.</w:t>
      </w:r>
    </w:p>
    <w:p>
      <w:pPr>
        <w:sectPr>
          <w:pgSz w:w="11900" w:h="16838" w:orient="portrait"/>
          <w:cols w:equalWidth="0" w:num="1">
            <w:col w:w="11420"/>
          </w:cols>
          <w:pgMar w:left="240" w:top="121"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10(e)(19)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Annual Performance Incentive Plan for 2011 (“2011 APIP”)</w:t>
      </w:r>
    </w:p>
    <w:p>
      <w:pPr>
        <w:spacing w:after="0" w:line="269"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Under the 2011 APIP, executive officers of the Company are eligible to receive performance related cash payments. Payments are, in general, only made if performance objectives established by the Compensation Committee of the Board of Directors (the “Committee”) are met.</w:t>
      </w:r>
    </w:p>
    <w:p>
      <w:pPr>
        <w:spacing w:after="0" w:line="155"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The Committee approved incentive opportunities for 2011, expressed as a percentage of base salary for each participating officer. Certain additional goals were established for some officers based on business unit goals. The Committee also established overall threshold, target and maximum measures of performance for the 2011 APIP. The performance measures and weightings are adjusted Earnings per Share (weighted at 40%), Core Cash Flow from Operations (weighted at 40%) and Revenue Growth (adjusted to exclude the impact of changes in the translation of foreign currencies into U.S. dollars) (weighted at 20%).</w:t>
      </w:r>
    </w:p>
    <w:p>
      <w:pPr>
        <w:spacing w:after="0" w:line="157"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Individual awards will be subject to the review and approval of the Committee following the completion of the 2011 fiscal year, with payment to be made within the first four months of 2012.</w:t>
      </w:r>
    </w:p>
    <w:p>
      <w:pPr>
        <w:sectPr>
          <w:pgSz w:w="11900" w:h="16838" w:orient="portrait"/>
          <w:cols w:equalWidth="0" w:num="1">
            <w:col w:w="11420"/>
          </w:cols>
          <w:pgMar w:left="240" w:top="121"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10(e)(20)</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2011 Executive Long-Term Incentive Program (“2011 E-LTIP”)</w:t>
      </w:r>
    </w:p>
    <w:p>
      <w:pPr>
        <w:spacing w:after="0" w:line="188"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Under the 2011 E-LTIP, executive officers of the Company are eligible to receive performance shares based on certain performance measures established by the Compensation Committee of the Board of Directors (the “Committee”).</w:t>
      </w:r>
    </w:p>
    <w:p>
      <w:pPr>
        <w:spacing w:after="0" w:line="155"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performance elements and corresponding weights for the 2011 E-LTIP are: (i) (10%) Revenue Growth: Revenue growth adjusted to exclude the impact of changes in the translation of foreign currencies into U.S. dollars; (ii) (55%) Adjusted Earnings per Share: Diluted Earnings Per Share from Continuing Operations as reported in the Company’s audited consolidated financial statements, as adjusted on an after-tax basis for the following discretely disclosed (in either Management’s Discussion and Analysis/MD&amp;A or the footnotes to the financial statements) items (if equal to or greater than $50 million pre-tax on an individual basis, or in the aggregate per item, with the exception of income tax and Fuji-Xerox adjustments): direct costs of acquisition and acquisition-related expenses; amortization of acquisition-related intangibles; restructuring and asset impairment charges; gains/(losses) from litigation, regulatory matters or any changes in enacted law (including tax law); gains/(losses) from asset sales or business divestitures; gains/(losses) resulting from acts of war, terrorism or natural disasters; the initial effect of changes in accounting principles that are included within Income from Continuing Operations; impairment of goodwill and other intangibles; gains/(losses) from the settlement of tax audits (if equal to or greater than $30 million on an individual basis, or in the aggregate per item); gains/(losses) on early extinguishment of debt; non-restructuring related impairments of long-lived assets; and our share of after-tax effects of the above items incurred by Fuji-Xerox (if our share is equal to or greater than $10 million on an individual basis, or in the aggregate per item); and (iii) (35%) Core Cash Flow from Operations: Net Cash provided by (used for) Operating Activities as reported in the Company’s consolidated audited financial statements, as adjusted for the following items: net changes in finance receivables and on-lease equipment; with the exception of cash payments for restructurings, cash flow impacts (inflows and outflows) resulting from the EPS adjustments as identified above whether or not the cash flow impact and the EPS impact are in the same fiscal year; cash payments for restructurings in excess of the amount reported as current restructuring reserves in the preceding years Annual Report; and special discretionary pension fundings in excess of $50 million. Any other items approved by the Committee for adjustment of the above metrics will be considered a modification of the award.</w:t>
      </w:r>
    </w:p>
    <w:p>
      <w:pPr>
        <w:sectPr>
          <w:pgSz w:w="11900" w:h="16838" w:orient="portrait"/>
          <w:cols w:equalWidth="0" w:num="1">
            <w:col w:w="11420"/>
          </w:cols>
          <w:pgMar w:left="240" w:top="121"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4"/>
          <w:szCs w:val="14"/>
          <w:color w:val="auto"/>
        </w:rPr>
        <w:t>EXHIBIT 10(e)(21)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5751195</wp:posOffset>
            </wp:positionH>
            <wp:positionV relativeFrom="paragraph">
              <wp:posOffset>146685</wp:posOffset>
            </wp:positionV>
            <wp:extent cx="1500505" cy="4629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50050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43"/>
          <w:szCs w:val="43"/>
          <w:color w:val="92D050"/>
        </w:rPr>
        <w:t xml:space="preserve">Executive Long-Term </w:t>
      </w:r>
      <w:r>
        <w:rPr>
          <w:rFonts w:ascii="Arial" w:cs="Arial" w:eastAsia="Arial" w:hAnsi="Arial"/>
          <w:sz w:val="43"/>
          <w:szCs w:val="43"/>
          <w:color w:val="6CAF3D"/>
        </w:rPr>
        <w:t>Incentive Program (Officers)</w:t>
      </w:r>
    </w:p>
    <w:p>
      <w:pPr>
        <w:spacing w:after="0" w:line="7" w:lineRule="exact"/>
        <w:rPr>
          <w:sz w:val="20"/>
          <w:szCs w:val="20"/>
          <w:color w:val="auto"/>
        </w:rPr>
      </w:pPr>
    </w:p>
    <w:p>
      <w:pPr>
        <w:spacing w:after="0"/>
        <w:rPr>
          <w:sz w:val="20"/>
          <w:szCs w:val="20"/>
          <w:color w:val="auto"/>
        </w:rPr>
      </w:pPr>
      <w:r>
        <w:rPr>
          <w:rFonts w:ascii="Arial" w:cs="Arial" w:eastAsia="Arial" w:hAnsi="Arial"/>
          <w:sz w:val="43"/>
          <w:szCs w:val="43"/>
          <w:color w:val="808080"/>
        </w:rPr>
        <w:t>Award Summary</w:t>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ind w:left="3220"/>
        <w:spacing w:after="0"/>
        <w:rPr>
          <w:sz w:val="20"/>
          <w:szCs w:val="20"/>
          <w:color w:val="auto"/>
        </w:rPr>
      </w:pPr>
      <w:r>
        <w:rPr>
          <w:rFonts w:ascii="Arial" w:cs="Arial" w:eastAsia="Arial" w:hAnsi="Arial"/>
          <w:sz w:val="22"/>
          <w:szCs w:val="22"/>
          <w:b w:val="1"/>
          <w:bCs w:val="1"/>
          <w:color w:val="92D050"/>
        </w:rPr>
        <w:t>«First Name» «Last Name»</w:t>
      </w:r>
    </w:p>
    <w:p>
      <w:pPr>
        <w:spacing w:after="0" w:line="206" w:lineRule="exact"/>
        <w:rPr>
          <w:sz w:val="20"/>
          <w:szCs w:val="20"/>
          <w:color w:val="auto"/>
        </w:rPr>
      </w:pPr>
    </w:p>
    <w:p>
      <w:pPr>
        <w:ind w:left="3220"/>
        <w:spacing w:after="0"/>
        <w:rPr>
          <w:sz w:val="20"/>
          <w:szCs w:val="20"/>
          <w:color w:val="auto"/>
        </w:rPr>
      </w:pPr>
      <w:r>
        <w:rPr>
          <w:rFonts w:ascii="Arial" w:cs="Arial" w:eastAsia="Arial" w:hAnsi="Arial"/>
          <w:sz w:val="21"/>
          <w:szCs w:val="21"/>
          <w:b w:val="1"/>
          <w:bCs w:val="1"/>
          <w:color w:val="auto"/>
        </w:rPr>
        <w:t>Date of agreement and award:</w:t>
      </w:r>
    </w:p>
    <w:p>
      <w:pPr>
        <w:spacing w:after="0" w:line="218" w:lineRule="exact"/>
        <w:rPr>
          <w:sz w:val="20"/>
          <w:szCs w:val="20"/>
          <w:color w:val="auto"/>
        </w:rPr>
      </w:pPr>
    </w:p>
    <w:p>
      <w:pPr>
        <w:ind w:left="3220"/>
        <w:spacing w:after="0"/>
        <w:rPr>
          <w:sz w:val="20"/>
          <w:szCs w:val="20"/>
          <w:color w:val="auto"/>
        </w:rPr>
      </w:pPr>
      <w:r>
        <w:rPr>
          <w:rFonts w:ascii="Arial" w:cs="Arial" w:eastAsia="Arial" w:hAnsi="Arial"/>
          <w:sz w:val="22"/>
          <w:szCs w:val="22"/>
          <w:b w:val="1"/>
          <w:bCs w:val="1"/>
          <w:color w:val="auto"/>
        </w:rPr>
        <w:t>Approved Value:</w:t>
      </w:r>
    </w:p>
    <w:p>
      <w:pPr>
        <w:spacing w:after="0" w:line="206" w:lineRule="exact"/>
        <w:rPr>
          <w:sz w:val="20"/>
          <w:szCs w:val="20"/>
          <w:color w:val="auto"/>
        </w:rPr>
      </w:pPr>
    </w:p>
    <w:p>
      <w:pPr>
        <w:ind w:left="3220"/>
        <w:spacing w:after="0"/>
        <w:rPr>
          <w:sz w:val="20"/>
          <w:szCs w:val="20"/>
          <w:color w:val="auto"/>
        </w:rPr>
      </w:pPr>
      <w:r>
        <w:rPr>
          <w:rFonts w:ascii="Arial" w:cs="Arial" w:eastAsia="Arial" w:hAnsi="Arial"/>
          <w:sz w:val="22"/>
          <w:szCs w:val="22"/>
          <w:b w:val="1"/>
          <w:bCs w:val="1"/>
          <w:color w:val="6CAF3D"/>
        </w:rPr>
        <w:t>Performance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&lt;&lt;Grant Date&gt;&gt;</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&lt;&lt;Approved Value&gt;&gt;</w:t>
      </w:r>
    </w:p>
    <w:p>
      <w:pPr>
        <w:spacing w:after="0" w:line="626" w:lineRule="exact"/>
        <w:rPr>
          <w:sz w:val="20"/>
          <w:szCs w:val="20"/>
          <w:color w:val="auto"/>
        </w:rPr>
      </w:pPr>
    </w:p>
    <w:p>
      <w:pPr>
        <w:sectPr>
          <w:pgSz w:w="11900" w:h="16838" w:orient="portrait"/>
          <w:cols w:equalWidth="0" w:num="2">
            <w:col w:w="6720" w:space="720"/>
            <w:col w:w="3980"/>
          </w:cols>
          <w:pgMar w:left="240" w:top="140" w:right="239" w:bottom="1440" w:gutter="0" w:footer="0" w:header="0"/>
          <w:type w:val="continuous"/>
        </w:sectPr>
      </w:pPr>
    </w:p>
    <w:tbl>
      <w:tblPr>
        <w:tblLayout w:type="fixed"/>
        <w:tblInd w:w="3100" w:type="dxa"/>
        <w:tblCellMar>
          <w:top w:w="0" w:type="dxa"/>
          <w:left w:w="0" w:type="dxa"/>
          <w:bottom w:w="0" w:type="dxa"/>
          <w:right w:w="0" w:type="dxa"/>
        </w:tblCellMar>
      </w:tblPr>
      <w:tr>
        <w:trPr>
          <w:trHeight w:val="253"/>
        </w:trPr>
        <w:tc>
          <w:tcPr>
            <w:tcW w:w="3980" w:type="dxa"/>
            <w:vAlign w:val="bottom"/>
            <w:shd w:val="clear" w:color="auto" w:fill="6CAF3D"/>
          </w:tcPr>
          <w:p>
            <w:pPr>
              <w:ind w:left="120"/>
              <w:spacing w:after="0"/>
              <w:rPr>
                <w:sz w:val="20"/>
                <w:szCs w:val="20"/>
                <w:color w:val="auto"/>
              </w:rPr>
            </w:pPr>
            <w:r>
              <w:rPr>
                <w:rFonts w:ascii="Arial" w:cs="Arial" w:eastAsia="Arial" w:hAnsi="Arial"/>
                <w:sz w:val="22"/>
                <w:szCs w:val="22"/>
                <w:b w:val="1"/>
                <w:bCs w:val="1"/>
                <w:color w:val="FFFFFF"/>
              </w:rPr>
              <w:t>Number of Performance Shares:</w:t>
            </w:r>
          </w:p>
        </w:tc>
        <w:tc>
          <w:tcPr>
            <w:tcW w:w="4340" w:type="dxa"/>
            <w:vAlign w:val="bottom"/>
            <w:shd w:val="clear" w:color="auto" w:fill="6CAF3D"/>
          </w:tcPr>
          <w:p>
            <w:pPr>
              <w:ind w:left="360"/>
              <w:spacing w:after="0"/>
              <w:rPr>
                <w:sz w:val="20"/>
                <w:szCs w:val="20"/>
                <w:color w:val="auto"/>
              </w:rPr>
            </w:pPr>
            <w:r>
              <w:rPr>
                <w:rFonts w:ascii="Arial" w:cs="Arial" w:eastAsia="Arial" w:hAnsi="Arial"/>
                <w:sz w:val="22"/>
                <w:szCs w:val="22"/>
                <w:color w:val="FFFFFF"/>
              </w:rPr>
              <w:t>&lt;&lt;# Performance Shares&gt;&gt;</w:t>
            </w:r>
          </w:p>
        </w:tc>
        <w:tc>
          <w:tcPr>
            <w:tcW w:w="0" w:type="dxa"/>
            <w:vAlign w:val="bottom"/>
          </w:tcPr>
          <w:p>
            <w:pPr>
              <w:spacing w:after="0"/>
              <w:rPr>
                <w:sz w:val="1"/>
                <w:szCs w:val="1"/>
                <w:color w:val="auto"/>
              </w:rPr>
            </w:pPr>
          </w:p>
        </w:tc>
      </w:tr>
      <w:tr>
        <w:trPr>
          <w:trHeight w:val="211"/>
        </w:trPr>
        <w:tc>
          <w:tcPr>
            <w:tcW w:w="3980" w:type="dxa"/>
            <w:vAlign w:val="bottom"/>
            <w:shd w:val="clear" w:color="auto" w:fill="92D050"/>
          </w:tcPr>
          <w:p>
            <w:pPr>
              <w:ind w:left="120"/>
              <w:spacing w:after="0" w:line="210" w:lineRule="exact"/>
              <w:rPr>
                <w:sz w:val="20"/>
                <w:szCs w:val="20"/>
                <w:color w:val="auto"/>
              </w:rPr>
            </w:pPr>
            <w:r>
              <w:rPr>
                <w:rFonts w:ascii="Arial" w:cs="Arial" w:eastAsia="Arial" w:hAnsi="Arial"/>
                <w:sz w:val="22"/>
                <w:szCs w:val="22"/>
                <w:b w:val="1"/>
                <w:bCs w:val="1"/>
                <w:color w:val="auto"/>
              </w:rPr>
              <w:t>Vesting Date of All Performance</w:t>
            </w:r>
          </w:p>
        </w:tc>
        <w:tc>
          <w:tcPr>
            <w:tcW w:w="4340" w:type="dxa"/>
            <w:vAlign w:val="bottom"/>
            <w:vMerge w:val="restart"/>
            <w:shd w:val="clear" w:color="auto" w:fill="92D050"/>
          </w:tcPr>
          <w:p>
            <w:pPr>
              <w:ind w:left="360"/>
              <w:spacing w:after="0"/>
              <w:rPr>
                <w:sz w:val="20"/>
                <w:szCs w:val="20"/>
                <w:color w:val="auto"/>
              </w:rPr>
            </w:pPr>
            <w:r>
              <w:rPr>
                <w:rFonts w:ascii="Arial" w:cs="Arial" w:eastAsia="Arial" w:hAnsi="Arial"/>
                <w:sz w:val="22"/>
                <w:szCs w:val="22"/>
                <w:color w:val="auto"/>
              </w:rPr>
              <w:t>&lt;&lt;3 yrs. from grant date&gt;&gt;</w:t>
            </w:r>
          </w:p>
        </w:tc>
        <w:tc>
          <w:tcPr>
            <w:tcW w:w="0" w:type="dxa"/>
            <w:vAlign w:val="bottom"/>
          </w:tcPr>
          <w:p>
            <w:pPr>
              <w:spacing w:after="0"/>
              <w:rPr>
                <w:sz w:val="1"/>
                <w:szCs w:val="1"/>
                <w:color w:val="auto"/>
              </w:rPr>
            </w:pPr>
          </w:p>
        </w:tc>
      </w:tr>
      <w:tr>
        <w:trPr>
          <w:trHeight w:val="164"/>
        </w:trPr>
        <w:tc>
          <w:tcPr>
            <w:tcW w:w="3980" w:type="dxa"/>
            <w:vAlign w:val="bottom"/>
            <w:vMerge w:val="restart"/>
            <w:shd w:val="clear" w:color="auto" w:fill="92D050"/>
          </w:tcPr>
          <w:p>
            <w:pPr>
              <w:ind w:left="120"/>
              <w:spacing w:after="0"/>
              <w:rPr>
                <w:sz w:val="20"/>
                <w:szCs w:val="20"/>
                <w:color w:val="auto"/>
              </w:rPr>
            </w:pPr>
            <w:r>
              <w:rPr>
                <w:rFonts w:ascii="Arial" w:cs="Arial" w:eastAsia="Arial" w:hAnsi="Arial"/>
                <w:sz w:val="22"/>
                <w:szCs w:val="22"/>
                <w:b w:val="1"/>
                <w:bCs w:val="1"/>
                <w:color w:val="auto"/>
              </w:rPr>
              <w:t>Shares Earned:</w:t>
            </w:r>
          </w:p>
        </w:tc>
        <w:tc>
          <w:tcPr>
            <w:tcW w:w="4340" w:type="dxa"/>
            <w:vAlign w:val="bottom"/>
            <w:vMerge w:val="continue"/>
            <w:shd w:val="clear" w:color="auto" w:fill="92D050"/>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980" w:type="dxa"/>
            <w:vAlign w:val="bottom"/>
            <w:vMerge w:val="continue"/>
            <w:shd w:val="clear" w:color="auto" w:fill="92D050"/>
          </w:tcPr>
          <w:p>
            <w:pPr>
              <w:spacing w:after="0"/>
              <w:rPr>
                <w:sz w:val="10"/>
                <w:szCs w:val="10"/>
                <w:color w:val="auto"/>
              </w:rPr>
            </w:pPr>
          </w:p>
        </w:tc>
        <w:tc>
          <w:tcPr>
            <w:tcW w:w="4340" w:type="dxa"/>
            <w:vAlign w:val="bottom"/>
            <w:shd w:val="clear" w:color="auto" w:fill="92D050"/>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3980" w:type="dxa"/>
            <w:vAlign w:val="bottom"/>
            <w:shd w:val="clear" w:color="auto" w:fill="6CAF3D"/>
          </w:tcPr>
          <w:p>
            <w:pPr>
              <w:ind w:left="120"/>
              <w:spacing w:after="0" w:line="212" w:lineRule="exact"/>
              <w:rPr>
                <w:sz w:val="20"/>
                <w:szCs w:val="20"/>
                <w:color w:val="auto"/>
              </w:rPr>
            </w:pPr>
            <w:r>
              <w:rPr>
                <w:rFonts w:ascii="Arial" w:cs="Arial" w:eastAsia="Arial" w:hAnsi="Arial"/>
                <w:sz w:val="22"/>
                <w:szCs w:val="22"/>
                <w:b w:val="1"/>
                <w:bCs w:val="1"/>
                <w:color w:val="FFFFFF"/>
              </w:rPr>
              <w:t>Performance Shares Earned if</w:t>
            </w:r>
          </w:p>
        </w:tc>
        <w:tc>
          <w:tcPr>
            <w:tcW w:w="4340" w:type="dxa"/>
            <w:vAlign w:val="bottom"/>
            <w:shd w:val="clear" w:color="auto" w:fill="6CAF3D"/>
          </w:tcPr>
          <w:p>
            <w:pPr>
              <w:ind w:left="360"/>
              <w:spacing w:after="0" w:line="212" w:lineRule="exact"/>
              <w:rPr>
                <w:sz w:val="20"/>
                <w:szCs w:val="20"/>
                <w:color w:val="auto"/>
              </w:rPr>
            </w:pPr>
            <w:r>
              <w:rPr>
                <w:rFonts w:ascii="Arial" w:cs="Arial" w:eastAsia="Arial" w:hAnsi="Arial"/>
                <w:sz w:val="22"/>
                <w:szCs w:val="22"/>
                <w:color w:val="FFFFFF"/>
              </w:rPr>
              <w:t>1/3 of EPS and Cash portions of grant</w:t>
            </w:r>
          </w:p>
        </w:tc>
        <w:tc>
          <w:tcPr>
            <w:tcW w:w="0" w:type="dxa"/>
            <w:vAlign w:val="bottom"/>
          </w:tcPr>
          <w:p>
            <w:pPr>
              <w:spacing w:after="0"/>
              <w:rPr>
                <w:sz w:val="1"/>
                <w:szCs w:val="1"/>
                <w:color w:val="auto"/>
              </w:rPr>
            </w:pPr>
          </w:p>
        </w:tc>
      </w:tr>
      <w:tr>
        <w:trPr>
          <w:trHeight w:val="243"/>
        </w:trPr>
        <w:tc>
          <w:tcPr>
            <w:tcW w:w="3980" w:type="dxa"/>
            <w:vAlign w:val="bottom"/>
            <w:shd w:val="clear" w:color="auto" w:fill="6CAF3D"/>
          </w:tcPr>
          <w:p>
            <w:pPr>
              <w:ind w:left="120"/>
              <w:spacing w:after="0" w:line="243" w:lineRule="exact"/>
              <w:rPr>
                <w:sz w:val="20"/>
                <w:szCs w:val="20"/>
                <w:color w:val="auto"/>
              </w:rPr>
            </w:pPr>
            <w:r>
              <w:rPr>
                <w:rFonts w:ascii="Arial" w:cs="Arial" w:eastAsia="Arial" w:hAnsi="Arial"/>
                <w:sz w:val="22"/>
                <w:szCs w:val="22"/>
                <w:b w:val="1"/>
                <w:bCs w:val="1"/>
                <w:color w:val="FFFFFF"/>
              </w:rPr>
              <w:t>Annual Target Performance is</w:t>
            </w:r>
          </w:p>
        </w:tc>
        <w:tc>
          <w:tcPr>
            <w:tcW w:w="4340" w:type="dxa"/>
            <w:vAlign w:val="bottom"/>
            <w:shd w:val="clear" w:color="auto" w:fill="6CAF3D"/>
          </w:tcPr>
          <w:p>
            <w:pPr>
              <w:ind w:left="360"/>
              <w:spacing w:after="0" w:line="243" w:lineRule="exact"/>
              <w:rPr>
                <w:sz w:val="20"/>
                <w:szCs w:val="20"/>
                <w:color w:val="auto"/>
              </w:rPr>
            </w:pPr>
            <w:r>
              <w:rPr>
                <w:rFonts w:ascii="Arial" w:cs="Arial" w:eastAsia="Arial" w:hAnsi="Arial"/>
                <w:sz w:val="22"/>
                <w:szCs w:val="22"/>
                <w:color w:val="FFFFFF"/>
              </w:rPr>
              <w:t>on &lt;&lt;one, two and three yrs. from</w:t>
            </w:r>
          </w:p>
        </w:tc>
        <w:tc>
          <w:tcPr>
            <w:tcW w:w="0" w:type="dxa"/>
            <w:vAlign w:val="bottom"/>
          </w:tcPr>
          <w:p>
            <w:pPr>
              <w:spacing w:after="0"/>
              <w:rPr>
                <w:sz w:val="1"/>
                <w:szCs w:val="1"/>
                <w:color w:val="auto"/>
              </w:rPr>
            </w:pPr>
          </w:p>
        </w:tc>
      </w:tr>
      <w:tr>
        <w:trPr>
          <w:trHeight w:val="289"/>
        </w:trPr>
        <w:tc>
          <w:tcPr>
            <w:tcW w:w="3980" w:type="dxa"/>
            <w:vAlign w:val="bottom"/>
            <w:shd w:val="clear" w:color="auto" w:fill="6CAF3D"/>
          </w:tcPr>
          <w:p>
            <w:pPr>
              <w:ind w:left="120"/>
              <w:spacing w:after="0"/>
              <w:rPr>
                <w:sz w:val="20"/>
                <w:szCs w:val="20"/>
                <w:color w:val="auto"/>
              </w:rPr>
            </w:pPr>
            <w:r>
              <w:rPr>
                <w:rFonts w:ascii="Arial" w:cs="Arial" w:eastAsia="Arial" w:hAnsi="Arial"/>
                <w:sz w:val="22"/>
                <w:szCs w:val="22"/>
                <w:b w:val="1"/>
                <w:bCs w:val="1"/>
                <w:color w:val="FFFFFF"/>
              </w:rPr>
              <w:t>Achieved for EPS and Cash:</w:t>
            </w:r>
          </w:p>
        </w:tc>
        <w:tc>
          <w:tcPr>
            <w:tcW w:w="4340" w:type="dxa"/>
            <w:vAlign w:val="bottom"/>
            <w:shd w:val="clear" w:color="auto" w:fill="6CAF3D"/>
          </w:tcPr>
          <w:p>
            <w:pPr>
              <w:ind w:left="360"/>
              <w:spacing w:after="0"/>
              <w:rPr>
                <w:sz w:val="20"/>
                <w:szCs w:val="20"/>
                <w:color w:val="auto"/>
              </w:rPr>
            </w:pPr>
            <w:r>
              <w:rPr>
                <w:rFonts w:ascii="Arial" w:cs="Arial" w:eastAsia="Arial" w:hAnsi="Arial"/>
                <w:sz w:val="22"/>
                <w:szCs w:val="22"/>
                <w:color w:val="FFFFFF"/>
              </w:rPr>
              <w:t>grant date&gt;&gt;</w:t>
            </w:r>
          </w:p>
        </w:tc>
        <w:tc>
          <w:tcPr>
            <w:tcW w:w="0" w:type="dxa"/>
            <w:vAlign w:val="bottom"/>
          </w:tcPr>
          <w:p>
            <w:pPr>
              <w:spacing w:after="0"/>
              <w:rPr>
                <w:sz w:val="1"/>
                <w:szCs w:val="1"/>
                <w:color w:val="auto"/>
              </w:rPr>
            </w:pPr>
          </w:p>
        </w:tc>
      </w:tr>
      <w:tr>
        <w:trPr>
          <w:trHeight w:val="211"/>
        </w:trPr>
        <w:tc>
          <w:tcPr>
            <w:tcW w:w="3980" w:type="dxa"/>
            <w:vAlign w:val="bottom"/>
            <w:shd w:val="clear" w:color="auto" w:fill="92D050"/>
          </w:tcPr>
          <w:p>
            <w:pPr>
              <w:ind w:left="120"/>
              <w:spacing w:after="0" w:line="210" w:lineRule="exact"/>
              <w:rPr>
                <w:sz w:val="20"/>
                <w:szCs w:val="20"/>
                <w:color w:val="auto"/>
              </w:rPr>
            </w:pPr>
            <w:r>
              <w:rPr>
                <w:rFonts w:ascii="Arial" w:cs="Arial" w:eastAsia="Arial" w:hAnsi="Arial"/>
                <w:sz w:val="22"/>
                <w:szCs w:val="22"/>
                <w:b w:val="1"/>
                <w:bCs w:val="1"/>
                <w:color w:val="auto"/>
              </w:rPr>
              <w:t>Performance Shares Earned if</w:t>
            </w:r>
          </w:p>
        </w:tc>
        <w:tc>
          <w:tcPr>
            <w:tcW w:w="4340" w:type="dxa"/>
            <w:vAlign w:val="bottom"/>
            <w:vMerge w:val="restart"/>
            <w:shd w:val="clear" w:color="auto" w:fill="92D050"/>
          </w:tcPr>
          <w:p>
            <w:pPr>
              <w:ind w:left="360"/>
              <w:spacing w:after="0"/>
              <w:rPr>
                <w:sz w:val="20"/>
                <w:szCs w:val="20"/>
                <w:color w:val="auto"/>
              </w:rPr>
            </w:pPr>
            <w:r>
              <w:rPr>
                <w:rFonts w:ascii="Arial" w:cs="Arial" w:eastAsia="Arial" w:hAnsi="Arial"/>
                <w:sz w:val="22"/>
                <w:szCs w:val="22"/>
                <w:color w:val="auto"/>
              </w:rPr>
              <w:t>50%to 150% of Revenue portion of</w:t>
            </w:r>
          </w:p>
        </w:tc>
        <w:tc>
          <w:tcPr>
            <w:tcW w:w="0" w:type="dxa"/>
            <w:vAlign w:val="bottom"/>
          </w:tcPr>
          <w:p>
            <w:pPr>
              <w:spacing w:after="0"/>
              <w:rPr>
                <w:sz w:val="1"/>
                <w:szCs w:val="1"/>
                <w:color w:val="auto"/>
              </w:rPr>
            </w:pPr>
          </w:p>
        </w:tc>
      </w:tr>
      <w:tr>
        <w:trPr>
          <w:trHeight w:val="148"/>
        </w:trPr>
        <w:tc>
          <w:tcPr>
            <w:tcW w:w="3980" w:type="dxa"/>
            <w:vAlign w:val="bottom"/>
            <w:vMerge w:val="restart"/>
            <w:shd w:val="clear" w:color="auto" w:fill="92D050"/>
          </w:tcPr>
          <w:p>
            <w:pPr>
              <w:ind w:left="120"/>
              <w:spacing w:after="0" w:line="243" w:lineRule="exact"/>
              <w:rPr>
                <w:sz w:val="20"/>
                <w:szCs w:val="20"/>
                <w:color w:val="auto"/>
              </w:rPr>
            </w:pPr>
            <w:r>
              <w:rPr>
                <w:rFonts w:ascii="Arial" w:cs="Arial" w:eastAsia="Arial" w:hAnsi="Arial"/>
                <w:sz w:val="22"/>
                <w:szCs w:val="22"/>
                <w:b w:val="1"/>
                <w:bCs w:val="1"/>
                <w:color w:val="auto"/>
              </w:rPr>
              <w:t>Annual Performance is Achieved</w:t>
            </w:r>
          </w:p>
        </w:tc>
        <w:tc>
          <w:tcPr>
            <w:tcW w:w="4340" w:type="dxa"/>
            <w:vAlign w:val="bottom"/>
            <w:vMerge w:val="continue"/>
            <w:shd w:val="clear" w:color="auto" w:fill="92D050"/>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3980" w:type="dxa"/>
            <w:vAlign w:val="bottom"/>
            <w:vMerge w:val="continue"/>
            <w:shd w:val="clear" w:color="auto" w:fill="92D050"/>
          </w:tcPr>
          <w:p>
            <w:pPr>
              <w:spacing w:after="0"/>
              <w:rPr>
                <w:sz w:val="8"/>
                <w:szCs w:val="8"/>
                <w:color w:val="auto"/>
              </w:rPr>
            </w:pPr>
          </w:p>
        </w:tc>
        <w:tc>
          <w:tcPr>
            <w:tcW w:w="4340" w:type="dxa"/>
            <w:vAlign w:val="bottom"/>
            <w:vMerge w:val="restart"/>
            <w:shd w:val="clear" w:color="auto" w:fill="92D050"/>
          </w:tcPr>
          <w:p>
            <w:pPr>
              <w:ind w:left="360"/>
              <w:spacing w:after="0" w:line="243" w:lineRule="exact"/>
              <w:rPr>
                <w:sz w:val="20"/>
                <w:szCs w:val="20"/>
                <w:color w:val="auto"/>
              </w:rPr>
            </w:pPr>
            <w:r>
              <w:rPr>
                <w:rFonts w:ascii="Arial" w:cs="Arial" w:eastAsia="Arial" w:hAnsi="Arial"/>
                <w:sz w:val="22"/>
                <w:szCs w:val="22"/>
                <w:color w:val="auto"/>
              </w:rPr>
              <w:t>grant on &lt;&lt;one, two and three yrs.</w:t>
            </w:r>
          </w:p>
        </w:tc>
        <w:tc>
          <w:tcPr>
            <w:tcW w:w="0" w:type="dxa"/>
            <w:vAlign w:val="bottom"/>
          </w:tcPr>
          <w:p>
            <w:pPr>
              <w:spacing w:after="0"/>
              <w:rPr>
                <w:sz w:val="1"/>
                <w:szCs w:val="1"/>
                <w:color w:val="auto"/>
              </w:rPr>
            </w:pPr>
          </w:p>
        </w:tc>
      </w:tr>
      <w:tr>
        <w:trPr>
          <w:trHeight w:val="148"/>
        </w:trPr>
        <w:tc>
          <w:tcPr>
            <w:tcW w:w="3980" w:type="dxa"/>
            <w:vAlign w:val="bottom"/>
            <w:vMerge w:val="restart"/>
            <w:shd w:val="clear" w:color="auto" w:fill="92D050"/>
          </w:tcPr>
          <w:p>
            <w:pPr>
              <w:ind w:left="120"/>
              <w:spacing w:after="0" w:line="243" w:lineRule="exact"/>
              <w:rPr>
                <w:sz w:val="20"/>
                <w:szCs w:val="20"/>
                <w:color w:val="auto"/>
              </w:rPr>
            </w:pPr>
            <w:r>
              <w:rPr>
                <w:rFonts w:ascii="Arial" w:cs="Arial" w:eastAsia="Arial" w:hAnsi="Arial"/>
                <w:sz w:val="22"/>
                <w:szCs w:val="22"/>
                <w:b w:val="1"/>
                <w:bCs w:val="1"/>
                <w:color w:val="auto"/>
              </w:rPr>
              <w:t>between Base and Maximum for</w:t>
            </w:r>
          </w:p>
        </w:tc>
        <w:tc>
          <w:tcPr>
            <w:tcW w:w="4340" w:type="dxa"/>
            <w:vAlign w:val="bottom"/>
            <w:vMerge w:val="continue"/>
            <w:shd w:val="clear" w:color="auto" w:fill="92D050"/>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3980" w:type="dxa"/>
            <w:vAlign w:val="bottom"/>
            <w:vMerge w:val="continue"/>
            <w:shd w:val="clear" w:color="auto" w:fill="92D050"/>
          </w:tcPr>
          <w:p>
            <w:pPr>
              <w:spacing w:after="0"/>
              <w:rPr>
                <w:sz w:val="8"/>
                <w:szCs w:val="8"/>
                <w:color w:val="auto"/>
              </w:rPr>
            </w:pPr>
          </w:p>
        </w:tc>
        <w:tc>
          <w:tcPr>
            <w:tcW w:w="4340" w:type="dxa"/>
            <w:vAlign w:val="bottom"/>
            <w:vMerge w:val="restart"/>
            <w:shd w:val="clear" w:color="auto" w:fill="92D050"/>
          </w:tcPr>
          <w:p>
            <w:pPr>
              <w:ind w:left="360"/>
              <w:spacing w:after="0"/>
              <w:rPr>
                <w:sz w:val="20"/>
                <w:szCs w:val="20"/>
                <w:color w:val="auto"/>
              </w:rPr>
            </w:pPr>
            <w:r>
              <w:rPr>
                <w:rFonts w:ascii="Arial" w:cs="Arial" w:eastAsia="Arial" w:hAnsi="Arial"/>
                <w:sz w:val="22"/>
                <w:szCs w:val="22"/>
                <w:color w:val="auto"/>
              </w:rPr>
              <w:t>from grant date&gt;&gt;</w:t>
            </w:r>
          </w:p>
        </w:tc>
        <w:tc>
          <w:tcPr>
            <w:tcW w:w="0" w:type="dxa"/>
            <w:vAlign w:val="bottom"/>
          </w:tcPr>
          <w:p>
            <w:pPr>
              <w:spacing w:after="0"/>
              <w:rPr>
                <w:sz w:val="1"/>
                <w:szCs w:val="1"/>
                <w:color w:val="auto"/>
              </w:rPr>
            </w:pPr>
          </w:p>
        </w:tc>
      </w:tr>
      <w:tr>
        <w:trPr>
          <w:trHeight w:val="164"/>
        </w:trPr>
        <w:tc>
          <w:tcPr>
            <w:tcW w:w="3980" w:type="dxa"/>
            <w:vAlign w:val="bottom"/>
            <w:vMerge w:val="restart"/>
            <w:shd w:val="clear" w:color="auto" w:fill="92D050"/>
          </w:tcPr>
          <w:p>
            <w:pPr>
              <w:ind w:left="120"/>
              <w:spacing w:after="0"/>
              <w:rPr>
                <w:sz w:val="20"/>
                <w:szCs w:val="20"/>
                <w:color w:val="auto"/>
              </w:rPr>
            </w:pPr>
            <w:r>
              <w:rPr>
                <w:rFonts w:ascii="Arial" w:cs="Arial" w:eastAsia="Arial" w:hAnsi="Arial"/>
                <w:sz w:val="22"/>
                <w:szCs w:val="22"/>
                <w:b w:val="1"/>
                <w:bCs w:val="1"/>
                <w:color w:val="auto"/>
              </w:rPr>
              <w:t>Revenue:</w:t>
            </w:r>
          </w:p>
        </w:tc>
        <w:tc>
          <w:tcPr>
            <w:tcW w:w="4340" w:type="dxa"/>
            <w:vAlign w:val="bottom"/>
            <w:vMerge w:val="continue"/>
            <w:shd w:val="clear" w:color="auto" w:fill="92D050"/>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980" w:type="dxa"/>
            <w:vAlign w:val="bottom"/>
            <w:vMerge w:val="continue"/>
            <w:shd w:val="clear" w:color="auto" w:fill="92D050"/>
          </w:tcPr>
          <w:p>
            <w:pPr>
              <w:spacing w:after="0"/>
              <w:rPr>
                <w:sz w:val="10"/>
                <w:szCs w:val="10"/>
                <w:color w:val="auto"/>
              </w:rPr>
            </w:pPr>
          </w:p>
        </w:tc>
        <w:tc>
          <w:tcPr>
            <w:tcW w:w="4340" w:type="dxa"/>
            <w:vAlign w:val="bottom"/>
            <w:shd w:val="clear" w:color="auto" w:fill="92D050"/>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3980" w:type="dxa"/>
            <w:vAlign w:val="bottom"/>
            <w:shd w:val="clear" w:color="auto" w:fill="6CAF3D"/>
          </w:tcPr>
          <w:p>
            <w:pPr>
              <w:ind w:left="120"/>
              <w:spacing w:after="0" w:line="212" w:lineRule="exact"/>
              <w:rPr>
                <w:sz w:val="20"/>
                <w:szCs w:val="20"/>
                <w:color w:val="auto"/>
              </w:rPr>
            </w:pPr>
            <w:r>
              <w:rPr>
                <w:rFonts w:ascii="Arial" w:cs="Arial" w:eastAsia="Arial" w:hAnsi="Arial"/>
                <w:sz w:val="22"/>
                <w:szCs w:val="22"/>
                <w:b w:val="1"/>
                <w:bCs w:val="1"/>
                <w:color w:val="FFFFFF"/>
              </w:rPr>
              <w:t>Performance Shares Earned if</w:t>
            </w:r>
          </w:p>
        </w:tc>
        <w:tc>
          <w:tcPr>
            <w:tcW w:w="4340" w:type="dxa"/>
            <w:vAlign w:val="bottom"/>
            <w:vMerge w:val="restart"/>
            <w:shd w:val="clear" w:color="auto" w:fill="6CAF3D"/>
          </w:tcPr>
          <w:p>
            <w:pPr>
              <w:ind w:left="360"/>
              <w:spacing w:after="0"/>
              <w:rPr>
                <w:sz w:val="20"/>
                <w:szCs w:val="20"/>
                <w:color w:val="auto"/>
              </w:rPr>
            </w:pPr>
            <w:r>
              <w:rPr>
                <w:rFonts w:ascii="Arial" w:cs="Arial" w:eastAsia="Arial" w:hAnsi="Arial"/>
                <w:sz w:val="22"/>
                <w:szCs w:val="22"/>
                <w:color w:val="FFFFFF"/>
              </w:rPr>
              <w:t>25% – 150% of EPS and Cash</w:t>
            </w:r>
          </w:p>
        </w:tc>
        <w:tc>
          <w:tcPr>
            <w:tcW w:w="0" w:type="dxa"/>
            <w:vAlign w:val="bottom"/>
          </w:tcPr>
          <w:p>
            <w:pPr>
              <w:spacing w:after="0"/>
              <w:rPr>
                <w:sz w:val="1"/>
                <w:szCs w:val="1"/>
                <w:color w:val="auto"/>
              </w:rPr>
            </w:pPr>
          </w:p>
        </w:tc>
      </w:tr>
      <w:tr>
        <w:trPr>
          <w:trHeight w:val="148"/>
        </w:trPr>
        <w:tc>
          <w:tcPr>
            <w:tcW w:w="3980" w:type="dxa"/>
            <w:vAlign w:val="bottom"/>
            <w:vMerge w:val="restart"/>
            <w:shd w:val="clear" w:color="auto" w:fill="6CAF3D"/>
          </w:tcPr>
          <w:p>
            <w:pPr>
              <w:ind w:left="120"/>
              <w:spacing w:after="0" w:line="243" w:lineRule="exact"/>
              <w:rPr>
                <w:sz w:val="20"/>
                <w:szCs w:val="20"/>
                <w:color w:val="auto"/>
              </w:rPr>
            </w:pPr>
            <w:r>
              <w:rPr>
                <w:rFonts w:ascii="Arial" w:cs="Arial" w:eastAsia="Arial" w:hAnsi="Arial"/>
                <w:sz w:val="22"/>
                <w:szCs w:val="22"/>
                <w:b w:val="1"/>
                <w:bCs w:val="1"/>
                <w:color w:val="FFFFFF"/>
              </w:rPr>
              <w:t>Three-Year Cumulative</w:t>
            </w:r>
          </w:p>
        </w:tc>
        <w:tc>
          <w:tcPr>
            <w:tcW w:w="4340" w:type="dxa"/>
            <w:vAlign w:val="bottom"/>
            <w:vMerge w:val="continue"/>
            <w:shd w:val="clear" w:color="auto" w:fill="6CAF3D"/>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3980" w:type="dxa"/>
            <w:vAlign w:val="bottom"/>
            <w:vMerge w:val="continue"/>
            <w:shd w:val="clear" w:color="auto" w:fill="6CAF3D"/>
          </w:tcPr>
          <w:p>
            <w:pPr>
              <w:spacing w:after="0"/>
              <w:rPr>
                <w:sz w:val="8"/>
                <w:szCs w:val="8"/>
                <w:color w:val="auto"/>
              </w:rPr>
            </w:pPr>
          </w:p>
        </w:tc>
        <w:tc>
          <w:tcPr>
            <w:tcW w:w="4340" w:type="dxa"/>
            <w:vAlign w:val="bottom"/>
            <w:vMerge w:val="restart"/>
            <w:shd w:val="clear" w:color="auto" w:fill="6CAF3D"/>
          </w:tcPr>
          <w:p>
            <w:pPr>
              <w:ind w:left="360"/>
              <w:spacing w:after="0" w:line="243" w:lineRule="exact"/>
              <w:rPr>
                <w:sz w:val="20"/>
                <w:szCs w:val="20"/>
                <w:color w:val="auto"/>
              </w:rPr>
            </w:pPr>
            <w:r>
              <w:rPr>
                <w:rFonts w:ascii="Arial" w:cs="Arial" w:eastAsia="Arial" w:hAnsi="Arial"/>
                <w:sz w:val="22"/>
                <w:szCs w:val="22"/>
                <w:color w:val="FFFFFF"/>
              </w:rPr>
              <w:t>portions of grant (net of shares</w:t>
            </w:r>
          </w:p>
        </w:tc>
        <w:tc>
          <w:tcPr>
            <w:tcW w:w="0" w:type="dxa"/>
            <w:vAlign w:val="bottom"/>
          </w:tcPr>
          <w:p>
            <w:pPr>
              <w:spacing w:after="0"/>
              <w:rPr>
                <w:sz w:val="1"/>
                <w:szCs w:val="1"/>
                <w:color w:val="auto"/>
              </w:rPr>
            </w:pPr>
          </w:p>
        </w:tc>
      </w:tr>
      <w:tr>
        <w:trPr>
          <w:trHeight w:val="148"/>
        </w:trPr>
        <w:tc>
          <w:tcPr>
            <w:tcW w:w="3980" w:type="dxa"/>
            <w:vAlign w:val="bottom"/>
            <w:vMerge w:val="restart"/>
            <w:shd w:val="clear" w:color="auto" w:fill="6CAF3D"/>
          </w:tcPr>
          <w:p>
            <w:pPr>
              <w:ind w:left="120"/>
              <w:spacing w:after="0" w:line="243" w:lineRule="exact"/>
              <w:rPr>
                <w:sz w:val="20"/>
                <w:szCs w:val="20"/>
                <w:color w:val="auto"/>
              </w:rPr>
            </w:pPr>
            <w:r>
              <w:rPr>
                <w:rFonts w:ascii="Arial" w:cs="Arial" w:eastAsia="Arial" w:hAnsi="Arial"/>
                <w:sz w:val="22"/>
                <w:szCs w:val="22"/>
                <w:b w:val="1"/>
                <w:bCs w:val="1"/>
                <w:color w:val="FFFFFF"/>
              </w:rPr>
              <w:t>Performance is Achieved between</w:t>
            </w:r>
          </w:p>
        </w:tc>
        <w:tc>
          <w:tcPr>
            <w:tcW w:w="4340" w:type="dxa"/>
            <w:vAlign w:val="bottom"/>
            <w:vMerge w:val="continue"/>
            <w:shd w:val="clear" w:color="auto" w:fill="6CAF3D"/>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3980" w:type="dxa"/>
            <w:vAlign w:val="bottom"/>
            <w:vMerge w:val="continue"/>
            <w:shd w:val="clear" w:color="auto" w:fill="6CAF3D"/>
          </w:tcPr>
          <w:p>
            <w:pPr>
              <w:spacing w:after="0"/>
              <w:rPr>
                <w:sz w:val="8"/>
                <w:szCs w:val="8"/>
                <w:color w:val="auto"/>
              </w:rPr>
            </w:pPr>
          </w:p>
        </w:tc>
        <w:tc>
          <w:tcPr>
            <w:tcW w:w="4340" w:type="dxa"/>
            <w:vAlign w:val="bottom"/>
            <w:vMerge w:val="restart"/>
            <w:shd w:val="clear" w:color="auto" w:fill="6CAF3D"/>
          </w:tcPr>
          <w:p>
            <w:pPr>
              <w:ind w:left="360"/>
              <w:spacing w:after="0" w:line="243" w:lineRule="exact"/>
              <w:rPr>
                <w:sz w:val="20"/>
                <w:szCs w:val="20"/>
                <w:color w:val="auto"/>
              </w:rPr>
            </w:pPr>
            <w:r>
              <w:rPr>
                <w:rFonts w:ascii="Arial" w:cs="Arial" w:eastAsia="Arial" w:hAnsi="Arial"/>
                <w:sz w:val="22"/>
                <w:szCs w:val="22"/>
                <w:color w:val="FFFFFF"/>
              </w:rPr>
              <w:t>earned for Annual Achievement) on</w:t>
            </w:r>
          </w:p>
        </w:tc>
        <w:tc>
          <w:tcPr>
            <w:tcW w:w="0" w:type="dxa"/>
            <w:vAlign w:val="bottom"/>
          </w:tcPr>
          <w:p>
            <w:pPr>
              <w:spacing w:after="0"/>
              <w:rPr>
                <w:sz w:val="1"/>
                <w:szCs w:val="1"/>
                <w:color w:val="auto"/>
              </w:rPr>
            </w:pPr>
          </w:p>
        </w:tc>
      </w:tr>
      <w:tr>
        <w:trPr>
          <w:trHeight w:val="148"/>
        </w:trPr>
        <w:tc>
          <w:tcPr>
            <w:tcW w:w="3980" w:type="dxa"/>
            <w:vAlign w:val="bottom"/>
            <w:vMerge w:val="restart"/>
            <w:shd w:val="clear" w:color="auto" w:fill="6CAF3D"/>
          </w:tcPr>
          <w:p>
            <w:pPr>
              <w:ind w:left="120"/>
              <w:spacing w:after="0" w:line="243" w:lineRule="exact"/>
              <w:rPr>
                <w:sz w:val="20"/>
                <w:szCs w:val="20"/>
                <w:color w:val="auto"/>
              </w:rPr>
            </w:pPr>
            <w:r>
              <w:rPr>
                <w:rFonts w:ascii="Arial" w:cs="Arial" w:eastAsia="Arial" w:hAnsi="Arial"/>
                <w:sz w:val="22"/>
                <w:szCs w:val="22"/>
                <w:b w:val="1"/>
                <w:bCs w:val="1"/>
                <w:color w:val="FFFFFF"/>
              </w:rPr>
              <w:t>Threshold and Maximum for EPS</w:t>
            </w:r>
          </w:p>
        </w:tc>
        <w:tc>
          <w:tcPr>
            <w:tcW w:w="4340" w:type="dxa"/>
            <w:vAlign w:val="bottom"/>
            <w:vMerge w:val="continue"/>
            <w:shd w:val="clear" w:color="auto" w:fill="6CAF3D"/>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3980" w:type="dxa"/>
            <w:vAlign w:val="bottom"/>
            <w:vMerge w:val="continue"/>
            <w:shd w:val="clear" w:color="auto" w:fill="6CAF3D"/>
          </w:tcPr>
          <w:p>
            <w:pPr>
              <w:spacing w:after="0"/>
              <w:rPr>
                <w:sz w:val="8"/>
                <w:szCs w:val="8"/>
                <w:color w:val="auto"/>
              </w:rPr>
            </w:pPr>
          </w:p>
        </w:tc>
        <w:tc>
          <w:tcPr>
            <w:tcW w:w="4340" w:type="dxa"/>
            <w:vAlign w:val="bottom"/>
            <w:vMerge w:val="restart"/>
            <w:shd w:val="clear" w:color="auto" w:fill="6CAF3D"/>
          </w:tcPr>
          <w:p>
            <w:pPr>
              <w:ind w:left="360"/>
              <w:spacing w:after="0"/>
              <w:rPr>
                <w:sz w:val="20"/>
                <w:szCs w:val="20"/>
                <w:color w:val="auto"/>
              </w:rPr>
            </w:pPr>
            <w:r>
              <w:rPr>
                <w:rFonts w:ascii="Arial" w:cs="Arial" w:eastAsia="Arial" w:hAnsi="Arial"/>
                <w:sz w:val="22"/>
                <w:szCs w:val="22"/>
                <w:color w:val="FFFFFF"/>
              </w:rPr>
              <w:t>&lt;&lt;3 yrs. from grant date&gt;&gt;</w:t>
            </w:r>
          </w:p>
        </w:tc>
        <w:tc>
          <w:tcPr>
            <w:tcW w:w="0" w:type="dxa"/>
            <w:vAlign w:val="bottom"/>
          </w:tcPr>
          <w:p>
            <w:pPr>
              <w:spacing w:after="0"/>
              <w:rPr>
                <w:sz w:val="1"/>
                <w:szCs w:val="1"/>
                <w:color w:val="auto"/>
              </w:rPr>
            </w:pPr>
          </w:p>
        </w:tc>
      </w:tr>
      <w:tr>
        <w:trPr>
          <w:trHeight w:val="164"/>
        </w:trPr>
        <w:tc>
          <w:tcPr>
            <w:tcW w:w="3980" w:type="dxa"/>
            <w:vAlign w:val="bottom"/>
            <w:vMerge w:val="restart"/>
            <w:shd w:val="clear" w:color="auto" w:fill="6CAF3D"/>
          </w:tcPr>
          <w:p>
            <w:pPr>
              <w:ind w:left="120"/>
              <w:spacing w:after="0"/>
              <w:rPr>
                <w:sz w:val="20"/>
                <w:szCs w:val="20"/>
                <w:color w:val="auto"/>
              </w:rPr>
            </w:pPr>
            <w:r>
              <w:rPr>
                <w:rFonts w:ascii="Arial" w:cs="Arial" w:eastAsia="Arial" w:hAnsi="Arial"/>
                <w:sz w:val="22"/>
                <w:szCs w:val="22"/>
                <w:b w:val="1"/>
                <w:bCs w:val="1"/>
                <w:color w:val="FFFFFF"/>
              </w:rPr>
              <w:t>and Cash:</w:t>
            </w:r>
          </w:p>
        </w:tc>
        <w:tc>
          <w:tcPr>
            <w:tcW w:w="4340" w:type="dxa"/>
            <w:vAlign w:val="bottom"/>
            <w:vMerge w:val="continue"/>
            <w:shd w:val="clear" w:color="auto" w:fill="6CAF3D"/>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3980" w:type="dxa"/>
            <w:vAlign w:val="bottom"/>
            <w:vMerge w:val="continue"/>
            <w:shd w:val="clear" w:color="auto" w:fill="6CAF3D"/>
          </w:tcPr>
          <w:p>
            <w:pPr>
              <w:spacing w:after="0"/>
              <w:rPr>
                <w:sz w:val="10"/>
                <w:szCs w:val="10"/>
                <w:color w:val="auto"/>
              </w:rPr>
            </w:pPr>
          </w:p>
        </w:tc>
        <w:tc>
          <w:tcPr>
            <w:tcW w:w="4340" w:type="dxa"/>
            <w:vAlign w:val="bottom"/>
            <w:shd w:val="clear" w:color="auto" w:fill="6CAF3D"/>
          </w:tcPr>
          <w:p>
            <w:pPr>
              <w:spacing w:after="0"/>
              <w:rPr>
                <w:sz w:val="10"/>
                <w:szCs w:val="1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380" w:hanging="158"/>
        <w:spacing w:after="0"/>
        <w:tabs>
          <w:tab w:leader="none" w:pos="33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Subject to the terms and conditions described in the Omnibus Agreement – 2011: PIP;ELTIP;PSs</w:t>
      </w:r>
    </w:p>
    <w:p>
      <w:pPr>
        <w:spacing w:after="0" w:line="190" w:lineRule="exact"/>
        <w:rPr>
          <w:rFonts w:ascii="Arial" w:cs="Arial" w:eastAsia="Arial" w:hAnsi="Arial"/>
          <w:sz w:val="14"/>
          <w:szCs w:val="14"/>
          <w:color w:val="auto"/>
        </w:rPr>
      </w:pPr>
    </w:p>
    <w:p>
      <w:pPr>
        <w:ind w:left="3440" w:right="400" w:hanging="218"/>
        <w:spacing w:after="0" w:line="228" w:lineRule="auto"/>
        <w:tabs>
          <w:tab w:leader="none" w:pos="3389" w:val="left"/>
        </w:tabs>
        <w:numPr>
          <w:ilvl w:val="0"/>
          <w:numId w:val="38"/>
        </w:numPr>
        <w:rPr>
          <w:rFonts w:ascii="Arial" w:cs="Arial" w:eastAsia="Arial" w:hAnsi="Arial"/>
          <w:sz w:val="14"/>
          <w:szCs w:val="14"/>
          <w:color w:val="auto"/>
        </w:rPr>
      </w:pPr>
      <w:r>
        <w:rPr>
          <w:rFonts w:ascii="Arial" w:cs="Arial" w:eastAsia="Arial" w:hAnsi="Arial"/>
          <w:sz w:val="14"/>
          <w:szCs w:val="14"/>
          <w:color w:val="auto"/>
        </w:rPr>
        <w:t>Performance measures which may include, but are not limited to, continuous service with the Company, achievement of specific business objectives, and other measurements of individual, business unit or Company performance shall be determined by the Committee in its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103505</wp:posOffset>
            </wp:positionV>
            <wp:extent cx="6089015" cy="12522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89015" cy="125222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type w:val="continuous"/>
        </w:sectPr>
      </w:pPr>
    </w:p>
    <w:bookmarkStart w:id="54" w:name="page55"/>
    <w:bookmarkEnd w:id="54"/>
    <w:p>
      <w:pPr>
        <w:jc w:val="right"/>
        <w:spacing w:after="0"/>
        <w:rPr>
          <w:sz w:val="20"/>
          <w:szCs w:val="20"/>
          <w:color w:val="auto"/>
        </w:rPr>
      </w:pPr>
      <w:r>
        <w:rPr>
          <w:rFonts w:ascii="Arial" w:cs="Arial" w:eastAsia="Arial" w:hAnsi="Arial"/>
          <w:sz w:val="14"/>
          <w:szCs w:val="14"/>
          <w:b w:val="1"/>
          <w:bCs w:val="1"/>
          <w:color w:val="auto"/>
        </w:rPr>
        <w:t>EXHIBIT 10(e)(22)</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XEROX CORPORATION</w:t>
      </w:r>
    </w:p>
    <w:p>
      <w:pPr>
        <w:jc w:val="center"/>
        <w:spacing w:after="0"/>
        <w:rPr>
          <w:sz w:val="20"/>
          <w:szCs w:val="20"/>
          <w:color w:val="auto"/>
        </w:rPr>
      </w:pPr>
      <w:r>
        <w:rPr>
          <w:rFonts w:ascii="Arial" w:cs="Arial" w:eastAsia="Arial" w:hAnsi="Arial"/>
          <w:sz w:val="18"/>
          <w:szCs w:val="18"/>
          <w:b w:val="1"/>
          <w:bCs w:val="1"/>
          <w:color w:val="auto"/>
        </w:rPr>
        <w:t>2004 PERFORMANCE INCENTIVE PLAN AS AMENDED OR RESTATED TO DATE</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AGREEMENT, by Xerox Corporation, a New York corporation (the “Company”), dated as of the date which appears as the “Date of Agreement and Award” in the Award Summary attached hereto (the “Award Summary”) in favor of the individual whose name appears on the Award Summary, an employee of the Company, one of the Company’s subsidiaries or one of its affiliates (the “Employee”).</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accordance with the provisions of the “2004 Performance Incentive Plan” and any amendments and/or restatements thereto (the “Plan”), the Compensation Committee of the Board of Directors of the Company (the “Committee”) or the Chief Executive Officer of the Company (the “CEO”) has authorized the execution and delivery of this Agreement.</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Terms used herein that are defined in the Plan or in this Agreement shall have the meanings assigned to them in the Plan or this Agreement,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Award Summary contains the details of the awards covered by this Agreement and is incorporated herein in its entirety.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NOW, THEREFORE, in consideration of the premises and for other good and valuable consideration the Company agrees as follows: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AWARDS</w:t>
      </w:r>
    </w:p>
    <w:p>
      <w:pPr>
        <w:spacing w:after="0" w:line="180" w:lineRule="exact"/>
        <w:rPr>
          <w:sz w:val="20"/>
          <w:szCs w:val="20"/>
          <w:color w:val="auto"/>
        </w:rPr>
      </w:pPr>
    </w:p>
    <w:p>
      <w:pPr>
        <w:jc w:val="both"/>
        <w:ind w:firstLine="8"/>
        <w:spacing w:after="0" w:line="236" w:lineRule="auto"/>
        <w:tabs>
          <w:tab w:leader="none" w:pos="574"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Award of Performance Shares</w:t>
      </w:r>
      <w:r>
        <w:rPr>
          <w:rFonts w:ascii="Arial" w:cs="Arial" w:eastAsia="Arial" w:hAnsi="Arial"/>
          <w:sz w:val="18"/>
          <w:szCs w:val="18"/>
          <w:color w:val="auto"/>
        </w:rPr>
        <w:t>. Subject to all terms and conditions of the Plan and this Agreement, the Company has awarded to the Employee on the date indicated on the Award Summary the number of Performance Shares (individually, the “PS”) as shown on the Award Summary. Notwithstanding anything herein to the contrary, only active Employees and those Employees on Short Term Disability Leave, Social Service Leave, Family Medical Leave or Paid Uniform Services Leave (pursuant to the Company’s Human Resources Policies) on the effective date of the award as shown on the Award Summary shall be eligible to receive the award.</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OF THE PERFORMANCE SHARES</w:t>
      </w:r>
    </w:p>
    <w:p>
      <w:pPr>
        <w:spacing w:after="0" w:line="180" w:lineRule="exact"/>
        <w:rPr>
          <w:sz w:val="20"/>
          <w:szCs w:val="20"/>
          <w:color w:val="auto"/>
        </w:rPr>
      </w:pPr>
    </w:p>
    <w:p>
      <w:pPr>
        <w:jc w:val="both"/>
        <w:ind w:firstLine="8"/>
        <w:spacing w:after="0" w:line="236" w:lineRule="auto"/>
        <w:tabs>
          <w:tab w:leader="none" w:pos="452"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Entitlement to Shares</w:t>
      </w:r>
      <w:r>
        <w:rPr>
          <w:rFonts w:ascii="Arial" w:cs="Arial" w:eastAsia="Arial" w:hAnsi="Arial"/>
          <w:sz w:val="18"/>
          <w:szCs w:val="18"/>
          <w:color w:val="auto"/>
        </w:rPr>
        <w:t>. As soon as practicable on or after the Vesting Date indicated on the Award Summary in connection with the PSs (the “Vesting Date”), the Company shall, without transfer or issue tax to the person entitled to receive the shares, deliver to such person a certificate or certificates for a number of shares of Common Stock equal to the number of vested PSs (subject to reduction for withholding of Employee’s taxes in relation to the award as described in Paragraph 10 below). No fractional shares shall be issued as a result of such tax withholding. Instead, the Company shall apply the equivalent of any fractional share amount to amounts withheld for taxes.</w:t>
      </w:r>
    </w:p>
    <w:p>
      <w:pPr>
        <w:spacing w:after="0" w:line="15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Committee shall set performance goals and review performance against such goals in connection with determining the payout of PSs. The award of PSs covered hereby shall be earned based on achieving one hundred percent (100%) of a target on an annual basis based on certain performance measures as shall be determined from time to time by the Committee. Notwithstanding the above, to the extent that a measure is not subject to three-year cumulative performance goals, PSs shall be earned annually based on achieving performance between base and maximum levels (as shall be determined by the Committee). For any measure(s) subject to three-year cumulative performance goals (as shall be determined by the Committee), to the extent such performance measures are achieved at or between threshold and maximum levels on a three-year cumulative basis, an additional award of PSs will be earned, net of shares previously earned for annual achievement. The Vesting Date for earned PS awards granted shall be set forth in the Award Summary.</w:t>
      </w:r>
    </w:p>
    <w:p>
      <w:pPr>
        <w:spacing w:after="0" w:line="154"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Upon the occurrence of an event constituting a Change in Control, all PSs and dividend equivalents outstanding on such date shall be treated pursuant to the terms set forth in the Plan. Upon payment pursuant to the terms of the Plan, such awards shall be cancelled.</w:t>
      </w:r>
    </w:p>
    <w:p>
      <w:pPr>
        <w:sectPr>
          <w:pgSz w:w="11900" w:h="16838" w:orient="portrait"/>
          <w:cols w:equalWidth="0" w:num="1">
            <w:col w:w="11420"/>
          </w:cols>
          <w:pgMar w:left="240" w:top="124" w:right="239" w:bottom="1440" w:gutter="0" w:footer="0" w:header="0"/>
        </w:sectPr>
      </w:pPr>
    </w:p>
    <w:bookmarkStart w:id="55" w:name="page56"/>
    <w:bookmarkEnd w:id="55"/>
    <w:p>
      <w:pPr>
        <w:jc w:val="both"/>
        <w:ind w:firstLine="8"/>
        <w:spacing w:after="0" w:line="235" w:lineRule="auto"/>
        <w:tabs>
          <w:tab w:leader="none" w:pos="479"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Dividend Equivalents.</w:t>
      </w:r>
      <w:r>
        <w:rPr>
          <w:rFonts w:ascii="Arial" w:cs="Arial" w:eastAsia="Arial" w:hAnsi="Arial"/>
          <w:sz w:val="18"/>
          <w:szCs w:val="18"/>
          <w:color w:val="auto"/>
        </w:rPr>
        <w:t xml:space="preserve"> The Employee shall become entitled to receive from the Company on the Vesting Date a cash payment equaling the same amount(s) that the holder of record of a number of shares of Common Stock equal to the number of PSs covered by this Agreement (relating exclusively to PSs earned, based on achievement of annual or three-year cumulative performance targets, not to exceed the target award amount shown on the Award Summary) that are held by the Employee on the close of business on the business day immediately preceding the Vesting Date would have been entitled to receive as dividends on such Common Stock during the period commencing on the date hereof and ending on the Vesting Date as provided under Paragraph 2. Payments under this Paragraph shall be net of any required withholding taxes. Notwithstanding anything herein to the contrary, for any Employee who is no longer an employee on the payroll of any subsidiary or affiliate of the Company on the payment date of the dividend equivalents, and such subsidiary or affiliate has determined, with the approval of the Vice President, Human Resources of the Company, that it is not administratively feasible for such subsidiary or affiliate to pay such dividend equivalents, the Employee will not be entitled to receive such dividend equivalents.</w:t>
      </w:r>
    </w:p>
    <w:p>
      <w:pPr>
        <w:spacing w:after="0" w:line="161" w:lineRule="exact"/>
        <w:rPr>
          <w:rFonts w:ascii="Arial" w:cs="Arial" w:eastAsia="Arial" w:hAnsi="Arial"/>
          <w:sz w:val="18"/>
          <w:szCs w:val="18"/>
          <w:color w:val="auto"/>
        </w:rPr>
      </w:pPr>
    </w:p>
    <w:p>
      <w:pPr>
        <w:ind w:firstLine="8"/>
        <w:spacing w:after="0" w:line="239" w:lineRule="auto"/>
        <w:tabs>
          <w:tab w:leader="none" w:pos="439"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Ownership Guidelines</w:t>
      </w:r>
      <w:r>
        <w:rPr>
          <w:rFonts w:ascii="Arial" w:cs="Arial" w:eastAsia="Arial" w:hAnsi="Arial"/>
          <w:sz w:val="18"/>
          <w:szCs w:val="18"/>
          <w:color w:val="auto"/>
        </w:rPr>
        <w:t>. Guidelines pertaining to the Employee’s required ownership of Common Stock shall be determined by the Committee or its authorized delegate, as applicable, in its sole discretion from time to time as communicated to Employee in writing.</w:t>
      </w:r>
    </w:p>
    <w:p>
      <w:pPr>
        <w:spacing w:after="0" w:line="154" w:lineRule="exact"/>
        <w:rPr>
          <w:rFonts w:ascii="Arial" w:cs="Arial" w:eastAsia="Arial" w:hAnsi="Arial"/>
          <w:sz w:val="18"/>
          <w:szCs w:val="18"/>
          <w:color w:val="auto"/>
        </w:rPr>
      </w:pPr>
    </w:p>
    <w:p>
      <w:pPr>
        <w:jc w:val="both"/>
        <w:ind w:firstLine="8"/>
        <w:spacing w:after="0" w:line="236" w:lineRule="auto"/>
        <w:tabs>
          <w:tab w:leader="none" w:pos="528"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Holding Requirements</w:t>
      </w:r>
      <w:r>
        <w:rPr>
          <w:rFonts w:ascii="Arial" w:cs="Arial" w:eastAsia="Arial" w:hAnsi="Arial"/>
          <w:sz w:val="18"/>
          <w:szCs w:val="18"/>
          <w:color w:val="auto"/>
        </w:rPr>
        <w:t>. The Employee must retain fifty percent (50%) of the net shares of Common Stock acquired in connection with the PSs (net of withholding tax and any applicable fees) until ownership guidelines are met under Paragraph 4 hereof. Such shares shall be held in the Employee’s Morgan Stanley Smith Barney account or at another account acceptable to the Company. In addition, shares used to maintain the Employee’s ownership level pursuant to this award should be held with Morgan Stanley Smith Barney or in another account acceptable to the Company.</w:t>
      </w:r>
    </w:p>
    <w:p>
      <w:pPr>
        <w:spacing w:after="0" w:line="15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If employment terminates due to the death of the Employee, such holding requirements shall cease at the date of death. If the Employee terminates for any other reason, the holding requirement will be applicable for up to a one year period following termination.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TERMS</w:t>
      </w:r>
    </w:p>
    <w:p>
      <w:pPr>
        <w:spacing w:after="0" w:line="180" w:lineRule="exact"/>
        <w:rPr>
          <w:sz w:val="20"/>
          <w:szCs w:val="20"/>
          <w:color w:val="auto"/>
        </w:rPr>
      </w:pPr>
    </w:p>
    <w:p>
      <w:pPr>
        <w:jc w:val="both"/>
        <w:ind w:firstLine="8"/>
        <w:spacing w:after="0" w:line="238" w:lineRule="auto"/>
        <w:tabs>
          <w:tab w:leader="none" w:pos="542"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Rights of a Shareholder</w:t>
      </w:r>
      <w:r>
        <w:rPr>
          <w:rFonts w:ascii="Arial" w:cs="Arial" w:eastAsia="Arial" w:hAnsi="Arial"/>
          <w:sz w:val="18"/>
          <w:szCs w:val="18"/>
          <w:color w:val="auto"/>
        </w:rPr>
        <w:t>. Employee shall have no rights as a shareholder with respect to any shares covered by this Agreement until the date of issuance of a stock certificate to him for such shares. Except as otherwise provided herein, no adjustment shall be made for dividends or other rights for which the record date is prior to the date such stock certificate is issued.</w:t>
      </w:r>
    </w:p>
    <w:p>
      <w:pPr>
        <w:spacing w:after="0" w:line="154" w:lineRule="exact"/>
        <w:rPr>
          <w:rFonts w:ascii="Arial" w:cs="Arial" w:eastAsia="Arial" w:hAnsi="Arial"/>
          <w:sz w:val="18"/>
          <w:szCs w:val="18"/>
          <w:color w:val="auto"/>
        </w:rPr>
      </w:pPr>
    </w:p>
    <w:p>
      <w:pPr>
        <w:ind w:right="20" w:firstLine="8"/>
        <w:spacing w:after="0" w:line="239" w:lineRule="auto"/>
        <w:tabs>
          <w:tab w:leader="none" w:pos="636"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Non-Assignability</w:t>
      </w:r>
      <w:r>
        <w:rPr>
          <w:rFonts w:ascii="Arial" w:cs="Arial" w:eastAsia="Arial" w:hAnsi="Arial"/>
          <w:sz w:val="18"/>
          <w:szCs w:val="18"/>
          <w:color w:val="auto"/>
        </w:rPr>
        <w:t>. This Agreement shall not be assignable or transferable by Employee except by will or by the laws of descent and distribution.</w:t>
      </w:r>
    </w:p>
    <w:p>
      <w:pPr>
        <w:spacing w:after="0" w:line="154" w:lineRule="exact"/>
        <w:rPr>
          <w:rFonts w:ascii="Arial" w:cs="Arial" w:eastAsia="Arial" w:hAnsi="Arial"/>
          <w:sz w:val="18"/>
          <w:szCs w:val="18"/>
          <w:color w:val="auto"/>
        </w:rPr>
      </w:pPr>
    </w:p>
    <w:p>
      <w:pPr>
        <w:ind w:left="500" w:hanging="492"/>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Effect of Termination of Employment or Death</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1020" w:hanging="556"/>
        <w:spacing w:after="0"/>
        <w:tabs>
          <w:tab w:leader="none" w:pos="10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Effect on PSs. In the event the Employee</w:t>
      </w:r>
    </w:p>
    <w:p>
      <w:pPr>
        <w:spacing w:after="0" w:line="157" w:lineRule="exact"/>
        <w:rPr>
          <w:rFonts w:ascii="Arial" w:cs="Arial" w:eastAsia="Arial" w:hAnsi="Arial"/>
          <w:sz w:val="18"/>
          <w:szCs w:val="18"/>
          <w:color w:val="auto"/>
        </w:rPr>
      </w:pPr>
    </w:p>
    <w:p>
      <w:pPr>
        <w:ind w:right="20" w:firstLine="921"/>
        <w:spacing w:after="0" w:line="239" w:lineRule="auto"/>
        <w:tabs>
          <w:tab w:leader="none" w:pos="1347" w:val="left"/>
        </w:tabs>
        <w:numPr>
          <w:ilvl w:val="2"/>
          <w:numId w:val="42"/>
        </w:numPr>
        <w:rPr>
          <w:rFonts w:ascii="Arial" w:cs="Arial" w:eastAsia="Arial" w:hAnsi="Arial"/>
          <w:sz w:val="18"/>
          <w:szCs w:val="18"/>
          <w:color w:val="auto"/>
        </w:rPr>
      </w:pPr>
      <w:r>
        <w:rPr>
          <w:rFonts w:ascii="Arial" w:cs="Arial" w:eastAsia="Arial" w:hAnsi="Arial"/>
          <w:sz w:val="18"/>
          <w:szCs w:val="18"/>
          <w:color w:val="auto"/>
        </w:rPr>
        <w:t>voluntarily ceases to be an Employee of the Company or any subsidiary or affiliate for any reason other than retirement, and the PSs have not vested in accordance with Paragraph 2, the PSs shall be cancelled on the date of such voluntary termination of employment.</w:t>
      </w:r>
    </w:p>
    <w:p>
      <w:pPr>
        <w:spacing w:after="0" w:line="154" w:lineRule="exact"/>
        <w:rPr>
          <w:rFonts w:ascii="Arial" w:cs="Arial" w:eastAsia="Arial" w:hAnsi="Arial"/>
          <w:sz w:val="18"/>
          <w:szCs w:val="18"/>
          <w:color w:val="auto"/>
        </w:rPr>
      </w:pPr>
    </w:p>
    <w:p>
      <w:pPr>
        <w:jc w:val="both"/>
        <w:ind w:firstLine="921"/>
        <w:spacing w:after="0" w:line="267" w:lineRule="auto"/>
        <w:tabs>
          <w:tab w:leader="none" w:pos="1473" w:val="left"/>
        </w:tabs>
        <w:numPr>
          <w:ilvl w:val="2"/>
          <w:numId w:val="42"/>
        </w:numPr>
        <w:rPr>
          <w:rFonts w:ascii="Arial" w:cs="Arial" w:eastAsia="Arial" w:hAnsi="Arial"/>
          <w:sz w:val="16"/>
          <w:szCs w:val="16"/>
          <w:color w:val="auto"/>
        </w:rPr>
      </w:pPr>
      <w:r>
        <w:rPr>
          <w:rFonts w:ascii="Arial" w:cs="Arial" w:eastAsia="Arial" w:hAnsi="Arial"/>
          <w:sz w:val="16"/>
          <w:szCs w:val="16"/>
          <w:color w:val="auto"/>
        </w:rPr>
        <w:t>involuntarily ceases to be an Employee of the Company or any subsidiary or affiliate for any reason (including Disability as provided pursuant to Paragraph 8(b) below or under a disability policy of any subsidiary or affiliate, as applicable), other than death or for Cause, or voluntarily ceases to be an Employee of the Company or any subsidiary or affiliate due to a reduction in workforce, shares will vest on a pro rata basis, which may, at the discretion of the Company, be contingent upon Employee executing a general release, and which may include an agreement with respect to engagement in detrimental activity, in a form acceptable to the Company. Such shares will vest on a pro-rata basis for annual and three-year cumulative performance if achieved in accordance with Paragraph 2, based on the Employee’s actual months of service. For the year in which termination occurs, shares earned for that year will be calculated as follows: multiply the total award earned for that year by a fraction, the numerator of which will be the number of months of full service for that year (earning period) and the denominator will be 12. Any shares earned for annual performance pursuant to this grant for years prior to such involuntary termination of employment and shares earned on a pro-rata basis for annual performance as described herein will be paid out as soon as practicable following the Vesting Date noted in the Award Summary. For three-year cumulative performance, vesting will be calculated as follows: multiply the total three-year cumulative award earned by a fraction, the numerator of which will be the number of months of full service during the three years and the denominator of which will be 36. Payout shall occur as soon as practicable following the Vesting Date noted in the Award Summary.</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45" w:right="239" w:bottom="1440" w:gutter="0" w:footer="0" w:header="0"/>
        </w:sectPr>
      </w:pPr>
    </w:p>
    <w:bookmarkStart w:id="56" w:name="page57"/>
    <w:bookmarkEnd w:id="56"/>
    <w:p>
      <w:pPr>
        <w:jc w:val="both"/>
        <w:ind w:firstLine="921"/>
        <w:spacing w:after="0" w:line="238" w:lineRule="auto"/>
        <w:tabs>
          <w:tab w:leader="none" w:pos="1446" w:val="left"/>
        </w:tabs>
        <w:numPr>
          <w:ilvl w:val="2"/>
          <w:numId w:val="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ceases to be an Employee of the Company or any subsidiary or affiliate by reason of death, 100% of the PSs pursuant to this grant shall vest on the date of death and the certificates for shares shall be delivered in accordance with Paragraph 7 to the personal representatives, heirs or legatees of the deceased Employee.</w:t>
      </w:r>
    </w:p>
    <w:p>
      <w:pPr>
        <w:spacing w:after="0" w:line="154" w:lineRule="exact"/>
        <w:rPr>
          <w:rFonts w:ascii="Arial" w:cs="Arial" w:eastAsia="Arial" w:hAnsi="Arial"/>
          <w:sz w:val="18"/>
          <w:szCs w:val="18"/>
          <w:color w:val="auto"/>
        </w:rPr>
      </w:pPr>
    </w:p>
    <w:p>
      <w:pPr>
        <w:jc w:val="both"/>
        <w:ind w:firstLine="921"/>
        <w:spacing w:after="0" w:line="267" w:lineRule="auto"/>
        <w:tabs>
          <w:tab w:leader="none" w:pos="1416" w:val="left"/>
        </w:tabs>
        <w:numPr>
          <w:ilvl w:val="2"/>
          <w:numId w:val="43"/>
        </w:numPr>
        <w:rPr>
          <w:rFonts w:ascii="Arial" w:cs="Arial" w:eastAsia="Arial" w:hAnsi="Arial"/>
          <w:sz w:val="16"/>
          <w:szCs w:val="16"/>
          <w:color w:val="auto"/>
        </w:rPr>
      </w:pPr>
      <w:r>
        <w:rPr>
          <w:rFonts w:ascii="Arial" w:cs="Arial" w:eastAsia="Arial" w:hAnsi="Arial"/>
          <w:sz w:val="16"/>
          <w:szCs w:val="16"/>
          <w:color w:val="auto"/>
        </w:rPr>
        <w:t>ceases to be an Employee of the Company or any subsidiary or affiliate by reason of retirement (under a retirement policy of the Company, its subsidiary or affiliate, as applicable), shares will vest on a pro rata basis, which may, at the discretion of the Company, be contingent upon Employee executing a general release, and which may include an agreement with respect to engagement in detrimental activity, in a form acceptable to the Company. Such shares will vest on a pro-rata basis for annual and three-year cumulative performance, if achieved in accordance with Paragraph 2, based on the Employee’s actual months of service. For the year in which retirement occurs, shares earned for that year will be calculated as follows: multiply the total award earned for that year by a fraction, the numerator of which will be the number of months of full service for that year (earning period) and the denominator will be 12. Any shares earned for annual performance pursuant to this grant for years prior to retirement and shares earned on a pro-rata basis for annual performance as described herein will be paid out as soon as practicable following the Vesting Date noted in the Award Summary. For three-year cumulative performance, vesting will be calculated as follows: multiply the total three-year cumulative award earned by a fraction, the numerator of which will be the number of months of full service during the three years and the denominator of which will be 36. Payout shall occur as soon as practicable following the Vesting Date noted in the Award Summary; and</w:t>
      </w:r>
    </w:p>
    <w:p>
      <w:pPr>
        <w:spacing w:after="0" w:line="138" w:lineRule="exact"/>
        <w:rPr>
          <w:rFonts w:ascii="Arial" w:cs="Arial" w:eastAsia="Arial" w:hAnsi="Arial"/>
          <w:sz w:val="16"/>
          <w:szCs w:val="16"/>
          <w:color w:val="auto"/>
        </w:rPr>
      </w:pPr>
    </w:p>
    <w:p>
      <w:pPr>
        <w:ind w:firstLine="921"/>
        <w:spacing w:after="0" w:line="239" w:lineRule="auto"/>
        <w:tabs>
          <w:tab w:leader="none" w:pos="1377" w:val="left"/>
        </w:tabs>
        <w:numPr>
          <w:ilvl w:val="2"/>
          <w:numId w:val="43"/>
        </w:numPr>
        <w:rPr>
          <w:rFonts w:ascii="Arial" w:cs="Arial" w:eastAsia="Arial" w:hAnsi="Arial"/>
          <w:sz w:val="18"/>
          <w:szCs w:val="18"/>
          <w:color w:val="auto"/>
        </w:rPr>
      </w:pPr>
      <w:r>
        <w:rPr>
          <w:rFonts w:ascii="Arial" w:cs="Arial" w:eastAsia="Arial" w:hAnsi="Arial"/>
          <w:sz w:val="18"/>
          <w:szCs w:val="18"/>
          <w:color w:val="auto"/>
        </w:rPr>
        <w:t>ceases to be an Employee of the Company or any subsidiary or affiliate due to termination for Cause, the PSs shall be cancelled as provided under the Plan.</w:t>
      </w:r>
    </w:p>
    <w:p>
      <w:pPr>
        <w:spacing w:after="0" w:line="154" w:lineRule="exact"/>
        <w:rPr>
          <w:rFonts w:ascii="Arial" w:cs="Arial" w:eastAsia="Arial" w:hAnsi="Arial"/>
          <w:sz w:val="18"/>
          <w:szCs w:val="18"/>
          <w:color w:val="auto"/>
        </w:rPr>
      </w:pPr>
    </w:p>
    <w:p>
      <w:pPr>
        <w:jc w:val="both"/>
        <w:ind w:firstLine="464"/>
        <w:spacing w:after="0" w:line="236" w:lineRule="auto"/>
        <w:tabs>
          <w:tab w:leader="none" w:pos="1080" w:val="left"/>
        </w:tabs>
        <w:numPr>
          <w:ilvl w:val="1"/>
          <w:numId w:val="44"/>
        </w:numPr>
        <w:rPr>
          <w:rFonts w:ascii="Arial" w:cs="Arial" w:eastAsia="Arial" w:hAnsi="Arial"/>
          <w:sz w:val="18"/>
          <w:szCs w:val="18"/>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Cessation of active employment due to commencement of long-term disability under the Company’s long-term disability plan shall not be deemed to constitute a termination of employment for purposes of this Paragraph 8 and during the continuance of such Xerox-sponsored long-term disability plan benefits the Employee shall be deemed to continue active employment with the Company. If the Employee is terminated because the Employee has received the maximum coverage under the Xerox long-term disability plan, the vesting of PSs shall be provided pursuant to Paragraph 8 (a)(ii) above.</w:t>
      </w:r>
    </w:p>
    <w:p>
      <w:pPr>
        <w:spacing w:after="0" w:line="157" w:lineRule="exact"/>
        <w:rPr>
          <w:rFonts w:ascii="Arial" w:cs="Arial" w:eastAsia="Arial" w:hAnsi="Arial"/>
          <w:sz w:val="18"/>
          <w:szCs w:val="18"/>
          <w:color w:val="auto"/>
        </w:rPr>
      </w:pPr>
    </w:p>
    <w:p>
      <w:pPr>
        <w:jc w:val="both"/>
        <w:ind w:firstLine="464"/>
        <w:spacing w:after="0" w:line="264" w:lineRule="auto"/>
        <w:tabs>
          <w:tab w:leader="none" w:pos="1016" w:val="left"/>
        </w:tabs>
        <w:numPr>
          <w:ilvl w:val="1"/>
          <w:numId w:val="44"/>
        </w:numPr>
        <w:rPr>
          <w:rFonts w:ascii="Arial" w:cs="Arial" w:eastAsia="Arial" w:hAnsi="Arial"/>
          <w:sz w:val="16"/>
          <w:szCs w:val="16"/>
          <w:color w:val="auto"/>
        </w:rPr>
      </w:pPr>
      <w:r>
        <w:rPr>
          <w:rFonts w:ascii="Arial" w:cs="Arial" w:eastAsia="Arial" w:hAnsi="Arial"/>
          <w:sz w:val="16"/>
          <w:szCs w:val="16"/>
          <w:u w:val="single" w:color="auto"/>
          <w:color w:val="auto"/>
        </w:rPr>
        <w:t>Cause</w:t>
      </w:r>
      <w:r>
        <w:rPr>
          <w:rFonts w:ascii="Arial" w:cs="Arial" w:eastAsia="Arial" w:hAnsi="Arial"/>
          <w:sz w:val="16"/>
          <w:szCs w:val="16"/>
          <w:color w:val="auto"/>
        </w:rPr>
        <w:t>. “Cause” means (i) a violation of any of the rules, policies, procedures or guidelines of the Company, including but not limited to the Company’s Business Ethics Policy and the Proprietary Information and Conflict of Interest Agreement (ii) any conduct which qualifies for “immediate discharge” under the Company’s Human Resource Policies as in effect from time to time (iii) rendering services to a firm which engages, or engaging directly or indirectly, in any business that is competitive with the Company or represents a conflict of interest with the interests of the Company; (iv) conviction of, or entering a guilty plea with respect to, a crime whether or not connected with the Company; or</w:t>
      </w:r>
    </w:p>
    <w:p>
      <w:pPr>
        <w:ind w:left="260" w:hanging="252"/>
        <w:spacing w:after="0"/>
        <w:tabs>
          <w:tab w:leader="none" w:pos="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other conduct determined to be injurious, detrimental or prejudicial to any interest of the Company.</w:t>
      </w:r>
    </w:p>
    <w:p>
      <w:pPr>
        <w:spacing w:after="0" w:line="158" w:lineRule="exact"/>
        <w:rPr>
          <w:sz w:val="20"/>
          <w:szCs w:val="20"/>
          <w:color w:val="auto"/>
        </w:rPr>
      </w:pPr>
    </w:p>
    <w:p>
      <w:pPr>
        <w:jc w:val="both"/>
        <w:ind w:firstLine="8"/>
        <w:spacing w:after="0" w:line="236" w:lineRule="auto"/>
        <w:tabs>
          <w:tab w:leader="none" w:pos="488"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General Restrictions</w:t>
      </w:r>
      <w:r>
        <w:rPr>
          <w:rFonts w:ascii="Arial" w:cs="Arial" w:eastAsia="Arial" w:hAnsi="Arial"/>
          <w:sz w:val="18"/>
          <w:szCs w:val="18"/>
          <w:color w:val="auto"/>
        </w:rPr>
        <w:t>. If at any time the Committee or its authorized delegate, as applicable, shall determine, in its discretion, that the listing, registration or qualification of any shares subject to this Agreement upon any securities exchange or under any state or Federal law, or the consent or approval of any government regulatory body, is necessary or desirable as a condition of, or in connection with, the awarding of the PSs or the issue or purchase of shares hereunder, the certificates for shares may not be issued in respect of PSs in whole or in part unless such listing, registration, qualification, consent or approval shall have been effected or obtained free of any conditions not acceptable to the Committee or its authorized delegate , as applicable, and any delay caused thereby shall in no way affect the date of termination of the PSs.</w:t>
      </w:r>
    </w:p>
    <w:p>
      <w:pPr>
        <w:spacing w:after="0" w:line="156" w:lineRule="exact"/>
        <w:rPr>
          <w:rFonts w:ascii="Arial" w:cs="Arial" w:eastAsia="Arial" w:hAnsi="Arial"/>
          <w:sz w:val="18"/>
          <w:szCs w:val="18"/>
          <w:color w:val="auto"/>
        </w:rPr>
      </w:pPr>
    </w:p>
    <w:p>
      <w:pPr>
        <w:jc w:val="both"/>
        <w:ind w:firstLine="8"/>
        <w:spacing w:after="0" w:line="237" w:lineRule="auto"/>
        <w:tabs>
          <w:tab w:leader="none" w:pos="653"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Responsibility for Taxes</w:t>
      </w:r>
      <w:r>
        <w:rPr>
          <w:rFonts w:ascii="Arial" w:cs="Arial" w:eastAsia="Arial" w:hAnsi="Arial"/>
          <w:sz w:val="18"/>
          <w:szCs w:val="18"/>
          <w:color w:val="auto"/>
        </w:rPr>
        <w:t>. Employee acknowledges that the ultimate responsibility for Employee’s Federal, state and municipal individual income taxes, the Employee’s portion of social security and other payroll taxes, and any other taxes related to Employee’s participation in the Plan and legally applicable to Employee, is and remains his or her responsibility and may exceed the amount actually withheld by the Company or the Employer.</w:t>
      </w:r>
    </w:p>
    <w:p>
      <w:pPr>
        <w:spacing w:after="0" w:line="154" w:lineRule="exact"/>
        <w:rPr>
          <w:rFonts w:ascii="Arial" w:cs="Arial" w:eastAsia="Arial" w:hAnsi="Arial"/>
          <w:sz w:val="18"/>
          <w:szCs w:val="18"/>
          <w:color w:val="auto"/>
        </w:rPr>
      </w:pPr>
    </w:p>
    <w:p>
      <w:pPr>
        <w:ind w:left="600" w:hanging="592"/>
        <w:spacing w:after="0"/>
        <w:tabs>
          <w:tab w:leader="none" w:pos="60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Nature of Award</w:t>
      </w:r>
      <w:r>
        <w:rPr>
          <w:rFonts w:ascii="Arial" w:cs="Arial" w:eastAsia="Arial" w:hAnsi="Arial"/>
          <w:sz w:val="18"/>
          <w:szCs w:val="18"/>
          <w:color w:val="auto"/>
        </w:rPr>
        <w:t>.  In accepting the award, Employee acknowledges that:</w:t>
      </w:r>
    </w:p>
    <w:p>
      <w:pPr>
        <w:spacing w:after="0" w:line="157" w:lineRule="exact"/>
        <w:rPr>
          <w:rFonts w:ascii="Arial" w:cs="Arial" w:eastAsia="Arial" w:hAnsi="Arial"/>
          <w:sz w:val="18"/>
          <w:szCs w:val="18"/>
          <w:color w:val="auto"/>
        </w:rPr>
      </w:pPr>
    </w:p>
    <w:p>
      <w:pPr>
        <w:ind w:right="540" w:firstLine="464"/>
        <w:spacing w:after="0" w:line="299" w:lineRule="auto"/>
        <w:tabs>
          <w:tab w:leader="none" w:pos="1013" w:val="left"/>
        </w:tabs>
        <w:numPr>
          <w:ilvl w:val="1"/>
          <w:numId w:val="46"/>
        </w:numPr>
        <w:rPr>
          <w:rFonts w:ascii="Arial" w:cs="Arial" w:eastAsia="Arial" w:hAnsi="Arial"/>
          <w:sz w:val="16"/>
          <w:szCs w:val="16"/>
          <w:color w:val="auto"/>
        </w:rPr>
      </w:pPr>
      <w:r>
        <w:rPr>
          <w:rFonts w:ascii="Arial" w:cs="Arial" w:eastAsia="Arial" w:hAnsi="Arial"/>
          <w:sz w:val="16"/>
          <w:szCs w:val="16"/>
          <w:color w:val="auto"/>
        </w:rPr>
        <w:t>the Plan is established voluntarily by the Company, it is discretionary in nature and it may be modified, amended, suspended or terminated by the Company at any time in a manner consistent with Section 13 of the Plan regarding Plan amendment and termination.</w:t>
      </w:r>
    </w:p>
    <w:p>
      <w:pPr>
        <w:spacing w:after="0" w:line="108" w:lineRule="exact"/>
        <w:rPr>
          <w:rFonts w:ascii="Arial" w:cs="Arial" w:eastAsia="Arial" w:hAnsi="Arial"/>
          <w:sz w:val="16"/>
          <w:szCs w:val="16"/>
          <w:color w:val="auto"/>
        </w:rPr>
      </w:pPr>
    </w:p>
    <w:p>
      <w:pPr>
        <w:ind w:right="60" w:firstLine="464"/>
        <w:spacing w:after="0" w:line="239" w:lineRule="auto"/>
        <w:tabs>
          <w:tab w:leader="none" w:pos="1013"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award of the PSs is voluntary and occasional and does not create any contractual or other right to receive future grants of PSs, or benefits in lieu of PSs, even if PSs have been granted repeatedly in the past;</w:t>
      </w:r>
    </w:p>
    <w:p>
      <w:pPr>
        <w:spacing w:after="0" w:line="150" w:lineRule="exact"/>
        <w:rPr>
          <w:rFonts w:ascii="Arial" w:cs="Arial" w:eastAsia="Arial" w:hAnsi="Arial"/>
          <w:sz w:val="18"/>
          <w:szCs w:val="18"/>
          <w:color w:val="auto"/>
        </w:rPr>
      </w:pPr>
    </w:p>
    <w:p>
      <w:pPr>
        <w:ind w:left="1020" w:hanging="556"/>
        <w:spacing w:after="0"/>
        <w:tabs>
          <w:tab w:leader="none" w:pos="10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decisions with respect to future PS awards, if any, will be at the sole discretion of the Committee or its authorized delegate, as</w:t>
      </w:r>
    </w:p>
    <w:p>
      <w:pPr>
        <w:spacing w:after="0"/>
        <w:rPr>
          <w:rFonts w:ascii="Arial" w:cs="Arial" w:eastAsia="Arial" w:hAnsi="Arial"/>
          <w:sz w:val="18"/>
          <w:szCs w:val="18"/>
          <w:color w:val="auto"/>
        </w:rPr>
      </w:pPr>
      <w:r>
        <w:rPr>
          <w:rFonts w:ascii="Arial" w:cs="Arial" w:eastAsia="Arial" w:hAnsi="Arial"/>
          <w:sz w:val="18"/>
          <w:szCs w:val="18"/>
          <w:color w:val="auto"/>
        </w:rPr>
        <w:t>applicable;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45" w:right="239" w:bottom="1440" w:gutter="0" w:footer="0" w:header="0"/>
        </w:sectPr>
      </w:pPr>
    </w:p>
    <w:bookmarkStart w:id="57" w:name="page58"/>
    <w:bookmarkEnd w:id="57"/>
    <w:p>
      <w:pPr>
        <w:ind w:left="-8" w:right="260" w:firstLine="464"/>
        <w:spacing w:after="0" w:line="238" w:lineRule="auto"/>
        <w:tabs>
          <w:tab w:leader="none" w:pos="1005" w:val="left"/>
        </w:tabs>
        <w:numPr>
          <w:ilvl w:val="1"/>
          <w:numId w:val="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Employee’s participation in the Plan shall not create a right to further employment with the Employer and shall not interfere with the ability of the Employer to terminate Employee’s employment relationship at any time; further, the PS award and Employee’s participation in the Plan will not be interpreted to form an employment contract or relationship with the Company or any subsidiary of the Company;</w:t>
      </w:r>
    </w:p>
    <w:p>
      <w:pPr>
        <w:spacing w:after="0" w:line="154" w:lineRule="exact"/>
        <w:rPr>
          <w:rFonts w:ascii="Arial" w:cs="Arial" w:eastAsia="Arial" w:hAnsi="Arial"/>
          <w:sz w:val="18"/>
          <w:szCs w:val="18"/>
          <w:color w:val="auto"/>
        </w:rPr>
      </w:pPr>
    </w:p>
    <w:p>
      <w:pPr>
        <w:ind w:left="1012" w:hanging="556"/>
        <w:spacing w:after="0"/>
        <w:tabs>
          <w:tab w:leader="none" w:pos="1012" w:val="left"/>
        </w:tabs>
        <w:numPr>
          <w:ilvl w:val="1"/>
          <w:numId w:val="47"/>
        </w:numPr>
        <w:rPr>
          <w:rFonts w:ascii="Arial" w:cs="Arial" w:eastAsia="Arial" w:hAnsi="Arial"/>
          <w:sz w:val="18"/>
          <w:szCs w:val="18"/>
          <w:color w:val="auto"/>
        </w:rPr>
      </w:pPr>
      <w:r>
        <w:rPr>
          <w:rFonts w:ascii="Arial" w:cs="Arial" w:eastAsia="Arial" w:hAnsi="Arial"/>
          <w:sz w:val="18"/>
          <w:szCs w:val="18"/>
          <w:color w:val="auto"/>
        </w:rPr>
        <w:t>Employee is voluntarily participating in the Plan;</w:t>
      </w:r>
    </w:p>
    <w:p>
      <w:pPr>
        <w:spacing w:after="0" w:line="157" w:lineRule="exact"/>
        <w:rPr>
          <w:rFonts w:ascii="Arial" w:cs="Arial" w:eastAsia="Arial" w:hAnsi="Arial"/>
          <w:sz w:val="18"/>
          <w:szCs w:val="18"/>
          <w:color w:val="auto"/>
        </w:rPr>
      </w:pPr>
    </w:p>
    <w:p>
      <w:pPr>
        <w:ind w:left="-8" w:right="40" w:firstLine="464"/>
        <w:spacing w:after="0" w:line="299" w:lineRule="auto"/>
        <w:tabs>
          <w:tab w:leader="none" w:pos="956" w:val="left"/>
        </w:tabs>
        <w:numPr>
          <w:ilvl w:val="1"/>
          <w:numId w:val="47"/>
        </w:numPr>
        <w:rPr>
          <w:rFonts w:ascii="Arial" w:cs="Arial" w:eastAsia="Arial" w:hAnsi="Arial"/>
          <w:sz w:val="16"/>
          <w:szCs w:val="16"/>
          <w:color w:val="auto"/>
        </w:rPr>
      </w:pPr>
      <w:r>
        <w:rPr>
          <w:rFonts w:ascii="Arial" w:cs="Arial" w:eastAsia="Arial" w:hAnsi="Arial"/>
          <w:sz w:val="16"/>
          <w:szCs w:val="16"/>
          <w:color w:val="auto"/>
        </w:rPr>
        <w:t>the PSs and the shares of Common Stock subject to the PSs are an extraordinary item that does not constitute compensation of any kind for services of any kind rendered to the Company or the Employer, and which is outside the scope of Employee’s employment contract, if any;</w:t>
      </w:r>
    </w:p>
    <w:p>
      <w:pPr>
        <w:spacing w:after="0" w:line="108" w:lineRule="exact"/>
        <w:rPr>
          <w:rFonts w:ascii="Arial" w:cs="Arial" w:eastAsia="Arial" w:hAnsi="Arial"/>
          <w:sz w:val="16"/>
          <w:szCs w:val="16"/>
          <w:color w:val="auto"/>
        </w:rPr>
      </w:pPr>
    </w:p>
    <w:p>
      <w:pPr>
        <w:ind w:left="1012" w:hanging="556"/>
        <w:spacing w:after="0"/>
        <w:tabs>
          <w:tab w:leader="none" w:pos="1012"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PSs and the shares of Common Stock subject to the PSs are not intended to replace any pension rights or compensation;</w:t>
      </w:r>
    </w:p>
    <w:p>
      <w:pPr>
        <w:spacing w:after="0" w:line="157" w:lineRule="exact"/>
        <w:rPr>
          <w:rFonts w:ascii="Arial" w:cs="Arial" w:eastAsia="Arial" w:hAnsi="Arial"/>
          <w:sz w:val="18"/>
          <w:szCs w:val="18"/>
          <w:color w:val="auto"/>
        </w:rPr>
      </w:pPr>
    </w:p>
    <w:p>
      <w:pPr>
        <w:ind w:left="-8" w:right="520" w:firstLine="464"/>
        <w:spacing w:after="0" w:line="275" w:lineRule="auto"/>
        <w:tabs>
          <w:tab w:leader="none" w:pos="1005" w:val="left"/>
        </w:tabs>
        <w:numPr>
          <w:ilvl w:val="1"/>
          <w:numId w:val="47"/>
        </w:numPr>
        <w:rPr>
          <w:rFonts w:ascii="Arial" w:cs="Arial" w:eastAsia="Arial" w:hAnsi="Arial"/>
          <w:sz w:val="16"/>
          <w:szCs w:val="16"/>
          <w:color w:val="auto"/>
        </w:rPr>
      </w:pPr>
      <w:r>
        <w:rPr>
          <w:rFonts w:ascii="Arial" w:cs="Arial" w:eastAsia="Arial" w:hAnsi="Arial"/>
          <w:sz w:val="16"/>
          <w:szCs w:val="16"/>
          <w:color w:val="auto"/>
        </w:rPr>
        <w:t>the PSs and the shares of Common Stock subject to the PSs are not part of normal or expected compensation or salary for any purposes, including, but not limited to, calculating any severance, resignation, termination, redundancy, dismissal, end of service payments, bonuses, long-service awards, pension or retirement or welfare benefits or similar payments and in no event should be considered as compensation for, or relating in any way to, past services for the Company, the Employer or any subsidiary of the Company;</w:t>
      </w:r>
    </w:p>
    <w:p>
      <w:pPr>
        <w:spacing w:after="0" w:line="129" w:lineRule="exact"/>
        <w:rPr>
          <w:rFonts w:ascii="Arial" w:cs="Arial" w:eastAsia="Arial" w:hAnsi="Arial"/>
          <w:sz w:val="16"/>
          <w:szCs w:val="16"/>
          <w:color w:val="auto"/>
        </w:rPr>
      </w:pPr>
    </w:p>
    <w:p>
      <w:pPr>
        <w:ind w:left="952" w:hanging="496"/>
        <w:spacing w:after="0"/>
        <w:tabs>
          <w:tab w:leader="none" w:pos="952"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future value of the underlying shares of Common Stock is unknown and cannot be predicted with certainty;</w:t>
      </w:r>
    </w:p>
    <w:p>
      <w:pPr>
        <w:spacing w:after="0" w:line="157" w:lineRule="exact"/>
        <w:rPr>
          <w:rFonts w:ascii="Arial" w:cs="Arial" w:eastAsia="Arial" w:hAnsi="Arial"/>
          <w:sz w:val="18"/>
          <w:szCs w:val="18"/>
          <w:color w:val="auto"/>
        </w:rPr>
      </w:pPr>
    </w:p>
    <w:p>
      <w:pPr>
        <w:ind w:left="-8" w:right="160" w:firstLine="464"/>
        <w:spacing w:after="0" w:line="236" w:lineRule="auto"/>
        <w:tabs>
          <w:tab w:leader="none" w:pos="946" w:val="left"/>
        </w:tabs>
        <w:numPr>
          <w:ilvl w:val="1"/>
          <w:numId w:val="47"/>
        </w:numPr>
        <w:rPr>
          <w:rFonts w:ascii="Arial" w:cs="Arial" w:eastAsia="Arial" w:hAnsi="Arial"/>
          <w:sz w:val="18"/>
          <w:szCs w:val="18"/>
          <w:color w:val="auto"/>
        </w:rPr>
      </w:pPr>
      <w:r>
        <w:rPr>
          <w:rFonts w:ascii="Arial" w:cs="Arial" w:eastAsia="Arial" w:hAnsi="Arial"/>
          <w:sz w:val="18"/>
          <w:szCs w:val="18"/>
          <w:color w:val="auto"/>
        </w:rPr>
        <w:t>in consideration of the award of the PSs, no claim or entitlement to compensation or damages shall arise from forfeiture of the PSs, including, but not limited to, forfeiture resulting from termination of Employee’s employment with the Company or the Employer (for any reason whatsoever and whether or not in breach of local labor laws) and Employee irrevocably releases the Company and the Employer from any such claim that may arise; if, notwithstanding the foregoing, any such claim is found by a court of competent jurisdiction to have arisen, Employee shall be deemed irrevocably to have waived Employee’s entitlement to pursue such claim; and</w:t>
      </w:r>
    </w:p>
    <w:p>
      <w:pPr>
        <w:spacing w:after="0" w:line="157" w:lineRule="exact"/>
        <w:rPr>
          <w:rFonts w:ascii="Arial" w:cs="Arial" w:eastAsia="Arial" w:hAnsi="Arial"/>
          <w:sz w:val="18"/>
          <w:szCs w:val="18"/>
          <w:color w:val="auto"/>
        </w:rPr>
      </w:pPr>
    </w:p>
    <w:p>
      <w:pPr>
        <w:ind w:left="-8" w:right="280" w:firstLine="464"/>
        <w:spacing w:after="0" w:line="239" w:lineRule="auto"/>
        <w:tabs>
          <w:tab w:leader="none" w:pos="995" w:val="left"/>
        </w:tabs>
        <w:numPr>
          <w:ilvl w:val="1"/>
          <w:numId w:val="47"/>
        </w:numPr>
        <w:rPr>
          <w:rFonts w:ascii="Arial" w:cs="Arial" w:eastAsia="Arial" w:hAnsi="Arial"/>
          <w:sz w:val="18"/>
          <w:szCs w:val="18"/>
          <w:color w:val="auto"/>
        </w:rPr>
      </w:pPr>
      <w:r>
        <w:rPr>
          <w:rFonts w:ascii="Arial" w:cs="Arial" w:eastAsia="Arial" w:hAnsi="Arial"/>
          <w:sz w:val="18"/>
          <w:szCs w:val="18"/>
          <w:color w:val="auto"/>
        </w:rPr>
        <w:t>subject to the provisions in the Plan regarding Change in Control, PSs and the benefits under the Plan, if any, will not automatically transfer to another company in the case of a merger, take-over or transfer of liability.</w:t>
      </w:r>
    </w:p>
    <w:p>
      <w:pPr>
        <w:spacing w:after="0" w:line="154" w:lineRule="exact"/>
        <w:rPr>
          <w:rFonts w:ascii="Arial" w:cs="Arial" w:eastAsia="Arial" w:hAnsi="Arial"/>
          <w:sz w:val="18"/>
          <w:szCs w:val="18"/>
          <w:color w:val="auto"/>
        </w:rPr>
      </w:pPr>
    </w:p>
    <w:p>
      <w:pPr>
        <w:ind w:left="-8" w:right="240" w:firstLine="8"/>
        <w:spacing w:after="0" w:line="237" w:lineRule="auto"/>
        <w:tabs>
          <w:tab w:leader="none" w:pos="577"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No Advice Regarding Award</w:t>
      </w:r>
      <w:r>
        <w:rPr>
          <w:rFonts w:ascii="Arial" w:cs="Arial" w:eastAsia="Arial" w:hAnsi="Arial"/>
          <w:sz w:val="18"/>
          <w:szCs w:val="18"/>
          <w:color w:val="auto"/>
        </w:rPr>
        <w:t>. The Company is not providing any tax, legal or financial advice, nor is the Company making any recommendations regarding Employee’s participation in the Plan, or his or her acquisition or sale of the underlying shares of Common Stock. Employee is hereby advised to consult with his or her own personal tax, legal and financial advisors regarding his or her participation in the Plan before taking any action related to the Plan.</w:t>
      </w:r>
    </w:p>
    <w:p>
      <w:pPr>
        <w:spacing w:after="0" w:line="154" w:lineRule="exact"/>
        <w:rPr>
          <w:rFonts w:ascii="Arial" w:cs="Arial" w:eastAsia="Arial" w:hAnsi="Arial"/>
          <w:sz w:val="18"/>
          <w:szCs w:val="18"/>
          <w:color w:val="auto"/>
        </w:rPr>
      </w:pPr>
    </w:p>
    <w:p>
      <w:pPr>
        <w:ind w:left="-8" w:firstLine="8"/>
        <w:spacing w:after="0" w:line="239" w:lineRule="auto"/>
        <w:tabs>
          <w:tab w:leader="none" w:pos="583"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Amendment of This Agreement</w:t>
      </w:r>
      <w:r>
        <w:rPr>
          <w:rFonts w:ascii="Arial" w:cs="Arial" w:eastAsia="Arial" w:hAnsi="Arial"/>
          <w:sz w:val="18"/>
          <w:szCs w:val="18"/>
          <w:color w:val="auto"/>
        </w:rPr>
        <w:t>. With the consent of the Employee, the Committee or its authorized delegate, as applicable, may amend this Agreement in a manner not inconsistent with the Plan.</w:t>
      </w:r>
    </w:p>
    <w:p>
      <w:pPr>
        <w:spacing w:after="0" w:line="154" w:lineRule="exact"/>
        <w:rPr>
          <w:rFonts w:ascii="Arial" w:cs="Arial" w:eastAsia="Arial" w:hAnsi="Arial"/>
          <w:sz w:val="18"/>
          <w:szCs w:val="18"/>
          <w:color w:val="auto"/>
        </w:rPr>
      </w:pPr>
    </w:p>
    <w:p>
      <w:pPr>
        <w:ind w:left="-8" w:firstLine="8"/>
        <w:spacing w:after="0" w:line="239" w:lineRule="auto"/>
        <w:tabs>
          <w:tab w:leader="none" w:pos="556"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Subsidiary</w:t>
      </w:r>
      <w:r>
        <w:rPr>
          <w:rFonts w:ascii="Arial" w:cs="Arial" w:eastAsia="Arial" w:hAnsi="Arial"/>
          <w:sz w:val="18"/>
          <w:szCs w:val="18"/>
          <w:color w:val="auto"/>
        </w:rPr>
        <w:t>. As used herein the term “subsidiary” shall mean any present or future corporation which would be a “subsidiary corporation” of the Company as the term is defined in Section 425 of the Internal Revenue Code of 1986 on the date of award.</w:t>
      </w:r>
    </w:p>
    <w:p>
      <w:pPr>
        <w:spacing w:after="0" w:line="154" w:lineRule="exact"/>
        <w:rPr>
          <w:rFonts w:ascii="Arial" w:cs="Arial" w:eastAsia="Arial" w:hAnsi="Arial"/>
          <w:sz w:val="18"/>
          <w:szCs w:val="18"/>
          <w:color w:val="auto"/>
        </w:rPr>
      </w:pPr>
    </w:p>
    <w:p>
      <w:pPr>
        <w:ind w:left="-8" w:right="20" w:firstLine="8"/>
        <w:spacing w:after="0" w:line="239" w:lineRule="auto"/>
        <w:tabs>
          <w:tab w:leader="none" w:pos="569"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Affiliate</w:t>
      </w:r>
      <w:r>
        <w:rPr>
          <w:rFonts w:ascii="Arial" w:cs="Arial" w:eastAsia="Arial" w:hAnsi="Arial"/>
          <w:sz w:val="18"/>
          <w:szCs w:val="18"/>
          <w:color w:val="auto"/>
        </w:rPr>
        <w:t>. As used herein the term “affiliate” shall mean any entity in which the Company has a significant equity interest, as determined by the Committee.</w:t>
      </w:r>
    </w:p>
    <w:p>
      <w:pPr>
        <w:spacing w:after="0" w:line="154" w:lineRule="exact"/>
        <w:rPr>
          <w:rFonts w:ascii="Arial" w:cs="Arial" w:eastAsia="Arial" w:hAnsi="Arial"/>
          <w:sz w:val="18"/>
          <w:szCs w:val="18"/>
          <w:color w:val="auto"/>
        </w:rPr>
      </w:pPr>
    </w:p>
    <w:p>
      <w:pPr>
        <w:ind w:left="532" w:hanging="532"/>
        <w:spacing w:after="0"/>
        <w:tabs>
          <w:tab w:leader="none" w:pos="532"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Recoupments.</w:t>
      </w:r>
    </w:p>
    <w:p>
      <w:pPr>
        <w:spacing w:after="0" w:line="157" w:lineRule="exact"/>
        <w:rPr>
          <w:rFonts w:ascii="Arial" w:cs="Arial" w:eastAsia="Arial" w:hAnsi="Arial"/>
          <w:sz w:val="18"/>
          <w:szCs w:val="18"/>
          <w:color w:val="auto"/>
        </w:rPr>
      </w:pPr>
    </w:p>
    <w:p>
      <w:pPr>
        <w:jc w:val="both"/>
        <w:ind w:left="-8" w:firstLine="464"/>
        <w:spacing w:after="0" w:line="236" w:lineRule="auto"/>
        <w:tabs>
          <w:tab w:leader="none" w:pos="1022" w:val="left"/>
        </w:tabs>
        <w:numPr>
          <w:ilvl w:val="1"/>
          <w:numId w:val="48"/>
        </w:numPr>
        <w:rPr>
          <w:rFonts w:ascii="Arial" w:cs="Arial" w:eastAsia="Arial" w:hAnsi="Arial"/>
          <w:sz w:val="18"/>
          <w:szCs w:val="18"/>
          <w:color w:val="auto"/>
        </w:rPr>
      </w:pPr>
      <w:r>
        <w:rPr>
          <w:rFonts w:ascii="Arial" w:cs="Arial" w:eastAsia="Arial" w:hAnsi="Arial"/>
          <w:sz w:val="18"/>
          <w:szCs w:val="18"/>
          <w:color w:val="auto"/>
        </w:rPr>
        <w:t>If an Employee or former Employee of the Company is deemed by the Committee or its authorized delegate, as applicable, to have engaged in detrimental activity against the Company, any awards granted to such Employee or former Employee shall be cancelled and be of no further force or effect and any payment or delivery of an award within six months prior to such detrimental activity may be rescinded. In the event of any such rescission, the Employee shall pay to the Company the amount of any gain realized or payment received as a result of the rescinded exercise, payment or delivery, in such manner and on such terms and conditions as may be required by the Committee or its authorized delegate, as applicable. Detrimental activity may include:</w:t>
      </w:r>
    </w:p>
    <w:p>
      <w:pPr>
        <w:spacing w:after="0" w:line="156" w:lineRule="exact"/>
        <w:rPr>
          <w:sz w:val="20"/>
          <w:szCs w:val="20"/>
          <w:color w:val="auto"/>
        </w:rPr>
      </w:pPr>
    </w:p>
    <w:p>
      <w:pPr>
        <w:ind w:left="5652" w:right="4860" w:hanging="4739"/>
        <w:spacing w:after="0" w:line="411" w:lineRule="auto"/>
        <w:tabs>
          <w:tab w:leader="none" w:pos="1112" w:val="left"/>
        </w:tabs>
        <w:numPr>
          <w:ilvl w:val="0"/>
          <w:numId w:val="49"/>
        </w:numPr>
        <w:rPr>
          <w:rFonts w:ascii="Arial" w:cs="Arial" w:eastAsia="Arial" w:hAnsi="Arial"/>
          <w:sz w:val="18"/>
          <w:szCs w:val="18"/>
          <w:color w:val="auto"/>
        </w:rPr>
      </w:pPr>
      <w:r>
        <w:rPr>
          <w:rFonts w:ascii="Arial" w:cs="Arial" w:eastAsia="Arial" w:hAnsi="Arial"/>
          <w:sz w:val="18"/>
          <w:szCs w:val="18"/>
          <w:color w:val="auto"/>
        </w:rPr>
        <w:t>violating terms of a non-compete agreement with the Company, if any; 4</w:t>
      </w:r>
    </w:p>
    <w:p>
      <w:pPr>
        <w:sectPr>
          <w:pgSz w:w="11900" w:h="16838" w:orient="portrait"/>
          <w:cols w:equalWidth="0" w:num="1">
            <w:col w:w="11412"/>
          </w:cols>
          <w:pgMar w:left="248" w:top="345" w:right="239" w:bottom="1440" w:gutter="0" w:footer="0" w:header="0"/>
        </w:sectPr>
      </w:pPr>
    </w:p>
    <w:bookmarkStart w:id="58" w:name="page59"/>
    <w:bookmarkEnd w:id="58"/>
    <w:p>
      <w:pPr>
        <w:ind w:left="1160" w:hanging="239"/>
        <w:spacing w:after="0"/>
        <w:tabs>
          <w:tab w:leader="none" w:pos="1160" w:val="left"/>
        </w:tabs>
        <w:numPr>
          <w:ilvl w:val="2"/>
          <w:numId w:val="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disclosing confidential or proprietary business information of the Company;</w:t>
      </w:r>
    </w:p>
    <w:p>
      <w:pPr>
        <w:spacing w:after="0" w:line="157" w:lineRule="exact"/>
        <w:rPr>
          <w:rFonts w:ascii="Arial" w:cs="Arial" w:eastAsia="Arial" w:hAnsi="Arial"/>
          <w:sz w:val="18"/>
          <w:szCs w:val="18"/>
          <w:color w:val="auto"/>
        </w:rPr>
      </w:pPr>
    </w:p>
    <w:p>
      <w:pPr>
        <w:ind w:left="1200" w:hanging="279"/>
        <w:spacing w:after="0"/>
        <w:tabs>
          <w:tab w:leader="none" w:pos="1200" w:val="left"/>
        </w:tabs>
        <w:numPr>
          <w:ilvl w:val="2"/>
          <w:numId w:val="50"/>
        </w:numPr>
        <w:rPr>
          <w:rFonts w:ascii="Arial" w:cs="Arial" w:eastAsia="Arial" w:hAnsi="Arial"/>
          <w:sz w:val="18"/>
          <w:szCs w:val="18"/>
          <w:color w:val="auto"/>
        </w:rPr>
      </w:pPr>
      <w:r>
        <w:rPr>
          <w:rFonts w:ascii="Arial" w:cs="Arial" w:eastAsia="Arial" w:hAnsi="Arial"/>
          <w:sz w:val="18"/>
          <w:szCs w:val="18"/>
          <w:color w:val="auto"/>
        </w:rPr>
        <w:t>violating any rules, policies, procedures or guidelines of the Company;</w:t>
      </w:r>
    </w:p>
    <w:p>
      <w:pPr>
        <w:spacing w:after="0" w:line="157" w:lineRule="exact"/>
        <w:rPr>
          <w:rFonts w:ascii="Arial" w:cs="Arial" w:eastAsia="Arial" w:hAnsi="Arial"/>
          <w:sz w:val="18"/>
          <w:szCs w:val="18"/>
          <w:color w:val="auto"/>
        </w:rPr>
      </w:pPr>
    </w:p>
    <w:p>
      <w:pPr>
        <w:ind w:left="1220" w:hanging="299"/>
        <w:spacing w:after="0"/>
        <w:tabs>
          <w:tab w:leader="none" w:pos="1220" w:val="left"/>
        </w:tabs>
        <w:numPr>
          <w:ilvl w:val="2"/>
          <w:numId w:val="50"/>
        </w:numPr>
        <w:rPr>
          <w:rFonts w:ascii="Arial" w:cs="Arial" w:eastAsia="Arial" w:hAnsi="Arial"/>
          <w:sz w:val="18"/>
          <w:szCs w:val="18"/>
          <w:color w:val="auto"/>
        </w:rPr>
      </w:pPr>
      <w:r>
        <w:rPr>
          <w:rFonts w:ascii="Arial" w:cs="Arial" w:eastAsia="Arial" w:hAnsi="Arial"/>
          <w:sz w:val="18"/>
          <w:szCs w:val="18"/>
          <w:color w:val="auto"/>
        </w:rPr>
        <w:t>directly or indirectly soliciting any employee of the Company to terminate employment with the Company;</w:t>
      </w:r>
    </w:p>
    <w:p>
      <w:pPr>
        <w:spacing w:after="0" w:line="157" w:lineRule="exact"/>
        <w:rPr>
          <w:rFonts w:ascii="Arial" w:cs="Arial" w:eastAsia="Arial" w:hAnsi="Arial"/>
          <w:sz w:val="18"/>
          <w:szCs w:val="18"/>
          <w:color w:val="auto"/>
        </w:rPr>
      </w:pPr>
    </w:p>
    <w:p>
      <w:pPr>
        <w:ind w:firstLine="921"/>
        <w:spacing w:after="0" w:line="239" w:lineRule="auto"/>
        <w:tabs>
          <w:tab w:leader="none" w:pos="1166" w:val="left"/>
        </w:tabs>
        <w:numPr>
          <w:ilvl w:val="2"/>
          <w:numId w:val="50"/>
        </w:numPr>
        <w:rPr>
          <w:rFonts w:ascii="Arial" w:cs="Arial" w:eastAsia="Arial" w:hAnsi="Arial"/>
          <w:sz w:val="18"/>
          <w:szCs w:val="18"/>
          <w:color w:val="auto"/>
        </w:rPr>
      </w:pPr>
      <w:r>
        <w:rPr>
          <w:rFonts w:ascii="Arial" w:cs="Arial" w:eastAsia="Arial" w:hAnsi="Arial"/>
          <w:sz w:val="18"/>
          <w:szCs w:val="18"/>
          <w:color w:val="auto"/>
        </w:rPr>
        <w:t>directly or indirectly soliciting or accepting business from any customer or potential customer or encouraging any customer, potential customer or supplier of the Company to reduce the level of business it does with the Company;</w:t>
      </w:r>
    </w:p>
    <w:p>
      <w:pPr>
        <w:spacing w:after="0" w:line="154" w:lineRule="exact"/>
        <w:rPr>
          <w:rFonts w:ascii="Arial" w:cs="Arial" w:eastAsia="Arial" w:hAnsi="Arial"/>
          <w:sz w:val="18"/>
          <w:szCs w:val="18"/>
          <w:color w:val="auto"/>
        </w:rPr>
      </w:pPr>
    </w:p>
    <w:p>
      <w:pPr>
        <w:ind w:left="1220" w:hanging="299"/>
        <w:spacing w:after="0"/>
        <w:tabs>
          <w:tab w:leader="none" w:pos="1220" w:val="left"/>
        </w:tabs>
        <w:numPr>
          <w:ilvl w:val="2"/>
          <w:numId w:val="50"/>
        </w:numPr>
        <w:rPr>
          <w:rFonts w:ascii="Arial" w:cs="Arial" w:eastAsia="Arial" w:hAnsi="Arial"/>
          <w:sz w:val="18"/>
          <w:szCs w:val="18"/>
          <w:color w:val="auto"/>
        </w:rPr>
      </w:pPr>
      <w:r>
        <w:rPr>
          <w:rFonts w:ascii="Arial" w:cs="Arial" w:eastAsia="Arial" w:hAnsi="Arial"/>
          <w:sz w:val="18"/>
          <w:szCs w:val="18"/>
          <w:color w:val="auto"/>
        </w:rPr>
        <w:t>engaging in any other conduct or act that is determined to be injurious, detrimental or prejudicial to any interest of the Company.</w:t>
      </w:r>
    </w:p>
    <w:p>
      <w:pPr>
        <w:spacing w:after="0" w:line="157" w:lineRule="exact"/>
        <w:rPr>
          <w:rFonts w:ascii="Arial" w:cs="Arial" w:eastAsia="Arial" w:hAnsi="Arial"/>
          <w:sz w:val="18"/>
          <w:szCs w:val="18"/>
          <w:color w:val="auto"/>
        </w:rPr>
      </w:pPr>
    </w:p>
    <w:p>
      <w:pPr>
        <w:jc w:val="both"/>
        <w:ind w:firstLine="464"/>
        <w:spacing w:after="0" w:line="236" w:lineRule="auto"/>
        <w:tabs>
          <w:tab w:leader="none" w:pos="1109" w:val="left"/>
        </w:tabs>
        <w:numPr>
          <w:ilvl w:val="1"/>
          <w:numId w:val="51"/>
        </w:numPr>
        <w:rPr>
          <w:rFonts w:ascii="Arial" w:cs="Arial" w:eastAsia="Arial" w:hAnsi="Arial"/>
          <w:sz w:val="18"/>
          <w:szCs w:val="18"/>
          <w:color w:val="auto"/>
        </w:rPr>
      </w:pPr>
      <w:r>
        <w:rPr>
          <w:rFonts w:ascii="Arial" w:cs="Arial" w:eastAsia="Arial" w:hAnsi="Arial"/>
          <w:sz w:val="18"/>
          <w:szCs w:val="18"/>
          <w:color w:val="auto"/>
        </w:rPr>
        <w:t>If an accounting restatement by the Company is required in order to correct any material noncompliance with financial reporting requirements under relevant securities laws, the Company will have the authority to recover from executive officers or former executive officers, whether or not still employed by the Company, any excess incentive-based compensation (in excess of what would have been paid under the accounting restatement), including entitlement to shares, provided under this Agreement to executive officers of the Company that was based on such erroneous data and paid during the three-year period preceding the date on which the Company is required to prepare the accounting restatement. Notwithstanding anything herein to the contrary, the Company may implement any policy or take any action with respect to the recovery of excess incentive-based compensation, including entitlement to shares that the Company determines to be necessary or advisable in order to comply with the requirements of the Dodd-Frank Wall Street Financial Reform and Consumer Protection Act.</w:t>
      </w:r>
    </w:p>
    <w:p>
      <w:pPr>
        <w:spacing w:after="0" w:line="154" w:lineRule="exact"/>
        <w:rPr>
          <w:rFonts w:ascii="Arial" w:cs="Arial" w:eastAsia="Arial" w:hAnsi="Arial"/>
          <w:sz w:val="18"/>
          <w:szCs w:val="18"/>
          <w:color w:val="auto"/>
        </w:rPr>
      </w:pPr>
    </w:p>
    <w:p>
      <w:pPr>
        <w:ind w:firstLine="8"/>
        <w:spacing w:after="0" w:line="299" w:lineRule="auto"/>
        <w:tabs>
          <w:tab w:leader="none" w:pos="577"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Cancellation and Rescission of Award</w:t>
      </w:r>
      <w:r>
        <w:rPr>
          <w:rFonts w:ascii="Arial" w:cs="Arial" w:eastAsia="Arial" w:hAnsi="Arial"/>
          <w:sz w:val="16"/>
          <w:szCs w:val="16"/>
          <w:color w:val="auto"/>
        </w:rPr>
        <w:t>. Without limiting the foregoing Paragraph regarding non-engagement in detrimental activity against the Company, the Company may cancel any award provided hereunder if the Employee is not in compliance with all of the following conditions:</w:t>
      </w:r>
    </w:p>
    <w:p>
      <w:pPr>
        <w:spacing w:after="0" w:line="108" w:lineRule="exact"/>
        <w:rPr>
          <w:rFonts w:ascii="Arial" w:cs="Arial" w:eastAsia="Arial" w:hAnsi="Arial"/>
          <w:sz w:val="16"/>
          <w:szCs w:val="16"/>
          <w:color w:val="auto"/>
        </w:rPr>
      </w:pPr>
    </w:p>
    <w:p>
      <w:pPr>
        <w:ind w:firstLine="464"/>
        <w:spacing w:after="0" w:line="239" w:lineRule="auto"/>
        <w:tabs>
          <w:tab w:leader="none" w:pos="1048"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 Employee shall not render services for any organization or engage directly or indirectly in any business which would cause the Employee to breach any of the post-employment prohibitions contained in any agreement between the Company and the Employee.</w:t>
      </w:r>
    </w:p>
    <w:p>
      <w:pPr>
        <w:spacing w:after="0" w:line="154" w:lineRule="exact"/>
        <w:rPr>
          <w:rFonts w:ascii="Arial" w:cs="Arial" w:eastAsia="Arial" w:hAnsi="Arial"/>
          <w:sz w:val="18"/>
          <w:szCs w:val="18"/>
          <w:color w:val="auto"/>
        </w:rPr>
      </w:pPr>
    </w:p>
    <w:p>
      <w:pPr>
        <w:jc w:val="both"/>
        <w:ind w:firstLine="464"/>
        <w:spacing w:after="0" w:line="237" w:lineRule="auto"/>
        <w:tabs>
          <w:tab w:leader="none" w:pos="973"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 Employee shall not, without prior written authorization from the Company, disclose to anyone outside the Company, or use in other than the Company’s business, any confidential information or material, as specified in any agreement between the Company and the Employee which contains post-employment prohibitions, relating to the business of the Company, acquired by the Employee either during or after employment with the Company.</w:t>
      </w:r>
    </w:p>
    <w:p>
      <w:pPr>
        <w:spacing w:after="0" w:line="154" w:lineRule="exact"/>
        <w:rPr>
          <w:rFonts w:ascii="Arial" w:cs="Arial" w:eastAsia="Arial" w:hAnsi="Arial"/>
          <w:sz w:val="18"/>
          <w:szCs w:val="18"/>
          <w:color w:val="auto"/>
        </w:rPr>
      </w:pPr>
    </w:p>
    <w:p>
      <w:pPr>
        <w:jc w:val="both"/>
        <w:ind w:firstLine="464"/>
        <w:spacing w:after="0" w:line="236" w:lineRule="auto"/>
        <w:tabs>
          <w:tab w:leader="none" w:pos="944"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 Employee, pursuant to any agreement between the Company and the Employee which contains post-employment prohibitions shall disclose promptly and assign to the Company all right, title and interest in any invention or idea, patentable or not, made or conceived by the Employee during employment with the Company, relating in any manner to the actual or anticipated business, research or development work of the Company and shall do anything reasonably necessary to enable the Company to secure a patent where appropriate in the United States and in foreign countries.</w:t>
      </w:r>
    </w:p>
    <w:p>
      <w:pPr>
        <w:spacing w:after="0" w:line="157" w:lineRule="exact"/>
        <w:rPr>
          <w:rFonts w:ascii="Arial" w:cs="Arial" w:eastAsia="Arial" w:hAnsi="Arial"/>
          <w:sz w:val="18"/>
          <w:szCs w:val="18"/>
          <w:color w:val="auto"/>
        </w:rPr>
      </w:pPr>
    </w:p>
    <w:p>
      <w:pPr>
        <w:jc w:val="both"/>
        <w:ind w:firstLine="464"/>
        <w:spacing w:after="0" w:line="236" w:lineRule="auto"/>
        <w:tabs>
          <w:tab w:leader="none" w:pos="10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Failure to comply with the provision of subparagraphs (a), (b) or (c) of this Paragraph 17 prior to, or during the six months after, any payment or delivery shall cause such payment or delivery to be rescinded. The Company shall notify the Employee in writing of any such rescission within two years after such payment or delivery. Within ten days after receiving such a notice from the Company, the Employee shall pay to the Company the amount of any payment received as a result of the rescinded payment or delivery pursuant to an award. Such payment to the Company by the Employee shall be made either in cash or by returning to the Company the number of shares of common stock that the Employee received in connection with the rescinded payment or delivery.</w:t>
      </w:r>
    </w:p>
    <w:p>
      <w:pPr>
        <w:spacing w:after="0" w:line="156" w:lineRule="exact"/>
        <w:rPr>
          <w:rFonts w:ascii="Arial" w:cs="Arial" w:eastAsia="Arial" w:hAnsi="Arial"/>
          <w:sz w:val="18"/>
          <w:szCs w:val="18"/>
          <w:color w:val="auto"/>
        </w:rPr>
      </w:pPr>
    </w:p>
    <w:p>
      <w:pPr>
        <w:jc w:val="both"/>
        <w:ind w:firstLine="8"/>
        <w:spacing w:after="0" w:line="221" w:lineRule="auto"/>
        <w:tabs>
          <w:tab w:leader="none" w:pos="55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Notices hereunder shall be in writing and if to the Company shall be mailed to the Company at P.O. Box 4505, 45 Glover Avenue, 6</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Norwalk, Connecticut 06856-4505, addressed to the attention of Stock Plan Administrator, and if to the Employee shall be delivered personally or mailed to the Employee at his address as the same appears on the records of the Company.</w:t>
      </w:r>
    </w:p>
    <w:p>
      <w:pPr>
        <w:spacing w:after="0" w:line="155" w:lineRule="exact"/>
        <w:rPr>
          <w:rFonts w:ascii="Arial" w:cs="Arial" w:eastAsia="Arial" w:hAnsi="Arial"/>
          <w:sz w:val="18"/>
          <w:szCs w:val="18"/>
          <w:color w:val="auto"/>
        </w:rPr>
      </w:pPr>
    </w:p>
    <w:p>
      <w:pPr>
        <w:ind w:firstLine="8"/>
        <w:spacing w:after="0" w:line="239" w:lineRule="auto"/>
        <w:tabs>
          <w:tab w:leader="none" w:pos="658"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Language</w:t>
      </w:r>
      <w:r>
        <w:rPr>
          <w:rFonts w:ascii="Arial" w:cs="Arial" w:eastAsia="Arial" w:hAnsi="Arial"/>
          <w:sz w:val="18"/>
          <w:szCs w:val="18"/>
          <w:color w:val="auto"/>
        </w:rPr>
        <w:t>. If Employee has received this Agreement or any other document related to the Plan translated into a language other than English and if the meaning of the translated version is different than the English version, the English version will control.</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45" w:right="239" w:bottom="1440" w:gutter="0" w:footer="0" w:header="0"/>
        </w:sectPr>
      </w:pPr>
    </w:p>
    <w:bookmarkStart w:id="59" w:name="page60"/>
    <w:bookmarkEnd w:id="59"/>
    <w:p>
      <w:pPr>
        <w:jc w:val="both"/>
        <w:ind w:firstLine="8"/>
        <w:spacing w:after="0" w:line="237" w:lineRule="auto"/>
        <w:tabs>
          <w:tab w:leader="none" w:pos="564"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Electronic Delivery and Acceptance</w:t>
      </w:r>
      <w:r>
        <w:rPr>
          <w:rFonts w:ascii="Arial" w:cs="Arial" w:eastAsia="Arial" w:hAnsi="Arial"/>
          <w:sz w:val="18"/>
          <w:szCs w:val="18"/>
          <w:color w:val="auto"/>
        </w:rPr>
        <w:t>. The Company may, in its sole discretion, decide to deliver any documents related to current or future participation in the Plan by electronic means. Employee hereby consents to receive such documents by electronic delivery and agrees to participate in the Plan through an on-line or electronic system established and maintained by the Company or a third party designated by the Company.</w:t>
      </w:r>
    </w:p>
    <w:p>
      <w:pPr>
        <w:spacing w:after="0" w:line="154" w:lineRule="exact"/>
        <w:rPr>
          <w:rFonts w:ascii="Arial" w:cs="Arial" w:eastAsia="Arial" w:hAnsi="Arial"/>
          <w:sz w:val="18"/>
          <w:szCs w:val="18"/>
          <w:color w:val="auto"/>
        </w:rPr>
      </w:pPr>
    </w:p>
    <w:p>
      <w:pPr>
        <w:jc w:val="both"/>
        <w:ind w:firstLine="8"/>
        <w:spacing w:after="0" w:line="236" w:lineRule="auto"/>
        <w:tabs>
          <w:tab w:leader="none" w:pos="564"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Interpretation of This Agreement</w:t>
      </w:r>
      <w:r>
        <w:rPr>
          <w:rFonts w:ascii="Arial" w:cs="Arial" w:eastAsia="Arial" w:hAnsi="Arial"/>
          <w:sz w:val="18"/>
          <w:szCs w:val="18"/>
          <w:color w:val="auto"/>
        </w:rPr>
        <w:t>. The Committee or it authorized delegate, as applicable, shall have the authority to interpret the Plan and this Agreement and to take whatever administrative actions, including correction of administrative errors in the awards subject to this Agreement and in this Agreement, as the Committee or its authorized delegate, as applicable, in its sole good faith judgment shall be determined to be advisable. All decisions, interpretations and administrative actions made by the Committee or its authorized delegate, as applicable, hereunder or under the Plan shall be binding and conclusive on the Company and the Employee. In the event there is inconsistency between the provisions of this Agreement and of the Plan, the provisions of the Plan shall govern.</w:t>
      </w:r>
    </w:p>
    <w:p>
      <w:pPr>
        <w:spacing w:after="0" w:line="156" w:lineRule="exact"/>
        <w:rPr>
          <w:rFonts w:ascii="Arial" w:cs="Arial" w:eastAsia="Arial" w:hAnsi="Arial"/>
          <w:sz w:val="18"/>
          <w:szCs w:val="18"/>
          <w:color w:val="auto"/>
        </w:rPr>
      </w:pPr>
    </w:p>
    <w:p>
      <w:pPr>
        <w:ind w:firstLine="8"/>
        <w:spacing w:after="0" w:line="239" w:lineRule="auto"/>
        <w:tabs>
          <w:tab w:leader="none" w:pos="55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and inure to the benefit of the parties hereto and the successors and assigns of the Company and to the extent provided in Paragraph 8 to the personal representatives, legatees and heirs of the Employee.</w:t>
      </w:r>
    </w:p>
    <w:p>
      <w:pPr>
        <w:spacing w:after="0" w:line="154" w:lineRule="exact"/>
        <w:rPr>
          <w:rFonts w:ascii="Arial" w:cs="Arial" w:eastAsia="Arial" w:hAnsi="Arial"/>
          <w:sz w:val="18"/>
          <w:szCs w:val="18"/>
          <w:color w:val="auto"/>
        </w:rPr>
      </w:pPr>
    </w:p>
    <w:p>
      <w:pPr>
        <w:ind w:firstLine="8"/>
        <w:spacing w:after="0" w:line="239" w:lineRule="auto"/>
        <w:tabs>
          <w:tab w:leader="none" w:pos="537"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Governing Law and Venue</w:t>
      </w:r>
      <w:r>
        <w:rPr>
          <w:rFonts w:ascii="Arial" w:cs="Arial" w:eastAsia="Arial" w:hAnsi="Arial"/>
          <w:sz w:val="18"/>
          <w:szCs w:val="18"/>
          <w:color w:val="auto"/>
        </w:rPr>
        <w:t>. The validity, construction and effect of the Agreement and any actions taken under or relating to this Agreement shall be determined in accordance with the laws of the state of New York and applicable Federal law.</w:t>
      </w:r>
    </w:p>
    <w:p>
      <w:pPr>
        <w:spacing w:after="0" w:line="155" w:lineRule="exact"/>
        <w:rPr>
          <w:sz w:val="20"/>
          <w:szCs w:val="20"/>
          <w:color w:val="auto"/>
        </w:rPr>
      </w:pPr>
    </w:p>
    <w:p>
      <w:pPr>
        <w:jc w:val="both"/>
        <w:ind w:firstLine="456"/>
        <w:spacing w:after="0" w:line="238" w:lineRule="auto"/>
        <w:rPr>
          <w:sz w:val="20"/>
          <w:szCs w:val="20"/>
          <w:color w:val="auto"/>
        </w:rPr>
      </w:pPr>
      <w:r>
        <w:rPr>
          <w:rFonts w:ascii="Arial" w:cs="Arial" w:eastAsia="Arial" w:hAnsi="Arial"/>
          <w:sz w:val="18"/>
          <w:szCs w:val="18"/>
          <w:color w:val="auto"/>
        </w:rPr>
        <w:t>This grant is made and/or administered in the United States. For purposes of litigating any dispute that arises under this grant or the Agreement the parties hereby submit to and consent to the jurisdiction of the state of New York, agree that such litigation shall be conducted in the courts of Monroe County, New York, or the federal courts for the United States for the Western District of New York.</w:t>
      </w:r>
    </w:p>
    <w:p>
      <w:pPr>
        <w:spacing w:after="0" w:line="154" w:lineRule="exact"/>
        <w:rPr>
          <w:sz w:val="20"/>
          <w:szCs w:val="20"/>
          <w:color w:val="auto"/>
        </w:rPr>
      </w:pPr>
    </w:p>
    <w:p>
      <w:pPr>
        <w:jc w:val="both"/>
        <w:ind w:firstLine="8"/>
        <w:spacing w:after="0" w:line="238" w:lineRule="auto"/>
        <w:tabs>
          <w:tab w:leader="none" w:pos="726"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Separability</w:t>
      </w:r>
      <w:r>
        <w:rPr>
          <w:rFonts w:ascii="Arial" w:cs="Arial" w:eastAsia="Arial" w:hAnsi="Arial"/>
          <w:sz w:val="18"/>
          <w:szCs w:val="18"/>
          <w:color w:val="auto"/>
        </w:rPr>
        <w:t>. In case any provision in the Agreement, or in any other instrument referred to herein, shall become invalid, illegal or unenforceable, the validity, legality and enforceability of the remaining provisions in the Agreement, or in any other instrument referred to herein, shall not in any way be affected or impaired thereby.</w:t>
      </w:r>
    </w:p>
    <w:p>
      <w:pPr>
        <w:spacing w:after="0" w:line="154" w:lineRule="exact"/>
        <w:rPr>
          <w:rFonts w:ascii="Arial" w:cs="Arial" w:eastAsia="Arial" w:hAnsi="Arial"/>
          <w:sz w:val="18"/>
          <w:szCs w:val="18"/>
          <w:color w:val="auto"/>
        </w:rPr>
      </w:pPr>
    </w:p>
    <w:p>
      <w:pPr>
        <w:ind w:firstLine="8"/>
        <w:spacing w:after="0" w:line="239" w:lineRule="auto"/>
        <w:tabs>
          <w:tab w:leader="none" w:pos="591"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Integration of Terms</w:t>
      </w:r>
      <w:r>
        <w:rPr>
          <w:rFonts w:ascii="Arial" w:cs="Arial" w:eastAsia="Arial" w:hAnsi="Arial"/>
          <w:sz w:val="18"/>
          <w:szCs w:val="18"/>
          <w:color w:val="auto"/>
        </w:rPr>
        <w:t>. Except as otherwise provided in this Agreement, this Agreement contains the entire agreement between the parties relating to the subject matter hereof and supersedes any and all oral statements and prior writings with respect thereto.</w:t>
      </w:r>
    </w:p>
    <w:p>
      <w:pPr>
        <w:spacing w:after="0" w:line="154" w:lineRule="exact"/>
        <w:rPr>
          <w:rFonts w:ascii="Arial" w:cs="Arial" w:eastAsia="Arial" w:hAnsi="Arial"/>
          <w:sz w:val="18"/>
          <w:szCs w:val="18"/>
          <w:color w:val="auto"/>
        </w:rPr>
      </w:pPr>
    </w:p>
    <w:p>
      <w:pPr>
        <w:jc w:val="both"/>
        <w:ind w:firstLine="8"/>
        <w:spacing w:after="0" w:line="236" w:lineRule="auto"/>
        <w:tabs>
          <w:tab w:leader="none" w:pos="604"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Appendix for Non-U.S. Countries</w:t>
      </w:r>
      <w:r>
        <w:rPr>
          <w:rFonts w:ascii="Arial" w:cs="Arial" w:eastAsia="Arial" w:hAnsi="Arial"/>
          <w:sz w:val="18"/>
          <w:szCs w:val="18"/>
          <w:color w:val="auto"/>
        </w:rPr>
        <w:t>. Notwithstanding any provisions in this Agreement, the PS award shall be subject to any special terms and conditions set forth in any appendix to this Agreement for Employee’s country (the “Appendix”). Moreover, if Employee relocates to one of the countries included in the Appendix, the special terms and conditions for such country will apply to Employee, to the extent the Company determines that the application of such terms and conditions is necessary or advisable in order to comply with local law or facilitate the administration of the Plan. The Appendix constitutes part of this Agreement.</w:t>
      </w:r>
    </w:p>
    <w:p>
      <w:pPr>
        <w:spacing w:after="0" w:line="157" w:lineRule="exact"/>
        <w:rPr>
          <w:rFonts w:ascii="Arial" w:cs="Arial" w:eastAsia="Arial" w:hAnsi="Arial"/>
          <w:sz w:val="18"/>
          <w:szCs w:val="18"/>
          <w:color w:val="auto"/>
        </w:rPr>
      </w:pPr>
    </w:p>
    <w:p>
      <w:pPr>
        <w:jc w:val="both"/>
        <w:ind w:firstLine="8"/>
        <w:spacing w:after="0" w:line="236" w:lineRule="auto"/>
        <w:tabs>
          <w:tab w:leader="none" w:pos="793"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Imposition of Other Requirements</w:t>
      </w:r>
      <w:r>
        <w:rPr>
          <w:rFonts w:ascii="Arial" w:cs="Arial" w:eastAsia="Arial" w:hAnsi="Arial"/>
          <w:sz w:val="18"/>
          <w:szCs w:val="18"/>
          <w:color w:val="auto"/>
        </w:rPr>
        <w:t>. The Committee or its authorized delegate, as applicable, reserves the right to impose other requirements on Employee’s participation in the Plan, on the PSs and on any shares of Common Stock acquired under the Plan, to the extent the Committee or its authorized delegate, as applicable, determines it is necessary or advisable in order to comply with local law or facilitate the administration of the Plan, and to require Employee to sign any additional agreements or undertakings that may be necessary to accomplish the foregoing.</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Company has executed this Agreement as of the day and year set forth on the Award Summary.</w:t>
      </w:r>
    </w:p>
    <w:p>
      <w:pPr>
        <w:spacing w:after="0" w:line="198"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XEROX CORPORATION</w:t>
      </w:r>
    </w:p>
    <w:p>
      <w:pPr>
        <w:spacing w:after="0" w:line="200" w:lineRule="exact"/>
        <w:rPr>
          <w:sz w:val="20"/>
          <w:szCs w:val="20"/>
          <w:color w:val="auto"/>
        </w:rPr>
      </w:pPr>
    </w:p>
    <w:p>
      <w:pPr>
        <w:spacing w:after="0" w:line="2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-18415</wp:posOffset>
            </wp:positionV>
            <wp:extent cx="265874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ind w:left="8100"/>
        <w:spacing w:after="0"/>
        <w:rPr>
          <w:sz w:val="20"/>
          <w:szCs w:val="20"/>
          <w:color w:val="auto"/>
        </w:rPr>
      </w:pPr>
      <w:r>
        <w:rPr>
          <w:rFonts w:ascii="Arial" w:cs="Arial" w:eastAsia="Arial" w:hAnsi="Arial"/>
          <w:sz w:val="18"/>
          <w:szCs w:val="18"/>
          <w:color w:val="auto"/>
        </w:rPr>
        <w:t>Signature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45"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10(t)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XEROX CORPORATION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45 Glover Avenue</w:t>
      </w:r>
    </w:p>
    <w:p>
      <w:pPr>
        <w:jc w:val="center"/>
        <w:spacing w:after="0"/>
        <w:rPr>
          <w:sz w:val="20"/>
          <w:szCs w:val="20"/>
          <w:color w:val="auto"/>
        </w:rPr>
      </w:pPr>
      <w:r>
        <w:rPr>
          <w:rFonts w:ascii="Arial" w:cs="Arial" w:eastAsia="Arial" w:hAnsi="Arial"/>
          <w:sz w:val="18"/>
          <w:szCs w:val="18"/>
          <w:b w:val="1"/>
          <w:bCs w:val="1"/>
          <w:color w:val="auto"/>
        </w:rPr>
        <w:t>Norwalk, CT 06856-4505</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Severance Letter Agreement</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Providing Certain Benefits Upon Termination of Employment</w:t>
      </w:r>
    </w:p>
    <w:p>
      <w:pPr>
        <w:jc w:val="center"/>
        <w:spacing w:after="0"/>
        <w:rPr>
          <w:sz w:val="20"/>
          <w:szCs w:val="20"/>
          <w:color w:val="auto"/>
        </w:rPr>
      </w:pPr>
      <w:r>
        <w:rPr>
          <w:rFonts w:ascii="Arial" w:cs="Arial" w:eastAsia="Arial" w:hAnsi="Arial"/>
          <w:sz w:val="18"/>
          <w:szCs w:val="18"/>
          <w:b w:val="1"/>
          <w:bCs w:val="1"/>
          <w:color w:val="auto"/>
        </w:rPr>
        <w:t>Following a Change In Control</w:t>
      </w:r>
    </w:p>
    <w:p>
      <w:pPr>
        <w:spacing w:after="0" w:line="3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[Date]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Dear [Name]:</w:t>
      </w:r>
    </w:p>
    <w:p>
      <w:pPr>
        <w:spacing w:after="0" w:line="77" w:lineRule="exact"/>
        <w:rPr>
          <w:sz w:val="20"/>
          <w:szCs w:val="20"/>
          <w:color w:val="auto"/>
        </w:rPr>
      </w:pPr>
    </w:p>
    <w:p>
      <w:pPr>
        <w:ind w:right="100" w:firstLine="456"/>
        <w:spacing w:after="0" w:line="237" w:lineRule="auto"/>
        <w:rPr>
          <w:sz w:val="20"/>
          <w:szCs w:val="20"/>
          <w:color w:val="auto"/>
        </w:rPr>
      </w:pPr>
      <w:r>
        <w:rPr>
          <w:rFonts w:ascii="Arial" w:cs="Arial" w:eastAsia="Arial" w:hAnsi="Arial"/>
          <w:sz w:val="18"/>
          <w:szCs w:val="18"/>
          <w:color w:val="auto"/>
        </w:rPr>
        <w:t>Xerox Corporation (“the Company”) considers it in the best interests of its shareholders to foster the continuous employment of key management personnel. The Board recognizes that, as with many publicly held corporations, the possibility of a Change in Control may arise, and that the uncertainty raised by this possibility may cause the departure or distraction of management personnel, to the detriment of the Company and its shareholders.</w:t>
      </w:r>
    </w:p>
    <w:p>
      <w:pPr>
        <w:spacing w:after="0" w:line="74" w:lineRule="exact"/>
        <w:rPr>
          <w:sz w:val="20"/>
          <w:szCs w:val="20"/>
          <w:color w:val="auto"/>
        </w:rPr>
      </w:pPr>
    </w:p>
    <w:p>
      <w:pPr>
        <w:ind w:right="360" w:firstLine="456"/>
        <w:spacing w:after="0" w:line="299" w:lineRule="auto"/>
        <w:rPr>
          <w:sz w:val="20"/>
          <w:szCs w:val="20"/>
          <w:color w:val="auto"/>
        </w:rPr>
      </w:pPr>
      <w:r>
        <w:rPr>
          <w:rFonts w:ascii="Arial" w:cs="Arial" w:eastAsia="Arial" w:hAnsi="Arial"/>
          <w:sz w:val="16"/>
          <w:szCs w:val="16"/>
          <w:color w:val="auto"/>
        </w:rPr>
        <w:t>The Board has determined that appropriate steps should be taken to reinforce the continued dedication of key management personnel to their duties, without potential distraction arising from a possible Change in Control, although no such change is now contemplated.</w:t>
      </w:r>
    </w:p>
    <w:p>
      <w:pPr>
        <w:spacing w:after="0" w:line="28" w:lineRule="exact"/>
        <w:rPr>
          <w:sz w:val="20"/>
          <w:szCs w:val="20"/>
          <w:color w:val="auto"/>
        </w:rPr>
      </w:pPr>
    </w:p>
    <w:p>
      <w:pPr>
        <w:jc w:val="both"/>
        <w:ind w:right="220" w:firstLine="456"/>
        <w:spacing w:after="0" w:line="238" w:lineRule="auto"/>
        <w:rPr>
          <w:sz w:val="20"/>
          <w:szCs w:val="20"/>
          <w:color w:val="auto"/>
        </w:rPr>
      </w:pPr>
      <w:r>
        <w:rPr>
          <w:rFonts w:ascii="Arial" w:cs="Arial" w:eastAsia="Arial" w:hAnsi="Arial"/>
          <w:sz w:val="18"/>
          <w:szCs w:val="18"/>
          <w:color w:val="auto"/>
        </w:rPr>
        <w:t>In order to induce you to remain in the employ of the Company and in consideration of your agreement set forth in Section 3, the Company accordingly agrees that you shall receive the severance benefits set forth in this Agreement if your employment with the Company is terminated under certain circumstances following a Change in Control.</w:t>
      </w:r>
    </w:p>
    <w:p>
      <w:pPr>
        <w:spacing w:after="0" w:line="73" w:lineRule="exact"/>
        <w:rPr>
          <w:sz w:val="20"/>
          <w:szCs w:val="20"/>
          <w:color w:val="auto"/>
        </w:rPr>
      </w:pPr>
    </w:p>
    <w:p>
      <w:pPr>
        <w:ind w:right="780" w:firstLine="456"/>
        <w:spacing w:after="0" w:line="239" w:lineRule="auto"/>
        <w:rPr>
          <w:sz w:val="20"/>
          <w:szCs w:val="20"/>
          <w:color w:val="auto"/>
        </w:rPr>
      </w:pPr>
      <w:r>
        <w:rPr>
          <w:rFonts w:ascii="Arial" w:cs="Arial" w:eastAsia="Arial" w:hAnsi="Arial"/>
          <w:sz w:val="18"/>
          <w:szCs w:val="18"/>
          <w:color w:val="auto"/>
        </w:rPr>
        <w:t>It is intended that this Agreement comply with Section 409A of the Code and the regulations thereunder and shall be construed and interpreted in a manner consistent with such intention.</w:t>
      </w:r>
    </w:p>
    <w:p>
      <w:pPr>
        <w:spacing w:after="0" w:line="70" w:lineRule="exact"/>
        <w:rPr>
          <w:sz w:val="20"/>
          <w:szCs w:val="20"/>
          <w:color w:val="auto"/>
        </w:rPr>
      </w:pPr>
    </w:p>
    <w:p>
      <w:pPr>
        <w:ind w:left="660" w:hanging="196"/>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ind w:left="1380" w:hanging="459"/>
        <w:spacing w:after="0"/>
        <w:tabs>
          <w:tab w:leader="none" w:pos="1380" w:val="left"/>
        </w:tabs>
        <w:numPr>
          <w:ilvl w:val="1"/>
          <w:numId w:val="55"/>
        </w:numPr>
        <w:rPr>
          <w:rFonts w:ascii="Arial" w:cs="Arial" w:eastAsia="Arial" w:hAnsi="Arial"/>
          <w:sz w:val="18"/>
          <w:szCs w:val="18"/>
          <w:color w:val="auto"/>
        </w:rPr>
      </w:pP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shall mean the letter agreement set forth herein.</w:t>
      </w:r>
    </w:p>
    <w:p>
      <w:pPr>
        <w:spacing w:after="0" w:line="76" w:lineRule="exact"/>
        <w:rPr>
          <w:rFonts w:ascii="Arial" w:cs="Arial" w:eastAsia="Arial" w:hAnsi="Arial"/>
          <w:sz w:val="18"/>
          <w:szCs w:val="18"/>
          <w:color w:val="auto"/>
        </w:rPr>
      </w:pPr>
    </w:p>
    <w:p>
      <w:pPr>
        <w:ind w:left="1380" w:hanging="459"/>
        <w:spacing w:after="0"/>
        <w:tabs>
          <w:tab w:leader="none" w:pos="1380" w:val="left"/>
        </w:tabs>
        <w:numPr>
          <w:ilvl w:val="1"/>
          <w:numId w:val="55"/>
        </w:numPr>
        <w:rPr>
          <w:rFonts w:ascii="Arial" w:cs="Arial" w:eastAsia="Arial" w:hAnsi="Arial"/>
          <w:sz w:val="18"/>
          <w:szCs w:val="18"/>
          <w:color w:val="auto"/>
        </w:rPr>
      </w:pPr>
      <w:r>
        <w:rPr>
          <w:rFonts w:ascii="Arial" w:cs="Arial" w:eastAsia="Arial" w:hAnsi="Arial"/>
          <w:sz w:val="18"/>
          <w:szCs w:val="18"/>
          <w:u w:val="single" w:color="auto"/>
          <w:color w:val="auto"/>
        </w:rPr>
        <w:t>Board</w:t>
      </w:r>
      <w:r>
        <w:rPr>
          <w:rFonts w:ascii="Arial" w:cs="Arial" w:eastAsia="Arial" w:hAnsi="Arial"/>
          <w:sz w:val="18"/>
          <w:szCs w:val="18"/>
          <w:color w:val="auto"/>
        </w:rPr>
        <w:t xml:space="preserve"> shall mean the Board of Directors of the Company.</w:t>
      </w:r>
    </w:p>
    <w:p>
      <w:pPr>
        <w:spacing w:after="0" w:line="76" w:lineRule="exact"/>
        <w:rPr>
          <w:rFonts w:ascii="Arial" w:cs="Arial" w:eastAsia="Arial" w:hAnsi="Arial"/>
          <w:sz w:val="18"/>
          <w:szCs w:val="18"/>
          <w:color w:val="auto"/>
        </w:rPr>
      </w:pPr>
    </w:p>
    <w:p>
      <w:pPr>
        <w:ind w:left="1360" w:hanging="439"/>
        <w:spacing w:after="0"/>
        <w:tabs>
          <w:tab w:leader="none" w:pos="1360" w:val="left"/>
        </w:tabs>
        <w:numPr>
          <w:ilvl w:val="1"/>
          <w:numId w:val="55"/>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xml:space="preserve"> of the Company shall be deemed to have occurred if:</w:t>
      </w:r>
    </w:p>
    <w:p>
      <w:pPr>
        <w:spacing w:after="0" w:line="76" w:lineRule="exact"/>
        <w:rPr>
          <w:rFonts w:ascii="Arial" w:cs="Arial" w:eastAsia="Arial" w:hAnsi="Arial"/>
          <w:sz w:val="18"/>
          <w:szCs w:val="18"/>
          <w:color w:val="auto"/>
        </w:rPr>
      </w:pPr>
    </w:p>
    <w:p>
      <w:pPr>
        <w:jc w:val="both"/>
        <w:ind w:right="140" w:firstLine="1492"/>
        <w:spacing w:after="0" w:line="238" w:lineRule="auto"/>
        <w:tabs>
          <w:tab w:leader="none" w:pos="1883" w:val="left"/>
        </w:tabs>
        <w:numPr>
          <w:ilvl w:val="2"/>
          <w:numId w:val="55"/>
        </w:numPr>
        <w:rPr>
          <w:rFonts w:ascii="Arial" w:cs="Arial" w:eastAsia="Arial" w:hAnsi="Arial"/>
          <w:sz w:val="18"/>
          <w:szCs w:val="18"/>
          <w:color w:val="auto"/>
        </w:rPr>
      </w:pPr>
      <w:r>
        <w:rPr>
          <w:rFonts w:ascii="Arial" w:cs="Arial" w:eastAsia="Arial" w:hAnsi="Arial"/>
          <w:sz w:val="18"/>
          <w:szCs w:val="18"/>
          <w:color w:val="auto"/>
        </w:rPr>
        <w:t>Any “Person” is or becomes a “beneficial owner” (as defined in Rule 13d-3 under the Exchange Act), directly or indirectly, of securities of the Company (not including in the securities beneficially owned by such Person any securities acquired directly from the Company or its affiliates) representing 20% or more of the combined voting power of the Company’s then outstanding securities;</w:t>
      </w:r>
    </w:p>
    <w:p>
      <w:pPr>
        <w:spacing w:after="0" w:line="72" w:lineRule="exact"/>
        <w:rPr>
          <w:rFonts w:ascii="Arial" w:cs="Arial" w:eastAsia="Arial" w:hAnsi="Arial"/>
          <w:sz w:val="18"/>
          <w:szCs w:val="18"/>
          <w:color w:val="auto"/>
        </w:rPr>
      </w:pPr>
    </w:p>
    <w:p>
      <w:pPr>
        <w:ind w:left="1940" w:hanging="448"/>
        <w:spacing w:after="0"/>
        <w:tabs>
          <w:tab w:leader="none" w:pos="1940" w:val="left"/>
        </w:tabs>
        <w:numPr>
          <w:ilvl w:val="2"/>
          <w:numId w:val="55"/>
        </w:numPr>
        <w:rPr>
          <w:rFonts w:ascii="Arial" w:cs="Arial" w:eastAsia="Arial" w:hAnsi="Arial"/>
          <w:sz w:val="16"/>
          <w:szCs w:val="16"/>
          <w:color w:val="auto"/>
        </w:rPr>
      </w:pPr>
      <w:r>
        <w:rPr>
          <w:rFonts w:ascii="Arial" w:cs="Arial" w:eastAsia="Arial" w:hAnsi="Arial"/>
          <w:sz w:val="16"/>
          <w:szCs w:val="16"/>
          <w:color w:val="auto"/>
        </w:rPr>
        <w:t>The following individuals (referred to herein as the “Incumbent Board”) cease for any reason to constitute a majority of the</w:t>
      </w:r>
    </w:p>
    <w:p>
      <w:pPr>
        <w:spacing w:after="0" w:line="18" w:lineRule="exact"/>
        <w:rPr>
          <w:rFonts w:ascii="Arial" w:cs="Arial" w:eastAsia="Arial" w:hAnsi="Arial"/>
          <w:sz w:val="16"/>
          <w:szCs w:val="16"/>
          <w:color w:val="auto"/>
        </w:rPr>
      </w:pPr>
    </w:p>
    <w:p>
      <w:pPr>
        <w:ind w:right="140"/>
        <w:spacing w:after="0" w:line="236" w:lineRule="auto"/>
        <w:rPr>
          <w:rFonts w:ascii="Arial" w:cs="Arial" w:eastAsia="Arial" w:hAnsi="Arial"/>
          <w:sz w:val="16"/>
          <w:szCs w:val="16"/>
          <w:color w:val="auto"/>
        </w:rPr>
      </w:pPr>
      <w:r>
        <w:rPr>
          <w:rFonts w:ascii="Arial" w:cs="Arial" w:eastAsia="Arial" w:hAnsi="Arial"/>
          <w:sz w:val="18"/>
          <w:szCs w:val="18"/>
          <w:color w:val="auto"/>
        </w:rPr>
        <w:t>directors then serving: (A) individuals who, on the date hereof constitute the Board, and (B)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shareholders was approved or recommended by a vote of at least two-thirds of the directors then still in office who were directors on the date hereof or whose appointment, election or nomination for election was previously so approved or recommended;</w:t>
      </w:r>
    </w:p>
    <w:p>
      <w:pPr>
        <w:sectPr>
          <w:pgSz w:w="11900" w:h="16838" w:orient="portrait"/>
          <w:cols w:equalWidth="0" w:num="1">
            <w:col w:w="11420"/>
          </w:cols>
          <w:pgMar w:left="240" w:top="121" w:right="239" w:bottom="1440" w:gutter="0" w:footer="0" w:header="0"/>
        </w:sectPr>
      </w:pPr>
    </w:p>
    <w:bookmarkStart w:id="61" w:name="page62"/>
    <w:bookmarkEnd w:id="61"/>
    <w:p>
      <w:pPr>
        <w:ind w:left="-60" w:firstLine="1492"/>
        <w:spacing w:after="0" w:line="236" w:lineRule="auto"/>
        <w:tabs>
          <w:tab w:leader="none" w:pos="1849" w:val="left"/>
        </w:tabs>
        <w:numPr>
          <w:ilvl w:val="1"/>
          <w:numId w:val="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 is consummated a merger or consolidation of the Company or any direct or indirect subsidiary of the Company with any other corporation, other than (A) a merger or consolidation which results in the directors of the Company who were members of the Incumbent Board immediately before such merger or consolidation continuing to constitute at least a majority of the board of directors of the Company, the surviving entity or any parent thereof, or (B) a merger or consolidation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or its affiliates) representing 20% or more of the combined voting power of the Company’s then outstanding voting securities; or</w:t>
      </w:r>
    </w:p>
    <w:p>
      <w:pPr>
        <w:spacing w:after="0" w:line="74" w:lineRule="exact"/>
        <w:rPr>
          <w:rFonts w:ascii="Arial" w:cs="Arial" w:eastAsia="Arial" w:hAnsi="Arial"/>
          <w:sz w:val="18"/>
          <w:szCs w:val="18"/>
          <w:color w:val="auto"/>
        </w:rPr>
      </w:pPr>
    </w:p>
    <w:p>
      <w:pPr>
        <w:ind w:left="-60" w:firstLine="1492"/>
        <w:spacing w:after="0" w:line="266" w:lineRule="auto"/>
        <w:tabs>
          <w:tab w:leader="none" w:pos="1859" w:val="left"/>
        </w:tabs>
        <w:numPr>
          <w:ilvl w:val="1"/>
          <w:numId w:val="56"/>
        </w:numPr>
        <w:rPr>
          <w:rFonts w:ascii="Arial" w:cs="Arial" w:eastAsia="Arial" w:hAnsi="Arial"/>
          <w:sz w:val="16"/>
          <w:szCs w:val="16"/>
          <w:color w:val="auto"/>
        </w:rPr>
      </w:pPr>
      <w:r>
        <w:rPr>
          <w:rFonts w:ascii="Arial" w:cs="Arial" w:eastAsia="Arial" w:hAnsi="Arial"/>
          <w:sz w:val="16"/>
          <w:szCs w:val="16"/>
          <w:color w:val="auto"/>
        </w:rPr>
        <w:t>The shareholders of the Company approve a plan of complete liquidation or dissolution of the Company, or there is consummated an agreement for the sale or disposition by the Company of all or substantially all of the Company’s assets, other than a sale or disposition by the Company of all or substantially all of the Company’s assets to an entity, at least 50% of the combined voting power of the voting securities of which are owned by stockholders of the Company in substantially the same proportions as their ownership of the Company immediately before such sale. For purposes of the definition of Change in Control and Potential Change in Control, Person shall have the meaning given in Section 3(a)(9) of the 1934 Act, as modified and used in Section 13(d) and 14(d) of the 1934 Act, except that such term shall not include Excluded Persons. “Excluded Persons” shall mean (1) the Company and its subsidiaries, (2) any trustee or other fiduciary holding securities under an employee benefit plan of the Company or any subsidiary of the Company, (3) any company owned, directly or indirectly, by the shareholders of the Company in substantially the same proportions as their ownership of stock of the Company, (4) any person who becomes a beneficial owner in connection with a transaction described in sub clause (A) of clause (iii) above, (5) an underwriter temporarily holding securities of the Company pursuant to an offering of such securities, or (6) an individual, entity or group who is permitted to, and actually does, report its beneficial ownership on Schedule 13G (or any successor Schedule), provided that if any Excluded Person described in clause (6) subsequently becomes required to or does report its beneficial ownership on Schedule 13D (or any successor Schedule), then, for purposes of this definition, such individual, entity or group shall no longer be considered an Excluded Person and shall be deemed to have first acquired beneficial ownership of securities of the Company on the first date on which such individual, entity or group becomes required to or does so report on such Schedule.</w:t>
      </w:r>
    </w:p>
    <w:p>
      <w:pPr>
        <w:spacing w:after="0" w:line="264" w:lineRule="exact"/>
        <w:rPr>
          <w:rFonts w:ascii="Arial" w:cs="Arial" w:eastAsia="Arial" w:hAnsi="Arial"/>
          <w:sz w:val="16"/>
          <w:szCs w:val="16"/>
          <w:color w:val="auto"/>
        </w:rPr>
      </w:pPr>
    </w:p>
    <w:p>
      <w:pPr>
        <w:ind w:left="1280" w:hanging="419"/>
        <w:spacing w:after="0"/>
        <w:tabs>
          <w:tab w:leader="none" w:pos="128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Code</w:t>
      </w:r>
      <w:r>
        <w:rPr>
          <w:rFonts w:ascii="Arial" w:cs="Arial" w:eastAsia="Arial" w:hAnsi="Arial"/>
          <w:sz w:val="18"/>
          <w:szCs w:val="18"/>
          <w:color w:val="auto"/>
        </w:rPr>
        <w:t xml:space="preserve"> shall mean the Internal Revenue Code of 1986, as amended.</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00"/>
          </w:cols>
          <w:pgMar w:left="300" w:top="291" w:right="299" w:bottom="1440" w:gutter="0" w:footer="0" w:header="0"/>
        </w:sectPr>
      </w:pPr>
    </w:p>
    <w:bookmarkStart w:id="62" w:name="page63"/>
    <w:bookmarkEnd w:id="62"/>
    <w:p>
      <w:pPr>
        <w:ind w:right="640" w:firstLine="921"/>
        <w:spacing w:after="0" w:line="239" w:lineRule="auto"/>
        <w:tabs>
          <w:tab w:leader="none" w:pos="1322"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w:t>
      </w:r>
      <w:r>
        <w:rPr>
          <w:rFonts w:ascii="Arial" w:cs="Arial" w:eastAsia="Arial" w:hAnsi="Arial"/>
          <w:sz w:val="18"/>
          <w:szCs w:val="18"/>
          <w:color w:val="auto"/>
        </w:rPr>
        <w:t xml:space="preserve"> shall mean the Company or any successor thereto, including any successor to its business and/or assets which assumes and agrees to perform this Agreement by operation of law or otherwise.</w:t>
      </w:r>
    </w:p>
    <w:p>
      <w:pPr>
        <w:spacing w:after="0" w:line="73" w:lineRule="exact"/>
        <w:rPr>
          <w:rFonts w:ascii="Arial" w:cs="Arial" w:eastAsia="Arial" w:hAnsi="Arial"/>
          <w:sz w:val="18"/>
          <w:szCs w:val="18"/>
          <w:color w:val="auto"/>
        </w:rPr>
      </w:pPr>
    </w:p>
    <w:p>
      <w:pPr>
        <w:ind w:left="1340" w:hanging="419"/>
        <w:spacing w:after="0"/>
        <w:tabs>
          <w:tab w:leader="none" w:pos="134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Date of Termination</w:t>
      </w:r>
      <w:r>
        <w:rPr>
          <w:rFonts w:ascii="Arial" w:cs="Arial" w:eastAsia="Arial" w:hAnsi="Arial"/>
          <w:sz w:val="18"/>
          <w:szCs w:val="18"/>
          <w:color w:val="auto"/>
        </w:rPr>
        <w:t xml:space="preserve"> shall mean:</w:t>
      </w:r>
    </w:p>
    <w:p>
      <w:pPr>
        <w:spacing w:after="0" w:line="76" w:lineRule="exact"/>
        <w:rPr>
          <w:rFonts w:ascii="Arial" w:cs="Arial" w:eastAsia="Arial" w:hAnsi="Arial"/>
          <w:sz w:val="18"/>
          <w:szCs w:val="18"/>
          <w:color w:val="auto"/>
        </w:rPr>
      </w:pPr>
    </w:p>
    <w:p>
      <w:pPr>
        <w:ind w:right="200" w:firstLine="1492"/>
        <w:spacing w:after="0" w:line="299" w:lineRule="auto"/>
        <w:tabs>
          <w:tab w:leader="none" w:pos="1835" w:val="left"/>
        </w:tabs>
        <w:numPr>
          <w:ilvl w:val="1"/>
          <w:numId w:val="58"/>
        </w:numPr>
        <w:rPr>
          <w:rFonts w:ascii="Arial" w:cs="Arial" w:eastAsia="Arial" w:hAnsi="Arial"/>
          <w:sz w:val="16"/>
          <w:szCs w:val="16"/>
          <w:color w:val="auto"/>
        </w:rPr>
      </w:pPr>
      <w:r>
        <w:rPr>
          <w:rFonts w:ascii="Arial" w:cs="Arial" w:eastAsia="Arial" w:hAnsi="Arial"/>
          <w:sz w:val="16"/>
          <w:szCs w:val="16"/>
          <w:color w:val="auto"/>
        </w:rPr>
        <w:t>If your employment is terminated pursuant to a Termination by the Company For Disability, thirty (30) days after Notice of Termination is given (if you do not return to the performance of your duties on a full-time basis during such thirty (30) day period); and</w:t>
      </w:r>
    </w:p>
    <w:p>
      <w:pPr>
        <w:spacing w:after="0" w:line="27" w:lineRule="exact"/>
        <w:rPr>
          <w:rFonts w:ascii="Arial" w:cs="Arial" w:eastAsia="Arial" w:hAnsi="Arial"/>
          <w:sz w:val="16"/>
          <w:szCs w:val="16"/>
          <w:color w:val="auto"/>
        </w:rPr>
      </w:pPr>
    </w:p>
    <w:p>
      <w:pPr>
        <w:ind w:right="200" w:firstLine="1492"/>
        <w:spacing w:after="0" w:line="239" w:lineRule="auto"/>
        <w:tabs>
          <w:tab w:leader="none" w:pos="1874" w:val="left"/>
        </w:tabs>
        <w:numPr>
          <w:ilvl w:val="1"/>
          <w:numId w:val="58"/>
        </w:numPr>
        <w:rPr>
          <w:rFonts w:ascii="Arial" w:cs="Arial" w:eastAsia="Arial" w:hAnsi="Arial"/>
          <w:sz w:val="18"/>
          <w:szCs w:val="18"/>
          <w:color w:val="auto"/>
        </w:rPr>
      </w:pPr>
      <w:r>
        <w:rPr>
          <w:rFonts w:ascii="Arial" w:cs="Arial" w:eastAsia="Arial" w:hAnsi="Arial"/>
          <w:sz w:val="18"/>
          <w:szCs w:val="18"/>
          <w:color w:val="auto"/>
        </w:rPr>
        <w:t>If your employment is terminated for any other reason, the date specified in the Notice of Termination, subject to clauses (iii), (iv) and (v) of this subsection.</w:t>
      </w:r>
    </w:p>
    <w:p>
      <w:pPr>
        <w:spacing w:after="0" w:line="73" w:lineRule="exact"/>
        <w:rPr>
          <w:rFonts w:ascii="Arial" w:cs="Arial" w:eastAsia="Arial" w:hAnsi="Arial"/>
          <w:sz w:val="18"/>
          <w:szCs w:val="18"/>
          <w:color w:val="auto"/>
        </w:rPr>
      </w:pPr>
    </w:p>
    <w:p>
      <w:pPr>
        <w:ind w:right="60" w:firstLine="1492"/>
        <w:spacing w:after="0" w:line="239" w:lineRule="auto"/>
        <w:tabs>
          <w:tab w:leader="none" w:pos="1913" w:val="left"/>
        </w:tabs>
        <w:numPr>
          <w:ilvl w:val="1"/>
          <w:numId w:val="58"/>
        </w:numPr>
        <w:rPr>
          <w:rFonts w:ascii="Arial" w:cs="Arial" w:eastAsia="Arial" w:hAnsi="Arial"/>
          <w:sz w:val="18"/>
          <w:szCs w:val="18"/>
          <w:color w:val="auto"/>
        </w:rPr>
      </w:pPr>
      <w:r>
        <w:rPr>
          <w:rFonts w:ascii="Arial" w:cs="Arial" w:eastAsia="Arial" w:hAnsi="Arial"/>
          <w:sz w:val="18"/>
          <w:szCs w:val="18"/>
          <w:color w:val="auto"/>
        </w:rPr>
        <w:t>In the case of a Termination by the Company For Cause, the specified date shall not be less than thirty (30) days from the date the Notice of Termination is given.</w:t>
      </w:r>
    </w:p>
    <w:p>
      <w:pPr>
        <w:spacing w:after="0" w:line="73" w:lineRule="exact"/>
        <w:rPr>
          <w:rFonts w:ascii="Arial" w:cs="Arial" w:eastAsia="Arial" w:hAnsi="Arial"/>
          <w:sz w:val="18"/>
          <w:szCs w:val="18"/>
          <w:color w:val="auto"/>
        </w:rPr>
      </w:pPr>
    </w:p>
    <w:p>
      <w:pPr>
        <w:ind w:right="60" w:firstLine="1492"/>
        <w:spacing w:after="0" w:line="239" w:lineRule="auto"/>
        <w:tabs>
          <w:tab w:leader="none" w:pos="1922" w:val="left"/>
        </w:tabs>
        <w:numPr>
          <w:ilvl w:val="1"/>
          <w:numId w:val="58"/>
        </w:numPr>
        <w:rPr>
          <w:rFonts w:ascii="Arial" w:cs="Arial" w:eastAsia="Arial" w:hAnsi="Arial"/>
          <w:sz w:val="18"/>
          <w:szCs w:val="18"/>
          <w:color w:val="auto"/>
        </w:rPr>
      </w:pPr>
      <w:r>
        <w:rPr>
          <w:rFonts w:ascii="Arial" w:cs="Arial" w:eastAsia="Arial" w:hAnsi="Arial"/>
          <w:sz w:val="18"/>
          <w:szCs w:val="18"/>
          <w:color w:val="auto"/>
        </w:rPr>
        <w:t>In the case of a Termination by You For Good Reason, the specified date shall not be less than fifteen (15) days nor more than sixty (60) days, from the date the Notice of Termination is given subject to Section 1(m)(viii).</w:t>
      </w:r>
    </w:p>
    <w:p>
      <w:pPr>
        <w:spacing w:after="0" w:line="73" w:lineRule="exact"/>
        <w:rPr>
          <w:rFonts w:ascii="Arial" w:cs="Arial" w:eastAsia="Arial" w:hAnsi="Arial"/>
          <w:sz w:val="18"/>
          <w:szCs w:val="18"/>
          <w:color w:val="auto"/>
        </w:rPr>
      </w:pPr>
    </w:p>
    <w:p>
      <w:pPr>
        <w:ind w:left="1940" w:hanging="448"/>
        <w:spacing w:after="0"/>
        <w:tabs>
          <w:tab w:leader="none" w:pos="19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Date of Termination may be extended pursuant to Section 13.</w:t>
      </w:r>
    </w:p>
    <w:p>
      <w:pPr>
        <w:spacing w:after="0" w:line="76" w:lineRule="exact"/>
        <w:rPr>
          <w:rFonts w:ascii="Arial" w:cs="Arial" w:eastAsia="Arial" w:hAnsi="Arial"/>
          <w:sz w:val="18"/>
          <w:szCs w:val="18"/>
          <w:color w:val="auto"/>
        </w:rPr>
      </w:pPr>
    </w:p>
    <w:p>
      <w:pPr>
        <w:ind w:firstLine="921"/>
        <w:spacing w:after="0" w:line="239" w:lineRule="auto"/>
        <w:tabs>
          <w:tab w:leader="none" w:pos="1322"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xml:space="preserve"> shall mean a physical or mental incapacity incurred after a Potential Change in Control which would allow you to receive benefits under the Company’s Long-Term Disability Income Plan (or any substitute plans adopted before a Change in Control).</w:t>
      </w:r>
    </w:p>
    <w:p>
      <w:pPr>
        <w:spacing w:after="0" w:line="73" w:lineRule="exact"/>
        <w:rPr>
          <w:rFonts w:ascii="Arial" w:cs="Arial" w:eastAsia="Arial" w:hAnsi="Arial"/>
          <w:sz w:val="18"/>
          <w:szCs w:val="18"/>
          <w:color w:val="auto"/>
        </w:rPr>
      </w:pPr>
    </w:p>
    <w:p>
      <w:pPr>
        <w:ind w:left="1340" w:hanging="419"/>
        <w:spacing w:after="0"/>
        <w:tabs>
          <w:tab w:leader="none" w:pos="134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Exchange Act</w:t>
      </w:r>
      <w:r>
        <w:rPr>
          <w:rFonts w:ascii="Arial" w:cs="Arial" w:eastAsia="Arial" w:hAnsi="Arial"/>
          <w:sz w:val="18"/>
          <w:szCs w:val="18"/>
          <w:color w:val="auto"/>
        </w:rPr>
        <w:t xml:space="preserve"> shall mean the Securities Exchange Act of 1934, as amended.</w:t>
      </w:r>
    </w:p>
    <w:p>
      <w:pPr>
        <w:spacing w:after="0" w:line="72" w:lineRule="exact"/>
        <w:rPr>
          <w:rFonts w:ascii="Arial" w:cs="Arial" w:eastAsia="Arial" w:hAnsi="Arial"/>
          <w:sz w:val="18"/>
          <w:szCs w:val="18"/>
          <w:color w:val="auto"/>
        </w:rPr>
      </w:pPr>
    </w:p>
    <w:p>
      <w:pPr>
        <w:ind w:left="1320" w:hanging="399"/>
        <w:spacing w:after="0"/>
        <w:tabs>
          <w:tab w:leader="none" w:pos="132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Notice of Termination</w:t>
      </w:r>
      <w:r>
        <w:rPr>
          <w:rFonts w:ascii="Arial" w:cs="Arial" w:eastAsia="Arial" w:hAnsi="Arial"/>
          <w:sz w:val="18"/>
          <w:szCs w:val="18"/>
          <w:color w:val="auto"/>
        </w:rPr>
        <w:t xml:space="preserve"> shall mean the notice required to be given by you or the Company in accordance with the terms of</w:t>
      </w:r>
    </w:p>
    <w:p>
      <w:pPr>
        <w:spacing w:after="0"/>
        <w:rPr>
          <w:sz w:val="20"/>
          <w:szCs w:val="20"/>
          <w:color w:val="auto"/>
        </w:rPr>
      </w:pPr>
      <w:r>
        <w:rPr>
          <w:rFonts w:ascii="Arial" w:cs="Arial" w:eastAsia="Arial" w:hAnsi="Arial"/>
          <w:sz w:val="18"/>
          <w:szCs w:val="18"/>
          <w:color w:val="auto"/>
        </w:rPr>
        <w:t>Section 12.</w:t>
      </w:r>
    </w:p>
    <w:p>
      <w:pPr>
        <w:spacing w:after="0" w:line="77" w:lineRule="exact"/>
        <w:rPr>
          <w:sz w:val="20"/>
          <w:szCs w:val="20"/>
          <w:color w:val="auto"/>
        </w:rPr>
      </w:pPr>
    </w:p>
    <w:p>
      <w:pPr>
        <w:ind w:left="1320" w:hanging="399"/>
        <w:spacing w:after="0"/>
        <w:tabs>
          <w:tab w:leader="none" w:pos="132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Potential Change in Control</w:t>
      </w:r>
      <w:r>
        <w:rPr>
          <w:rFonts w:ascii="Arial" w:cs="Arial" w:eastAsia="Arial" w:hAnsi="Arial"/>
          <w:sz w:val="18"/>
          <w:szCs w:val="18"/>
          <w:color w:val="auto"/>
        </w:rPr>
        <w:t xml:space="preserve"> of the Company shall be deemed to have occurred if:</w:t>
      </w:r>
    </w:p>
    <w:p>
      <w:pPr>
        <w:spacing w:after="0" w:line="72" w:lineRule="exact"/>
        <w:rPr>
          <w:rFonts w:ascii="Arial" w:cs="Arial" w:eastAsia="Arial" w:hAnsi="Arial"/>
          <w:sz w:val="18"/>
          <w:szCs w:val="18"/>
          <w:color w:val="auto"/>
        </w:rPr>
      </w:pPr>
    </w:p>
    <w:p>
      <w:pPr>
        <w:ind w:left="1880" w:hanging="388"/>
        <w:spacing w:after="0"/>
        <w:tabs>
          <w:tab w:leader="none" w:pos="18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Company enters into an agreement, the consummation of which would result in the occurrence of a Change in</w:t>
      </w:r>
    </w:p>
    <w:p>
      <w:pPr>
        <w:spacing w:after="0"/>
        <w:rPr>
          <w:sz w:val="20"/>
          <w:szCs w:val="20"/>
          <w:color w:val="auto"/>
        </w:rPr>
      </w:pPr>
      <w:r>
        <w:rPr>
          <w:rFonts w:ascii="Arial" w:cs="Arial" w:eastAsia="Arial" w:hAnsi="Arial"/>
          <w:sz w:val="18"/>
          <w:szCs w:val="18"/>
          <w:color w:val="auto"/>
        </w:rPr>
        <w:t>Control;</w:t>
      </w:r>
    </w:p>
    <w:p>
      <w:pPr>
        <w:spacing w:after="0" w:line="77" w:lineRule="exact"/>
        <w:rPr>
          <w:sz w:val="20"/>
          <w:szCs w:val="20"/>
          <w:color w:val="auto"/>
        </w:rPr>
      </w:pPr>
    </w:p>
    <w:p>
      <w:pPr>
        <w:ind w:right="240" w:firstLine="1492"/>
        <w:spacing w:after="0" w:line="239" w:lineRule="auto"/>
        <w:tabs>
          <w:tab w:leader="none" w:pos="1864"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person, including an Excluded Person, publicly announces an intention to take or to consider taking actions which if consummated would constitute a Change in Control;</w:t>
      </w:r>
    </w:p>
    <w:p>
      <w:pPr>
        <w:spacing w:after="0" w:line="73" w:lineRule="exact"/>
        <w:rPr>
          <w:rFonts w:ascii="Arial" w:cs="Arial" w:eastAsia="Arial" w:hAnsi="Arial"/>
          <w:sz w:val="18"/>
          <w:szCs w:val="18"/>
          <w:color w:val="auto"/>
        </w:rPr>
      </w:pPr>
    </w:p>
    <w:p>
      <w:pPr>
        <w:ind w:right="240" w:firstLine="1492"/>
        <w:spacing w:after="0" w:line="238" w:lineRule="auto"/>
        <w:tabs>
          <w:tab w:leader="none" w:pos="1903"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Person becomes the beneficial owner, directly or indirectly, of securities of the Company (not including in the securities beneficially owned by such person any securities acquired directly from the Company or its affiliates) representing 10% or more of the combined voting power of the Company’s then outstanding securities; or</w:t>
      </w:r>
    </w:p>
    <w:p>
      <w:pPr>
        <w:spacing w:after="0" w:line="68" w:lineRule="exact"/>
        <w:rPr>
          <w:rFonts w:ascii="Arial" w:cs="Arial" w:eastAsia="Arial" w:hAnsi="Arial"/>
          <w:sz w:val="18"/>
          <w:szCs w:val="18"/>
          <w:color w:val="auto"/>
        </w:rPr>
      </w:pPr>
    </w:p>
    <w:p>
      <w:pPr>
        <w:ind w:left="1920" w:hanging="428"/>
        <w:spacing w:after="0"/>
        <w:tabs>
          <w:tab w:leader="none" w:pos="19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Board adopts a resolution to the effect that a Potential Change in Control for purposes of this Agreement has</w:t>
      </w:r>
    </w:p>
    <w:p>
      <w:pPr>
        <w:spacing w:after="0"/>
        <w:rPr>
          <w:rFonts w:ascii="Arial" w:cs="Arial" w:eastAsia="Arial" w:hAnsi="Arial"/>
          <w:sz w:val="18"/>
          <w:szCs w:val="18"/>
          <w:color w:val="auto"/>
        </w:rPr>
      </w:pPr>
      <w:r>
        <w:rPr>
          <w:rFonts w:ascii="Arial" w:cs="Arial" w:eastAsia="Arial" w:hAnsi="Arial"/>
          <w:sz w:val="18"/>
          <w:szCs w:val="18"/>
          <w:color w:val="auto"/>
        </w:rPr>
        <w:t>occurred.</w:t>
      </w:r>
    </w:p>
    <w:p>
      <w:pPr>
        <w:spacing w:after="0" w:line="76" w:lineRule="exact"/>
        <w:rPr>
          <w:rFonts w:ascii="Arial" w:cs="Arial" w:eastAsia="Arial" w:hAnsi="Arial"/>
          <w:sz w:val="18"/>
          <w:szCs w:val="18"/>
          <w:color w:val="auto"/>
        </w:rPr>
      </w:pPr>
    </w:p>
    <w:p>
      <w:pPr>
        <w:ind w:left="1320" w:hanging="399"/>
        <w:spacing w:after="0"/>
        <w:tabs>
          <w:tab w:leader="none" w:pos="132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Termination by the Company For Cause</w:t>
      </w:r>
      <w:r>
        <w:rPr>
          <w:rFonts w:ascii="Arial" w:cs="Arial" w:eastAsia="Arial" w:hAnsi="Arial"/>
          <w:sz w:val="18"/>
          <w:szCs w:val="18"/>
          <w:color w:val="auto"/>
        </w:rPr>
        <w:t xml:space="preserve"> shall mean termination by the Company of your employment upon:</w:t>
      </w:r>
    </w:p>
    <w:p>
      <w:pPr>
        <w:spacing w:after="0" w:line="77" w:lineRule="exact"/>
        <w:rPr>
          <w:sz w:val="20"/>
          <w:szCs w:val="20"/>
          <w:color w:val="auto"/>
        </w:rPr>
      </w:pPr>
    </w:p>
    <w:p>
      <w:pPr>
        <w:ind w:firstLine="921"/>
        <w:spacing w:after="0" w:line="237" w:lineRule="auto"/>
        <w:tabs>
          <w:tab w:leader="none" w:pos="131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willful and continued failure by you to substantially perform your duties with the Company (other than any such failure resulting from your incapacity due to physical or mental illness or any such actual or anticipated failure after the issuance of a Notice of Termination by You For Good Reason), after a written demand for substantial performance is delivered to you by the Board which specifically identifies the manner in which the Board believes that you have not substantially performed your duties;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91" w:right="259" w:bottom="1440" w:gutter="0" w:footer="0" w:header="0"/>
        </w:sectPr>
      </w:pPr>
    </w:p>
    <w:bookmarkStart w:id="63" w:name="page64"/>
    <w:bookmarkEnd w:id="63"/>
    <w:p>
      <w:pPr>
        <w:ind w:left="1920" w:hanging="428"/>
        <w:spacing w:after="0"/>
        <w:tabs>
          <w:tab w:leader="none" w:pos="1920" w:val="left"/>
        </w:tabs>
        <w:numPr>
          <w:ilvl w:val="0"/>
          <w:numId w:val="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willful engaging by you in conduct which is demonstrably and materially injurious to the Company, monetarily or</w:t>
      </w:r>
    </w:p>
    <w:p>
      <w:pPr>
        <w:spacing w:after="0"/>
        <w:rPr>
          <w:sz w:val="20"/>
          <w:szCs w:val="20"/>
          <w:color w:val="auto"/>
        </w:rPr>
      </w:pPr>
      <w:r>
        <w:rPr>
          <w:rFonts w:ascii="Arial" w:cs="Arial" w:eastAsia="Arial" w:hAnsi="Arial"/>
          <w:sz w:val="18"/>
          <w:szCs w:val="18"/>
          <w:color w:val="auto"/>
        </w:rPr>
        <w:t>otherwise; or</w:t>
      </w:r>
    </w:p>
    <w:p>
      <w:pPr>
        <w:spacing w:after="0" w:line="77" w:lineRule="exact"/>
        <w:rPr>
          <w:sz w:val="20"/>
          <w:szCs w:val="20"/>
          <w:color w:val="auto"/>
        </w:rPr>
      </w:pPr>
    </w:p>
    <w:p>
      <w:pPr>
        <w:ind w:left="1960" w:hanging="468"/>
        <w:spacing w:after="0"/>
        <w:tabs>
          <w:tab w:leader="none" w:pos="19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conviction of any crime (whether or not involving the Company) which constitutes a felony.</w:t>
      </w:r>
    </w:p>
    <w:p>
      <w:pPr>
        <w:spacing w:after="0" w:line="76" w:lineRule="exact"/>
        <w:rPr>
          <w:rFonts w:ascii="Arial" w:cs="Arial" w:eastAsia="Arial" w:hAnsi="Arial"/>
          <w:sz w:val="18"/>
          <w:szCs w:val="18"/>
          <w:color w:val="auto"/>
        </w:rPr>
      </w:pPr>
    </w:p>
    <w:p>
      <w:pPr>
        <w:ind w:firstLine="1492"/>
        <w:spacing w:after="0" w:line="239" w:lineRule="auto"/>
        <w:tabs>
          <w:tab w:leader="none" w:pos="1971" w:val="left"/>
        </w:tabs>
        <w:numPr>
          <w:ilvl w:val="1"/>
          <w:numId w:val="64"/>
        </w:numPr>
        <w:rPr>
          <w:rFonts w:ascii="Arial" w:cs="Arial" w:eastAsia="Arial" w:hAnsi="Arial"/>
          <w:sz w:val="18"/>
          <w:szCs w:val="18"/>
          <w:color w:val="auto"/>
        </w:rPr>
      </w:pPr>
      <w:r>
        <w:rPr>
          <w:rFonts w:ascii="Arial" w:cs="Arial" w:eastAsia="Arial" w:hAnsi="Arial"/>
          <w:sz w:val="18"/>
          <w:szCs w:val="18"/>
          <w:color w:val="auto"/>
        </w:rPr>
        <w:t>For purposes of this subsection, no act or failure to act on your part shall be considered “willful” unless done, or omitted to be done, by you not in good faith and without reasonable belief that your action or omission was in the best interest of the Company.</w:t>
      </w:r>
    </w:p>
    <w:p>
      <w:pPr>
        <w:spacing w:after="0" w:line="73" w:lineRule="exact"/>
        <w:rPr>
          <w:rFonts w:ascii="Arial" w:cs="Arial" w:eastAsia="Arial" w:hAnsi="Arial"/>
          <w:sz w:val="18"/>
          <w:szCs w:val="18"/>
          <w:color w:val="auto"/>
        </w:rPr>
      </w:pPr>
    </w:p>
    <w:p>
      <w:pPr>
        <w:ind w:right="60" w:firstLine="1492"/>
        <w:spacing w:after="0" w:line="236" w:lineRule="auto"/>
        <w:tabs>
          <w:tab w:leader="none" w:pos="1922" w:val="left"/>
        </w:tabs>
        <w:numPr>
          <w:ilvl w:val="1"/>
          <w:numId w:val="64"/>
        </w:numPr>
        <w:rPr>
          <w:rFonts w:ascii="Arial" w:cs="Arial" w:eastAsia="Arial" w:hAnsi="Arial"/>
          <w:sz w:val="18"/>
          <w:szCs w:val="18"/>
          <w:color w:val="auto"/>
        </w:rPr>
      </w:pPr>
      <w:r>
        <w:rPr>
          <w:rFonts w:ascii="Arial" w:cs="Arial" w:eastAsia="Arial" w:hAnsi="Arial"/>
          <w:sz w:val="18"/>
          <w:szCs w:val="18"/>
          <w:color w:val="auto"/>
        </w:rPr>
        <w:t>A termination of your employment is not a Termination by the Company For Cause until there is delivered to you a copy of a resolution duly adopted by the affirmative vote of not less than three-quarters of the entire membership of the Board at a meeting of the Board called and held for the purpose (after reasonable notice to you and an opportunity for you, together with your counsel, to be heard before the Board), finding that in the good faith opinion of the Board you were guilty of conduct set forth in this subsection, and specifying the particulars thereof in detail.</w:t>
      </w:r>
    </w:p>
    <w:p>
      <w:pPr>
        <w:spacing w:after="0" w:line="76" w:lineRule="exact"/>
        <w:rPr>
          <w:rFonts w:ascii="Arial" w:cs="Arial" w:eastAsia="Arial" w:hAnsi="Arial"/>
          <w:sz w:val="18"/>
          <w:szCs w:val="18"/>
          <w:color w:val="auto"/>
        </w:rPr>
      </w:pPr>
    </w:p>
    <w:p>
      <w:pPr>
        <w:ind w:firstLine="921"/>
        <w:spacing w:after="0" w:line="236" w:lineRule="auto"/>
        <w:tabs>
          <w:tab w:leader="none" w:pos="1313"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Termination by the Company For Disability</w:t>
      </w:r>
      <w:r>
        <w:rPr>
          <w:rFonts w:ascii="Arial" w:cs="Arial" w:eastAsia="Arial" w:hAnsi="Arial"/>
          <w:sz w:val="18"/>
          <w:szCs w:val="18"/>
          <w:color w:val="auto"/>
        </w:rPr>
        <w:t xml:space="preserve"> shall mean a termination by the Company of your employment following a Change in Control and during the term of this Agreement as follows. If, as a result of your incapacity due to physical or mental illness, you fail to perform your duties and shall have been receiving payments under the Company’s Long-Term Disability Income Plan, or any substitute plans adopted before the Change in Control, for a period of twelve (12) consecutive months and, within thirty (30) days after Notice of Termination is given, you shall not have returned to the full-time performance of your duties, the Company may terminate your employment pursuant to a Termination by the Company For Disability. You shall continue to receive your full base salary at the rate then in effect and your bonus and all compensation shall be paid during the period until this Agreement is terminated pursuant to this subsection. Your benefits shall thereafter be determined in accordance with the Company’s welfare benefits programs then in effect and the Company’s retirement plans then in effect.</w:t>
      </w:r>
    </w:p>
    <w:p>
      <w:pPr>
        <w:spacing w:after="0" w:line="73" w:lineRule="exact"/>
        <w:rPr>
          <w:rFonts w:ascii="Arial" w:cs="Arial" w:eastAsia="Arial" w:hAnsi="Arial"/>
          <w:sz w:val="18"/>
          <w:szCs w:val="18"/>
          <w:color w:val="auto"/>
        </w:rPr>
      </w:pPr>
    </w:p>
    <w:p>
      <w:pPr>
        <w:ind w:right="40" w:firstLine="921"/>
        <w:spacing w:after="0" w:line="237" w:lineRule="auto"/>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Termination by You For Good Reason</w:t>
      </w:r>
      <w:r>
        <w:rPr>
          <w:rFonts w:ascii="Arial" w:cs="Arial" w:eastAsia="Arial" w:hAnsi="Arial"/>
          <w:sz w:val="18"/>
          <w:szCs w:val="18"/>
          <w:color w:val="auto"/>
        </w:rPr>
        <w:t xml:space="preserve"> shall mean the termination by you of your employment within two years of the initial occurrence of any of the following circumstances, provided that (1) such circumstance occurs without your express written consent, after a Change in Control, and during the term of this Agreement, and (2) you properly notify the Company within 90 days of the initial occurrence of such circumstance and the Company does not remedy the circumstance within 30 days of such notice:</w:t>
      </w:r>
    </w:p>
    <w:p>
      <w:pPr>
        <w:spacing w:after="0" w:line="73" w:lineRule="exact"/>
        <w:rPr>
          <w:rFonts w:ascii="Arial" w:cs="Arial" w:eastAsia="Arial" w:hAnsi="Arial"/>
          <w:sz w:val="18"/>
          <w:szCs w:val="18"/>
          <w:color w:val="auto"/>
        </w:rPr>
      </w:pPr>
    </w:p>
    <w:p>
      <w:pPr>
        <w:jc w:val="both"/>
        <w:ind w:right="120" w:firstLine="1492"/>
        <w:spacing w:after="0" w:line="238" w:lineRule="auto"/>
        <w:tabs>
          <w:tab w:leader="none" w:pos="1883" w:val="left"/>
        </w:tabs>
        <w:numPr>
          <w:ilvl w:val="1"/>
          <w:numId w:val="65"/>
        </w:numPr>
        <w:rPr>
          <w:rFonts w:ascii="Arial" w:cs="Arial" w:eastAsia="Arial" w:hAnsi="Arial"/>
          <w:sz w:val="18"/>
          <w:szCs w:val="18"/>
          <w:color w:val="auto"/>
        </w:rPr>
      </w:pPr>
      <w:r>
        <w:rPr>
          <w:rFonts w:ascii="Arial" w:cs="Arial" w:eastAsia="Arial" w:hAnsi="Arial"/>
          <w:sz w:val="18"/>
          <w:szCs w:val="18"/>
          <w:color w:val="auto"/>
        </w:rPr>
        <w:t>Subject to Section 1(m)(viii) herein, the material diminution of your authority, duties, or responsibilities from those in effect immediately prior to a Change in Control (including, without limitation, if you are an executive officer of the Company prior to a Change in Control, ceasing to be an executive officer of the surviving company);</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7" w:right="239" w:bottom="1440" w:gutter="0" w:footer="0" w:header="0"/>
        </w:sectPr>
      </w:pPr>
    </w:p>
    <w:bookmarkStart w:id="64" w:name="page65"/>
    <w:bookmarkEnd w:id="64"/>
    <w:p>
      <w:pPr>
        <w:ind w:firstLine="1492"/>
        <w:spacing w:after="0" w:line="238" w:lineRule="auto"/>
        <w:tabs>
          <w:tab w:leader="none" w:pos="1913" w:val="left"/>
        </w:tabs>
        <w:numPr>
          <w:ilvl w:val="0"/>
          <w:numId w:val="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material reduction in your annual base salary and/or annual target bonus as in effect on the date hereof, or as the same may be increased from time to time, except that this clause (ii) shall not apply to across-the-board salary reductions similarly affecting all executives of the Company and all executives of any person in control of the Company;</w:t>
      </w:r>
    </w:p>
    <w:p>
      <w:pPr>
        <w:spacing w:after="0" w:line="54" w:lineRule="exact"/>
        <w:rPr>
          <w:rFonts w:ascii="Arial" w:cs="Arial" w:eastAsia="Arial" w:hAnsi="Arial"/>
          <w:sz w:val="18"/>
          <w:szCs w:val="18"/>
          <w:color w:val="auto"/>
        </w:rPr>
      </w:pPr>
    </w:p>
    <w:p>
      <w:pPr>
        <w:ind w:right="160" w:firstLine="1492"/>
        <w:spacing w:after="0" w:line="247" w:lineRule="auto"/>
        <w:tabs>
          <w:tab w:leader="none" w:pos="1952"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A material change in the geographic location at which you are required to be based </w:t>
      </w:r>
      <w:r>
        <w:rPr>
          <w:rFonts w:ascii="Arial" w:cs="Arial" w:eastAsia="Arial" w:hAnsi="Arial"/>
          <w:sz w:val="18"/>
          <w:szCs w:val="18"/>
          <w:i w:val="1"/>
          <w:iCs w:val="1"/>
          <w:color w:val="auto"/>
        </w:rPr>
        <w:t>(</w:t>
      </w:r>
      <w:r>
        <w:rPr>
          <w:rFonts w:ascii="Arial" w:cs="Arial" w:eastAsia="Arial" w:hAnsi="Arial"/>
          <w:sz w:val="18"/>
          <w:szCs w:val="18"/>
          <w:color w:val="auto"/>
        </w:rPr>
        <w:t>including, without limitation, the Company requiring you to relocate outside of the metropolitan area in which you were based immediately prior to the Change in Control), except for required travel on the Company’s business to an extent substantially consistent with your present business travel obligations;</w:t>
      </w:r>
    </w:p>
    <w:p>
      <w:pPr>
        <w:spacing w:after="0" w:line="67" w:lineRule="exact"/>
        <w:rPr>
          <w:rFonts w:ascii="Arial" w:cs="Arial" w:eastAsia="Arial" w:hAnsi="Arial"/>
          <w:sz w:val="18"/>
          <w:szCs w:val="18"/>
          <w:color w:val="auto"/>
        </w:rPr>
      </w:pPr>
    </w:p>
    <w:p>
      <w:pPr>
        <w:ind w:right="100" w:firstLine="1492"/>
        <w:spacing w:after="0" w:line="236" w:lineRule="auto"/>
        <w:tabs>
          <w:tab w:leader="none" w:pos="1968"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failure by the Company to continue in effect any material compensation or benefit plan, vacation policy or any material perquisites in which you participate immediately before the Change in Control, (except to the extent such plan terminates in accordance with its terms), unless an equitable arrangement (embodied in an ongoing substitute or alternative plan) has been made with respect to such plan in connection with the Change in Control, or the failure by the Company to continue your participation therein (or in such substitute or alternative plan) on a basis not materially less favorable, both in terms of the amount of benefits provided and the level of your participation relative to other participants, than existed at the time of the Change in Control; or</w:t>
      </w:r>
    </w:p>
    <w:p>
      <w:pPr>
        <w:spacing w:after="0" w:line="75" w:lineRule="exact"/>
        <w:rPr>
          <w:rFonts w:ascii="Arial" w:cs="Arial" w:eastAsia="Arial" w:hAnsi="Arial"/>
          <w:sz w:val="18"/>
          <w:szCs w:val="18"/>
          <w:color w:val="auto"/>
        </w:rPr>
      </w:pPr>
    </w:p>
    <w:p>
      <w:pPr>
        <w:ind w:right="180" w:firstLine="1492"/>
        <w:spacing w:after="0" w:line="239" w:lineRule="auto"/>
        <w:tabs>
          <w:tab w:leader="none" w:pos="1929"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failure of the Company to obtain a satisfactory agreement from any successor to assume and agree to perform this Agreement, as contemplated in Section 11.</w:t>
      </w:r>
    </w:p>
    <w:p>
      <w:pPr>
        <w:spacing w:after="0" w:line="73" w:lineRule="exact"/>
        <w:rPr>
          <w:rFonts w:ascii="Arial" w:cs="Arial" w:eastAsia="Arial" w:hAnsi="Arial"/>
          <w:sz w:val="18"/>
          <w:szCs w:val="18"/>
          <w:color w:val="auto"/>
        </w:rPr>
      </w:pPr>
    </w:p>
    <w:p>
      <w:pPr>
        <w:ind w:firstLine="1492"/>
        <w:spacing w:after="0" w:line="237" w:lineRule="auto"/>
        <w:tabs>
          <w:tab w:leader="none" w:pos="1961"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Termination by You For Good Reason shall be deemed to occur if, after a Change in Control, there occurs any termination or purported termination by the Company of your employment which is not accompanied by any Notice of Termination required by Section 12, and does not comply with the notice requirements (if applicable) of subsection (k) of this section (defining Termination by the Company For Cause).</w:t>
      </w:r>
    </w:p>
    <w:p>
      <w:pPr>
        <w:spacing w:after="0" w:line="73" w:lineRule="exact"/>
        <w:rPr>
          <w:rFonts w:ascii="Arial" w:cs="Arial" w:eastAsia="Arial" w:hAnsi="Arial"/>
          <w:sz w:val="18"/>
          <w:szCs w:val="18"/>
          <w:color w:val="auto"/>
        </w:rPr>
      </w:pPr>
    </w:p>
    <w:p>
      <w:pPr>
        <w:ind w:right="140" w:firstLine="1492"/>
        <w:spacing w:after="0" w:line="238" w:lineRule="auto"/>
        <w:tabs>
          <w:tab w:leader="none" w:pos="2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termination by you of your employment shall not fail to be a Termination by You For Good Reason merely because of your incapacity due to physical or mental illness, or because your employment continued after the occurrence of any of the events listed in this subsection.</w:t>
      </w:r>
    </w:p>
    <w:p>
      <w:pPr>
        <w:spacing w:after="0" w:line="68" w:lineRule="exact"/>
        <w:rPr>
          <w:rFonts w:ascii="Arial" w:cs="Arial" w:eastAsia="Arial" w:hAnsi="Arial"/>
          <w:sz w:val="18"/>
          <w:szCs w:val="18"/>
          <w:color w:val="auto"/>
        </w:rPr>
      </w:pPr>
    </w:p>
    <w:p>
      <w:pPr>
        <w:ind w:left="2060" w:hanging="568"/>
        <w:spacing w:after="0"/>
        <w:tabs>
          <w:tab w:leader="none" w:pos="2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Notwithstanding anything herein to the contrary, in the event of a Termination by you for Good Reason under</w:t>
      </w:r>
    </w:p>
    <w:p>
      <w:pPr>
        <w:ind w:right="380"/>
        <w:spacing w:after="0" w:line="239" w:lineRule="auto"/>
        <w:rPr>
          <w:sz w:val="20"/>
          <w:szCs w:val="20"/>
          <w:color w:val="auto"/>
        </w:rPr>
      </w:pPr>
      <w:r>
        <w:rPr>
          <w:rFonts w:ascii="Arial" w:cs="Arial" w:eastAsia="Arial" w:hAnsi="Arial"/>
          <w:sz w:val="18"/>
          <w:szCs w:val="18"/>
          <w:color w:val="auto"/>
        </w:rPr>
        <w:t>Section 1(m)(i), no benefits are payable to you under the Agreement if, before the second anniversary of a Potential Change in Control (I) you voluntarily terminate your employment or (II) the Company remedies the circumstance described in Section 1(m)(1).</w:t>
      </w:r>
    </w:p>
    <w:p>
      <w:pPr>
        <w:spacing w:after="0" w:line="74" w:lineRule="exact"/>
        <w:rPr>
          <w:sz w:val="20"/>
          <w:szCs w:val="20"/>
          <w:color w:val="auto"/>
        </w:rPr>
      </w:pPr>
    </w:p>
    <w:p>
      <w:pPr>
        <w:ind w:right="100" w:firstLine="921"/>
        <w:spacing w:after="0" w:line="239" w:lineRule="auto"/>
        <w:tabs>
          <w:tab w:leader="none" w:pos="1371"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Termination by You Without Good Reason</w:t>
      </w:r>
      <w:r>
        <w:rPr>
          <w:rFonts w:ascii="Arial" w:cs="Arial" w:eastAsia="Arial" w:hAnsi="Arial"/>
          <w:sz w:val="18"/>
          <w:szCs w:val="18"/>
          <w:color w:val="auto"/>
        </w:rPr>
        <w:t xml:space="preserve"> shall mean a termination by you of your employment that is not a Termination by You For Good Reason.</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91" w:right="299" w:bottom="1440" w:gutter="0" w:footer="0" w:header="0"/>
        </w:sectPr>
      </w:pPr>
    </w:p>
    <w:bookmarkStart w:id="65" w:name="page66"/>
    <w:bookmarkEnd w:id="65"/>
    <w:p>
      <w:pPr>
        <w:ind w:left="652" w:hanging="196"/>
        <w:spacing w:after="0"/>
        <w:tabs>
          <w:tab w:leader="none" w:pos="652" w:val="left"/>
        </w:tabs>
        <w:numPr>
          <w:ilvl w:val="1"/>
          <w:numId w:val="6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 of Agreement</w:t>
      </w:r>
    </w:p>
    <w:p>
      <w:pPr>
        <w:spacing w:after="0" w:line="76" w:lineRule="exact"/>
        <w:rPr>
          <w:rFonts w:ascii="Arial" w:cs="Arial" w:eastAsia="Arial" w:hAnsi="Arial"/>
          <w:sz w:val="18"/>
          <w:szCs w:val="18"/>
          <w:color w:val="auto"/>
        </w:rPr>
      </w:pPr>
    </w:p>
    <w:p>
      <w:pPr>
        <w:ind w:left="-8" w:firstLine="921"/>
        <w:spacing w:after="0" w:line="239" w:lineRule="auto"/>
        <w:tabs>
          <w:tab w:leader="none" w:pos="1311" w:val="left"/>
        </w:tabs>
        <w:numPr>
          <w:ilvl w:val="2"/>
          <w:numId w:val="68"/>
        </w:numPr>
        <w:rPr>
          <w:rFonts w:ascii="Arial" w:cs="Arial" w:eastAsia="Arial" w:hAnsi="Arial"/>
          <w:sz w:val="18"/>
          <w:szCs w:val="18"/>
          <w:color w:val="auto"/>
        </w:rPr>
      </w:pPr>
      <w:r>
        <w:rPr>
          <w:rFonts w:ascii="Arial" w:cs="Arial" w:eastAsia="Arial" w:hAnsi="Arial"/>
          <w:sz w:val="18"/>
          <w:szCs w:val="18"/>
          <w:color w:val="auto"/>
        </w:rPr>
        <w:t>This Agreement shall be effective on [date], and shall continue in effect through December 31, [year], or the later date provided by subsection (b) or (c) of this section.</w:t>
      </w:r>
    </w:p>
    <w:p>
      <w:pPr>
        <w:spacing w:after="0" w:line="73" w:lineRule="exact"/>
        <w:rPr>
          <w:rFonts w:ascii="Arial" w:cs="Arial" w:eastAsia="Arial" w:hAnsi="Arial"/>
          <w:sz w:val="18"/>
          <w:szCs w:val="18"/>
          <w:color w:val="auto"/>
        </w:rPr>
      </w:pPr>
    </w:p>
    <w:p>
      <w:pPr>
        <w:ind w:left="-8" w:right="80" w:firstLine="921"/>
        <w:spacing w:after="0" w:line="236" w:lineRule="auto"/>
        <w:tabs>
          <w:tab w:leader="none" w:pos="1315" w:val="left"/>
        </w:tabs>
        <w:numPr>
          <w:ilvl w:val="2"/>
          <w:numId w:val="68"/>
        </w:numPr>
        <w:rPr>
          <w:rFonts w:ascii="Arial" w:cs="Arial" w:eastAsia="Arial" w:hAnsi="Arial"/>
          <w:sz w:val="18"/>
          <w:szCs w:val="18"/>
          <w:color w:val="auto"/>
        </w:rPr>
      </w:pPr>
      <w:r>
        <w:rPr>
          <w:rFonts w:ascii="Arial" w:cs="Arial" w:eastAsia="Arial" w:hAnsi="Arial"/>
          <w:sz w:val="18"/>
          <w:szCs w:val="18"/>
          <w:color w:val="auto"/>
        </w:rPr>
        <w:t>Commencing on January 1, [year], and each January 1 thereafter, the term of this Agreement shall automatically be extended for one additional year unless, (i) not later than the later of November 1 or thirty days following the meeting of the Compensation Committee of the Board held in October of the preceding year, the Company gives notice that it does not wish to extend this Agreement; or (ii) at any time, the Company gives notice that you are no longer in a position considered to be a key role in the event of a CIC. No such notice may be given during the pendency of a Potential Change in Control.</w:t>
      </w:r>
    </w:p>
    <w:p>
      <w:pPr>
        <w:spacing w:after="0" w:line="76" w:lineRule="exact"/>
        <w:rPr>
          <w:rFonts w:ascii="Arial" w:cs="Arial" w:eastAsia="Arial" w:hAnsi="Arial"/>
          <w:sz w:val="18"/>
          <w:szCs w:val="18"/>
          <w:color w:val="auto"/>
        </w:rPr>
      </w:pPr>
    </w:p>
    <w:p>
      <w:pPr>
        <w:ind w:left="-8" w:right="240" w:firstLine="921"/>
        <w:spacing w:after="0" w:line="239" w:lineRule="auto"/>
        <w:tabs>
          <w:tab w:leader="none" w:pos="1305" w:val="left"/>
        </w:tabs>
        <w:numPr>
          <w:ilvl w:val="2"/>
          <w:numId w:val="68"/>
        </w:numPr>
        <w:rPr>
          <w:rFonts w:ascii="Arial" w:cs="Arial" w:eastAsia="Arial" w:hAnsi="Arial"/>
          <w:sz w:val="18"/>
          <w:szCs w:val="18"/>
          <w:color w:val="auto"/>
        </w:rPr>
      </w:pPr>
      <w:r>
        <w:rPr>
          <w:rFonts w:ascii="Arial" w:cs="Arial" w:eastAsia="Arial" w:hAnsi="Arial"/>
          <w:sz w:val="18"/>
          <w:szCs w:val="18"/>
          <w:color w:val="auto"/>
        </w:rPr>
        <w:t>If a Change in Control occurs while this Agreement is in effect, then notwithstanding subsections (a) and (b) of this section, this Agreement shall continue in effect until the last day of the 24th month following the month in which occurs such Change in Control.</w:t>
      </w:r>
    </w:p>
    <w:p>
      <w:pPr>
        <w:spacing w:after="0" w:line="73" w:lineRule="exact"/>
        <w:rPr>
          <w:rFonts w:ascii="Arial" w:cs="Arial" w:eastAsia="Arial" w:hAnsi="Arial"/>
          <w:sz w:val="18"/>
          <w:szCs w:val="18"/>
          <w:color w:val="auto"/>
        </w:rPr>
      </w:pPr>
    </w:p>
    <w:p>
      <w:pPr>
        <w:ind w:left="-8" w:right="380" w:firstLine="921"/>
        <w:spacing w:after="0" w:line="299" w:lineRule="auto"/>
        <w:tabs>
          <w:tab w:leader="none" w:pos="1311" w:val="left"/>
        </w:tabs>
        <w:numPr>
          <w:ilvl w:val="2"/>
          <w:numId w:val="68"/>
        </w:numPr>
        <w:rPr>
          <w:rFonts w:ascii="Arial" w:cs="Arial" w:eastAsia="Arial" w:hAnsi="Arial"/>
          <w:sz w:val="16"/>
          <w:szCs w:val="16"/>
          <w:color w:val="auto"/>
        </w:rPr>
      </w:pPr>
      <w:r>
        <w:rPr>
          <w:rFonts w:ascii="Arial" w:cs="Arial" w:eastAsia="Arial" w:hAnsi="Arial"/>
          <w:sz w:val="16"/>
          <w:szCs w:val="16"/>
          <w:color w:val="auto"/>
        </w:rPr>
        <w:t>This Agreement shall terminate upon your termination of employment (which for this purpose shall include commencement of salary continuance or other severance amounts), other than a termination of employment that occurs after a Change in Control.</w:t>
      </w:r>
    </w:p>
    <w:p>
      <w:pPr>
        <w:spacing w:after="0" w:line="27" w:lineRule="exact"/>
        <w:rPr>
          <w:rFonts w:ascii="Arial" w:cs="Arial" w:eastAsia="Arial" w:hAnsi="Arial"/>
          <w:sz w:val="16"/>
          <w:szCs w:val="16"/>
          <w:color w:val="auto"/>
        </w:rPr>
      </w:pPr>
    </w:p>
    <w:p>
      <w:pPr>
        <w:ind w:left="-8" w:right="80" w:firstLine="464"/>
        <w:spacing w:after="0" w:line="239" w:lineRule="auto"/>
        <w:tabs>
          <w:tab w:leader="none" w:pos="887" w:val="left"/>
        </w:tabs>
        <w:numPr>
          <w:ilvl w:val="1"/>
          <w:numId w:val="68"/>
        </w:numPr>
        <w:rPr>
          <w:rFonts w:ascii="Arial" w:cs="Arial" w:eastAsia="Arial" w:hAnsi="Arial"/>
          <w:sz w:val="18"/>
          <w:szCs w:val="18"/>
          <w:color w:val="auto"/>
        </w:rPr>
      </w:pPr>
      <w:r>
        <w:rPr>
          <w:rFonts w:ascii="Arial" w:cs="Arial" w:eastAsia="Arial" w:hAnsi="Arial"/>
          <w:sz w:val="18"/>
          <w:szCs w:val="18"/>
          <w:u w:val="single" w:color="auto"/>
          <w:color w:val="auto"/>
        </w:rPr>
        <w:t>Your Agreement to Certain Continued Employmen</w:t>
      </w:r>
      <w:r>
        <w:rPr>
          <w:rFonts w:ascii="Arial" w:cs="Arial" w:eastAsia="Arial" w:hAnsi="Arial"/>
          <w:sz w:val="18"/>
          <w:szCs w:val="18"/>
          <w:color w:val="auto"/>
        </w:rPr>
        <w:t>t. You agree that, subject to the terms and conditions of this Agreement, in the event of a Potential Change in Control, you will remain in the employ of the Company until the earliest of:</w:t>
      </w:r>
    </w:p>
    <w:p>
      <w:pPr>
        <w:spacing w:after="0" w:line="73" w:lineRule="exact"/>
        <w:rPr>
          <w:rFonts w:ascii="Arial" w:cs="Arial" w:eastAsia="Arial" w:hAnsi="Arial"/>
          <w:sz w:val="18"/>
          <w:szCs w:val="18"/>
          <w:color w:val="auto"/>
        </w:rPr>
      </w:pPr>
    </w:p>
    <w:p>
      <w:pPr>
        <w:ind w:left="1312" w:hanging="399"/>
        <w:spacing w:after="0"/>
        <w:tabs>
          <w:tab w:leader="none" w:pos="1312" w:val="left"/>
        </w:tabs>
        <w:numPr>
          <w:ilvl w:val="2"/>
          <w:numId w:val="68"/>
        </w:numPr>
        <w:rPr>
          <w:rFonts w:ascii="Arial" w:cs="Arial" w:eastAsia="Arial" w:hAnsi="Arial"/>
          <w:sz w:val="18"/>
          <w:szCs w:val="18"/>
          <w:color w:val="auto"/>
        </w:rPr>
      </w:pPr>
      <w:r>
        <w:rPr>
          <w:rFonts w:ascii="Arial" w:cs="Arial" w:eastAsia="Arial" w:hAnsi="Arial"/>
          <w:sz w:val="18"/>
          <w:szCs w:val="18"/>
          <w:color w:val="auto"/>
        </w:rPr>
        <w:t>The expiration of nine (9) months from the occurrence of such Potential Change in Control,</w:t>
      </w:r>
    </w:p>
    <w:p>
      <w:pPr>
        <w:spacing w:after="0" w:line="76" w:lineRule="exact"/>
        <w:rPr>
          <w:rFonts w:ascii="Arial" w:cs="Arial" w:eastAsia="Arial" w:hAnsi="Arial"/>
          <w:sz w:val="18"/>
          <w:szCs w:val="18"/>
          <w:color w:val="auto"/>
        </w:rPr>
      </w:pPr>
    </w:p>
    <w:p>
      <w:pPr>
        <w:ind w:left="1312" w:hanging="399"/>
        <w:spacing w:after="0"/>
        <w:tabs>
          <w:tab w:leader="none" w:pos="1312" w:val="left"/>
        </w:tabs>
        <w:numPr>
          <w:ilvl w:val="2"/>
          <w:numId w:val="68"/>
        </w:numPr>
        <w:rPr>
          <w:rFonts w:ascii="Arial" w:cs="Arial" w:eastAsia="Arial" w:hAnsi="Arial"/>
          <w:sz w:val="18"/>
          <w:szCs w:val="18"/>
          <w:color w:val="auto"/>
        </w:rPr>
      </w:pPr>
      <w:r>
        <w:rPr>
          <w:rFonts w:ascii="Arial" w:cs="Arial" w:eastAsia="Arial" w:hAnsi="Arial"/>
          <w:sz w:val="18"/>
          <w:szCs w:val="18"/>
          <w:color w:val="auto"/>
        </w:rPr>
        <w:t>The termination by you of your employment by reason of Disability;</w:t>
      </w:r>
    </w:p>
    <w:p>
      <w:pPr>
        <w:spacing w:after="0" w:line="76" w:lineRule="exact"/>
        <w:rPr>
          <w:rFonts w:ascii="Arial" w:cs="Arial" w:eastAsia="Arial" w:hAnsi="Arial"/>
          <w:sz w:val="18"/>
          <w:szCs w:val="18"/>
          <w:color w:val="auto"/>
        </w:rPr>
      </w:pPr>
    </w:p>
    <w:p>
      <w:pPr>
        <w:ind w:left="-8" w:right="260" w:firstLine="921"/>
        <w:spacing w:after="0" w:line="239" w:lineRule="auto"/>
        <w:tabs>
          <w:tab w:leader="none" w:pos="1302" w:val="left"/>
        </w:tabs>
        <w:numPr>
          <w:ilvl w:val="2"/>
          <w:numId w:val="68"/>
        </w:numPr>
        <w:rPr>
          <w:rFonts w:ascii="Arial" w:cs="Arial" w:eastAsia="Arial" w:hAnsi="Arial"/>
          <w:sz w:val="18"/>
          <w:szCs w:val="18"/>
          <w:color w:val="auto"/>
        </w:rPr>
      </w:pPr>
      <w:r>
        <w:rPr>
          <w:rFonts w:ascii="Arial" w:cs="Arial" w:eastAsia="Arial" w:hAnsi="Arial"/>
          <w:sz w:val="18"/>
          <w:szCs w:val="18"/>
          <w:color w:val="auto"/>
        </w:rPr>
        <w:t>The date on which you first become entitled under this Agreement to receive the benefits provided in Section 4 (or would be so entitled, except for the application of Section 14 herein, relating to section 409A of the Code.)</w:t>
      </w:r>
    </w:p>
    <w:p>
      <w:pPr>
        <w:spacing w:after="0" w:line="73" w:lineRule="exact"/>
        <w:rPr>
          <w:rFonts w:ascii="Arial" w:cs="Arial" w:eastAsia="Arial" w:hAnsi="Arial"/>
          <w:sz w:val="18"/>
          <w:szCs w:val="18"/>
          <w:color w:val="auto"/>
        </w:rPr>
      </w:pPr>
    </w:p>
    <w:p>
      <w:pPr>
        <w:ind w:left="892" w:hanging="436"/>
        <w:spacing w:after="0"/>
        <w:tabs>
          <w:tab w:leader="none" w:pos="892" w:val="left"/>
        </w:tabs>
        <w:numPr>
          <w:ilvl w:val="1"/>
          <w:numId w:val="68"/>
        </w:numPr>
        <w:rPr>
          <w:rFonts w:ascii="Arial" w:cs="Arial" w:eastAsia="Arial" w:hAnsi="Arial"/>
          <w:sz w:val="18"/>
          <w:szCs w:val="18"/>
          <w:color w:val="auto"/>
        </w:rPr>
      </w:pPr>
      <w:r>
        <w:rPr>
          <w:rFonts w:ascii="Arial" w:cs="Arial" w:eastAsia="Arial" w:hAnsi="Arial"/>
          <w:sz w:val="18"/>
          <w:szCs w:val="18"/>
          <w:u w:val="single" w:color="auto"/>
          <w:color w:val="auto"/>
        </w:rPr>
        <w:t>Benefits Upon Termination</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8" w:right="40" w:firstLine="921"/>
        <w:spacing w:after="0" w:line="264" w:lineRule="auto"/>
        <w:tabs>
          <w:tab w:leader="none" w:pos="1311" w:val="left"/>
        </w:tabs>
        <w:numPr>
          <w:ilvl w:val="2"/>
          <w:numId w:val="68"/>
        </w:numPr>
        <w:rPr>
          <w:rFonts w:ascii="Arial" w:cs="Arial" w:eastAsia="Arial" w:hAnsi="Arial"/>
          <w:sz w:val="16"/>
          <w:szCs w:val="16"/>
          <w:color w:val="auto"/>
        </w:rPr>
      </w:pPr>
      <w:r>
        <w:rPr>
          <w:rFonts w:ascii="Arial" w:cs="Arial" w:eastAsia="Arial" w:hAnsi="Arial"/>
          <w:sz w:val="16"/>
          <w:szCs w:val="16"/>
          <w:color w:val="auto"/>
        </w:rPr>
        <w:t>You shall be entitled to the benefits provided by this section upon termination of your employment, if such termination occurs after a Change in Control and during the term of this Agreement, and is not (i) because of your death, (ii) a Termination by the Company For Cause,</w:t>
      </w:r>
    </w:p>
    <w:p>
      <w:pPr>
        <w:ind w:left="292" w:hanging="292"/>
        <w:spacing w:after="0"/>
        <w:tabs>
          <w:tab w:leader="none" w:pos="292"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Termination by the Company For Disability, or (iv) a Termination by You Without Good Reason.</w:t>
      </w:r>
    </w:p>
    <w:p>
      <w:pPr>
        <w:spacing w:after="0" w:line="76" w:lineRule="exact"/>
        <w:rPr>
          <w:rFonts w:ascii="Arial" w:cs="Arial" w:eastAsia="Arial" w:hAnsi="Arial"/>
          <w:sz w:val="18"/>
          <w:szCs w:val="18"/>
          <w:color w:val="auto"/>
        </w:rPr>
      </w:pPr>
    </w:p>
    <w:p>
      <w:pPr>
        <w:ind w:left="-8" w:firstLine="921"/>
        <w:spacing w:after="0" w:line="238" w:lineRule="auto"/>
        <w:tabs>
          <w:tab w:leader="none" w:pos="1311" w:val="left"/>
        </w:tabs>
        <w:numPr>
          <w:ilvl w:val="2"/>
          <w:numId w:val="69"/>
        </w:numPr>
        <w:rPr>
          <w:rFonts w:ascii="Arial" w:cs="Arial" w:eastAsia="Arial" w:hAnsi="Arial"/>
          <w:sz w:val="18"/>
          <w:szCs w:val="18"/>
          <w:color w:val="auto"/>
        </w:rPr>
      </w:pPr>
      <w:r>
        <w:rPr>
          <w:rFonts w:ascii="Arial" w:cs="Arial" w:eastAsia="Arial" w:hAnsi="Arial"/>
          <w:sz w:val="18"/>
          <w:szCs w:val="18"/>
          <w:color w:val="auto"/>
        </w:rPr>
        <w:t>The Company shall pay you your full base salary through your separation from service at the rate in effect at the time Notice of Termination is given, plus all other amounts to which you are entitled under any compensation plan of the Company, at the time such payments are due.</w:t>
      </w:r>
    </w:p>
    <w:p>
      <w:pPr>
        <w:spacing w:after="0" w:line="72" w:lineRule="exact"/>
        <w:rPr>
          <w:rFonts w:ascii="Arial" w:cs="Arial" w:eastAsia="Arial" w:hAnsi="Arial"/>
          <w:sz w:val="18"/>
          <w:szCs w:val="18"/>
          <w:color w:val="auto"/>
        </w:rPr>
      </w:pPr>
    </w:p>
    <w:p>
      <w:pPr>
        <w:ind w:left="-8" w:right="300" w:firstLine="921"/>
        <w:spacing w:after="0" w:line="239" w:lineRule="auto"/>
        <w:tabs>
          <w:tab w:leader="none" w:pos="1305" w:val="left"/>
        </w:tabs>
        <w:numPr>
          <w:ilvl w:val="2"/>
          <w:numId w:val="69"/>
        </w:numPr>
        <w:rPr>
          <w:rFonts w:ascii="Arial" w:cs="Arial" w:eastAsia="Arial" w:hAnsi="Arial"/>
          <w:sz w:val="18"/>
          <w:szCs w:val="18"/>
          <w:color w:val="auto"/>
        </w:rPr>
      </w:pPr>
      <w:r>
        <w:rPr>
          <w:rFonts w:ascii="Arial" w:cs="Arial" w:eastAsia="Arial" w:hAnsi="Arial"/>
          <w:sz w:val="18"/>
          <w:szCs w:val="18"/>
          <w:color w:val="auto"/>
        </w:rPr>
        <w:t>In lieu of any further salary payments to you for periods after your separation from service, the Company shall pay a lump sum severance payment equal to [two (2) or 2.99] times the sum of:</w:t>
      </w:r>
    </w:p>
    <w:p>
      <w:pPr>
        <w:spacing w:after="0" w:line="73" w:lineRule="exact"/>
        <w:rPr>
          <w:rFonts w:ascii="Arial" w:cs="Arial" w:eastAsia="Arial" w:hAnsi="Arial"/>
          <w:sz w:val="18"/>
          <w:szCs w:val="18"/>
          <w:color w:val="auto"/>
        </w:rPr>
      </w:pPr>
    </w:p>
    <w:p>
      <w:pPr>
        <w:ind w:left="-8" w:right="300" w:firstLine="1492"/>
        <w:spacing w:after="0" w:line="239" w:lineRule="auto"/>
        <w:tabs>
          <w:tab w:leader="none" w:pos="1729" w:val="left"/>
        </w:tabs>
        <w:numPr>
          <w:ilvl w:val="3"/>
          <w:numId w:val="69"/>
        </w:numPr>
        <w:rPr>
          <w:rFonts w:ascii="Arial" w:cs="Arial" w:eastAsia="Arial" w:hAnsi="Arial"/>
          <w:sz w:val="18"/>
          <w:szCs w:val="18"/>
          <w:color w:val="auto"/>
        </w:rPr>
      </w:pPr>
      <w:r>
        <w:rPr>
          <w:rFonts w:ascii="Arial" w:cs="Arial" w:eastAsia="Arial" w:hAnsi="Arial"/>
          <w:sz w:val="18"/>
          <w:szCs w:val="18"/>
          <w:color w:val="auto"/>
        </w:rPr>
        <w:t>the greater of (A) your annual rate of base salary in effect on the date Notice of Termination is given, and (B) your annual rate of base salary in effect immediately before the Change in Control, and</w:t>
      </w:r>
    </w:p>
    <w:p>
      <w:pPr>
        <w:spacing w:after="0" w:line="14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92"/>
          </w:cols>
          <w:pgMar w:left="248" w:top="291" w:right="259" w:bottom="1440" w:gutter="0" w:footer="0" w:header="0"/>
        </w:sectPr>
      </w:pPr>
    </w:p>
    <w:bookmarkStart w:id="66" w:name="page67"/>
    <w:bookmarkEnd w:id="66"/>
    <w:p>
      <w:pPr>
        <w:ind w:left="-20" w:right="140" w:firstLine="1492"/>
        <w:spacing w:after="0" w:line="239" w:lineRule="auto"/>
        <w:tabs>
          <w:tab w:leader="none" w:pos="1756" w:val="left"/>
        </w:tabs>
        <w:numPr>
          <w:ilvl w:val="1"/>
          <w:numId w:val="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greater of (A) the annual target bonus applicable to you for the year in which Notice of Termination is given and (B) the annual target bonus applicable to you for the year in which the Change in Control occurs.</w:t>
      </w:r>
    </w:p>
    <w:p>
      <w:pPr>
        <w:spacing w:after="0" w:line="73" w:lineRule="exact"/>
        <w:rPr>
          <w:rFonts w:ascii="Arial" w:cs="Arial" w:eastAsia="Arial" w:hAnsi="Arial"/>
          <w:sz w:val="18"/>
          <w:szCs w:val="18"/>
          <w:color w:val="auto"/>
        </w:rPr>
      </w:pPr>
    </w:p>
    <w:p>
      <w:pPr>
        <w:ind w:left="-20" w:right="420" w:firstLine="921"/>
        <w:spacing w:after="0" w:line="239" w:lineRule="auto"/>
        <w:tabs>
          <w:tab w:leader="none" w:pos="1299"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payment under subsection (c) will be paid immediately upon your separation from service, except that it may not be paid before the earliest date permitted under Section 14 herein (relating to section 409A of the Code).</w:t>
      </w:r>
    </w:p>
    <w:p>
      <w:pPr>
        <w:spacing w:after="0" w:line="73" w:lineRule="exact"/>
        <w:rPr>
          <w:rFonts w:ascii="Arial" w:cs="Arial" w:eastAsia="Arial" w:hAnsi="Arial"/>
          <w:sz w:val="18"/>
          <w:szCs w:val="18"/>
          <w:color w:val="auto"/>
        </w:rPr>
      </w:pPr>
    </w:p>
    <w:p>
      <w:pPr>
        <w:ind w:left="-20" w:right="220" w:firstLine="921"/>
        <w:spacing w:after="0" w:line="238" w:lineRule="auto"/>
        <w:tabs>
          <w:tab w:leader="none" w:pos="1303"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 addition to all other amounts payable to you under this section, you shall be entitled to receive all benefits payable under any other plan or agreement relating to retirement benefits or to compensation previously earned and not yet paid, in accordance with the terms of such plans or agreements.</w:t>
      </w:r>
    </w:p>
    <w:p>
      <w:pPr>
        <w:spacing w:after="0" w:line="72" w:lineRule="exact"/>
        <w:rPr>
          <w:rFonts w:ascii="Arial" w:cs="Arial" w:eastAsia="Arial" w:hAnsi="Arial"/>
          <w:sz w:val="18"/>
          <w:szCs w:val="18"/>
          <w:color w:val="auto"/>
        </w:rPr>
      </w:pPr>
    </w:p>
    <w:p>
      <w:pPr>
        <w:ind w:left="-20" w:firstLine="921"/>
        <w:spacing w:after="0" w:line="236" w:lineRule="auto"/>
        <w:tabs>
          <w:tab w:leader="none" w:pos="1254" w:val="left"/>
        </w:tabs>
        <w:numPr>
          <w:ilvl w:val="0"/>
          <w:numId w:val="71"/>
        </w:numPr>
        <w:rPr>
          <w:rFonts w:ascii="Arial" w:cs="Arial" w:eastAsia="Arial" w:hAnsi="Arial"/>
          <w:sz w:val="18"/>
          <w:szCs w:val="18"/>
          <w:color w:val="auto"/>
        </w:rPr>
      </w:pPr>
      <w:r>
        <w:rPr>
          <w:rFonts w:ascii="Arial" w:cs="Arial" w:eastAsia="Arial" w:hAnsi="Arial"/>
          <w:sz w:val="18"/>
          <w:szCs w:val="18"/>
          <w:color w:val="auto"/>
        </w:rPr>
        <w:t>For the [24 or 36] month period immediately following the Date of Termination, the Company shall arrange to provide you and your dependents life, disability, accident and health insurance benefits substantially similar to those provided to you and your dependents immediately before the Date of Termination or, if more favorable to you, those provided to you and your dependents immediately before the occurrence of a Change in Control, at no greater cost to you than the cost to you immediately before such date or occurrence. Benefits otherwise receivable by you pursuant to this section shall be reduced to the extent benefits of the same type are received by or made available at no greater cost to you by a subsequent employer during the [24 or 36] month period following the Date of Termination (and any such benefits received by or made available to you shall be reported by you to the Company).</w:t>
      </w:r>
    </w:p>
    <w:p>
      <w:pPr>
        <w:spacing w:after="0" w:line="74" w:lineRule="exact"/>
        <w:rPr>
          <w:rFonts w:ascii="Arial" w:cs="Arial" w:eastAsia="Arial" w:hAnsi="Arial"/>
          <w:sz w:val="18"/>
          <w:szCs w:val="18"/>
          <w:color w:val="auto"/>
        </w:rPr>
      </w:pPr>
    </w:p>
    <w:p>
      <w:pPr>
        <w:ind w:left="1320" w:hanging="419"/>
        <w:spacing w:after="0"/>
        <w:tabs>
          <w:tab w:leader="none" w:pos="132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Deeming rules for certain terminations of employment before a Change in Control</w:t>
      </w:r>
      <w:r>
        <w:rPr>
          <w:rFonts w:ascii="Arial" w:cs="Arial" w:eastAsia="Arial" w:hAnsi="Arial"/>
          <w:sz w:val="18"/>
          <w:szCs w:val="18"/>
          <w:color w:val="auto"/>
        </w:rPr>
        <w:t>. For purposes of this Agreement:</w:t>
      </w:r>
    </w:p>
    <w:p>
      <w:pPr>
        <w:spacing w:after="0" w:line="76" w:lineRule="exact"/>
        <w:rPr>
          <w:rFonts w:ascii="Arial" w:cs="Arial" w:eastAsia="Arial" w:hAnsi="Arial"/>
          <w:sz w:val="18"/>
          <w:szCs w:val="18"/>
          <w:color w:val="auto"/>
        </w:rPr>
      </w:pPr>
    </w:p>
    <w:p>
      <w:pPr>
        <w:ind w:left="-20" w:right="180" w:firstLine="1492"/>
        <w:spacing w:after="0" w:line="236" w:lineRule="auto"/>
        <w:tabs>
          <w:tab w:leader="none" w:pos="1811" w:val="left"/>
        </w:tabs>
        <w:numPr>
          <w:ilvl w:val="1"/>
          <w:numId w:val="71"/>
        </w:numPr>
        <w:rPr>
          <w:rFonts w:ascii="Arial" w:cs="Arial" w:eastAsia="Arial" w:hAnsi="Arial"/>
          <w:sz w:val="18"/>
          <w:szCs w:val="18"/>
          <w:color w:val="auto"/>
        </w:rPr>
      </w:pPr>
      <w:r>
        <w:rPr>
          <w:rFonts w:ascii="Arial" w:cs="Arial" w:eastAsia="Arial" w:hAnsi="Arial"/>
          <w:sz w:val="18"/>
          <w:szCs w:val="18"/>
          <w:color w:val="auto"/>
        </w:rPr>
        <w:t>Termination of your employment shall be deemed to occur after a Change in Control if (A) your employment is terminated by the Company before a Change in Control, (B) such termination was not a Termination by the Company For Cause, and (C) either such termination was at the request or direction of a person who has entered into an agreement with the Company the consummation of which would constitute a Change in Control, or you reasonably demonstrate that such termination was otherwise in connection with or in anticipation of a Change in Control.</w:t>
      </w:r>
    </w:p>
    <w:p>
      <w:pPr>
        <w:spacing w:after="0" w:line="76" w:lineRule="exact"/>
        <w:rPr>
          <w:sz w:val="20"/>
          <w:szCs w:val="20"/>
          <w:color w:val="auto"/>
        </w:rPr>
      </w:pPr>
    </w:p>
    <w:p>
      <w:pPr>
        <w:jc w:val="both"/>
        <w:ind w:left="-20" w:right="120" w:firstLine="1492"/>
        <w:spacing w:after="0" w:line="237" w:lineRule="auto"/>
        <w:tabs>
          <w:tab w:leader="none" w:pos="185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Termination of your employment shall be deemed to be a Termination by You For Good Reason after a Change in Control if (A) before a Change in Control, you incur a Termination by You For Good Reason (or what would be such but for the fact that it occurs before a Change in Control), and (B) the circumstance or event which constitutes Good Reason occurs at the request or direction of a person who has entered into an agreement with the Company the consummation of which would constitute a Change in Control.</w:t>
      </w:r>
    </w:p>
    <w:p>
      <w:pPr>
        <w:spacing w:after="0" w:line="73" w:lineRule="exact"/>
        <w:rPr>
          <w:rFonts w:ascii="Arial" w:cs="Arial" w:eastAsia="Arial" w:hAnsi="Arial"/>
          <w:sz w:val="18"/>
          <w:szCs w:val="18"/>
          <w:color w:val="auto"/>
        </w:rPr>
      </w:pPr>
    </w:p>
    <w:p>
      <w:pPr>
        <w:ind w:left="1900" w:hanging="428"/>
        <w:spacing w:after="0"/>
        <w:tabs>
          <w:tab w:leader="none" w:pos="1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Clauses (i) and (ii) apply whether or not a Change in Control actually occurs.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60" w:top="291" w:right="259" w:bottom="1440" w:gutter="0" w:footer="0" w:header="0"/>
        </w:sectPr>
      </w:pPr>
    </w:p>
    <w:bookmarkStart w:id="67" w:name="page68"/>
    <w:bookmarkEnd w:id="67"/>
    <w:p>
      <w:pPr>
        <w:ind w:left="1360" w:hanging="499"/>
        <w:spacing w:after="0"/>
        <w:tabs>
          <w:tab w:leader="none" w:pos="1360" w:val="left"/>
        </w:tabs>
        <w:numPr>
          <w:ilvl w:val="1"/>
          <w:numId w:val="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payments under the Agreement are subject to the reduction or potential reduction set forth in Section 9.</w:t>
      </w:r>
    </w:p>
    <w:p>
      <w:pPr>
        <w:spacing w:after="0" w:line="76" w:lineRule="exact"/>
        <w:rPr>
          <w:rFonts w:ascii="Arial" w:cs="Arial" w:eastAsia="Arial" w:hAnsi="Arial"/>
          <w:sz w:val="18"/>
          <w:szCs w:val="18"/>
          <w:color w:val="auto"/>
        </w:rPr>
      </w:pPr>
    </w:p>
    <w:p>
      <w:pPr>
        <w:ind w:left="-60" w:right="140" w:firstLine="464"/>
        <w:spacing w:after="0" w:line="236" w:lineRule="auto"/>
        <w:tabs>
          <w:tab w:leader="none" w:pos="835"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Benefits upon Termination For Cause or Without Good Reason</w:t>
      </w:r>
      <w:r>
        <w:rPr>
          <w:rFonts w:ascii="Arial" w:cs="Arial" w:eastAsia="Arial" w:hAnsi="Arial"/>
          <w:sz w:val="18"/>
          <w:szCs w:val="18"/>
          <w:color w:val="auto"/>
        </w:rPr>
        <w:t>. If, following a Change in Control, your employment is terminated pursuant to a Termination by the Company For Cause, or a Termination by You Without Good Reason, the Company shall pay you your full base salary through your separation from service at the rate in effect at the time Notice of Termination is given, plus all other amounts to which you are entitled under any compensation plan of the Company at the time such payments are due, and the Company shall have no further obligations to you under this Agreement.</w:t>
      </w:r>
    </w:p>
    <w:p>
      <w:pPr>
        <w:spacing w:after="0" w:line="76" w:lineRule="exact"/>
        <w:rPr>
          <w:rFonts w:ascii="Arial" w:cs="Arial" w:eastAsia="Arial" w:hAnsi="Arial"/>
          <w:sz w:val="18"/>
          <w:szCs w:val="18"/>
          <w:color w:val="auto"/>
        </w:rPr>
      </w:pPr>
    </w:p>
    <w:p>
      <w:pPr>
        <w:ind w:left="-60" w:right="280" w:firstLine="464"/>
        <w:spacing w:after="0" w:line="237" w:lineRule="auto"/>
        <w:tabs>
          <w:tab w:leader="none" w:pos="835"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No Duty to Mitigate</w:t>
      </w:r>
      <w:r>
        <w:rPr>
          <w:rFonts w:ascii="Arial" w:cs="Arial" w:eastAsia="Arial" w:hAnsi="Arial"/>
          <w:sz w:val="18"/>
          <w:szCs w:val="18"/>
          <w:color w:val="auto"/>
        </w:rPr>
        <w:t>. You shall not be required to mitigate the amount of any payment provided for in Sections 4, 5, 9 or 10 herein by seeking other employment or otherwise, nor shall the amount of any payment or benefit provided for in such sections be reduced by any compensation earned by you as the result of employment by another employer or by retirement benefits after the Date of Termination, or otherwise, other than under subsection (f) of Section 4 (relating to certain continuing welfare benefits) and Section 8.</w:t>
      </w:r>
    </w:p>
    <w:p>
      <w:pPr>
        <w:spacing w:after="0" w:line="73" w:lineRule="exact"/>
        <w:rPr>
          <w:rFonts w:ascii="Arial" w:cs="Arial" w:eastAsia="Arial" w:hAnsi="Arial"/>
          <w:sz w:val="18"/>
          <w:szCs w:val="18"/>
          <w:color w:val="auto"/>
        </w:rPr>
      </w:pPr>
    </w:p>
    <w:p>
      <w:pPr>
        <w:ind w:left="-60" w:firstLine="464"/>
        <w:spacing w:after="0" w:line="238" w:lineRule="auto"/>
        <w:tabs>
          <w:tab w:leader="none" w:pos="835"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No Waiver</w:t>
      </w:r>
      <w:r>
        <w:rPr>
          <w:rFonts w:ascii="Arial" w:cs="Arial" w:eastAsia="Arial" w:hAnsi="Arial"/>
          <w:sz w:val="18"/>
          <w:szCs w:val="18"/>
          <w:color w:val="auto"/>
        </w:rPr>
        <w:t>. Your continued employment after any event which is or might be an event listed under the definition of Termination by You For Good Reason herein shall not constitute your consent to, or your waiver of rights with respect to, any circumstances surrounding a Termination by You For Good Reason.</w:t>
      </w:r>
    </w:p>
    <w:p>
      <w:pPr>
        <w:spacing w:after="0" w:line="72" w:lineRule="exact"/>
        <w:rPr>
          <w:rFonts w:ascii="Arial" w:cs="Arial" w:eastAsia="Arial" w:hAnsi="Arial"/>
          <w:sz w:val="18"/>
          <w:szCs w:val="18"/>
          <w:color w:val="auto"/>
        </w:rPr>
      </w:pPr>
    </w:p>
    <w:p>
      <w:pPr>
        <w:ind w:left="-60" w:right="100" w:firstLine="464"/>
        <w:spacing w:after="0" w:line="270" w:lineRule="auto"/>
        <w:tabs>
          <w:tab w:leader="none" w:pos="835"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Offset for Certain Severance Pay</w:t>
      </w:r>
      <w:r>
        <w:rPr>
          <w:rFonts w:ascii="Arial" w:cs="Arial" w:eastAsia="Arial" w:hAnsi="Arial"/>
          <w:sz w:val="16"/>
          <w:szCs w:val="16"/>
          <w:color w:val="auto"/>
        </w:rPr>
        <w:t>. If you become entitled to the lump sum severance benefit under subsection (c) of Section 4 herein, you shall not be entitled to receive severance pay under any severance pay plan, policy or arrangement maintained by the Company or any of its subsidiaries. If the Company is obligated by law or by contract to pay severance pay, a termination indemnity, notice pay, or the like, or if the Company is obligated by law or by contract to provide advance notice of separation, then the lump sum severance benefit under subsection (c) of Section 4 herein shall be reduced, but not below zero, by the amount of any such severance pay, termination indemnity, notice pay or the like, as applicable, and by the amount of any compensation received by you during the period of such advance notice. No offset or reduction of amounts shall be permitted to the extent it results in a prohibited substitution under Code Section 409A and regulations thereunder.</w:t>
      </w:r>
    </w:p>
    <w:p>
      <w:pPr>
        <w:spacing w:after="0" w:line="293" w:lineRule="exact"/>
        <w:rPr>
          <w:rFonts w:ascii="Arial" w:cs="Arial" w:eastAsia="Arial" w:hAnsi="Arial"/>
          <w:sz w:val="16"/>
          <w:szCs w:val="16"/>
          <w:color w:val="auto"/>
        </w:rPr>
      </w:pPr>
    </w:p>
    <w:p>
      <w:pPr>
        <w:ind w:left="840" w:hanging="436"/>
        <w:spacing w:after="0"/>
        <w:tabs>
          <w:tab w:leader="none" w:pos="84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Payment Calculation.</w:t>
      </w:r>
    </w:p>
    <w:p>
      <w:pPr>
        <w:spacing w:after="0" w:line="76" w:lineRule="exact"/>
        <w:rPr>
          <w:rFonts w:ascii="Arial" w:cs="Arial" w:eastAsia="Arial" w:hAnsi="Arial"/>
          <w:sz w:val="18"/>
          <w:szCs w:val="18"/>
          <w:color w:val="auto"/>
        </w:rPr>
      </w:pPr>
    </w:p>
    <w:p>
      <w:pPr>
        <w:ind w:left="-60" w:right="20" w:firstLine="921"/>
        <w:spacing w:after="0" w:line="236" w:lineRule="auto"/>
        <w:tabs>
          <w:tab w:leader="none" w:pos="13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Generally, Total Payments (defined below) in connection with a Change in Control, including but not limited to payments under this Agreement, may be subject to an Excise Tax (defined below) payable by you. The Excise Tax applies only if Total Payments exceed a threshold computed under the Code and IRS regulations. Accordingly, if it is determined that the Excise Tax would apply to any payments to you in connection with a Change in Control, payments under the Agreement shall be reduced by this section if it is determined by the Accounting Firm (defined below) that such Cutback (defined below) causes the Net After Tax Amount to be greater than the Net After Tax Amount (defined below) without such Cutback.</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20"/>
          </w:cols>
          <w:pgMar w:left="300" w:top="291" w:right="279" w:bottom="1440" w:gutter="0" w:footer="0" w:header="0"/>
        </w:sectPr>
      </w:pPr>
    </w:p>
    <w:bookmarkStart w:id="68" w:name="page69"/>
    <w:bookmarkEnd w:id="68"/>
    <w:p>
      <w:pPr>
        <w:ind w:left="1220" w:hanging="319"/>
        <w:spacing w:after="0"/>
        <w:tabs>
          <w:tab w:leader="none" w:pos="1220" w:val="left"/>
        </w:tabs>
        <w:numPr>
          <w:ilvl w:val="1"/>
          <w:numId w:val="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purposes of this Section, the following terms have the following meanings:</w:t>
      </w:r>
    </w:p>
    <w:p>
      <w:pPr>
        <w:spacing w:after="0" w:line="76" w:lineRule="exact"/>
        <w:rPr>
          <w:rFonts w:ascii="Arial" w:cs="Arial" w:eastAsia="Arial" w:hAnsi="Arial"/>
          <w:sz w:val="18"/>
          <w:szCs w:val="18"/>
          <w:color w:val="auto"/>
        </w:rPr>
      </w:pPr>
    </w:p>
    <w:p>
      <w:pPr>
        <w:ind w:left="-20" w:firstLine="1492"/>
        <w:spacing w:after="0" w:line="237" w:lineRule="auto"/>
        <w:tabs>
          <w:tab w:leader="none" w:pos="1717" w:val="left"/>
        </w:tabs>
        <w:numPr>
          <w:ilvl w:val="2"/>
          <w:numId w:val="75"/>
        </w:numPr>
        <w:rPr>
          <w:rFonts w:ascii="Arial" w:cs="Arial" w:eastAsia="Arial" w:hAnsi="Arial"/>
          <w:sz w:val="18"/>
          <w:szCs w:val="18"/>
          <w:color w:val="auto"/>
        </w:rPr>
      </w:pPr>
      <w:r>
        <w:rPr>
          <w:rFonts w:ascii="Arial" w:cs="Arial" w:eastAsia="Arial" w:hAnsi="Arial"/>
          <w:sz w:val="18"/>
          <w:szCs w:val="18"/>
          <w:color w:val="auto"/>
        </w:rPr>
        <w:t>“Total Payments” shall mean all of the payments or benefits, paid or payable to you or for your benefit, subject to the excise tax under Section 4999 of the Code (before any reduction pursuant to this section), including any vesting of awards subject to Section 83 of the Code, whether pursuant to the terms of this Agreement or any other plan, arrangement or agreement with the Company, any person whose actions result in a Change in Control, or any person affiliated with the Company or such person.</w:t>
      </w:r>
    </w:p>
    <w:p>
      <w:pPr>
        <w:spacing w:after="0" w:line="73" w:lineRule="exact"/>
        <w:rPr>
          <w:rFonts w:ascii="Arial" w:cs="Arial" w:eastAsia="Arial" w:hAnsi="Arial"/>
          <w:sz w:val="18"/>
          <w:szCs w:val="18"/>
          <w:color w:val="auto"/>
        </w:rPr>
      </w:pPr>
    </w:p>
    <w:p>
      <w:pPr>
        <w:ind w:left="1760" w:hanging="288"/>
        <w:spacing w:after="0"/>
        <w:tabs>
          <w:tab w:leader="none" w:pos="1760" w:val="left"/>
        </w:tabs>
        <w:numPr>
          <w:ilvl w:val="2"/>
          <w:numId w:val="75"/>
        </w:numPr>
        <w:rPr>
          <w:rFonts w:ascii="Arial" w:cs="Arial" w:eastAsia="Arial" w:hAnsi="Arial"/>
          <w:sz w:val="18"/>
          <w:szCs w:val="18"/>
          <w:color w:val="auto"/>
        </w:rPr>
      </w:pPr>
      <w:r>
        <w:rPr>
          <w:rFonts w:ascii="Arial" w:cs="Arial" w:eastAsia="Arial" w:hAnsi="Arial"/>
          <w:sz w:val="18"/>
          <w:szCs w:val="18"/>
          <w:color w:val="auto"/>
        </w:rPr>
        <w:t>“Excise Tax” shall mean the excise tax (if any) imposed under section 4999 of the Code on your Total Payments.</w:t>
      </w:r>
    </w:p>
    <w:p>
      <w:pPr>
        <w:spacing w:after="0" w:line="76" w:lineRule="exact"/>
        <w:rPr>
          <w:rFonts w:ascii="Arial" w:cs="Arial" w:eastAsia="Arial" w:hAnsi="Arial"/>
          <w:sz w:val="18"/>
          <w:szCs w:val="18"/>
          <w:color w:val="auto"/>
        </w:rPr>
      </w:pPr>
    </w:p>
    <w:p>
      <w:pPr>
        <w:jc w:val="both"/>
        <w:ind w:left="-20" w:firstLine="1492"/>
        <w:spacing w:after="0" w:line="238" w:lineRule="auto"/>
        <w:tabs>
          <w:tab w:leader="none" w:pos="1795" w:val="left"/>
        </w:tabs>
        <w:numPr>
          <w:ilvl w:val="2"/>
          <w:numId w:val="75"/>
        </w:numPr>
        <w:rPr>
          <w:rFonts w:ascii="Arial" w:cs="Arial" w:eastAsia="Arial" w:hAnsi="Arial"/>
          <w:sz w:val="18"/>
          <w:szCs w:val="18"/>
          <w:color w:val="auto"/>
        </w:rPr>
      </w:pPr>
      <w:r>
        <w:rPr>
          <w:rFonts w:ascii="Arial" w:cs="Arial" w:eastAsia="Arial" w:hAnsi="Arial"/>
          <w:sz w:val="18"/>
          <w:szCs w:val="18"/>
          <w:color w:val="auto"/>
        </w:rPr>
        <w:t>“Net After Tax Amount” shall mean the amount of Total Payments net of any applicable taxes under the Code and any State or local income taxes applicable on the date of payment. The determination of the Net After Tax Amount shall be made using the highest combined effective rate imposed by the foregoing taxes on income of the same character as the payments, as in effect on the date of payment.</w:t>
      </w:r>
    </w:p>
    <w:p>
      <w:pPr>
        <w:spacing w:after="0" w:line="72" w:lineRule="exact"/>
        <w:rPr>
          <w:rFonts w:ascii="Arial" w:cs="Arial" w:eastAsia="Arial" w:hAnsi="Arial"/>
          <w:sz w:val="18"/>
          <w:szCs w:val="18"/>
          <w:color w:val="auto"/>
        </w:rPr>
      </w:pPr>
    </w:p>
    <w:p>
      <w:pPr>
        <w:ind w:left="-20" w:right="180" w:firstLine="921"/>
        <w:spacing w:after="0" w:line="239" w:lineRule="auto"/>
        <w:tabs>
          <w:tab w:leader="none" w:pos="1381" w:val="left"/>
        </w:tabs>
        <w:numPr>
          <w:ilvl w:val="1"/>
          <w:numId w:val="75"/>
        </w:numPr>
        <w:rPr>
          <w:rFonts w:ascii="Arial" w:cs="Arial" w:eastAsia="Arial" w:hAnsi="Arial"/>
          <w:sz w:val="18"/>
          <w:szCs w:val="18"/>
          <w:color w:val="auto"/>
        </w:rPr>
      </w:pPr>
      <w:r>
        <w:rPr>
          <w:rFonts w:ascii="Arial" w:cs="Arial" w:eastAsia="Arial" w:hAnsi="Arial"/>
          <w:sz w:val="18"/>
          <w:szCs w:val="18"/>
          <w:color w:val="auto"/>
        </w:rPr>
        <w:t>Amounts payable to you under the Agreement shall be reduced by an amount (“the Cutback”) if and only if it is determined that the Net After Tax Amount is greater if the Cutback is imposed than if the Cutback is not imposed.</w:t>
      </w:r>
    </w:p>
    <w:p>
      <w:pPr>
        <w:spacing w:after="0" w:line="73" w:lineRule="exact"/>
        <w:rPr>
          <w:rFonts w:ascii="Arial" w:cs="Arial" w:eastAsia="Arial" w:hAnsi="Arial"/>
          <w:sz w:val="18"/>
          <w:szCs w:val="18"/>
          <w:color w:val="auto"/>
        </w:rPr>
      </w:pPr>
    </w:p>
    <w:p>
      <w:pPr>
        <w:ind w:left="-20" w:right="20" w:firstLine="921"/>
        <w:spacing w:after="0" w:line="236" w:lineRule="auto"/>
        <w:tabs>
          <w:tab w:leader="none" w:pos="139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All determinations required to be made under this Section 9 shall be made by the accounting firm that was, immediately before the Change in Control, the Company’s independent auditor (the “Accounting Firm”), which shall provide detailed supporting calculations both to the Company and to you within fifteen (15) business days after your Notice of Termination, or such earlier time as requested by the Company. In the event that such accounting firm is also serving as accountant or auditor for the individual, entity or group effecting the Change in Control, the Company shall appoint another nationally recognized accounting firm to make the determinations required hereunder (which accounting firm instead shall be the Accounting Firm hereunder). All fees and expenses of the Accounting Firm shall be borne solely by the Company. Any determination by the Accounting Firm shall be binding upon the Company and you.</w:t>
      </w:r>
    </w:p>
    <w:p>
      <w:pPr>
        <w:spacing w:after="0" w:line="74" w:lineRule="exact"/>
        <w:rPr>
          <w:rFonts w:ascii="Arial" w:cs="Arial" w:eastAsia="Arial" w:hAnsi="Arial"/>
          <w:sz w:val="18"/>
          <w:szCs w:val="18"/>
          <w:color w:val="auto"/>
        </w:rPr>
      </w:pPr>
    </w:p>
    <w:p>
      <w:pPr>
        <w:ind w:left="980" w:hanging="536"/>
        <w:spacing w:after="0"/>
        <w:tabs>
          <w:tab w:leader="none" w:pos="98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Legal Fees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20" w:right="280" w:firstLine="921"/>
        <w:spacing w:after="0" w:line="236" w:lineRule="auto"/>
        <w:tabs>
          <w:tab w:leader="none" w:pos="1397"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Company also shall pay to you all reasonable legal fees and expenses incurred by you with respect to the initial determination by the Accounting Firm with respect to the amount of Cutback (if any), as well as in disputing in good faith any issue hereunder relating to the termination of your employment, in seeking in good faith to obtain or enforce any benefit or right provided by this Agreement or in connection with any tax audit or proceeding to the extent attributable to the application of section 4999 of the Code to any payment or benefit provided hereunder. Such payment shall be made immediately upon the date that is five business days after delivery of your written request for payment accompanied with such evidence of fees and expenses incurred as the Company reasonably may require.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60" w:top="291" w:right="259" w:bottom="1440" w:gutter="0" w:footer="0" w:header="0"/>
        </w:sectPr>
      </w:pPr>
    </w:p>
    <w:bookmarkStart w:id="69" w:name="page70"/>
    <w:bookmarkEnd w:id="69"/>
    <w:p>
      <w:pPr>
        <w:ind w:left="-80" w:right="40" w:firstLine="921"/>
        <w:spacing w:after="0" w:line="271" w:lineRule="auto"/>
        <w:tabs>
          <w:tab w:leader="none" w:pos="1389" w:val="left"/>
        </w:tabs>
        <w:numPr>
          <w:ilvl w:val="1"/>
          <w:numId w:val="7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the extent required by Section 409A of the Code and guidance thereunder, any payment by the Company under this section shall be made no later than December 31 of the calendar year following the calendar year in which you incur such fees and expenses. Notwithstanding the foregoing, to the extent required by Section 409A of the Code, in the case of a payment by the Company to reimburse expenses incurred due to a tax audit or litigation, payment shall be made no later than December 31 of the calendar year following the calendar you in which you remit the Excise Tax or, where as a result of such audit or litigation, no taxes are remitted, December 31 of the calendar year following the calendar year in which the audit is completed or there is a final and nonappealable settlement or other resolution of the litigation.</w:t>
      </w:r>
    </w:p>
    <w:p>
      <w:pPr>
        <w:spacing w:after="0" w:line="50" w:lineRule="exact"/>
        <w:rPr>
          <w:rFonts w:ascii="Arial" w:cs="Arial" w:eastAsia="Arial" w:hAnsi="Arial"/>
          <w:sz w:val="16"/>
          <w:szCs w:val="16"/>
          <w:color w:val="auto"/>
        </w:rPr>
      </w:pPr>
    </w:p>
    <w:p>
      <w:pPr>
        <w:ind w:left="960" w:hanging="576"/>
        <w:spacing w:after="0"/>
        <w:tabs>
          <w:tab w:leader="none" w:pos="96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Successors; Binding Agreement</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80" w:right="20" w:firstLine="921"/>
        <w:spacing w:after="0" w:line="238" w:lineRule="auto"/>
        <w:tabs>
          <w:tab w:leader="none" w:pos="1096"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The Company will require any successor (whether direct or indirect, by purchase, merger, consolidation or otherwise) to all or substantially all of the business and/or assets of the Company to expressly assume and agree to perform this Agreement in the same manner and to the same extent that the Company would be required to perform it if no succession had taken place.</w:t>
      </w:r>
    </w:p>
    <w:p>
      <w:pPr>
        <w:spacing w:after="0" w:line="72" w:lineRule="exact"/>
        <w:rPr>
          <w:rFonts w:ascii="Arial" w:cs="Arial" w:eastAsia="Arial" w:hAnsi="Arial"/>
          <w:sz w:val="18"/>
          <w:szCs w:val="18"/>
          <w:color w:val="auto"/>
        </w:rPr>
      </w:pPr>
    </w:p>
    <w:p>
      <w:pPr>
        <w:jc w:val="both"/>
        <w:ind w:left="-80" w:right="140" w:firstLine="921"/>
        <w:spacing w:after="0" w:line="237" w:lineRule="auto"/>
        <w:tabs>
          <w:tab w:leader="none" w:pos="1389" w:val="left"/>
        </w:tabs>
        <w:numPr>
          <w:ilvl w:val="1"/>
          <w:numId w:val="78"/>
        </w:numPr>
        <w:rPr>
          <w:rFonts w:ascii="Arial" w:cs="Arial" w:eastAsia="Arial" w:hAnsi="Arial"/>
          <w:sz w:val="18"/>
          <w:szCs w:val="18"/>
          <w:color w:val="auto"/>
        </w:rPr>
      </w:pPr>
      <w:r>
        <w:rPr>
          <w:rFonts w:ascii="Arial" w:cs="Arial" w:eastAsia="Arial" w:hAnsi="Arial"/>
          <w:sz w:val="18"/>
          <w:szCs w:val="18"/>
          <w:color w:val="auto"/>
        </w:rPr>
        <w:t>Failure of the Company to obtain such assumption and agreement before the effectiveness of any such succession shall be a breach of this Agreement and shall entitle you to compensation from the Company in the same amount and on the same terms as you would be entitled hereunder if you terminated your employment for Good Reason following a Change in Control, except that for purposes of implementing the foregoing, the date on which any such succession becomes effective shall be deemed the Date of Termination.</w:t>
      </w:r>
    </w:p>
    <w:p>
      <w:pPr>
        <w:spacing w:after="0" w:line="73" w:lineRule="exact"/>
        <w:rPr>
          <w:rFonts w:ascii="Arial" w:cs="Arial" w:eastAsia="Arial" w:hAnsi="Arial"/>
          <w:sz w:val="18"/>
          <w:szCs w:val="18"/>
          <w:color w:val="auto"/>
        </w:rPr>
      </w:pPr>
    </w:p>
    <w:p>
      <w:pPr>
        <w:ind w:left="-80" w:right="60" w:firstLine="921"/>
        <w:spacing w:after="0" w:line="237" w:lineRule="auto"/>
        <w:tabs>
          <w:tab w:leader="none" w:pos="1379"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This Agreement shall inure to the benefit of and be enforceable by your personal or legal representatives, executors, administrators, successors, heirs, distributees, devisees and legatees. If you should die while any amount would still be payable to you hereunder if you had continued to live, all such amounts, unless otherwise provided herein, shall be paid in accordance with the terms of this Agreement to your devisee, legatee or other designee or if no such designee, to your estate.</w:t>
      </w:r>
    </w:p>
    <w:p>
      <w:pPr>
        <w:spacing w:after="0" w:line="73" w:lineRule="exact"/>
        <w:rPr>
          <w:rFonts w:ascii="Arial" w:cs="Arial" w:eastAsia="Arial" w:hAnsi="Arial"/>
          <w:sz w:val="18"/>
          <w:szCs w:val="18"/>
          <w:color w:val="auto"/>
        </w:rPr>
      </w:pPr>
    </w:p>
    <w:p>
      <w:pPr>
        <w:ind w:left="-80" w:firstLine="464"/>
        <w:spacing w:after="0" w:line="268" w:lineRule="auto"/>
        <w:tabs>
          <w:tab w:leader="none" w:pos="962"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Notice Requirement</w:t>
      </w:r>
      <w:r>
        <w:rPr>
          <w:rFonts w:ascii="Arial" w:cs="Arial" w:eastAsia="Arial" w:hAnsi="Arial"/>
          <w:sz w:val="16"/>
          <w:szCs w:val="16"/>
          <w:color w:val="auto"/>
        </w:rPr>
        <w:t>. Any termination or purported termination of your employment (except by reason of your death) by the Company or by you following a Change in Control and during the term of this Agreement shall be communicated by written Notice of Termination to the other party hereto in accordance with this section. The Notice of Termination shall indicate the specific termination provision in this Agreement relied upon and shall set forth in reasonable detail the facts and circumstances claimed to provide a basis for termination of your employment under the provision so indicated. For the purposes of this Agreement, notices and all other communications provided for in the Agreement shall be in writing and shall be deemed to have been duly given when delivered or mailed by United States registered mail, return receipt requested, postage prepaid, addressed to the respective addresses set forth on the first page of this Agreement, provided that all notices to the Company shall be directed to the attention of the Board with a copy to the Secretary of the Company, or to such other address as either party may have furnished to the other in writing in accordance herewith, except that notice of change of address shall be effective only upon receipt.</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60"/>
          </w:cols>
          <w:pgMar w:left="320" w:top="345" w:right="319" w:bottom="1440" w:gutter="0" w:footer="0" w:header="0"/>
        </w:sectPr>
      </w:pPr>
    </w:p>
    <w:bookmarkStart w:id="70" w:name="page71"/>
    <w:bookmarkEnd w:id="70"/>
    <w:p>
      <w:pPr>
        <w:ind w:right="80" w:firstLine="464"/>
        <w:spacing w:after="0" w:line="267" w:lineRule="auto"/>
        <w:tabs>
          <w:tab w:leader="none" w:pos="1042"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Extension of Date of Termination</w:t>
      </w:r>
      <w:r>
        <w:rPr>
          <w:rFonts w:ascii="Arial" w:cs="Arial" w:eastAsia="Arial" w:hAnsi="Arial"/>
          <w:sz w:val="16"/>
          <w:szCs w:val="16"/>
          <w:color w:val="auto"/>
        </w:rPr>
        <w:t>. If, within thirty (30) days after any Notice of Termination is given the party receiving such Notice of Termination notifies the other party that a dispute exists concerning the termination, the Date of Termination shall be the date on which the dispute is finally determined, either by mutual written agreement of the parties, by a binding arbitration award, or by a final judgment, order or decree of court of competent jurisdiction (the time for appeal therefrom having expired and no appeal having been perfected). The Date of Termination shall be extended by a notice of dispute only if such notice is given in good faith and the party giving such notice pursues the resolution of such dispute with reasonable diligence. You shall make prompt, good faith and reasonable efforts to collect any amounts you believe are owing to you, in accordance with regulations under Section 409A. Notwithstanding the pendency of any such dispute, the Company will continue to pay you your full compensation in effect when the notice giving rise to the dispute was given (including, but not limited to, base salary) and continue you as a participant in all compensation, benefit and insurance plans in which you were participating when the notice giving rise to the dispute was given, until the dispute is finally resolved in accordance with this section. Amounts paid under this section are in addition to all other amounts due under this Agreement and shall not be offset against or reduce any other amounts due under this Agreement and shall not be reduced by any compensation earned by you as the result of employment by another employer</w:t>
      </w:r>
    </w:p>
    <w:p>
      <w:pPr>
        <w:spacing w:after="0" w:line="260" w:lineRule="exact"/>
        <w:rPr>
          <w:rFonts w:ascii="Arial" w:cs="Arial" w:eastAsia="Arial" w:hAnsi="Arial"/>
          <w:sz w:val="16"/>
          <w:szCs w:val="16"/>
          <w:color w:val="auto"/>
        </w:rPr>
      </w:pPr>
    </w:p>
    <w:p>
      <w:pPr>
        <w:ind w:left="1040" w:hanging="576"/>
        <w:spacing w:after="0"/>
        <w:tabs>
          <w:tab w:leader="none" w:pos="104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No Payment Earlier Than Permitted Under Code Section 409A</w:t>
      </w:r>
      <w:r>
        <w:rPr>
          <w:rFonts w:ascii="Arial" w:cs="Arial" w:eastAsia="Arial" w:hAnsi="Arial"/>
          <w:sz w:val="18"/>
          <w:szCs w:val="18"/>
          <w:color w:val="auto"/>
        </w:rPr>
        <w:t>.</w:t>
      </w:r>
    </w:p>
    <w:p>
      <w:pPr>
        <w:spacing w:after="0" w:line="77" w:lineRule="exact"/>
        <w:rPr>
          <w:sz w:val="20"/>
          <w:szCs w:val="20"/>
          <w:color w:val="auto"/>
        </w:rPr>
      </w:pPr>
    </w:p>
    <w:p>
      <w:pPr>
        <w:ind w:right="100" w:firstLine="913"/>
        <w:spacing w:after="0" w:line="238" w:lineRule="auto"/>
        <w:rPr>
          <w:sz w:val="20"/>
          <w:szCs w:val="20"/>
          <w:color w:val="auto"/>
        </w:rPr>
      </w:pPr>
      <w:r>
        <w:rPr>
          <w:rFonts w:ascii="Arial" w:cs="Arial" w:eastAsia="Arial" w:hAnsi="Arial"/>
          <w:sz w:val="18"/>
          <w:szCs w:val="18"/>
          <w:color w:val="auto"/>
        </w:rPr>
        <w:t>In no event shall any amount that is deferred compensation under Code section 409A (other than a short term deferral) payable under this Agreement upon your separation from service be paid to you under this Agreement before the date of your separation from service plus 6 months after such date if you are a specified employee (as defined for purposes of Code section 409A(a)(2)(B)).</w:t>
      </w:r>
    </w:p>
    <w:p>
      <w:pPr>
        <w:spacing w:after="0" w:line="73" w:lineRule="exact"/>
        <w:rPr>
          <w:sz w:val="20"/>
          <w:szCs w:val="20"/>
          <w:color w:val="auto"/>
        </w:rPr>
      </w:pPr>
    </w:p>
    <w:p>
      <w:pPr>
        <w:ind w:left="1040" w:hanging="576"/>
        <w:spacing w:after="0"/>
        <w:tabs>
          <w:tab w:leader="none" w:pos="104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firstLine="921"/>
        <w:spacing w:after="0" w:line="238" w:lineRule="auto"/>
        <w:tabs>
          <w:tab w:leader="none" w:pos="1469" w:val="left"/>
        </w:tabs>
        <w:numPr>
          <w:ilvl w:val="1"/>
          <w:numId w:val="80"/>
        </w:numPr>
        <w:rPr>
          <w:rFonts w:ascii="Arial" w:cs="Arial" w:eastAsia="Arial" w:hAnsi="Arial"/>
          <w:sz w:val="18"/>
          <w:szCs w:val="18"/>
          <w:color w:val="auto"/>
        </w:rPr>
      </w:pPr>
      <w:r>
        <w:rPr>
          <w:rFonts w:ascii="Arial" w:cs="Arial" w:eastAsia="Arial" w:hAnsi="Arial"/>
          <w:sz w:val="18"/>
          <w:szCs w:val="18"/>
          <w:color w:val="auto"/>
        </w:rPr>
        <w:t>Except as provided in subsection (b), no provision of this Agreement may be modified, waived or discharged unless such waiver, modification or discharge is agreed to in writing and signed by you and such officer as may be specifically designated by the Compensation Committee of the Board.</w:t>
      </w:r>
    </w:p>
    <w:p>
      <w:pPr>
        <w:spacing w:after="0" w:line="72" w:lineRule="exact"/>
        <w:rPr>
          <w:rFonts w:ascii="Arial" w:cs="Arial" w:eastAsia="Arial" w:hAnsi="Arial"/>
          <w:sz w:val="18"/>
          <w:szCs w:val="18"/>
          <w:color w:val="auto"/>
        </w:rPr>
      </w:pPr>
    </w:p>
    <w:p>
      <w:pPr>
        <w:ind w:firstLine="921"/>
        <w:spacing w:after="0" w:line="236" w:lineRule="auto"/>
        <w:tabs>
          <w:tab w:leader="none" w:pos="1466" w:val="left"/>
        </w:tabs>
        <w:numPr>
          <w:ilvl w:val="1"/>
          <w:numId w:val="80"/>
        </w:numPr>
        <w:rPr>
          <w:rFonts w:ascii="Arial" w:cs="Arial" w:eastAsia="Arial" w:hAnsi="Arial"/>
          <w:sz w:val="18"/>
          <w:szCs w:val="18"/>
          <w:color w:val="auto"/>
        </w:rPr>
      </w:pPr>
      <w:r>
        <w:rPr>
          <w:rFonts w:ascii="Arial" w:cs="Arial" w:eastAsia="Arial" w:hAnsi="Arial"/>
          <w:sz w:val="18"/>
          <w:szCs w:val="18"/>
          <w:color w:val="auto"/>
        </w:rPr>
        <w:t>To the extent deemed necessary or desirable by the Compensation Committee of the Board, the Agreement may be amended by an affirmative vote of the majority of the directors described in section 1(c)(ii) hereof and on the Compensation Committee in order to comply with Code section 409A and to avoid any additional tax or penalty related solely to Code section 409A. Such amendments will be effective if signed by such officer as may be specifically designated by the Compensation Committee of the Board. The provisions of this subsection (b) shall not apply at any time after the occurrence of either a Potential Change in Control or a Change in Control.</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91" w:right="259" w:bottom="1440" w:gutter="0" w:footer="0" w:header="0"/>
        </w:sectPr>
      </w:pPr>
    </w:p>
    <w:bookmarkStart w:id="71" w:name="page72"/>
    <w:bookmarkEnd w:id="71"/>
    <w:p>
      <w:pPr>
        <w:ind w:left="-80" w:right="320" w:firstLine="921"/>
        <w:spacing w:after="0" w:line="239" w:lineRule="auto"/>
        <w:tabs>
          <w:tab w:leader="none" w:pos="1376" w:val="left"/>
        </w:tabs>
        <w:numPr>
          <w:ilvl w:val="1"/>
          <w:numId w:val="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Chief Executive Officer of Xerox Corporation or her delegate may amend the Agreement as she or he in his or her sole discretion deems necessary or appropriate to comply with Section 409A of the Internal Revenue Code and guidance thereunder.</w:t>
      </w:r>
    </w:p>
    <w:p>
      <w:pPr>
        <w:spacing w:after="0" w:line="73" w:lineRule="exact"/>
        <w:rPr>
          <w:rFonts w:ascii="Arial" w:cs="Arial" w:eastAsia="Arial" w:hAnsi="Arial"/>
          <w:sz w:val="18"/>
          <w:szCs w:val="18"/>
          <w:color w:val="auto"/>
        </w:rPr>
      </w:pPr>
    </w:p>
    <w:p>
      <w:pPr>
        <w:ind w:left="-80" w:firstLine="464"/>
        <w:spacing w:after="0" w:line="235" w:lineRule="auto"/>
        <w:tabs>
          <w:tab w:leader="none" w:pos="962"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 No agreements or representations, oral or otherwise, express or implied, with respect to the subject matter hereof have been made by either party which are not expressly set forth in this Agreement. The validity, interpretation, construction and performance of this Agreement shall be governed by the laws of the State of New York without regard to its conflicts of law principles. All references to sections of the Exchange Act or the Code shall be deemed also to refer to any successor provisions to such sections. Any payments provided for hereunder shall be paid net of any applicable withholding required under federal, state or local law. The obligations of the Company under Sections 4, 5, 9 and 10 shall survive the expiration of the term of this Agreement. This Agreement shall not be construed as creating an express or implied contract of employment and, except as otherwise agreed in writing between you and the Company, you shall not have any right to be retained in the employ of the Company.</w:t>
      </w:r>
    </w:p>
    <w:p>
      <w:pPr>
        <w:spacing w:after="0" w:line="80" w:lineRule="exact"/>
        <w:rPr>
          <w:rFonts w:ascii="Arial" w:cs="Arial" w:eastAsia="Arial" w:hAnsi="Arial"/>
          <w:sz w:val="18"/>
          <w:szCs w:val="18"/>
          <w:color w:val="auto"/>
        </w:rPr>
      </w:pPr>
    </w:p>
    <w:p>
      <w:pPr>
        <w:ind w:left="-80" w:right="100" w:firstLine="464"/>
        <w:spacing w:after="0" w:line="239" w:lineRule="auto"/>
        <w:tabs>
          <w:tab w:leader="none" w:pos="962"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Validity</w:t>
      </w:r>
      <w:r>
        <w:rPr>
          <w:rFonts w:ascii="Arial" w:cs="Arial" w:eastAsia="Arial" w:hAnsi="Arial"/>
          <w:sz w:val="18"/>
          <w:szCs w:val="18"/>
          <w:color w:val="auto"/>
        </w:rPr>
        <w:t>. The invalidity or unenforceability of any provision of this Agreement shall not affect the validity or enforceability of any other provision of this Agreement, which shall remain in full force and effect.</w:t>
      </w:r>
    </w:p>
    <w:p>
      <w:pPr>
        <w:spacing w:after="0" w:line="73" w:lineRule="exact"/>
        <w:rPr>
          <w:rFonts w:ascii="Arial" w:cs="Arial" w:eastAsia="Arial" w:hAnsi="Arial"/>
          <w:sz w:val="18"/>
          <w:szCs w:val="18"/>
          <w:color w:val="auto"/>
        </w:rPr>
      </w:pPr>
    </w:p>
    <w:p>
      <w:pPr>
        <w:ind w:left="-80" w:right="200" w:firstLine="464"/>
        <w:spacing w:after="0" w:line="239" w:lineRule="auto"/>
        <w:tabs>
          <w:tab w:leader="none" w:pos="962"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several counterparts, each of which shall be deemed to be an original but all of which together will constitute one and the same instrument.</w:t>
      </w:r>
    </w:p>
    <w:p>
      <w:pPr>
        <w:spacing w:after="0" w:line="73" w:lineRule="exact"/>
        <w:rPr>
          <w:rFonts w:ascii="Arial" w:cs="Arial" w:eastAsia="Arial" w:hAnsi="Arial"/>
          <w:sz w:val="18"/>
          <w:szCs w:val="18"/>
          <w:color w:val="auto"/>
        </w:rPr>
      </w:pPr>
    </w:p>
    <w:p>
      <w:pPr>
        <w:ind w:left="-80" w:firstLine="464"/>
        <w:spacing w:after="0" w:line="236" w:lineRule="auto"/>
        <w:tabs>
          <w:tab w:leader="none" w:pos="962"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sets forth the entire agreement of the parties hereto in respect of the subject matter contained herein and during the term of the Agreement supersedes the provisions of all prior agreements, promises, covenants, arrangements, communications, representations or warranties, whether oral or written, by any officer, employee or representative of any party hereto with respect to the subject matter hereof (including, without limitation, the Severance Agreement previously entered into between you and the Company as thereafter amended and/or extended).</w:t>
      </w:r>
    </w:p>
    <w:p>
      <w:pPr>
        <w:spacing w:after="0" w:line="76" w:lineRule="exact"/>
        <w:rPr>
          <w:rFonts w:ascii="Arial" w:cs="Arial" w:eastAsia="Arial" w:hAnsi="Arial"/>
          <w:sz w:val="18"/>
          <w:szCs w:val="18"/>
          <w:color w:val="auto"/>
        </w:rPr>
      </w:pPr>
    </w:p>
    <w:p>
      <w:pPr>
        <w:jc w:val="both"/>
        <w:ind w:left="-80" w:right="120" w:firstLine="464"/>
        <w:spacing w:after="0" w:line="238" w:lineRule="auto"/>
        <w:tabs>
          <w:tab w:leader="none" w:pos="962"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Effective Date</w:t>
      </w:r>
      <w:r>
        <w:rPr>
          <w:rFonts w:ascii="Arial" w:cs="Arial" w:eastAsia="Arial" w:hAnsi="Arial"/>
          <w:sz w:val="18"/>
          <w:szCs w:val="18"/>
          <w:color w:val="auto"/>
        </w:rPr>
        <w:t>. This Agreement shall become effective as of the date set forth above. If this letter correctly sets forth our agreement on the subject matter hereof, please sign and return to the Company the enclosed copy of this letter which will then constitute our agreement on this subject.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60"/>
          </w:cols>
          <w:pgMar w:left="320" w:top="291" w:right="31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Sincerely,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XEROX CORPORATION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-21590</wp:posOffset>
            </wp:positionV>
            <wp:extent cx="232283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322830" cy="8890"/>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Name: Ursula M. Burns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Title: Chairman and Chief Executive Officer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Agreed to as of the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1275715</wp:posOffset>
            </wp:positionH>
            <wp:positionV relativeFrom="paragraph">
              <wp:posOffset>-21590</wp:posOffset>
            </wp:positionV>
            <wp:extent cx="133159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331595"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-21590</wp:posOffset>
            </wp:positionV>
            <wp:extent cx="219900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199005" cy="8890"/>
                    </a:xfrm>
                    <a:prstGeom prst="rect">
                      <a:avLst/>
                    </a:prstGeom>
                    <a:noFill/>
                  </pic:spPr>
                </pic:pic>
              </a:graphicData>
            </a:graphic>
          </wp:anchor>
        </w:drawing>
      </w:r>
    </w:p>
    <w:p>
      <w:pPr>
        <w:spacing w:after="0" w:line="124" w:lineRule="exact"/>
        <w:rPr>
          <w:sz w:val="20"/>
          <w:szCs w:val="20"/>
          <w:color w:val="auto"/>
        </w:rPr>
      </w:pPr>
    </w:p>
    <w:p>
      <w:pPr>
        <w:jc w:val="right"/>
        <w:ind w:right="43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219"/>
          </w:cols>
          <w:pgMar w:left="240" w:top="291" w:right="1440" w:bottom="1440" w:gutter="0" w:footer="0" w:header="0"/>
        </w:sectPr>
      </w:pPr>
    </w:p>
    <w:bookmarkStart w:id="73" w:name="page74"/>
    <w:bookmarkEnd w:id="73"/>
    <w:p>
      <w:pPr>
        <w:ind w:left="10260"/>
        <w:spacing w:after="0"/>
        <w:rPr>
          <w:sz w:val="20"/>
          <w:szCs w:val="20"/>
          <w:color w:val="auto"/>
        </w:rPr>
      </w:pPr>
      <w:r>
        <w:rPr>
          <w:rFonts w:ascii="Arial" w:cs="Arial" w:eastAsia="Arial" w:hAnsi="Arial"/>
          <w:sz w:val="21"/>
          <w:szCs w:val="21"/>
          <w:b w:val="1"/>
          <w:bCs w:val="1"/>
          <w:color w:val="6DAF3D"/>
        </w:rPr>
        <w:t>EXHIBIT 12</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6DAF3D"/>
        </w:rPr>
        <w:t>COMPUTATION OF RATIO OF EARNINGS TO FIXED CHARGES</w:t>
      </w:r>
    </w:p>
    <w:p>
      <w:pPr>
        <w:spacing w:after="0" w:line="180"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The ratio of earnings to fixed charges and the ratio of earnings to combined fixed charges and preferred stock dividends, as well as any deficiency of earnings are determined using the following applicable factors:</w:t>
      </w:r>
    </w:p>
    <w:p>
      <w:pPr>
        <w:spacing w:after="0" w:line="133" w:lineRule="exact"/>
        <w:rPr>
          <w:sz w:val="20"/>
          <w:szCs w:val="20"/>
          <w:color w:val="auto"/>
        </w:rPr>
      </w:pPr>
    </w:p>
    <w:p>
      <w:pPr>
        <w:jc w:val="both"/>
        <w:ind w:right="40"/>
        <w:spacing w:after="0" w:line="249" w:lineRule="auto"/>
        <w:rPr>
          <w:sz w:val="20"/>
          <w:szCs w:val="20"/>
          <w:color w:val="auto"/>
        </w:rPr>
      </w:pPr>
      <w:r>
        <w:rPr>
          <w:rFonts w:ascii="Arial" w:cs="Arial" w:eastAsia="Arial" w:hAnsi="Arial"/>
          <w:sz w:val="18"/>
          <w:szCs w:val="18"/>
          <w:b w:val="1"/>
          <w:bCs w:val="1"/>
          <w:color w:val="6DAF3D"/>
        </w:rPr>
        <w:t xml:space="preserve">Earnings available for fixed charges </w:t>
      </w:r>
      <w:r>
        <w:rPr>
          <w:rFonts w:ascii="Arial" w:cs="Arial" w:eastAsia="Arial" w:hAnsi="Arial"/>
          <w:sz w:val="18"/>
          <w:szCs w:val="18"/>
          <w:color w:val="000000"/>
        </w:rPr>
        <w:t>are calculated first, by determining the sum of: (a) income (loss) from continuing operations before income</w:t>
      </w:r>
      <w:r>
        <w:rPr>
          <w:rFonts w:ascii="Arial" w:cs="Arial" w:eastAsia="Arial" w:hAnsi="Arial"/>
          <w:sz w:val="18"/>
          <w:szCs w:val="18"/>
          <w:b w:val="1"/>
          <w:bCs w:val="1"/>
          <w:color w:val="6DAF3D"/>
        </w:rPr>
        <w:t xml:space="preserve"> </w:t>
      </w:r>
      <w:r>
        <w:rPr>
          <w:rFonts w:ascii="Arial" w:cs="Arial" w:eastAsia="Arial" w:hAnsi="Arial"/>
          <w:sz w:val="18"/>
          <w:szCs w:val="18"/>
          <w:color w:val="000000"/>
        </w:rPr>
        <w:t>taxes and equity income; (b) distributed equity income; (c) fixed charges, as defined below; and (d) amortization of capitalized interest, if any. From this total, we subtract capitalized interest and net income attributable to noncontrolling interests.</w:t>
      </w:r>
    </w:p>
    <w:p>
      <w:pPr>
        <w:spacing w:after="0" w:line="126"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color w:val="6DAF3D"/>
        </w:rPr>
        <w:t xml:space="preserve">Fixed charges </w:t>
      </w:r>
      <w:r>
        <w:rPr>
          <w:rFonts w:ascii="Arial" w:cs="Arial" w:eastAsia="Arial" w:hAnsi="Arial"/>
          <w:sz w:val="18"/>
          <w:szCs w:val="18"/>
          <w:color w:val="000000"/>
        </w:rPr>
        <w:t>are calculated as the sum of: (a) interest costs (both expensed and capitalized); (b) amortization of debt expense and discount or</w:t>
      </w:r>
      <w:r>
        <w:rPr>
          <w:rFonts w:ascii="Arial" w:cs="Arial" w:eastAsia="Arial" w:hAnsi="Arial"/>
          <w:sz w:val="18"/>
          <w:szCs w:val="18"/>
          <w:b w:val="1"/>
          <w:bCs w:val="1"/>
          <w:color w:val="6DAF3D"/>
        </w:rPr>
        <w:t xml:space="preserve"> </w:t>
      </w:r>
      <w:r>
        <w:rPr>
          <w:rFonts w:ascii="Arial" w:cs="Arial" w:eastAsia="Arial" w:hAnsi="Arial"/>
          <w:sz w:val="18"/>
          <w:szCs w:val="18"/>
          <w:color w:val="000000"/>
        </w:rPr>
        <w:t>premium relating to any indebtedness; and (c) that portion of rental expense that is representative of the interest factor.</w:t>
      </w:r>
    </w:p>
    <w:p>
      <w:pPr>
        <w:spacing w:after="0" w:line="112"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b w:val="1"/>
          <w:bCs w:val="1"/>
          <w:color w:val="6DAF3D"/>
        </w:rPr>
        <w:t xml:space="preserve">Preferred stock dividends </w:t>
      </w:r>
      <w:r>
        <w:rPr>
          <w:rFonts w:ascii="Arial" w:cs="Arial" w:eastAsia="Arial" w:hAnsi="Arial"/>
          <w:sz w:val="18"/>
          <w:szCs w:val="18"/>
          <w:color w:val="000000"/>
        </w:rPr>
        <w:t>used in the ratio of earnings to combined fixed charges and preferred stock dividends consist of the amount of pre-tax</w:t>
      </w:r>
      <w:r>
        <w:rPr>
          <w:rFonts w:ascii="Arial" w:cs="Arial" w:eastAsia="Arial" w:hAnsi="Arial"/>
          <w:sz w:val="18"/>
          <w:szCs w:val="18"/>
          <w:b w:val="1"/>
          <w:bCs w:val="1"/>
          <w:color w:val="6DAF3D"/>
        </w:rPr>
        <w:t xml:space="preserve"> </w:t>
      </w:r>
      <w:r>
        <w:rPr>
          <w:rFonts w:ascii="Arial" w:cs="Arial" w:eastAsia="Arial" w:hAnsi="Arial"/>
          <w:sz w:val="18"/>
          <w:szCs w:val="18"/>
          <w:color w:val="000000"/>
        </w:rPr>
        <w:t>earnings required to cover dividends paid on our Series A convertible preferred stock issued in 2010 and our Series C mandatory convertible preferred stock. Series C mandatory convertible preferred stock was redeemed and converted to common stock as of July 3, 2006 and, as such, there were no dividends beyond such date.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8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11"/>
          </w:tcPr>
          <w:p>
            <w:pPr>
              <w:ind w:left="120"/>
              <w:spacing w:after="0"/>
              <w:rPr>
                <w:sz w:val="20"/>
                <w:szCs w:val="20"/>
                <w:color w:val="auto"/>
              </w:rPr>
            </w:pPr>
            <w:r>
              <w:rPr>
                <w:rFonts w:ascii="Arial" w:cs="Arial" w:eastAsia="Arial" w:hAnsi="Arial"/>
                <w:sz w:val="18"/>
                <w:szCs w:val="18"/>
                <w:b w:val="1"/>
                <w:bCs w:val="1"/>
                <w:color w:val="auto"/>
              </w:rPr>
              <w:t>Year Ended December 31,</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940" w:type="dxa"/>
            <w:vAlign w:val="bottom"/>
            <w:gridSpan w:val="2"/>
          </w:tcPr>
          <w:p>
            <w:pPr>
              <w:spacing w:after="0" w:line="196" w:lineRule="exact"/>
              <w:rPr>
                <w:sz w:val="20"/>
                <w:szCs w:val="20"/>
                <w:color w:val="auto"/>
              </w:rPr>
            </w:pPr>
            <w:r>
              <w:rPr>
                <w:rFonts w:ascii="Arial" w:cs="Arial" w:eastAsia="Arial" w:hAnsi="Arial"/>
                <w:sz w:val="18"/>
                <w:szCs w:val="18"/>
                <w:color w:val="auto"/>
              </w:rPr>
              <w:t>(in millions)</w:t>
            </w:r>
          </w:p>
        </w:tc>
        <w:tc>
          <w:tcPr>
            <w:tcW w:w="1500" w:type="dxa"/>
            <w:vAlign w:val="bottom"/>
          </w:tcPr>
          <w:p>
            <w:pPr>
              <w:spacing w:after="0"/>
              <w:rPr>
                <w:sz w:val="17"/>
                <w:szCs w:val="17"/>
                <w:color w:val="auto"/>
              </w:rPr>
            </w:pPr>
          </w:p>
        </w:tc>
        <w:tc>
          <w:tcPr>
            <w:tcW w:w="56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2010</w:t>
            </w:r>
          </w:p>
        </w:tc>
        <w:tc>
          <w:tcPr>
            <w:tcW w:w="180" w:type="dxa"/>
            <w:vAlign w:val="bottom"/>
          </w:tcPr>
          <w:p>
            <w:pPr>
              <w:spacing w:after="0"/>
              <w:rPr>
                <w:sz w:val="17"/>
                <w:szCs w:val="17"/>
                <w:color w:val="auto"/>
              </w:rPr>
            </w:pPr>
          </w:p>
        </w:tc>
        <w:tc>
          <w:tcPr>
            <w:tcW w:w="68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7"/>
                <w:szCs w:val="17"/>
                <w:color w:val="auto"/>
              </w:rPr>
            </w:pPr>
          </w:p>
        </w:tc>
        <w:tc>
          <w:tcPr>
            <w:tcW w:w="52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2008</w:t>
            </w:r>
          </w:p>
        </w:tc>
        <w:tc>
          <w:tcPr>
            <w:tcW w:w="180" w:type="dxa"/>
            <w:vAlign w:val="bottom"/>
          </w:tcPr>
          <w:p>
            <w:pPr>
              <w:spacing w:after="0"/>
              <w:rPr>
                <w:sz w:val="17"/>
                <w:szCs w:val="17"/>
                <w:color w:val="auto"/>
              </w:rPr>
            </w:pPr>
          </w:p>
        </w:tc>
        <w:tc>
          <w:tcPr>
            <w:tcW w:w="68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17"/>
                <w:szCs w:val="17"/>
                <w:color w:val="auto"/>
              </w:rPr>
            </w:pPr>
          </w:p>
        </w:tc>
        <w:tc>
          <w:tcPr>
            <w:tcW w:w="68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40" w:type="dxa"/>
            <w:vAlign w:val="bottom"/>
            <w:gridSpan w:val="2"/>
            <w:shd w:val="clear" w:color="auto" w:fill="E5E5E5"/>
          </w:tcPr>
          <w:p>
            <w:pPr>
              <w:spacing w:after="0" w:line="196" w:lineRule="exact"/>
              <w:rPr>
                <w:sz w:val="20"/>
                <w:szCs w:val="20"/>
                <w:color w:val="auto"/>
              </w:rPr>
            </w:pPr>
            <w:r>
              <w:rPr>
                <w:rFonts w:ascii="Arial" w:cs="Arial" w:eastAsia="Arial" w:hAnsi="Arial"/>
                <w:sz w:val="18"/>
                <w:szCs w:val="18"/>
                <w:color w:val="auto"/>
              </w:rPr>
              <w:t>Fixed charges:</w:t>
            </w:r>
          </w:p>
        </w:tc>
        <w:tc>
          <w:tcPr>
            <w:tcW w:w="15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gridSpan w:val="2"/>
          </w:tcPr>
          <w:p>
            <w:pPr>
              <w:spacing w:after="0" w:line="202" w:lineRule="exact"/>
              <w:rPr>
                <w:sz w:val="20"/>
                <w:szCs w:val="20"/>
                <w:color w:val="auto"/>
              </w:rPr>
            </w:pPr>
            <w:r>
              <w:rPr>
                <w:rFonts w:ascii="Arial" w:cs="Arial" w:eastAsia="Arial" w:hAnsi="Arial"/>
                <w:sz w:val="18"/>
                <w:szCs w:val="18"/>
                <w:color w:val="auto"/>
              </w:rPr>
              <w:t>Interest expense</w:t>
            </w:r>
          </w:p>
        </w:tc>
        <w:tc>
          <w:tcPr>
            <w:tcW w:w="1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592</w:t>
            </w:r>
          </w:p>
        </w:tc>
        <w:tc>
          <w:tcPr>
            <w:tcW w:w="180" w:type="dxa"/>
            <w:vAlign w:val="bottom"/>
          </w:tcPr>
          <w:p>
            <w:pPr>
              <w:spacing w:after="0"/>
              <w:rPr>
                <w:sz w:val="17"/>
                <w:szCs w:val="17"/>
                <w:color w:val="auto"/>
              </w:rPr>
            </w:pPr>
          </w:p>
        </w:tc>
        <w:tc>
          <w:tcPr>
            <w:tcW w:w="240" w:type="dxa"/>
            <w:vAlign w:val="bottom"/>
            <w:gridSpan w:val="2"/>
          </w:tcPr>
          <w:p>
            <w:pPr>
              <w:ind w:left="140"/>
              <w:spacing w:after="0" w:line="202" w:lineRule="exact"/>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527</w:t>
            </w:r>
          </w:p>
        </w:tc>
        <w:tc>
          <w:tcPr>
            <w:tcW w:w="200" w:type="dxa"/>
            <w:vAlign w:val="bottom"/>
          </w:tcPr>
          <w:p>
            <w:pPr>
              <w:spacing w:after="0"/>
              <w:rPr>
                <w:sz w:val="17"/>
                <w:szCs w:val="17"/>
                <w:color w:val="auto"/>
              </w:rPr>
            </w:pPr>
          </w:p>
        </w:tc>
        <w:tc>
          <w:tcPr>
            <w:tcW w:w="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$567</w:t>
            </w:r>
          </w:p>
        </w:tc>
        <w:tc>
          <w:tcPr>
            <w:tcW w:w="180" w:type="dxa"/>
            <w:vAlign w:val="bottom"/>
          </w:tcPr>
          <w:p>
            <w:pPr>
              <w:spacing w:after="0"/>
              <w:rPr>
                <w:sz w:val="17"/>
                <w:szCs w:val="17"/>
                <w:color w:val="auto"/>
              </w:rPr>
            </w:pP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579</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544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Capitalized interest</w:t>
            </w:r>
          </w:p>
        </w:tc>
        <w:tc>
          <w:tcPr>
            <w:tcW w:w="15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2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5</w:t>
            </w:r>
          </w:p>
        </w:tc>
        <w:tc>
          <w:tcPr>
            <w:tcW w:w="1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64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8</w:t>
            </w:r>
          </w:p>
        </w:tc>
        <w:tc>
          <w:tcPr>
            <w:tcW w:w="52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10</w:t>
            </w:r>
          </w:p>
        </w:tc>
        <w:tc>
          <w:tcPr>
            <w:tcW w:w="1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64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8</w:t>
            </w:r>
          </w:p>
        </w:tc>
        <w:tc>
          <w:tcPr>
            <w:tcW w:w="1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56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940" w:type="dxa"/>
            <w:vAlign w:val="bottom"/>
            <w:gridSpan w:val="2"/>
          </w:tcPr>
          <w:p>
            <w:pPr>
              <w:spacing w:after="0" w:line="202" w:lineRule="exact"/>
              <w:rPr>
                <w:sz w:val="20"/>
                <w:szCs w:val="20"/>
                <w:color w:val="auto"/>
              </w:rPr>
            </w:pPr>
            <w:r>
              <w:rPr>
                <w:rFonts w:ascii="Arial" w:cs="Arial" w:eastAsia="Arial" w:hAnsi="Arial"/>
                <w:sz w:val="18"/>
                <w:szCs w:val="18"/>
                <w:color w:val="auto"/>
              </w:rPr>
              <w:t>Portion of rental expense which represents interest factor</w:t>
            </w: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211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89</w:t>
            </w:r>
          </w:p>
        </w:tc>
        <w:tc>
          <w:tcPr>
            <w:tcW w:w="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95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94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Total Fixed charges</w:t>
            </w:r>
          </w:p>
        </w:tc>
        <w:tc>
          <w:tcPr>
            <w:tcW w:w="1500" w:type="dxa"/>
            <w:vAlign w:val="bottom"/>
            <w:shd w:val="clear" w:color="auto" w:fill="E5E5E5"/>
          </w:tcPr>
          <w:p>
            <w:pPr>
              <w:spacing w:after="0"/>
              <w:rPr>
                <w:sz w:val="17"/>
                <w:szCs w:val="17"/>
                <w:color w:val="auto"/>
              </w:rPr>
            </w:pPr>
          </w:p>
        </w:tc>
        <w:tc>
          <w:tcPr>
            <w:tcW w:w="1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808</w:t>
            </w:r>
          </w:p>
        </w:tc>
        <w:tc>
          <w:tcPr>
            <w:tcW w:w="180" w:type="dxa"/>
            <w:vAlign w:val="bottom"/>
            <w:shd w:val="clear" w:color="auto" w:fill="E5E5E5"/>
          </w:tcPr>
          <w:p>
            <w:pPr>
              <w:spacing w:after="0"/>
              <w:rPr>
                <w:sz w:val="17"/>
                <w:szCs w:val="17"/>
                <w:color w:val="auto"/>
              </w:rPr>
            </w:pPr>
          </w:p>
        </w:tc>
        <w:tc>
          <w:tcPr>
            <w:tcW w:w="240" w:type="dxa"/>
            <w:vAlign w:val="bottom"/>
            <w:gridSpan w:val="2"/>
            <w:shd w:val="clear" w:color="auto" w:fill="E5E5E5"/>
          </w:tcPr>
          <w:p>
            <w:pPr>
              <w:ind w:left="140"/>
              <w:spacing w:after="0" w:line="202"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624</w:t>
            </w:r>
          </w:p>
        </w:tc>
        <w:tc>
          <w:tcPr>
            <w:tcW w:w="200" w:type="dxa"/>
            <w:vAlign w:val="bottom"/>
            <w:shd w:val="clear" w:color="auto" w:fill="E5E5E5"/>
          </w:tcPr>
          <w:p>
            <w:pPr>
              <w:spacing w:after="0"/>
              <w:rPr>
                <w:sz w:val="17"/>
                <w:szCs w:val="17"/>
                <w:color w:val="auto"/>
              </w:rPr>
            </w:pPr>
          </w:p>
        </w:tc>
        <w:tc>
          <w:tcPr>
            <w:tcW w:w="52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661</w:t>
            </w:r>
          </w:p>
        </w:tc>
        <w:tc>
          <w:tcPr>
            <w:tcW w:w="180" w:type="dxa"/>
            <w:vAlign w:val="bottom"/>
            <w:shd w:val="clear" w:color="auto" w:fill="E5E5E5"/>
          </w:tcPr>
          <w:p>
            <w:pPr>
              <w:spacing w:after="0"/>
              <w:rPr>
                <w:sz w:val="17"/>
                <w:szCs w:val="17"/>
                <w:color w:val="auto"/>
              </w:rPr>
            </w:pPr>
          </w:p>
        </w:tc>
        <w:tc>
          <w:tcPr>
            <w:tcW w:w="24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682</w:t>
            </w:r>
          </w:p>
        </w:tc>
        <w:tc>
          <w:tcPr>
            <w:tcW w:w="22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634</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40" w:type="dxa"/>
            <w:vAlign w:val="bottom"/>
            <w:gridSpan w:val="2"/>
            <w:vMerge w:val="restart"/>
          </w:tcPr>
          <w:p>
            <w:pPr>
              <w:spacing w:after="0"/>
              <w:rPr>
                <w:sz w:val="20"/>
                <w:szCs w:val="20"/>
                <w:color w:val="auto"/>
              </w:rPr>
            </w:pPr>
            <w:r>
              <w:rPr>
                <w:rFonts w:ascii="Arial" w:cs="Arial" w:eastAsia="Arial" w:hAnsi="Arial"/>
                <w:sz w:val="18"/>
                <w:szCs w:val="18"/>
                <w:color w:val="auto"/>
              </w:rPr>
              <w:t>Earnings available for fixed charges:</w:t>
            </w:r>
          </w:p>
        </w:tc>
        <w:tc>
          <w:tcPr>
            <w:tcW w:w="1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40" w:type="dxa"/>
            <w:vAlign w:val="bottom"/>
            <w:gridSpan w:val="2"/>
            <w:vMerge w:val="continue"/>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Pre-tax income (loss)</w:t>
            </w:r>
          </w:p>
        </w:tc>
        <w:tc>
          <w:tcPr>
            <w:tcW w:w="162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815</w:t>
            </w:r>
          </w:p>
        </w:tc>
        <w:tc>
          <w:tcPr>
            <w:tcW w:w="180" w:type="dxa"/>
            <w:vAlign w:val="bottom"/>
            <w:shd w:val="clear" w:color="auto" w:fill="E5E5E5"/>
          </w:tcPr>
          <w:p>
            <w:pPr>
              <w:spacing w:after="0"/>
              <w:rPr>
                <w:sz w:val="17"/>
                <w:szCs w:val="17"/>
                <w:color w:val="auto"/>
              </w:rPr>
            </w:pPr>
          </w:p>
        </w:tc>
        <w:tc>
          <w:tcPr>
            <w:tcW w:w="240" w:type="dxa"/>
            <w:vAlign w:val="bottom"/>
            <w:gridSpan w:val="2"/>
            <w:shd w:val="clear" w:color="auto" w:fill="E5E5E5"/>
          </w:tcPr>
          <w:p>
            <w:pPr>
              <w:ind w:left="140"/>
              <w:spacing w:after="0" w:line="202"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627</w:t>
            </w:r>
          </w:p>
        </w:tc>
        <w:tc>
          <w:tcPr>
            <w:tcW w:w="200" w:type="dxa"/>
            <w:vAlign w:val="bottom"/>
            <w:shd w:val="clear" w:color="auto" w:fill="E5E5E5"/>
          </w:tcPr>
          <w:p>
            <w:pPr>
              <w:spacing w:after="0"/>
              <w:rPr>
                <w:sz w:val="17"/>
                <w:szCs w:val="17"/>
                <w:color w:val="auto"/>
              </w:rPr>
            </w:pPr>
          </w:p>
        </w:tc>
        <w:tc>
          <w:tcPr>
            <w:tcW w:w="700" w:type="dxa"/>
            <w:vAlign w:val="bottom"/>
            <w:gridSpan w:val="3"/>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 (79)</w:t>
            </w:r>
          </w:p>
        </w:tc>
        <w:tc>
          <w:tcPr>
            <w:tcW w:w="24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w w:val="93"/>
              </w:rPr>
              <w:t>1,468</w:t>
            </w:r>
          </w:p>
        </w:tc>
        <w:tc>
          <w:tcPr>
            <w:tcW w:w="22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830</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gridSpan w:val="2"/>
          </w:tcPr>
          <w:p>
            <w:pPr>
              <w:spacing w:after="0" w:line="202" w:lineRule="exact"/>
              <w:rPr>
                <w:sz w:val="20"/>
                <w:szCs w:val="20"/>
                <w:color w:val="auto"/>
              </w:rPr>
            </w:pPr>
            <w:r>
              <w:rPr>
                <w:rFonts w:ascii="Arial" w:cs="Arial" w:eastAsia="Arial" w:hAnsi="Arial"/>
                <w:sz w:val="18"/>
                <w:szCs w:val="18"/>
                <w:color w:val="auto"/>
              </w:rPr>
              <w:t>Distributed equity income of affiliated companies</w:t>
            </w: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16</w:t>
            </w:r>
          </w:p>
        </w:tc>
        <w:tc>
          <w:tcPr>
            <w:tcW w:w="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3"/>
        </w:trPr>
        <w:tc>
          <w:tcPr>
            <w:tcW w:w="594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Add: Fixed charges</w:t>
            </w:r>
          </w:p>
        </w:tc>
        <w:tc>
          <w:tcPr>
            <w:tcW w:w="15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4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808</w:t>
            </w:r>
          </w:p>
        </w:tc>
        <w:tc>
          <w:tcPr>
            <w:tcW w:w="1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4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624</w:t>
            </w:r>
          </w:p>
        </w:tc>
        <w:tc>
          <w:tcPr>
            <w:tcW w:w="200" w:type="dxa"/>
            <w:vAlign w:val="bottom"/>
            <w:shd w:val="clear" w:color="auto" w:fill="E5E5E5"/>
          </w:tcPr>
          <w:p>
            <w:pPr>
              <w:spacing w:after="0"/>
              <w:rPr>
                <w:sz w:val="17"/>
                <w:szCs w:val="17"/>
                <w:color w:val="auto"/>
              </w:rPr>
            </w:pPr>
          </w:p>
        </w:tc>
        <w:tc>
          <w:tcPr>
            <w:tcW w:w="52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661</w:t>
            </w:r>
          </w:p>
        </w:tc>
        <w:tc>
          <w:tcPr>
            <w:tcW w:w="1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64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682</w:t>
            </w:r>
          </w:p>
        </w:tc>
        <w:tc>
          <w:tcPr>
            <w:tcW w:w="1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4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634</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gridSpan w:val="2"/>
          </w:tcPr>
          <w:p>
            <w:pPr>
              <w:spacing w:after="0" w:line="202" w:lineRule="exact"/>
              <w:rPr>
                <w:sz w:val="20"/>
                <w:szCs w:val="20"/>
                <w:color w:val="auto"/>
              </w:rPr>
            </w:pPr>
            <w:r>
              <w:rPr>
                <w:rFonts w:ascii="Arial" w:cs="Arial" w:eastAsia="Arial" w:hAnsi="Arial"/>
                <w:sz w:val="18"/>
                <w:szCs w:val="18"/>
                <w:color w:val="auto"/>
              </w:rPr>
              <w:t>Less: Capitalized interest</w:t>
            </w: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(8)</w:t>
            </w:r>
          </w:p>
        </w:tc>
        <w:tc>
          <w:tcPr>
            <w:tcW w:w="70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94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Less: Net income – noncontrolling interests</w:t>
            </w:r>
          </w:p>
        </w:tc>
        <w:tc>
          <w:tcPr>
            <w:tcW w:w="15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(31)</w:t>
            </w:r>
          </w:p>
        </w:tc>
        <w:tc>
          <w:tcPr>
            <w:tcW w:w="1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64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(31)</w:t>
            </w:r>
          </w:p>
        </w:tc>
        <w:tc>
          <w:tcPr>
            <w:tcW w:w="700" w:type="dxa"/>
            <w:vAlign w:val="bottom"/>
            <w:gridSpan w:val="3"/>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(35)</w:t>
            </w:r>
          </w:p>
        </w:tc>
        <w:tc>
          <w:tcPr>
            <w:tcW w:w="1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64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(30)</w:t>
            </w:r>
          </w:p>
        </w:tc>
        <w:tc>
          <w:tcPr>
            <w:tcW w:w="1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56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594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gridSpan w:val="2"/>
          </w:tcPr>
          <w:p>
            <w:pPr>
              <w:spacing w:after="0"/>
              <w:rPr>
                <w:sz w:val="20"/>
                <w:szCs w:val="20"/>
                <w:color w:val="auto"/>
              </w:rPr>
            </w:pPr>
            <w:r>
              <w:rPr>
                <w:rFonts w:ascii="Arial" w:cs="Arial" w:eastAsia="Arial" w:hAnsi="Arial"/>
                <w:sz w:val="18"/>
                <w:szCs w:val="18"/>
                <w:color w:val="auto"/>
              </w:rPr>
              <w:t>Total Earnings available for fixed charges</w:t>
            </w:r>
          </w:p>
        </w:tc>
        <w:tc>
          <w:tcPr>
            <w:tcW w:w="15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1,628</w:t>
            </w:r>
          </w:p>
        </w:tc>
        <w:tc>
          <w:tcPr>
            <w:tcW w:w="180" w:type="dxa"/>
            <w:vAlign w:val="bottom"/>
          </w:tcPr>
          <w:p>
            <w:pPr>
              <w:spacing w:after="0"/>
              <w:rPr>
                <w:sz w:val="18"/>
                <w:szCs w:val="18"/>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u w:val="single" w:color="auto"/>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1,228</w:t>
            </w:r>
          </w:p>
        </w:tc>
        <w:tc>
          <w:tcPr>
            <w:tcW w:w="2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597</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2,149</w:t>
            </w: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1,486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40" w:type="dxa"/>
            <w:vAlign w:val="bottom"/>
            <w:gridSpan w:val="2"/>
            <w:shd w:val="clear" w:color="auto" w:fill="E5E5E5"/>
          </w:tcPr>
          <w:p>
            <w:pPr>
              <w:spacing w:after="0" w:line="196" w:lineRule="exact"/>
              <w:rPr>
                <w:sz w:val="20"/>
                <w:szCs w:val="20"/>
                <w:color w:val="auto"/>
              </w:rPr>
            </w:pPr>
            <w:r>
              <w:rPr>
                <w:rFonts w:ascii="Arial" w:cs="Arial" w:eastAsia="Arial" w:hAnsi="Arial"/>
                <w:sz w:val="18"/>
                <w:szCs w:val="18"/>
                <w:color w:val="auto"/>
              </w:rPr>
              <w:t>Ratio of earnings to fixed charges</w:t>
            </w:r>
          </w:p>
        </w:tc>
        <w:tc>
          <w:tcPr>
            <w:tcW w:w="15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20" w:type="dxa"/>
            <w:vAlign w:val="bottom"/>
            <w:gridSpan w:val="2"/>
            <w:shd w:val="clear" w:color="auto" w:fill="E5E5E5"/>
          </w:tcPr>
          <w:p>
            <w:pPr>
              <w:jc w:val="right"/>
              <w:ind w:right="180"/>
              <w:spacing w:after="0" w:line="196" w:lineRule="exact"/>
              <w:rPr>
                <w:sz w:val="20"/>
                <w:szCs w:val="20"/>
                <w:color w:val="auto"/>
              </w:rPr>
            </w:pPr>
            <w:r>
              <w:rPr>
                <w:rFonts w:ascii="Arial" w:cs="Arial" w:eastAsia="Arial" w:hAnsi="Arial"/>
                <w:sz w:val="18"/>
                <w:szCs w:val="18"/>
                <w:color w:val="auto"/>
              </w:rPr>
              <w:t>2.01</w:t>
            </w:r>
          </w:p>
        </w:tc>
        <w:tc>
          <w:tcPr>
            <w:tcW w:w="1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44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rPr>
              <w:t>1.97</w:t>
            </w:r>
          </w:p>
        </w:tc>
        <w:tc>
          <w:tcPr>
            <w:tcW w:w="200" w:type="dxa"/>
            <w:vAlign w:val="bottom"/>
            <w:shd w:val="clear" w:color="auto" w:fill="E5E5E5"/>
          </w:tcPr>
          <w:p>
            <w:pPr>
              <w:spacing w:after="0"/>
              <w:rPr>
                <w:sz w:val="17"/>
                <w:szCs w:val="17"/>
                <w:color w:val="auto"/>
              </w:rPr>
            </w:pPr>
          </w:p>
        </w:tc>
        <w:tc>
          <w:tcPr>
            <w:tcW w:w="700" w:type="dxa"/>
            <w:vAlign w:val="bottom"/>
            <w:gridSpan w:val="3"/>
            <w:shd w:val="clear" w:color="auto" w:fill="E5E5E5"/>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640" w:type="dxa"/>
            <w:vAlign w:val="bottom"/>
            <w:gridSpan w:val="2"/>
            <w:shd w:val="clear" w:color="auto" w:fill="E5E5E5"/>
          </w:tcPr>
          <w:p>
            <w:pPr>
              <w:jc w:val="right"/>
              <w:ind w:right="200"/>
              <w:spacing w:after="0" w:line="196" w:lineRule="exact"/>
              <w:rPr>
                <w:sz w:val="20"/>
                <w:szCs w:val="20"/>
                <w:color w:val="auto"/>
              </w:rPr>
            </w:pPr>
            <w:r>
              <w:rPr>
                <w:rFonts w:ascii="Arial" w:cs="Arial" w:eastAsia="Arial" w:hAnsi="Arial"/>
                <w:sz w:val="18"/>
                <w:szCs w:val="18"/>
                <w:color w:val="auto"/>
              </w:rPr>
              <w:t>3.15</w:t>
            </w:r>
          </w:p>
        </w:tc>
        <w:tc>
          <w:tcPr>
            <w:tcW w:w="1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560" w:type="dxa"/>
            <w:vAlign w:val="bottom"/>
            <w:gridSpan w:val="2"/>
            <w:shd w:val="clear" w:color="auto" w:fill="E5E5E5"/>
          </w:tcPr>
          <w:p>
            <w:pPr>
              <w:jc w:val="right"/>
              <w:ind w:right="100"/>
              <w:spacing w:after="0" w:line="196" w:lineRule="exact"/>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06" w:right="239" w:bottom="1440" w:gutter="0" w:footer="0" w:header="0"/>
        </w:sectPr>
      </w:pPr>
    </w:p>
    <w:bookmarkStart w:id="74" w:name="page75"/>
    <w:bookmarkEnd w:id="7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1"/>
        </w:trPr>
        <w:tc>
          <w:tcPr>
            <w:tcW w:w="7340" w:type="dxa"/>
            <w:vAlign w:val="bottom"/>
            <w:gridSpan w:val="2"/>
          </w:tcPr>
          <w:p>
            <w:pPr>
              <w:spacing w:after="0"/>
              <w:rPr>
                <w:sz w:val="20"/>
                <w:szCs w:val="20"/>
                <w:color w:val="auto"/>
              </w:rPr>
            </w:pPr>
            <w:r>
              <w:rPr>
                <w:rFonts w:ascii="Arial" w:cs="Arial" w:eastAsia="Arial" w:hAnsi="Arial"/>
                <w:sz w:val="18"/>
                <w:szCs w:val="18"/>
                <w:color w:val="auto"/>
                <w:w w:val="99"/>
              </w:rPr>
              <w:t>Computation of Ratio of Earnings to Combined Fixed Charges and Preferred Stock Dividend: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4"/>
        </w:trPr>
        <w:tc>
          <w:tcPr>
            <w:tcW w:w="78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11"/>
          </w:tcPr>
          <w:p>
            <w:pPr>
              <w:ind w:left="120"/>
              <w:spacing w:after="0"/>
              <w:rPr>
                <w:sz w:val="20"/>
                <w:szCs w:val="20"/>
                <w:color w:val="auto"/>
              </w:rPr>
            </w:pPr>
            <w:r>
              <w:rPr>
                <w:rFonts w:ascii="Arial" w:cs="Arial" w:eastAsia="Arial" w:hAnsi="Arial"/>
                <w:sz w:val="18"/>
                <w:szCs w:val="18"/>
                <w:b w:val="1"/>
                <w:bCs w:val="1"/>
                <w:color w:val="auto"/>
              </w:rPr>
              <w:t>Year Ended December 31,</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340" w:type="dxa"/>
            <w:vAlign w:val="bottom"/>
            <w:gridSpan w:val="2"/>
          </w:tcPr>
          <w:p>
            <w:pPr>
              <w:spacing w:after="0" w:line="196" w:lineRule="exact"/>
              <w:rPr>
                <w:sz w:val="20"/>
                <w:szCs w:val="20"/>
                <w:color w:val="auto"/>
              </w:rPr>
            </w:pPr>
            <w:r>
              <w:rPr>
                <w:rFonts w:ascii="Arial" w:cs="Arial" w:eastAsia="Arial" w:hAnsi="Arial"/>
                <w:sz w:val="18"/>
                <w:szCs w:val="18"/>
                <w:color w:val="auto"/>
              </w:rPr>
              <w:t>(in millions)</w:t>
            </w:r>
          </w:p>
        </w:tc>
        <w:tc>
          <w:tcPr>
            <w:tcW w:w="100" w:type="dxa"/>
            <w:vAlign w:val="bottom"/>
          </w:tcPr>
          <w:p>
            <w:pPr>
              <w:spacing w:after="0"/>
              <w:rPr>
                <w:sz w:val="17"/>
                <w:szCs w:val="17"/>
                <w:color w:val="auto"/>
              </w:rPr>
            </w:pPr>
          </w:p>
        </w:tc>
        <w:tc>
          <w:tcPr>
            <w:tcW w:w="56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2010</w:t>
            </w:r>
          </w:p>
        </w:tc>
        <w:tc>
          <w:tcPr>
            <w:tcW w:w="180" w:type="dxa"/>
            <w:vAlign w:val="bottom"/>
          </w:tcPr>
          <w:p>
            <w:pPr>
              <w:spacing w:after="0"/>
              <w:rPr>
                <w:sz w:val="17"/>
                <w:szCs w:val="17"/>
                <w:color w:val="auto"/>
              </w:rPr>
            </w:pPr>
          </w:p>
        </w:tc>
        <w:tc>
          <w:tcPr>
            <w:tcW w:w="68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7"/>
                <w:szCs w:val="17"/>
                <w:color w:val="auto"/>
              </w:rPr>
            </w:pPr>
          </w:p>
        </w:tc>
        <w:tc>
          <w:tcPr>
            <w:tcW w:w="52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2008</w:t>
            </w:r>
          </w:p>
        </w:tc>
        <w:tc>
          <w:tcPr>
            <w:tcW w:w="180" w:type="dxa"/>
            <w:vAlign w:val="bottom"/>
          </w:tcPr>
          <w:p>
            <w:pPr>
              <w:spacing w:after="0"/>
              <w:rPr>
                <w:sz w:val="17"/>
                <w:szCs w:val="17"/>
                <w:color w:val="auto"/>
              </w:rPr>
            </w:pPr>
          </w:p>
        </w:tc>
        <w:tc>
          <w:tcPr>
            <w:tcW w:w="68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17"/>
                <w:szCs w:val="17"/>
                <w:color w:val="auto"/>
              </w:rPr>
            </w:pPr>
          </w:p>
        </w:tc>
        <w:tc>
          <w:tcPr>
            <w:tcW w:w="68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40" w:type="dxa"/>
            <w:vAlign w:val="bottom"/>
            <w:gridSpan w:val="2"/>
            <w:shd w:val="clear" w:color="auto" w:fill="E5E5E5"/>
          </w:tcPr>
          <w:p>
            <w:pPr>
              <w:spacing w:after="0" w:line="196" w:lineRule="exact"/>
              <w:rPr>
                <w:sz w:val="20"/>
                <w:szCs w:val="20"/>
                <w:color w:val="auto"/>
              </w:rPr>
            </w:pPr>
            <w:r>
              <w:rPr>
                <w:rFonts w:ascii="Arial" w:cs="Arial" w:eastAsia="Arial" w:hAnsi="Arial"/>
                <w:sz w:val="18"/>
                <w:szCs w:val="18"/>
                <w:color w:val="auto"/>
              </w:rPr>
              <w:t>Fixed charges:</w:t>
            </w:r>
          </w:p>
        </w:tc>
        <w:tc>
          <w:tcPr>
            <w:tcW w:w="1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40" w:type="dxa"/>
            <w:vAlign w:val="bottom"/>
            <w:gridSpan w:val="2"/>
          </w:tcPr>
          <w:p>
            <w:pPr>
              <w:spacing w:after="0" w:line="202" w:lineRule="exact"/>
              <w:rPr>
                <w:sz w:val="20"/>
                <w:szCs w:val="20"/>
                <w:color w:val="auto"/>
              </w:rPr>
            </w:pPr>
            <w:r>
              <w:rPr>
                <w:rFonts w:ascii="Arial" w:cs="Arial" w:eastAsia="Arial" w:hAnsi="Arial"/>
                <w:sz w:val="18"/>
                <w:szCs w:val="18"/>
                <w:color w:val="auto"/>
              </w:rPr>
              <w:t>Interest expense</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592</w:t>
            </w:r>
          </w:p>
        </w:tc>
        <w:tc>
          <w:tcPr>
            <w:tcW w:w="180" w:type="dxa"/>
            <w:vAlign w:val="bottom"/>
          </w:tcPr>
          <w:p>
            <w:pPr>
              <w:spacing w:after="0"/>
              <w:rPr>
                <w:sz w:val="17"/>
                <w:szCs w:val="17"/>
                <w:color w:val="auto"/>
              </w:rPr>
            </w:pPr>
          </w:p>
        </w:tc>
        <w:tc>
          <w:tcPr>
            <w:tcW w:w="240" w:type="dxa"/>
            <w:vAlign w:val="bottom"/>
            <w:gridSpan w:val="2"/>
          </w:tcPr>
          <w:p>
            <w:pPr>
              <w:ind w:left="140"/>
              <w:spacing w:after="0" w:line="202" w:lineRule="exact"/>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527</w:t>
            </w:r>
          </w:p>
        </w:tc>
        <w:tc>
          <w:tcPr>
            <w:tcW w:w="200" w:type="dxa"/>
            <w:vAlign w:val="bottom"/>
          </w:tcPr>
          <w:p>
            <w:pPr>
              <w:spacing w:after="0"/>
              <w:rPr>
                <w:sz w:val="17"/>
                <w:szCs w:val="17"/>
                <w:color w:val="auto"/>
              </w:rPr>
            </w:pPr>
          </w:p>
        </w:tc>
        <w:tc>
          <w:tcPr>
            <w:tcW w:w="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$567</w:t>
            </w:r>
          </w:p>
        </w:tc>
        <w:tc>
          <w:tcPr>
            <w:tcW w:w="180" w:type="dxa"/>
            <w:vAlign w:val="bottom"/>
          </w:tcPr>
          <w:p>
            <w:pPr>
              <w:spacing w:after="0"/>
              <w:rPr>
                <w:sz w:val="17"/>
                <w:szCs w:val="17"/>
                <w:color w:val="auto"/>
              </w:rPr>
            </w:pP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579</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544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4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Capitalized interest</w:t>
            </w:r>
          </w:p>
        </w:tc>
        <w:tc>
          <w:tcPr>
            <w:tcW w:w="1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2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5</w:t>
            </w:r>
          </w:p>
        </w:tc>
        <w:tc>
          <w:tcPr>
            <w:tcW w:w="1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64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8</w:t>
            </w:r>
          </w:p>
        </w:tc>
        <w:tc>
          <w:tcPr>
            <w:tcW w:w="52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10</w:t>
            </w:r>
          </w:p>
        </w:tc>
        <w:tc>
          <w:tcPr>
            <w:tcW w:w="1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64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8</w:t>
            </w:r>
          </w:p>
        </w:tc>
        <w:tc>
          <w:tcPr>
            <w:tcW w:w="1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56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340" w:type="dxa"/>
            <w:vAlign w:val="bottom"/>
            <w:gridSpan w:val="2"/>
          </w:tcPr>
          <w:p>
            <w:pPr>
              <w:spacing w:after="0" w:line="202" w:lineRule="exact"/>
              <w:rPr>
                <w:sz w:val="20"/>
                <w:szCs w:val="20"/>
                <w:color w:val="auto"/>
              </w:rPr>
            </w:pPr>
            <w:r>
              <w:rPr>
                <w:rFonts w:ascii="Arial" w:cs="Arial" w:eastAsia="Arial" w:hAnsi="Arial"/>
                <w:sz w:val="18"/>
                <w:szCs w:val="18"/>
                <w:color w:val="auto"/>
              </w:rPr>
              <w:t>Portion of rental expense which represents interest factor</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211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89</w:t>
            </w:r>
          </w:p>
        </w:tc>
        <w:tc>
          <w:tcPr>
            <w:tcW w:w="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95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6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34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Total Fixed charges before preferred stock dividends pre-tax requirements</w:t>
            </w:r>
          </w:p>
        </w:tc>
        <w:tc>
          <w:tcPr>
            <w:tcW w:w="100" w:type="dxa"/>
            <w:vAlign w:val="bottom"/>
            <w:shd w:val="clear" w:color="auto" w:fill="E5E5E5"/>
          </w:tcPr>
          <w:p>
            <w:pPr>
              <w:spacing w:after="0"/>
              <w:rPr>
                <w:sz w:val="17"/>
                <w:szCs w:val="17"/>
                <w:color w:val="auto"/>
              </w:rPr>
            </w:pPr>
          </w:p>
        </w:tc>
        <w:tc>
          <w:tcPr>
            <w:tcW w:w="1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808</w:t>
            </w:r>
          </w:p>
        </w:tc>
        <w:tc>
          <w:tcPr>
            <w:tcW w:w="180" w:type="dxa"/>
            <w:vAlign w:val="bottom"/>
            <w:shd w:val="clear" w:color="auto" w:fill="E5E5E5"/>
          </w:tcPr>
          <w:p>
            <w:pPr>
              <w:spacing w:after="0"/>
              <w:rPr>
                <w:sz w:val="17"/>
                <w:szCs w:val="17"/>
                <w:color w:val="auto"/>
              </w:rPr>
            </w:pPr>
          </w:p>
        </w:tc>
        <w:tc>
          <w:tcPr>
            <w:tcW w:w="240" w:type="dxa"/>
            <w:vAlign w:val="bottom"/>
            <w:gridSpan w:val="2"/>
            <w:shd w:val="clear" w:color="auto" w:fill="E5E5E5"/>
          </w:tcPr>
          <w:p>
            <w:pPr>
              <w:ind w:left="140"/>
              <w:spacing w:after="0" w:line="202"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624</w:t>
            </w:r>
          </w:p>
        </w:tc>
        <w:tc>
          <w:tcPr>
            <w:tcW w:w="200" w:type="dxa"/>
            <w:vAlign w:val="bottom"/>
            <w:shd w:val="clear" w:color="auto" w:fill="E5E5E5"/>
          </w:tcPr>
          <w:p>
            <w:pPr>
              <w:spacing w:after="0"/>
              <w:rPr>
                <w:sz w:val="17"/>
                <w:szCs w:val="17"/>
                <w:color w:val="auto"/>
              </w:rPr>
            </w:pPr>
          </w:p>
        </w:tc>
        <w:tc>
          <w:tcPr>
            <w:tcW w:w="52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$661</w:t>
            </w:r>
          </w:p>
        </w:tc>
        <w:tc>
          <w:tcPr>
            <w:tcW w:w="180" w:type="dxa"/>
            <w:vAlign w:val="bottom"/>
            <w:shd w:val="clear" w:color="auto" w:fill="E5E5E5"/>
          </w:tcPr>
          <w:p>
            <w:pPr>
              <w:spacing w:after="0"/>
              <w:rPr>
                <w:sz w:val="17"/>
                <w:szCs w:val="17"/>
                <w:color w:val="auto"/>
              </w:rPr>
            </w:pPr>
          </w:p>
        </w:tc>
        <w:tc>
          <w:tcPr>
            <w:tcW w:w="24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682</w:t>
            </w:r>
          </w:p>
        </w:tc>
        <w:tc>
          <w:tcPr>
            <w:tcW w:w="22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634</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40" w:type="dxa"/>
            <w:vAlign w:val="bottom"/>
            <w:gridSpan w:val="2"/>
          </w:tcPr>
          <w:p>
            <w:pPr>
              <w:spacing w:after="0" w:line="202" w:lineRule="exact"/>
              <w:rPr>
                <w:sz w:val="20"/>
                <w:szCs w:val="20"/>
                <w:color w:val="auto"/>
              </w:rPr>
            </w:pPr>
            <w:r>
              <w:rPr>
                <w:rFonts w:ascii="Arial" w:cs="Arial" w:eastAsia="Arial" w:hAnsi="Arial"/>
                <w:sz w:val="18"/>
                <w:szCs w:val="18"/>
                <w:color w:val="auto"/>
              </w:rPr>
              <w:t>Preferred stock dividends pre-tax income requirements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5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6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34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Total Combined fixed charges and preferred stock dividends</w:t>
            </w:r>
          </w:p>
        </w:tc>
        <w:tc>
          <w:tcPr>
            <w:tcW w:w="100" w:type="dxa"/>
            <w:vAlign w:val="bottom"/>
            <w:shd w:val="clear" w:color="auto" w:fill="E5E5E5"/>
          </w:tcPr>
          <w:p>
            <w:pPr>
              <w:spacing w:after="0"/>
              <w:rPr>
                <w:sz w:val="17"/>
                <w:szCs w:val="17"/>
                <w:color w:val="auto"/>
              </w:rPr>
            </w:pPr>
          </w:p>
        </w:tc>
        <w:tc>
          <w:tcPr>
            <w:tcW w:w="1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843</w:t>
            </w:r>
          </w:p>
        </w:tc>
        <w:tc>
          <w:tcPr>
            <w:tcW w:w="180" w:type="dxa"/>
            <w:vAlign w:val="bottom"/>
            <w:shd w:val="clear" w:color="auto" w:fill="E5E5E5"/>
          </w:tcPr>
          <w:p>
            <w:pPr>
              <w:spacing w:after="0"/>
              <w:rPr>
                <w:sz w:val="17"/>
                <w:szCs w:val="17"/>
                <w:color w:val="auto"/>
              </w:rPr>
            </w:pPr>
          </w:p>
        </w:tc>
        <w:tc>
          <w:tcPr>
            <w:tcW w:w="240" w:type="dxa"/>
            <w:vAlign w:val="bottom"/>
            <w:gridSpan w:val="2"/>
            <w:shd w:val="clear" w:color="auto" w:fill="E5E5E5"/>
          </w:tcPr>
          <w:p>
            <w:pPr>
              <w:ind w:left="140"/>
              <w:spacing w:after="0" w:line="202"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624</w:t>
            </w:r>
          </w:p>
        </w:tc>
        <w:tc>
          <w:tcPr>
            <w:tcW w:w="200" w:type="dxa"/>
            <w:vAlign w:val="bottom"/>
            <w:shd w:val="clear" w:color="auto" w:fill="E5E5E5"/>
          </w:tcPr>
          <w:p>
            <w:pPr>
              <w:spacing w:after="0"/>
              <w:rPr>
                <w:sz w:val="17"/>
                <w:szCs w:val="17"/>
                <w:color w:val="auto"/>
              </w:rPr>
            </w:pPr>
          </w:p>
        </w:tc>
        <w:tc>
          <w:tcPr>
            <w:tcW w:w="52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661</w:t>
            </w:r>
          </w:p>
        </w:tc>
        <w:tc>
          <w:tcPr>
            <w:tcW w:w="180" w:type="dxa"/>
            <w:vAlign w:val="bottom"/>
            <w:shd w:val="clear" w:color="auto" w:fill="E5E5E5"/>
          </w:tcPr>
          <w:p>
            <w:pPr>
              <w:spacing w:after="0"/>
              <w:rPr>
                <w:sz w:val="17"/>
                <w:szCs w:val="17"/>
                <w:color w:val="auto"/>
              </w:rPr>
            </w:pPr>
          </w:p>
        </w:tc>
        <w:tc>
          <w:tcPr>
            <w:tcW w:w="24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682</w:t>
            </w:r>
          </w:p>
        </w:tc>
        <w:tc>
          <w:tcPr>
            <w:tcW w:w="22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682</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40" w:type="dxa"/>
            <w:vAlign w:val="bottom"/>
            <w:gridSpan w:val="2"/>
            <w:vMerge w:val="restart"/>
          </w:tcPr>
          <w:p>
            <w:pPr>
              <w:spacing w:after="0"/>
              <w:rPr>
                <w:sz w:val="20"/>
                <w:szCs w:val="20"/>
                <w:color w:val="auto"/>
              </w:rPr>
            </w:pPr>
            <w:r>
              <w:rPr>
                <w:rFonts w:ascii="Arial" w:cs="Arial" w:eastAsia="Arial" w:hAnsi="Arial"/>
                <w:sz w:val="18"/>
                <w:szCs w:val="18"/>
                <w:color w:val="auto"/>
              </w:rPr>
              <w:t>Earnings available for fixed charges:</w:t>
            </w: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3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4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Pre-tax income (loss)</w:t>
            </w:r>
          </w:p>
        </w:tc>
        <w:tc>
          <w:tcPr>
            <w:tcW w:w="22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815</w:t>
            </w:r>
          </w:p>
        </w:tc>
        <w:tc>
          <w:tcPr>
            <w:tcW w:w="180" w:type="dxa"/>
            <w:vAlign w:val="bottom"/>
            <w:shd w:val="clear" w:color="auto" w:fill="E5E5E5"/>
          </w:tcPr>
          <w:p>
            <w:pPr>
              <w:spacing w:after="0"/>
              <w:rPr>
                <w:sz w:val="17"/>
                <w:szCs w:val="17"/>
                <w:color w:val="auto"/>
              </w:rPr>
            </w:pPr>
          </w:p>
        </w:tc>
        <w:tc>
          <w:tcPr>
            <w:tcW w:w="240" w:type="dxa"/>
            <w:vAlign w:val="bottom"/>
            <w:gridSpan w:val="2"/>
            <w:shd w:val="clear" w:color="auto" w:fill="E5E5E5"/>
          </w:tcPr>
          <w:p>
            <w:pPr>
              <w:ind w:left="140"/>
              <w:spacing w:after="0" w:line="202"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627</w:t>
            </w:r>
          </w:p>
        </w:tc>
        <w:tc>
          <w:tcPr>
            <w:tcW w:w="200" w:type="dxa"/>
            <w:vAlign w:val="bottom"/>
            <w:shd w:val="clear" w:color="auto" w:fill="E5E5E5"/>
          </w:tcPr>
          <w:p>
            <w:pPr>
              <w:spacing w:after="0"/>
              <w:rPr>
                <w:sz w:val="17"/>
                <w:szCs w:val="17"/>
                <w:color w:val="auto"/>
              </w:rPr>
            </w:pPr>
          </w:p>
        </w:tc>
        <w:tc>
          <w:tcPr>
            <w:tcW w:w="700" w:type="dxa"/>
            <w:vAlign w:val="bottom"/>
            <w:gridSpan w:val="3"/>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 (79)</w:t>
            </w:r>
          </w:p>
        </w:tc>
        <w:tc>
          <w:tcPr>
            <w:tcW w:w="24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w w:val="93"/>
              </w:rPr>
              <w:t>1,468</w:t>
            </w:r>
          </w:p>
        </w:tc>
        <w:tc>
          <w:tcPr>
            <w:tcW w:w="22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830</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40" w:type="dxa"/>
            <w:vAlign w:val="bottom"/>
            <w:gridSpan w:val="2"/>
          </w:tcPr>
          <w:p>
            <w:pPr>
              <w:spacing w:after="0" w:line="202" w:lineRule="exact"/>
              <w:rPr>
                <w:sz w:val="20"/>
                <w:szCs w:val="20"/>
                <w:color w:val="auto"/>
              </w:rPr>
            </w:pPr>
            <w:r>
              <w:rPr>
                <w:rFonts w:ascii="Arial" w:cs="Arial" w:eastAsia="Arial" w:hAnsi="Arial"/>
                <w:sz w:val="18"/>
                <w:szCs w:val="18"/>
                <w:color w:val="auto"/>
              </w:rPr>
              <w:t>Distributed equity income of affiliated companies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16</w:t>
            </w:r>
          </w:p>
        </w:tc>
        <w:tc>
          <w:tcPr>
            <w:tcW w:w="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3"/>
        </w:trPr>
        <w:tc>
          <w:tcPr>
            <w:tcW w:w="734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Add: Fixed charges</w:t>
            </w:r>
          </w:p>
        </w:tc>
        <w:tc>
          <w:tcPr>
            <w:tcW w:w="1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4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808</w:t>
            </w:r>
          </w:p>
        </w:tc>
        <w:tc>
          <w:tcPr>
            <w:tcW w:w="1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4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624</w:t>
            </w:r>
          </w:p>
        </w:tc>
        <w:tc>
          <w:tcPr>
            <w:tcW w:w="200" w:type="dxa"/>
            <w:vAlign w:val="bottom"/>
            <w:shd w:val="clear" w:color="auto" w:fill="E5E5E5"/>
          </w:tcPr>
          <w:p>
            <w:pPr>
              <w:spacing w:after="0"/>
              <w:rPr>
                <w:sz w:val="17"/>
                <w:szCs w:val="17"/>
                <w:color w:val="auto"/>
              </w:rPr>
            </w:pPr>
          </w:p>
        </w:tc>
        <w:tc>
          <w:tcPr>
            <w:tcW w:w="52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661</w:t>
            </w:r>
          </w:p>
        </w:tc>
        <w:tc>
          <w:tcPr>
            <w:tcW w:w="1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64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682</w:t>
            </w:r>
          </w:p>
        </w:tc>
        <w:tc>
          <w:tcPr>
            <w:tcW w:w="1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4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634</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40" w:type="dxa"/>
            <w:vAlign w:val="bottom"/>
            <w:gridSpan w:val="2"/>
          </w:tcPr>
          <w:p>
            <w:pPr>
              <w:spacing w:after="0" w:line="202" w:lineRule="exact"/>
              <w:rPr>
                <w:sz w:val="20"/>
                <w:szCs w:val="20"/>
                <w:color w:val="auto"/>
              </w:rPr>
            </w:pPr>
            <w:r>
              <w:rPr>
                <w:rFonts w:ascii="Arial" w:cs="Arial" w:eastAsia="Arial" w:hAnsi="Arial"/>
                <w:sz w:val="18"/>
                <w:szCs w:val="18"/>
                <w:color w:val="auto"/>
              </w:rPr>
              <w:t>Less: Capitalized interest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(8)</w:t>
            </w:r>
          </w:p>
        </w:tc>
        <w:tc>
          <w:tcPr>
            <w:tcW w:w="70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34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Less: Net income – noncontrolling interests</w:t>
            </w:r>
          </w:p>
        </w:tc>
        <w:tc>
          <w:tcPr>
            <w:tcW w:w="1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(31)</w:t>
            </w:r>
          </w:p>
        </w:tc>
        <w:tc>
          <w:tcPr>
            <w:tcW w:w="1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64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(31)</w:t>
            </w:r>
          </w:p>
        </w:tc>
        <w:tc>
          <w:tcPr>
            <w:tcW w:w="700" w:type="dxa"/>
            <w:vAlign w:val="bottom"/>
            <w:gridSpan w:val="3"/>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(35)</w:t>
            </w:r>
          </w:p>
        </w:tc>
        <w:tc>
          <w:tcPr>
            <w:tcW w:w="1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64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(30)</w:t>
            </w:r>
          </w:p>
        </w:tc>
        <w:tc>
          <w:tcPr>
            <w:tcW w:w="1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56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7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40" w:type="dxa"/>
            <w:vAlign w:val="bottom"/>
            <w:gridSpan w:val="2"/>
          </w:tcPr>
          <w:p>
            <w:pPr>
              <w:spacing w:after="0"/>
              <w:rPr>
                <w:sz w:val="20"/>
                <w:szCs w:val="20"/>
                <w:color w:val="auto"/>
              </w:rPr>
            </w:pPr>
            <w:r>
              <w:rPr>
                <w:rFonts w:ascii="Arial" w:cs="Arial" w:eastAsia="Arial" w:hAnsi="Arial"/>
                <w:sz w:val="18"/>
                <w:szCs w:val="18"/>
                <w:color w:val="auto"/>
              </w:rPr>
              <w:t>Total Earnings available for fixed charges and preferred stock dividends</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1,628</w:t>
            </w:r>
          </w:p>
        </w:tc>
        <w:tc>
          <w:tcPr>
            <w:tcW w:w="180" w:type="dxa"/>
            <w:vAlign w:val="bottom"/>
          </w:tcPr>
          <w:p>
            <w:pPr>
              <w:spacing w:after="0"/>
              <w:rPr>
                <w:sz w:val="18"/>
                <w:szCs w:val="18"/>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u w:val="single" w:color="auto"/>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1,228</w:t>
            </w:r>
          </w:p>
        </w:tc>
        <w:tc>
          <w:tcPr>
            <w:tcW w:w="2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597</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2,149</w:t>
            </w: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1,486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340" w:type="dxa"/>
            <w:vAlign w:val="bottom"/>
            <w:gridSpan w:val="2"/>
            <w:shd w:val="clear" w:color="auto" w:fill="E5E5E5"/>
          </w:tcPr>
          <w:p>
            <w:pPr>
              <w:spacing w:after="0" w:line="196" w:lineRule="exact"/>
              <w:rPr>
                <w:sz w:val="20"/>
                <w:szCs w:val="20"/>
                <w:color w:val="auto"/>
              </w:rPr>
            </w:pPr>
            <w:r>
              <w:rPr>
                <w:rFonts w:ascii="Arial" w:cs="Arial" w:eastAsia="Arial" w:hAnsi="Arial"/>
                <w:sz w:val="18"/>
                <w:szCs w:val="18"/>
                <w:color w:val="auto"/>
              </w:rPr>
              <w:t>Ratio of earnings to fixed charges and preferred stock dividends</w:t>
            </w:r>
          </w:p>
        </w:tc>
        <w:tc>
          <w:tcPr>
            <w:tcW w:w="1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20" w:type="dxa"/>
            <w:vAlign w:val="bottom"/>
            <w:gridSpan w:val="2"/>
            <w:shd w:val="clear" w:color="auto" w:fill="E5E5E5"/>
          </w:tcPr>
          <w:p>
            <w:pPr>
              <w:jc w:val="right"/>
              <w:ind w:right="180"/>
              <w:spacing w:after="0" w:line="196" w:lineRule="exact"/>
              <w:rPr>
                <w:sz w:val="20"/>
                <w:szCs w:val="20"/>
                <w:color w:val="auto"/>
              </w:rPr>
            </w:pPr>
            <w:r>
              <w:rPr>
                <w:rFonts w:ascii="Arial" w:cs="Arial" w:eastAsia="Arial" w:hAnsi="Arial"/>
                <w:sz w:val="18"/>
                <w:szCs w:val="18"/>
                <w:color w:val="auto"/>
              </w:rPr>
              <w:t>1.93</w:t>
            </w:r>
          </w:p>
        </w:tc>
        <w:tc>
          <w:tcPr>
            <w:tcW w:w="1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44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rPr>
              <w:t>1.97</w:t>
            </w:r>
          </w:p>
        </w:tc>
        <w:tc>
          <w:tcPr>
            <w:tcW w:w="200" w:type="dxa"/>
            <w:vAlign w:val="bottom"/>
            <w:shd w:val="clear" w:color="auto" w:fill="E5E5E5"/>
          </w:tcPr>
          <w:p>
            <w:pPr>
              <w:spacing w:after="0"/>
              <w:rPr>
                <w:sz w:val="17"/>
                <w:szCs w:val="17"/>
                <w:color w:val="auto"/>
              </w:rPr>
            </w:pPr>
          </w:p>
        </w:tc>
        <w:tc>
          <w:tcPr>
            <w:tcW w:w="700" w:type="dxa"/>
            <w:vAlign w:val="bottom"/>
            <w:gridSpan w:val="3"/>
            <w:shd w:val="clear" w:color="auto" w:fill="E5E5E5"/>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640" w:type="dxa"/>
            <w:vAlign w:val="bottom"/>
            <w:gridSpan w:val="2"/>
            <w:shd w:val="clear" w:color="auto" w:fill="E5E5E5"/>
          </w:tcPr>
          <w:p>
            <w:pPr>
              <w:jc w:val="right"/>
              <w:ind w:right="200"/>
              <w:spacing w:after="0" w:line="196" w:lineRule="exact"/>
              <w:rPr>
                <w:sz w:val="20"/>
                <w:szCs w:val="20"/>
                <w:color w:val="auto"/>
              </w:rPr>
            </w:pPr>
            <w:r>
              <w:rPr>
                <w:rFonts w:ascii="Arial" w:cs="Arial" w:eastAsia="Arial" w:hAnsi="Arial"/>
                <w:sz w:val="18"/>
                <w:szCs w:val="18"/>
                <w:color w:val="auto"/>
              </w:rPr>
              <w:t>3.15</w:t>
            </w:r>
          </w:p>
        </w:tc>
        <w:tc>
          <w:tcPr>
            <w:tcW w:w="1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560" w:type="dxa"/>
            <w:vAlign w:val="bottom"/>
            <w:gridSpan w:val="2"/>
            <w:shd w:val="clear" w:color="auto" w:fill="E5E5E5"/>
          </w:tcPr>
          <w:p>
            <w:pPr>
              <w:jc w:val="right"/>
              <w:ind w:right="100"/>
              <w:spacing w:after="0" w:line="196" w:lineRule="exact"/>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4"/>
          <w:szCs w:val="14"/>
          <w:color w:val="auto"/>
        </w:rPr>
        <w:t>* Earnings for the year ended December 31, 2008 were inadequate to cover fixed charges by $64.</w:t>
      </w:r>
    </w:p>
    <w:p>
      <w:pPr>
        <w:sectPr>
          <w:pgSz w:w="11900" w:h="16838" w:orient="portrait"/>
          <w:cols w:equalWidth="0" w:num="1">
            <w:col w:w="11420"/>
          </w:cols>
          <w:pgMar w:left="240" w:top="291" w:right="2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87"/>
        </w:trPr>
        <w:tc>
          <w:tcPr>
            <w:tcW w:w="8940" w:type="dxa"/>
            <w:vAlign w:val="bottom"/>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22"/>
                <w:szCs w:val="22"/>
                <w:b w:val="1"/>
                <w:bCs w:val="1"/>
                <w:color w:val="4C9F40"/>
              </w:rPr>
              <w:t>EXHIBIT 13</w:t>
            </w:r>
          </w:p>
        </w:tc>
      </w:tr>
      <w:tr>
        <w:trPr>
          <w:trHeight w:val="363"/>
        </w:trPr>
        <w:tc>
          <w:tcPr>
            <w:tcW w:w="8940" w:type="dxa"/>
            <w:vAlign w:val="bottom"/>
          </w:tcPr>
          <w:p>
            <w:pPr>
              <w:spacing w:after="0"/>
              <w:rPr>
                <w:sz w:val="20"/>
                <w:szCs w:val="20"/>
                <w:color w:val="auto"/>
              </w:rPr>
            </w:pPr>
            <w:r>
              <w:rPr>
                <w:rFonts w:ascii="Arial" w:cs="Arial" w:eastAsia="Arial" w:hAnsi="Arial"/>
                <w:sz w:val="22"/>
                <w:szCs w:val="22"/>
                <w:b w:val="1"/>
                <w:bCs w:val="1"/>
                <w:color w:val="4C9F40"/>
              </w:rPr>
              <w:t>ANNUAL REPORT</w:t>
            </w:r>
          </w:p>
        </w:tc>
        <w:tc>
          <w:tcPr>
            <w:tcW w:w="2480" w:type="dxa"/>
            <w:vAlign w:val="bottom"/>
          </w:tcPr>
          <w:p>
            <w:pPr>
              <w:spacing w:after="0"/>
              <w:rPr>
                <w:sz w:val="24"/>
                <w:szCs w:val="24"/>
                <w:color w:val="auto"/>
              </w:rPr>
            </w:pPr>
          </w:p>
        </w:tc>
      </w:tr>
      <w:tr>
        <w:trPr>
          <w:trHeight w:val="286"/>
        </w:trPr>
        <w:tc>
          <w:tcPr>
            <w:tcW w:w="8940" w:type="dxa"/>
            <w:vAlign w:val="bottom"/>
          </w:tcPr>
          <w:p>
            <w:pPr>
              <w:spacing w:after="0"/>
              <w:rPr>
                <w:sz w:val="20"/>
                <w:szCs w:val="20"/>
                <w:color w:val="auto"/>
              </w:rPr>
            </w:pPr>
            <w:r>
              <w:rPr>
                <w:rFonts w:ascii="Arial" w:cs="Arial" w:eastAsia="Arial" w:hAnsi="Arial"/>
                <w:sz w:val="22"/>
                <w:szCs w:val="22"/>
                <w:b w:val="1"/>
                <w:bCs w:val="1"/>
                <w:color w:val="4C9F40"/>
              </w:rPr>
              <w:t>TABLE OF CONTENTS</w:t>
            </w:r>
          </w:p>
        </w:tc>
        <w:tc>
          <w:tcPr>
            <w:tcW w:w="2480" w:type="dxa"/>
            <w:vAlign w:val="bottom"/>
          </w:tcPr>
          <w:p>
            <w:pPr>
              <w:spacing w:after="0"/>
              <w:rPr>
                <w:sz w:val="24"/>
                <w:szCs w:val="24"/>
                <w:color w:val="auto"/>
              </w:rPr>
            </w:pPr>
          </w:p>
        </w:tc>
      </w:tr>
      <w:tr>
        <w:trPr>
          <w:trHeight w:val="398"/>
        </w:trPr>
        <w:tc>
          <w:tcPr>
            <w:tcW w:w="8940" w:type="dxa"/>
            <w:vAlign w:val="bottom"/>
          </w:tcPr>
          <w:p>
            <w:pPr>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2480" w:type="dxa"/>
            <w:vAlign w:val="bottom"/>
          </w:tcPr>
          <w:p>
            <w:pPr>
              <w:jc w:val="right"/>
              <w:ind w:right="12"/>
              <w:spacing w:after="0"/>
              <w:rPr>
                <w:sz w:val="20"/>
                <w:szCs w:val="20"/>
                <w:color w:val="auto"/>
              </w:rPr>
            </w:pPr>
            <w:r>
              <w:rPr>
                <w:rFonts w:ascii="Arial" w:cs="Arial" w:eastAsia="Arial" w:hAnsi="Arial"/>
                <w:sz w:val="18"/>
                <w:szCs w:val="18"/>
                <w:color w:val="auto"/>
              </w:rPr>
              <w:t>1</w:t>
            </w:r>
          </w:p>
        </w:tc>
      </w:tr>
      <w:tr>
        <w:trPr>
          <w:trHeight w:val="203"/>
        </w:trPr>
        <w:tc>
          <w:tcPr>
            <w:tcW w:w="8940" w:type="dxa"/>
            <w:vAlign w:val="bottom"/>
          </w:tcPr>
          <w:p>
            <w:pPr>
              <w:ind w:left="440"/>
              <w:spacing w:after="0" w:line="202" w:lineRule="exact"/>
              <w:rPr>
                <w:sz w:val="20"/>
                <w:szCs w:val="20"/>
                <w:color w:val="auto"/>
              </w:rPr>
            </w:pPr>
            <w:r>
              <w:rPr>
                <w:rFonts w:ascii="Arial" w:cs="Arial" w:eastAsia="Arial" w:hAnsi="Arial"/>
                <w:sz w:val="18"/>
                <w:szCs w:val="18"/>
                <w:color w:val="auto"/>
              </w:rPr>
              <w:t>Executive Overview</w:t>
            </w:r>
          </w:p>
        </w:tc>
        <w:tc>
          <w:tcPr>
            <w:tcW w:w="24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w:t>
            </w:r>
          </w:p>
        </w:tc>
      </w:tr>
      <w:tr>
        <w:trPr>
          <w:trHeight w:val="203"/>
        </w:trPr>
        <w:tc>
          <w:tcPr>
            <w:tcW w:w="8940" w:type="dxa"/>
            <w:vAlign w:val="bottom"/>
          </w:tcPr>
          <w:p>
            <w:pPr>
              <w:ind w:left="440"/>
              <w:spacing w:after="0" w:line="202" w:lineRule="exact"/>
              <w:rPr>
                <w:sz w:val="20"/>
                <w:szCs w:val="20"/>
                <w:color w:val="auto"/>
              </w:rPr>
            </w:pPr>
            <w:r>
              <w:rPr>
                <w:rFonts w:ascii="Arial" w:cs="Arial" w:eastAsia="Arial" w:hAnsi="Arial"/>
                <w:sz w:val="18"/>
                <w:szCs w:val="18"/>
                <w:color w:val="auto"/>
              </w:rPr>
              <w:t>Financial Overview</w:t>
            </w:r>
          </w:p>
        </w:tc>
        <w:tc>
          <w:tcPr>
            <w:tcW w:w="24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w:t>
            </w:r>
          </w:p>
        </w:tc>
      </w:tr>
      <w:tr>
        <w:trPr>
          <w:trHeight w:val="203"/>
        </w:trPr>
        <w:tc>
          <w:tcPr>
            <w:tcW w:w="8940" w:type="dxa"/>
            <w:vAlign w:val="bottom"/>
          </w:tcPr>
          <w:p>
            <w:pPr>
              <w:ind w:left="440"/>
              <w:spacing w:after="0" w:line="202" w:lineRule="exact"/>
              <w:rPr>
                <w:sz w:val="20"/>
                <w:szCs w:val="20"/>
                <w:color w:val="auto"/>
              </w:rPr>
            </w:pPr>
            <w:r>
              <w:rPr>
                <w:rFonts w:ascii="Arial" w:cs="Arial" w:eastAsia="Arial" w:hAnsi="Arial"/>
                <w:sz w:val="18"/>
                <w:szCs w:val="18"/>
                <w:color w:val="auto"/>
              </w:rPr>
              <w:t>Currency Impacts</w:t>
            </w:r>
          </w:p>
        </w:tc>
        <w:tc>
          <w:tcPr>
            <w:tcW w:w="24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w:t>
            </w:r>
          </w:p>
        </w:tc>
      </w:tr>
      <w:tr>
        <w:trPr>
          <w:trHeight w:val="203"/>
        </w:trPr>
        <w:tc>
          <w:tcPr>
            <w:tcW w:w="8940" w:type="dxa"/>
            <w:vAlign w:val="bottom"/>
          </w:tcPr>
          <w:p>
            <w:pPr>
              <w:ind w:left="440"/>
              <w:spacing w:after="0" w:line="202" w:lineRule="exact"/>
              <w:rPr>
                <w:sz w:val="20"/>
                <w:szCs w:val="20"/>
                <w:color w:val="auto"/>
              </w:rPr>
            </w:pPr>
            <w:r>
              <w:rPr>
                <w:rFonts w:ascii="Arial" w:cs="Arial" w:eastAsia="Arial" w:hAnsi="Arial"/>
                <w:sz w:val="18"/>
                <w:szCs w:val="18"/>
                <w:color w:val="auto"/>
              </w:rPr>
              <w:t>Summary Results</w:t>
            </w:r>
          </w:p>
        </w:tc>
        <w:tc>
          <w:tcPr>
            <w:tcW w:w="24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w:t>
            </w:r>
          </w:p>
        </w:tc>
      </w:tr>
      <w:tr>
        <w:trPr>
          <w:trHeight w:val="203"/>
        </w:trPr>
        <w:tc>
          <w:tcPr>
            <w:tcW w:w="8940" w:type="dxa"/>
            <w:vAlign w:val="bottom"/>
          </w:tcPr>
          <w:p>
            <w:pPr>
              <w:ind w:left="440"/>
              <w:spacing w:after="0" w:line="202" w:lineRule="exact"/>
              <w:rPr>
                <w:sz w:val="20"/>
                <w:szCs w:val="20"/>
                <w:color w:val="auto"/>
              </w:rPr>
            </w:pPr>
            <w:r>
              <w:rPr>
                <w:rFonts w:ascii="Arial" w:cs="Arial" w:eastAsia="Arial" w:hAnsi="Arial"/>
                <w:sz w:val="18"/>
                <w:szCs w:val="18"/>
                <w:color w:val="auto"/>
              </w:rPr>
              <w:t>Application of Critical Accounting Policies</w:t>
            </w:r>
          </w:p>
        </w:tc>
        <w:tc>
          <w:tcPr>
            <w:tcW w:w="24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6</w:t>
            </w:r>
          </w:p>
        </w:tc>
      </w:tr>
      <w:tr>
        <w:trPr>
          <w:trHeight w:val="203"/>
        </w:trPr>
        <w:tc>
          <w:tcPr>
            <w:tcW w:w="8940" w:type="dxa"/>
            <w:vAlign w:val="bottom"/>
          </w:tcPr>
          <w:p>
            <w:pPr>
              <w:ind w:left="440"/>
              <w:spacing w:after="0" w:line="202" w:lineRule="exact"/>
              <w:rPr>
                <w:sz w:val="20"/>
                <w:szCs w:val="20"/>
                <w:color w:val="auto"/>
              </w:rPr>
            </w:pPr>
            <w:r>
              <w:rPr>
                <w:rFonts w:ascii="Arial" w:cs="Arial" w:eastAsia="Arial" w:hAnsi="Arial"/>
                <w:sz w:val="18"/>
                <w:szCs w:val="18"/>
                <w:color w:val="auto"/>
              </w:rPr>
              <w:t>Operations Review of Segment Revenue and Operating Profit</w:t>
            </w:r>
          </w:p>
        </w:tc>
        <w:tc>
          <w:tcPr>
            <w:tcW w:w="24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11</w:t>
            </w:r>
          </w:p>
        </w:tc>
      </w:tr>
      <w:tr>
        <w:trPr>
          <w:trHeight w:val="203"/>
        </w:trPr>
        <w:tc>
          <w:tcPr>
            <w:tcW w:w="8940" w:type="dxa"/>
            <w:vAlign w:val="bottom"/>
          </w:tcPr>
          <w:p>
            <w:pPr>
              <w:ind w:left="440"/>
              <w:spacing w:after="0" w:line="202" w:lineRule="exact"/>
              <w:rPr>
                <w:sz w:val="20"/>
                <w:szCs w:val="20"/>
                <w:color w:val="auto"/>
              </w:rPr>
            </w:pPr>
            <w:r>
              <w:rPr>
                <w:rFonts w:ascii="Arial" w:cs="Arial" w:eastAsia="Arial" w:hAnsi="Arial"/>
                <w:sz w:val="18"/>
                <w:szCs w:val="18"/>
                <w:color w:val="auto"/>
              </w:rPr>
              <w:t>Costs, Expenses and Other Income</w:t>
            </w:r>
          </w:p>
        </w:tc>
        <w:tc>
          <w:tcPr>
            <w:tcW w:w="24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15</w:t>
            </w:r>
          </w:p>
        </w:tc>
      </w:tr>
      <w:tr>
        <w:trPr>
          <w:trHeight w:val="203"/>
        </w:trPr>
        <w:tc>
          <w:tcPr>
            <w:tcW w:w="8940" w:type="dxa"/>
            <w:vAlign w:val="bottom"/>
          </w:tcPr>
          <w:p>
            <w:pPr>
              <w:ind w:left="880"/>
              <w:spacing w:after="0" w:line="202" w:lineRule="exact"/>
              <w:rPr>
                <w:sz w:val="20"/>
                <w:szCs w:val="20"/>
                <w:color w:val="auto"/>
              </w:rPr>
            </w:pPr>
            <w:r>
              <w:rPr>
                <w:rFonts w:ascii="Arial" w:cs="Arial" w:eastAsia="Arial" w:hAnsi="Arial"/>
                <w:sz w:val="18"/>
                <w:szCs w:val="18"/>
                <w:color w:val="auto"/>
              </w:rPr>
              <w:t>Gross Margin</w:t>
            </w:r>
          </w:p>
        </w:tc>
        <w:tc>
          <w:tcPr>
            <w:tcW w:w="24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15</w:t>
            </w:r>
          </w:p>
        </w:tc>
      </w:tr>
      <w:tr>
        <w:trPr>
          <w:trHeight w:val="203"/>
        </w:trPr>
        <w:tc>
          <w:tcPr>
            <w:tcW w:w="8940" w:type="dxa"/>
            <w:vAlign w:val="bottom"/>
          </w:tcPr>
          <w:p>
            <w:pPr>
              <w:ind w:left="880"/>
              <w:spacing w:after="0" w:line="202" w:lineRule="exact"/>
              <w:rPr>
                <w:sz w:val="20"/>
                <w:szCs w:val="20"/>
                <w:color w:val="auto"/>
              </w:rPr>
            </w:pPr>
            <w:r>
              <w:rPr>
                <w:rFonts w:ascii="Arial" w:cs="Arial" w:eastAsia="Arial" w:hAnsi="Arial"/>
                <w:sz w:val="18"/>
                <w:szCs w:val="18"/>
                <w:color w:val="auto"/>
              </w:rPr>
              <w:t>Research, Development and Engineering Expenses</w:t>
            </w:r>
          </w:p>
        </w:tc>
        <w:tc>
          <w:tcPr>
            <w:tcW w:w="24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16</w:t>
            </w:r>
          </w:p>
        </w:tc>
      </w:tr>
      <w:tr>
        <w:trPr>
          <w:trHeight w:val="203"/>
        </w:trPr>
        <w:tc>
          <w:tcPr>
            <w:tcW w:w="8940" w:type="dxa"/>
            <w:vAlign w:val="bottom"/>
          </w:tcPr>
          <w:p>
            <w:pPr>
              <w:ind w:left="880"/>
              <w:spacing w:after="0" w:line="202" w:lineRule="exact"/>
              <w:rPr>
                <w:sz w:val="20"/>
                <w:szCs w:val="20"/>
                <w:color w:val="auto"/>
              </w:rPr>
            </w:pPr>
            <w:r>
              <w:rPr>
                <w:rFonts w:ascii="Arial" w:cs="Arial" w:eastAsia="Arial" w:hAnsi="Arial"/>
                <w:sz w:val="18"/>
                <w:szCs w:val="18"/>
                <w:color w:val="auto"/>
              </w:rPr>
              <w:t>Selling, Administrative and General Expenses</w:t>
            </w:r>
          </w:p>
        </w:tc>
        <w:tc>
          <w:tcPr>
            <w:tcW w:w="24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16</w:t>
            </w:r>
          </w:p>
        </w:tc>
      </w:tr>
      <w:tr>
        <w:trPr>
          <w:trHeight w:val="203"/>
        </w:trPr>
        <w:tc>
          <w:tcPr>
            <w:tcW w:w="8940" w:type="dxa"/>
            <w:vAlign w:val="bottom"/>
          </w:tcPr>
          <w:p>
            <w:pPr>
              <w:ind w:left="880"/>
              <w:spacing w:after="0" w:line="202" w:lineRule="exact"/>
              <w:rPr>
                <w:sz w:val="20"/>
                <w:szCs w:val="20"/>
                <w:color w:val="auto"/>
              </w:rPr>
            </w:pPr>
            <w:r>
              <w:rPr>
                <w:rFonts w:ascii="Arial" w:cs="Arial" w:eastAsia="Arial" w:hAnsi="Arial"/>
                <w:sz w:val="18"/>
                <w:szCs w:val="18"/>
                <w:color w:val="auto"/>
              </w:rPr>
              <w:t>Summary of Costs and Expenses</w:t>
            </w:r>
          </w:p>
        </w:tc>
        <w:tc>
          <w:tcPr>
            <w:tcW w:w="24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17</w:t>
            </w:r>
          </w:p>
        </w:tc>
      </w:tr>
      <w:tr>
        <w:trPr>
          <w:trHeight w:val="203"/>
        </w:trPr>
        <w:tc>
          <w:tcPr>
            <w:tcW w:w="8940" w:type="dxa"/>
            <w:vAlign w:val="bottom"/>
          </w:tcPr>
          <w:p>
            <w:pPr>
              <w:ind w:left="880"/>
              <w:spacing w:after="0" w:line="202" w:lineRule="exact"/>
              <w:rPr>
                <w:sz w:val="20"/>
                <w:szCs w:val="20"/>
                <w:color w:val="auto"/>
              </w:rPr>
            </w:pPr>
            <w:r>
              <w:rPr>
                <w:rFonts w:ascii="Arial" w:cs="Arial" w:eastAsia="Arial" w:hAnsi="Arial"/>
                <w:sz w:val="18"/>
                <w:szCs w:val="18"/>
                <w:color w:val="auto"/>
              </w:rPr>
              <w:t>Restructuring and Asset Impairment Charges</w:t>
            </w:r>
          </w:p>
        </w:tc>
        <w:tc>
          <w:tcPr>
            <w:tcW w:w="24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18</w:t>
            </w:r>
          </w:p>
        </w:tc>
      </w:tr>
      <w:tr>
        <w:trPr>
          <w:trHeight w:val="203"/>
        </w:trPr>
        <w:tc>
          <w:tcPr>
            <w:tcW w:w="8940" w:type="dxa"/>
            <w:vAlign w:val="bottom"/>
          </w:tcPr>
          <w:p>
            <w:pPr>
              <w:ind w:left="880"/>
              <w:spacing w:after="0" w:line="202" w:lineRule="exact"/>
              <w:rPr>
                <w:sz w:val="20"/>
                <w:szCs w:val="20"/>
                <w:color w:val="auto"/>
              </w:rPr>
            </w:pPr>
            <w:r>
              <w:rPr>
                <w:rFonts w:ascii="Arial" w:cs="Arial" w:eastAsia="Arial" w:hAnsi="Arial"/>
                <w:sz w:val="18"/>
                <w:szCs w:val="18"/>
                <w:color w:val="auto"/>
              </w:rPr>
              <w:t>Acquisition-Related Costs</w:t>
            </w:r>
          </w:p>
        </w:tc>
        <w:tc>
          <w:tcPr>
            <w:tcW w:w="24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19</w:t>
            </w:r>
          </w:p>
        </w:tc>
      </w:tr>
      <w:tr>
        <w:trPr>
          <w:trHeight w:val="203"/>
        </w:trPr>
        <w:tc>
          <w:tcPr>
            <w:tcW w:w="8940" w:type="dxa"/>
            <w:vAlign w:val="bottom"/>
          </w:tcPr>
          <w:p>
            <w:pPr>
              <w:ind w:left="880"/>
              <w:spacing w:after="0" w:line="202" w:lineRule="exact"/>
              <w:rPr>
                <w:sz w:val="20"/>
                <w:szCs w:val="20"/>
                <w:color w:val="auto"/>
              </w:rPr>
            </w:pPr>
            <w:r>
              <w:rPr>
                <w:rFonts w:ascii="Arial" w:cs="Arial" w:eastAsia="Arial" w:hAnsi="Arial"/>
                <w:sz w:val="18"/>
                <w:szCs w:val="18"/>
                <w:color w:val="auto"/>
              </w:rPr>
              <w:t>Amortization of Intangible Assets</w:t>
            </w:r>
          </w:p>
        </w:tc>
        <w:tc>
          <w:tcPr>
            <w:tcW w:w="24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19</w:t>
            </w:r>
          </w:p>
        </w:tc>
      </w:tr>
      <w:tr>
        <w:trPr>
          <w:trHeight w:val="203"/>
        </w:trPr>
        <w:tc>
          <w:tcPr>
            <w:tcW w:w="8940" w:type="dxa"/>
            <w:vAlign w:val="bottom"/>
          </w:tcPr>
          <w:p>
            <w:pPr>
              <w:ind w:left="880"/>
              <w:spacing w:after="0" w:line="202" w:lineRule="exact"/>
              <w:rPr>
                <w:sz w:val="20"/>
                <w:szCs w:val="20"/>
                <w:color w:val="auto"/>
              </w:rPr>
            </w:pPr>
            <w:r>
              <w:rPr>
                <w:rFonts w:ascii="Arial" w:cs="Arial" w:eastAsia="Arial" w:hAnsi="Arial"/>
                <w:sz w:val="18"/>
                <w:szCs w:val="18"/>
                <w:color w:val="auto"/>
              </w:rPr>
              <w:t>Worldwide Employment</w:t>
            </w:r>
          </w:p>
        </w:tc>
        <w:tc>
          <w:tcPr>
            <w:tcW w:w="24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19</w:t>
            </w:r>
          </w:p>
        </w:tc>
      </w:tr>
      <w:tr>
        <w:trPr>
          <w:trHeight w:val="203"/>
        </w:trPr>
        <w:tc>
          <w:tcPr>
            <w:tcW w:w="8940" w:type="dxa"/>
            <w:vAlign w:val="bottom"/>
          </w:tcPr>
          <w:p>
            <w:pPr>
              <w:ind w:left="880"/>
              <w:spacing w:after="0" w:line="202" w:lineRule="exact"/>
              <w:rPr>
                <w:sz w:val="20"/>
                <w:szCs w:val="20"/>
                <w:color w:val="auto"/>
              </w:rPr>
            </w:pPr>
            <w:r>
              <w:rPr>
                <w:rFonts w:ascii="Arial" w:cs="Arial" w:eastAsia="Arial" w:hAnsi="Arial"/>
                <w:sz w:val="18"/>
                <w:szCs w:val="18"/>
                <w:color w:val="auto"/>
              </w:rPr>
              <w:t>Other Expenses, Net</w:t>
            </w:r>
          </w:p>
        </w:tc>
        <w:tc>
          <w:tcPr>
            <w:tcW w:w="24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19</w:t>
            </w:r>
          </w:p>
        </w:tc>
      </w:tr>
      <w:tr>
        <w:trPr>
          <w:trHeight w:val="203"/>
        </w:trPr>
        <w:tc>
          <w:tcPr>
            <w:tcW w:w="8940" w:type="dxa"/>
            <w:vAlign w:val="bottom"/>
          </w:tcPr>
          <w:p>
            <w:pPr>
              <w:ind w:left="880"/>
              <w:spacing w:after="0" w:line="202" w:lineRule="exact"/>
              <w:rPr>
                <w:sz w:val="20"/>
                <w:szCs w:val="20"/>
                <w:color w:val="auto"/>
              </w:rPr>
            </w:pPr>
            <w:r>
              <w:rPr>
                <w:rFonts w:ascii="Arial" w:cs="Arial" w:eastAsia="Arial" w:hAnsi="Arial"/>
                <w:sz w:val="18"/>
                <w:szCs w:val="18"/>
                <w:color w:val="auto"/>
              </w:rPr>
              <w:t>Income Taxes</w:t>
            </w:r>
          </w:p>
        </w:tc>
        <w:tc>
          <w:tcPr>
            <w:tcW w:w="24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21</w:t>
            </w:r>
          </w:p>
        </w:tc>
      </w:tr>
      <w:tr>
        <w:trPr>
          <w:trHeight w:val="203"/>
        </w:trPr>
        <w:tc>
          <w:tcPr>
            <w:tcW w:w="8940" w:type="dxa"/>
            <w:vAlign w:val="bottom"/>
          </w:tcPr>
          <w:p>
            <w:pPr>
              <w:ind w:left="880"/>
              <w:spacing w:after="0" w:line="202" w:lineRule="exact"/>
              <w:rPr>
                <w:sz w:val="20"/>
                <w:szCs w:val="20"/>
                <w:color w:val="auto"/>
              </w:rPr>
            </w:pPr>
            <w:r>
              <w:rPr>
                <w:rFonts w:ascii="Arial" w:cs="Arial" w:eastAsia="Arial" w:hAnsi="Arial"/>
                <w:sz w:val="18"/>
                <w:szCs w:val="18"/>
                <w:color w:val="auto"/>
              </w:rPr>
              <w:t>Equity in Net Income of Unconsolidated Affiliates</w:t>
            </w:r>
          </w:p>
        </w:tc>
        <w:tc>
          <w:tcPr>
            <w:tcW w:w="24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22</w:t>
            </w:r>
          </w:p>
        </w:tc>
      </w:tr>
      <w:tr>
        <w:trPr>
          <w:trHeight w:val="203"/>
        </w:trPr>
        <w:tc>
          <w:tcPr>
            <w:tcW w:w="8940" w:type="dxa"/>
            <w:vAlign w:val="bottom"/>
          </w:tcPr>
          <w:p>
            <w:pPr>
              <w:ind w:left="880"/>
              <w:spacing w:after="0" w:line="202" w:lineRule="exact"/>
              <w:rPr>
                <w:sz w:val="20"/>
                <w:szCs w:val="20"/>
                <w:color w:val="auto"/>
              </w:rPr>
            </w:pPr>
            <w:r>
              <w:rPr>
                <w:rFonts w:ascii="Arial" w:cs="Arial" w:eastAsia="Arial" w:hAnsi="Arial"/>
                <w:sz w:val="18"/>
                <w:szCs w:val="18"/>
                <w:color w:val="auto"/>
              </w:rPr>
              <w:t>Recent Accounting Pronouncements</w:t>
            </w:r>
          </w:p>
        </w:tc>
        <w:tc>
          <w:tcPr>
            <w:tcW w:w="24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22</w:t>
            </w:r>
          </w:p>
        </w:tc>
      </w:tr>
      <w:tr>
        <w:trPr>
          <w:trHeight w:val="203"/>
        </w:trPr>
        <w:tc>
          <w:tcPr>
            <w:tcW w:w="8940" w:type="dxa"/>
            <w:vAlign w:val="bottom"/>
          </w:tcPr>
          <w:p>
            <w:pPr>
              <w:ind w:left="440"/>
              <w:spacing w:after="0" w:line="202" w:lineRule="exact"/>
              <w:rPr>
                <w:sz w:val="20"/>
                <w:szCs w:val="20"/>
                <w:color w:val="auto"/>
              </w:rPr>
            </w:pPr>
            <w:r>
              <w:rPr>
                <w:rFonts w:ascii="Arial" w:cs="Arial" w:eastAsia="Arial" w:hAnsi="Arial"/>
                <w:sz w:val="18"/>
                <w:szCs w:val="18"/>
                <w:color w:val="auto"/>
              </w:rPr>
              <w:t>Capital Resources and Liquidity</w:t>
            </w:r>
          </w:p>
        </w:tc>
        <w:tc>
          <w:tcPr>
            <w:tcW w:w="24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22</w:t>
            </w:r>
          </w:p>
        </w:tc>
      </w:tr>
      <w:tr>
        <w:trPr>
          <w:trHeight w:val="203"/>
        </w:trPr>
        <w:tc>
          <w:tcPr>
            <w:tcW w:w="8940" w:type="dxa"/>
            <w:vAlign w:val="bottom"/>
          </w:tcPr>
          <w:p>
            <w:pPr>
              <w:ind w:left="880"/>
              <w:spacing w:after="0" w:line="202" w:lineRule="exact"/>
              <w:rPr>
                <w:sz w:val="20"/>
                <w:szCs w:val="20"/>
                <w:color w:val="auto"/>
              </w:rPr>
            </w:pPr>
            <w:r>
              <w:rPr>
                <w:rFonts w:ascii="Arial" w:cs="Arial" w:eastAsia="Arial" w:hAnsi="Arial"/>
                <w:sz w:val="18"/>
                <w:szCs w:val="18"/>
                <w:color w:val="auto"/>
              </w:rPr>
              <w:t>Cash Flow Analysis</w:t>
            </w:r>
          </w:p>
        </w:tc>
        <w:tc>
          <w:tcPr>
            <w:tcW w:w="24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22</w:t>
            </w:r>
          </w:p>
        </w:tc>
      </w:tr>
      <w:tr>
        <w:trPr>
          <w:trHeight w:val="203"/>
        </w:trPr>
        <w:tc>
          <w:tcPr>
            <w:tcW w:w="8940" w:type="dxa"/>
            <w:vAlign w:val="bottom"/>
          </w:tcPr>
          <w:p>
            <w:pPr>
              <w:ind w:left="880"/>
              <w:spacing w:after="0" w:line="202" w:lineRule="exact"/>
              <w:rPr>
                <w:sz w:val="20"/>
                <w:szCs w:val="20"/>
                <w:color w:val="auto"/>
              </w:rPr>
            </w:pPr>
            <w:r>
              <w:rPr>
                <w:rFonts w:ascii="Arial" w:cs="Arial" w:eastAsia="Arial" w:hAnsi="Arial"/>
                <w:sz w:val="18"/>
                <w:szCs w:val="18"/>
                <w:color w:val="auto"/>
              </w:rPr>
              <w:t>ACS Acquisition</w:t>
            </w:r>
          </w:p>
        </w:tc>
        <w:tc>
          <w:tcPr>
            <w:tcW w:w="24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24</w:t>
            </w:r>
          </w:p>
        </w:tc>
      </w:tr>
      <w:tr>
        <w:trPr>
          <w:trHeight w:val="203"/>
        </w:trPr>
        <w:tc>
          <w:tcPr>
            <w:tcW w:w="8940" w:type="dxa"/>
            <w:vAlign w:val="bottom"/>
          </w:tcPr>
          <w:p>
            <w:pPr>
              <w:ind w:left="880"/>
              <w:spacing w:after="0" w:line="202" w:lineRule="exact"/>
              <w:rPr>
                <w:sz w:val="20"/>
                <w:szCs w:val="20"/>
                <w:color w:val="auto"/>
              </w:rPr>
            </w:pPr>
            <w:r>
              <w:rPr>
                <w:rFonts w:ascii="Arial" w:cs="Arial" w:eastAsia="Arial" w:hAnsi="Arial"/>
                <w:sz w:val="18"/>
                <w:szCs w:val="18"/>
                <w:color w:val="auto"/>
              </w:rPr>
              <w:t>Financing Activities, Credit Facility and Capital Markets</w:t>
            </w:r>
          </w:p>
        </w:tc>
        <w:tc>
          <w:tcPr>
            <w:tcW w:w="24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25</w:t>
            </w:r>
          </w:p>
        </w:tc>
      </w:tr>
      <w:tr>
        <w:trPr>
          <w:trHeight w:val="203"/>
        </w:trPr>
        <w:tc>
          <w:tcPr>
            <w:tcW w:w="8940" w:type="dxa"/>
            <w:vAlign w:val="bottom"/>
          </w:tcPr>
          <w:p>
            <w:pPr>
              <w:ind w:left="880"/>
              <w:spacing w:after="0" w:line="202" w:lineRule="exact"/>
              <w:rPr>
                <w:sz w:val="20"/>
                <w:szCs w:val="20"/>
                <w:color w:val="auto"/>
              </w:rPr>
            </w:pPr>
            <w:r>
              <w:rPr>
                <w:rFonts w:ascii="Arial" w:cs="Arial" w:eastAsia="Arial" w:hAnsi="Arial"/>
                <w:sz w:val="18"/>
                <w:szCs w:val="18"/>
                <w:color w:val="auto"/>
              </w:rPr>
              <w:t>Liquidity and Financial Flexibility</w:t>
            </w:r>
          </w:p>
        </w:tc>
        <w:tc>
          <w:tcPr>
            <w:tcW w:w="24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27</w:t>
            </w:r>
          </w:p>
        </w:tc>
      </w:tr>
      <w:tr>
        <w:trPr>
          <w:trHeight w:val="203"/>
        </w:trPr>
        <w:tc>
          <w:tcPr>
            <w:tcW w:w="8940" w:type="dxa"/>
            <w:vAlign w:val="bottom"/>
          </w:tcPr>
          <w:p>
            <w:pPr>
              <w:ind w:left="880"/>
              <w:spacing w:after="0" w:line="202" w:lineRule="exact"/>
              <w:rPr>
                <w:sz w:val="20"/>
                <w:szCs w:val="20"/>
                <w:color w:val="auto"/>
              </w:rPr>
            </w:pPr>
            <w:r>
              <w:rPr>
                <w:rFonts w:ascii="Arial" w:cs="Arial" w:eastAsia="Arial" w:hAnsi="Arial"/>
                <w:sz w:val="18"/>
                <w:szCs w:val="18"/>
                <w:color w:val="auto"/>
              </w:rPr>
              <w:t>Contractual Cash Obligations and Other Commercial Commitments and Contingencies</w:t>
            </w:r>
          </w:p>
        </w:tc>
        <w:tc>
          <w:tcPr>
            <w:tcW w:w="24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28</w:t>
            </w:r>
          </w:p>
        </w:tc>
      </w:tr>
      <w:tr>
        <w:trPr>
          <w:trHeight w:val="203"/>
        </w:trPr>
        <w:tc>
          <w:tcPr>
            <w:tcW w:w="8940" w:type="dxa"/>
            <w:vAlign w:val="bottom"/>
          </w:tcPr>
          <w:p>
            <w:pPr>
              <w:ind w:left="440"/>
              <w:spacing w:after="0" w:line="202" w:lineRule="exact"/>
              <w:rPr>
                <w:sz w:val="20"/>
                <w:szCs w:val="20"/>
                <w:color w:val="auto"/>
              </w:rPr>
            </w:pPr>
            <w:r>
              <w:rPr>
                <w:rFonts w:ascii="Arial" w:cs="Arial" w:eastAsia="Arial" w:hAnsi="Arial"/>
                <w:sz w:val="18"/>
                <w:szCs w:val="18"/>
                <w:color w:val="auto"/>
              </w:rPr>
              <w:t>Off-Balance Sheet Arrangements</w:t>
            </w:r>
          </w:p>
        </w:tc>
        <w:tc>
          <w:tcPr>
            <w:tcW w:w="24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30</w:t>
            </w:r>
          </w:p>
        </w:tc>
      </w:tr>
      <w:tr>
        <w:trPr>
          <w:trHeight w:val="203"/>
        </w:trPr>
        <w:tc>
          <w:tcPr>
            <w:tcW w:w="8940" w:type="dxa"/>
            <w:vAlign w:val="bottom"/>
          </w:tcPr>
          <w:p>
            <w:pPr>
              <w:ind w:left="440"/>
              <w:spacing w:after="0" w:line="202" w:lineRule="exact"/>
              <w:rPr>
                <w:sz w:val="20"/>
                <w:szCs w:val="20"/>
                <w:color w:val="auto"/>
              </w:rPr>
            </w:pPr>
            <w:r>
              <w:rPr>
                <w:rFonts w:ascii="Arial" w:cs="Arial" w:eastAsia="Arial" w:hAnsi="Arial"/>
                <w:sz w:val="18"/>
                <w:szCs w:val="18"/>
                <w:color w:val="auto"/>
              </w:rPr>
              <w:t>Financial Risk Management</w:t>
            </w:r>
          </w:p>
        </w:tc>
        <w:tc>
          <w:tcPr>
            <w:tcW w:w="24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30</w:t>
            </w:r>
          </w:p>
        </w:tc>
      </w:tr>
      <w:tr>
        <w:trPr>
          <w:trHeight w:val="203"/>
        </w:trPr>
        <w:tc>
          <w:tcPr>
            <w:tcW w:w="8940" w:type="dxa"/>
            <w:vAlign w:val="bottom"/>
          </w:tcPr>
          <w:p>
            <w:pPr>
              <w:ind w:left="440"/>
              <w:spacing w:after="0" w:line="202" w:lineRule="exact"/>
              <w:rPr>
                <w:sz w:val="20"/>
                <w:szCs w:val="20"/>
                <w:color w:val="auto"/>
              </w:rPr>
            </w:pPr>
            <w:r>
              <w:rPr>
                <w:rFonts w:ascii="Arial" w:cs="Arial" w:eastAsia="Arial" w:hAnsi="Arial"/>
                <w:sz w:val="18"/>
                <w:szCs w:val="18"/>
                <w:color w:val="auto"/>
              </w:rPr>
              <w:t>Non-GAAP Financial Measures</w:t>
            </w:r>
          </w:p>
        </w:tc>
        <w:tc>
          <w:tcPr>
            <w:tcW w:w="24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31</w:t>
            </w:r>
          </w:p>
        </w:tc>
      </w:tr>
      <w:tr>
        <w:trPr>
          <w:trHeight w:val="203"/>
        </w:trPr>
        <w:tc>
          <w:tcPr>
            <w:tcW w:w="8940" w:type="dxa"/>
            <w:vAlign w:val="bottom"/>
          </w:tcPr>
          <w:p>
            <w:pPr>
              <w:ind w:left="440"/>
              <w:spacing w:after="0" w:line="202" w:lineRule="exact"/>
              <w:rPr>
                <w:sz w:val="20"/>
                <w:szCs w:val="20"/>
                <w:color w:val="auto"/>
              </w:rPr>
            </w:pPr>
            <w:r>
              <w:rPr>
                <w:rFonts w:ascii="Arial" w:cs="Arial" w:eastAsia="Arial" w:hAnsi="Arial"/>
                <w:sz w:val="18"/>
                <w:szCs w:val="18"/>
                <w:color w:val="auto"/>
              </w:rPr>
              <w:t>Forward-Looking Statements</w:t>
            </w:r>
          </w:p>
        </w:tc>
        <w:tc>
          <w:tcPr>
            <w:tcW w:w="24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35</w:t>
            </w:r>
          </w:p>
        </w:tc>
      </w:tr>
      <w:tr>
        <w:trPr>
          <w:trHeight w:val="203"/>
        </w:trPr>
        <w:tc>
          <w:tcPr>
            <w:tcW w:w="8940" w:type="dxa"/>
            <w:vAlign w:val="bottom"/>
          </w:tcPr>
          <w:p>
            <w:pPr>
              <w:spacing w:after="0" w:line="202" w:lineRule="exact"/>
              <w:rPr>
                <w:sz w:val="20"/>
                <w:szCs w:val="20"/>
                <w:color w:val="auto"/>
              </w:rPr>
            </w:pPr>
            <w:r>
              <w:rPr>
                <w:rFonts w:ascii="Arial" w:cs="Arial" w:eastAsia="Arial" w:hAnsi="Arial"/>
                <w:sz w:val="18"/>
                <w:szCs w:val="18"/>
                <w:color w:val="auto"/>
              </w:rPr>
              <w:t>Audited Consolidated Financial Statements</w:t>
            </w:r>
          </w:p>
        </w:tc>
        <w:tc>
          <w:tcPr>
            <w:tcW w:w="2480" w:type="dxa"/>
            <w:vAlign w:val="bottom"/>
          </w:tcPr>
          <w:p>
            <w:pPr>
              <w:spacing w:after="0"/>
              <w:rPr>
                <w:sz w:val="17"/>
                <w:szCs w:val="17"/>
                <w:color w:val="auto"/>
              </w:rPr>
            </w:pPr>
          </w:p>
        </w:tc>
      </w:tr>
      <w:tr>
        <w:trPr>
          <w:trHeight w:val="203"/>
        </w:trPr>
        <w:tc>
          <w:tcPr>
            <w:tcW w:w="8940" w:type="dxa"/>
            <w:vAlign w:val="bottom"/>
          </w:tcPr>
          <w:p>
            <w:pPr>
              <w:ind w:left="440"/>
              <w:spacing w:after="0" w:line="202" w:lineRule="exact"/>
              <w:rPr>
                <w:sz w:val="20"/>
                <w:szCs w:val="20"/>
                <w:color w:val="auto"/>
              </w:rPr>
            </w:pPr>
            <w:r>
              <w:rPr>
                <w:rFonts w:ascii="Arial" w:cs="Arial" w:eastAsia="Arial" w:hAnsi="Arial"/>
                <w:sz w:val="18"/>
                <w:szCs w:val="18"/>
                <w:color w:val="auto"/>
              </w:rPr>
              <w:t>Consolidated Statements of Income</w:t>
            </w:r>
          </w:p>
        </w:tc>
        <w:tc>
          <w:tcPr>
            <w:tcW w:w="24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36</w:t>
            </w:r>
          </w:p>
        </w:tc>
      </w:tr>
      <w:tr>
        <w:trPr>
          <w:trHeight w:val="203"/>
        </w:trPr>
        <w:tc>
          <w:tcPr>
            <w:tcW w:w="8940" w:type="dxa"/>
            <w:vAlign w:val="bottom"/>
          </w:tcPr>
          <w:p>
            <w:pPr>
              <w:ind w:left="440"/>
              <w:spacing w:after="0" w:line="202" w:lineRule="exact"/>
              <w:rPr>
                <w:sz w:val="20"/>
                <w:szCs w:val="20"/>
                <w:color w:val="auto"/>
              </w:rPr>
            </w:pPr>
            <w:r>
              <w:rPr>
                <w:rFonts w:ascii="Arial" w:cs="Arial" w:eastAsia="Arial" w:hAnsi="Arial"/>
                <w:sz w:val="18"/>
                <w:szCs w:val="18"/>
                <w:color w:val="auto"/>
              </w:rPr>
              <w:t>Consolidated Balance Sheets</w:t>
            </w:r>
          </w:p>
        </w:tc>
        <w:tc>
          <w:tcPr>
            <w:tcW w:w="24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37</w:t>
            </w:r>
          </w:p>
        </w:tc>
      </w:tr>
      <w:tr>
        <w:trPr>
          <w:trHeight w:val="203"/>
        </w:trPr>
        <w:tc>
          <w:tcPr>
            <w:tcW w:w="8940" w:type="dxa"/>
            <w:vAlign w:val="bottom"/>
          </w:tcPr>
          <w:p>
            <w:pPr>
              <w:ind w:left="440"/>
              <w:spacing w:after="0" w:line="202" w:lineRule="exact"/>
              <w:rPr>
                <w:sz w:val="20"/>
                <w:szCs w:val="20"/>
                <w:color w:val="auto"/>
              </w:rPr>
            </w:pPr>
            <w:r>
              <w:rPr>
                <w:rFonts w:ascii="Arial" w:cs="Arial" w:eastAsia="Arial" w:hAnsi="Arial"/>
                <w:sz w:val="18"/>
                <w:szCs w:val="18"/>
                <w:color w:val="auto"/>
              </w:rPr>
              <w:t>Consolidated Statements of Cash Flows</w:t>
            </w:r>
          </w:p>
        </w:tc>
        <w:tc>
          <w:tcPr>
            <w:tcW w:w="24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38</w:t>
            </w:r>
          </w:p>
        </w:tc>
      </w:tr>
      <w:tr>
        <w:trPr>
          <w:trHeight w:val="211"/>
        </w:trPr>
        <w:tc>
          <w:tcPr>
            <w:tcW w:w="8940" w:type="dxa"/>
            <w:vAlign w:val="bottom"/>
          </w:tcPr>
          <w:p>
            <w:pPr>
              <w:ind w:left="440"/>
              <w:spacing w:after="0"/>
              <w:rPr>
                <w:sz w:val="20"/>
                <w:szCs w:val="20"/>
                <w:color w:val="auto"/>
              </w:rPr>
            </w:pPr>
            <w:r>
              <w:rPr>
                <w:rFonts w:ascii="Arial" w:cs="Arial" w:eastAsia="Arial" w:hAnsi="Arial"/>
                <w:sz w:val="18"/>
                <w:szCs w:val="18"/>
                <w:color w:val="auto"/>
              </w:rPr>
              <w:t>Consolidated Statements of Shareholders’ Equity</w:t>
            </w:r>
          </w:p>
        </w:tc>
        <w:tc>
          <w:tcPr>
            <w:tcW w:w="2480" w:type="dxa"/>
            <w:vAlign w:val="bottom"/>
          </w:tcPr>
          <w:p>
            <w:pPr>
              <w:jc w:val="right"/>
              <w:ind w:right="12"/>
              <w:spacing w:after="0"/>
              <w:rPr>
                <w:sz w:val="20"/>
                <w:szCs w:val="20"/>
                <w:color w:val="auto"/>
              </w:rPr>
            </w:pPr>
            <w:r>
              <w:rPr>
                <w:rFonts w:ascii="Arial" w:cs="Arial" w:eastAsia="Arial" w:hAnsi="Arial"/>
                <w:sz w:val="18"/>
                <w:szCs w:val="18"/>
                <w:color w:val="auto"/>
              </w:rPr>
              <w:t>39</w:t>
            </w:r>
          </w:p>
        </w:tc>
      </w:tr>
    </w:tbl>
    <w:p>
      <w:pPr>
        <w:spacing w:after="0" w:line="136" w:lineRule="exact"/>
        <w:rPr>
          <w:sz w:val="20"/>
          <w:szCs w:val="20"/>
          <w:color w:val="auto"/>
        </w:rPr>
      </w:pPr>
    </w:p>
    <w:p>
      <w:pPr>
        <w:ind w:left="9720"/>
        <w:spacing w:after="0"/>
        <w:rPr>
          <w:sz w:val="20"/>
          <w:szCs w:val="20"/>
          <w:color w:val="auto"/>
        </w:rPr>
      </w:pPr>
      <w:r>
        <w:rPr>
          <w:rFonts w:ascii="Arial" w:cs="Arial" w:eastAsia="Arial" w:hAnsi="Arial"/>
          <w:sz w:val="12"/>
          <w:szCs w:val="12"/>
          <w:color w:val="4C9F40"/>
        </w:rPr>
        <w:t>Xerox 2010 Annual Report i</w:t>
      </w:r>
    </w:p>
    <w:p>
      <w:pPr>
        <w:sectPr>
          <w:pgSz w:w="11900" w:h="16838" w:orient="portrait"/>
          <w:cols w:equalWidth="0" w:num="1">
            <w:col w:w="11420"/>
          </w:cols>
          <w:pgMar w:left="240" w:top="106" w:right="2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07"/>
        </w:trPr>
        <w:tc>
          <w:tcPr>
            <w:tcW w:w="7860" w:type="dxa"/>
            <w:vAlign w:val="bottom"/>
            <w:gridSpan w:val="2"/>
          </w:tcPr>
          <w:p>
            <w:pPr>
              <w:spacing w:after="0"/>
              <w:rPr>
                <w:sz w:val="20"/>
                <w:szCs w:val="20"/>
                <w:color w:val="auto"/>
              </w:rPr>
            </w:pPr>
            <w:r>
              <w:rPr>
                <w:rFonts w:ascii="Arial" w:cs="Arial" w:eastAsia="Arial" w:hAnsi="Arial"/>
                <w:sz w:val="18"/>
                <w:szCs w:val="18"/>
                <w:color w:val="auto"/>
              </w:rPr>
              <w:t>Notes to the Consolidated Financial Statements</w:t>
            </w:r>
          </w:p>
        </w:tc>
        <w:tc>
          <w:tcPr>
            <w:tcW w:w="34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03"/>
        </w:trPr>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7480" w:type="dxa"/>
            <w:vAlign w:val="bottom"/>
          </w:tcPr>
          <w:p>
            <w:pPr>
              <w:ind w:left="20"/>
              <w:spacing w:after="0" w:line="202" w:lineRule="exact"/>
              <w:rPr>
                <w:sz w:val="20"/>
                <w:szCs w:val="20"/>
                <w:color w:val="auto"/>
              </w:rPr>
            </w:pPr>
            <w:r>
              <w:rPr>
                <w:rFonts w:ascii="Arial" w:cs="Arial" w:eastAsia="Arial" w:hAnsi="Arial"/>
                <w:sz w:val="18"/>
                <w:szCs w:val="18"/>
                <w:color w:val="auto"/>
              </w:rPr>
              <w:t>Summary of Significant Accounting Policies</w:t>
            </w:r>
          </w:p>
        </w:tc>
        <w:tc>
          <w:tcPr>
            <w:tcW w:w="3460" w:type="dxa"/>
            <w:vAlign w:val="bottom"/>
          </w:tcPr>
          <w:p>
            <w:pPr>
              <w:jc w:val="right"/>
              <w:spacing w:after="0" w:line="202" w:lineRule="exact"/>
              <w:rPr>
                <w:sz w:val="20"/>
                <w:szCs w:val="20"/>
                <w:color w:val="auto"/>
              </w:rPr>
            </w:pPr>
            <w:r>
              <w:rPr>
                <w:rFonts w:ascii="Arial" w:cs="Arial" w:eastAsia="Arial" w:hAnsi="Arial"/>
                <w:sz w:val="18"/>
                <w:szCs w:val="18"/>
                <w:color w:val="auto"/>
              </w:rPr>
              <w:t>40</w:t>
            </w:r>
          </w:p>
        </w:tc>
      </w:tr>
      <w:tr>
        <w:trPr>
          <w:trHeight w:val="203"/>
        </w:trPr>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7480" w:type="dxa"/>
            <w:vAlign w:val="bottom"/>
          </w:tcPr>
          <w:p>
            <w:pPr>
              <w:ind w:left="20"/>
              <w:spacing w:after="0" w:line="202" w:lineRule="exact"/>
              <w:rPr>
                <w:sz w:val="20"/>
                <w:szCs w:val="20"/>
                <w:color w:val="auto"/>
              </w:rPr>
            </w:pPr>
            <w:r>
              <w:rPr>
                <w:rFonts w:ascii="Arial" w:cs="Arial" w:eastAsia="Arial" w:hAnsi="Arial"/>
                <w:sz w:val="18"/>
                <w:szCs w:val="18"/>
                <w:color w:val="auto"/>
              </w:rPr>
              <w:t>Segment Reporting</w:t>
            </w:r>
          </w:p>
        </w:tc>
        <w:tc>
          <w:tcPr>
            <w:tcW w:w="3460" w:type="dxa"/>
            <w:vAlign w:val="bottom"/>
          </w:tcPr>
          <w:p>
            <w:pPr>
              <w:jc w:val="right"/>
              <w:spacing w:after="0" w:line="202" w:lineRule="exact"/>
              <w:rPr>
                <w:sz w:val="20"/>
                <w:szCs w:val="20"/>
                <w:color w:val="auto"/>
              </w:rPr>
            </w:pPr>
            <w:r>
              <w:rPr>
                <w:rFonts w:ascii="Arial" w:cs="Arial" w:eastAsia="Arial" w:hAnsi="Arial"/>
                <w:sz w:val="18"/>
                <w:szCs w:val="18"/>
                <w:color w:val="auto"/>
              </w:rPr>
              <w:t>51</w:t>
            </w:r>
          </w:p>
        </w:tc>
      </w:tr>
      <w:tr>
        <w:trPr>
          <w:trHeight w:val="203"/>
        </w:trPr>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7480" w:type="dxa"/>
            <w:vAlign w:val="bottom"/>
          </w:tcPr>
          <w:p>
            <w:pPr>
              <w:ind w:left="20"/>
              <w:spacing w:after="0" w:line="202" w:lineRule="exact"/>
              <w:rPr>
                <w:sz w:val="20"/>
                <w:szCs w:val="20"/>
                <w:color w:val="auto"/>
              </w:rPr>
            </w:pPr>
            <w:r>
              <w:rPr>
                <w:rFonts w:ascii="Arial" w:cs="Arial" w:eastAsia="Arial" w:hAnsi="Arial"/>
                <w:sz w:val="18"/>
                <w:szCs w:val="18"/>
                <w:color w:val="auto"/>
              </w:rPr>
              <w:t>Acquisitions</w:t>
            </w:r>
          </w:p>
        </w:tc>
        <w:tc>
          <w:tcPr>
            <w:tcW w:w="3460" w:type="dxa"/>
            <w:vAlign w:val="bottom"/>
          </w:tcPr>
          <w:p>
            <w:pPr>
              <w:jc w:val="right"/>
              <w:spacing w:after="0" w:line="202" w:lineRule="exact"/>
              <w:rPr>
                <w:sz w:val="20"/>
                <w:szCs w:val="20"/>
                <w:color w:val="auto"/>
              </w:rPr>
            </w:pPr>
            <w:r>
              <w:rPr>
                <w:rFonts w:ascii="Arial" w:cs="Arial" w:eastAsia="Arial" w:hAnsi="Arial"/>
                <w:sz w:val="18"/>
                <w:szCs w:val="18"/>
                <w:color w:val="auto"/>
              </w:rPr>
              <w:t>53</w:t>
            </w:r>
          </w:p>
        </w:tc>
      </w:tr>
      <w:tr>
        <w:trPr>
          <w:trHeight w:val="203"/>
        </w:trPr>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7480" w:type="dxa"/>
            <w:vAlign w:val="bottom"/>
          </w:tcPr>
          <w:p>
            <w:pPr>
              <w:ind w:left="20"/>
              <w:spacing w:after="0" w:line="202" w:lineRule="exact"/>
              <w:rPr>
                <w:sz w:val="20"/>
                <w:szCs w:val="20"/>
                <w:color w:val="auto"/>
              </w:rPr>
            </w:pPr>
            <w:r>
              <w:rPr>
                <w:rFonts w:ascii="Arial" w:cs="Arial" w:eastAsia="Arial" w:hAnsi="Arial"/>
                <w:sz w:val="18"/>
                <w:szCs w:val="18"/>
                <w:color w:val="auto"/>
              </w:rPr>
              <w:t>Receivables, Net</w:t>
            </w:r>
          </w:p>
        </w:tc>
        <w:tc>
          <w:tcPr>
            <w:tcW w:w="3460" w:type="dxa"/>
            <w:vAlign w:val="bottom"/>
          </w:tcPr>
          <w:p>
            <w:pPr>
              <w:jc w:val="right"/>
              <w:spacing w:after="0" w:line="202" w:lineRule="exact"/>
              <w:rPr>
                <w:sz w:val="20"/>
                <w:szCs w:val="20"/>
                <w:color w:val="auto"/>
              </w:rPr>
            </w:pPr>
            <w:r>
              <w:rPr>
                <w:rFonts w:ascii="Arial" w:cs="Arial" w:eastAsia="Arial" w:hAnsi="Arial"/>
                <w:sz w:val="18"/>
                <w:szCs w:val="18"/>
                <w:color w:val="auto"/>
              </w:rPr>
              <w:t>58</w:t>
            </w:r>
          </w:p>
        </w:tc>
      </w:tr>
      <w:tr>
        <w:trPr>
          <w:trHeight w:val="203"/>
        </w:trPr>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7480" w:type="dxa"/>
            <w:vAlign w:val="bottom"/>
          </w:tcPr>
          <w:p>
            <w:pPr>
              <w:ind w:left="20"/>
              <w:spacing w:after="0" w:line="202" w:lineRule="exact"/>
              <w:rPr>
                <w:sz w:val="20"/>
                <w:szCs w:val="20"/>
                <w:color w:val="auto"/>
              </w:rPr>
            </w:pPr>
            <w:r>
              <w:rPr>
                <w:rFonts w:ascii="Arial" w:cs="Arial" w:eastAsia="Arial" w:hAnsi="Arial"/>
                <w:sz w:val="18"/>
                <w:szCs w:val="18"/>
                <w:color w:val="auto"/>
              </w:rPr>
              <w:t>Inventories and Equipment on Operating Leases, Net</w:t>
            </w:r>
          </w:p>
        </w:tc>
        <w:tc>
          <w:tcPr>
            <w:tcW w:w="3460" w:type="dxa"/>
            <w:vAlign w:val="bottom"/>
          </w:tcPr>
          <w:p>
            <w:pPr>
              <w:jc w:val="right"/>
              <w:spacing w:after="0" w:line="202" w:lineRule="exact"/>
              <w:rPr>
                <w:sz w:val="20"/>
                <w:szCs w:val="20"/>
                <w:color w:val="auto"/>
              </w:rPr>
            </w:pPr>
            <w:r>
              <w:rPr>
                <w:rFonts w:ascii="Arial" w:cs="Arial" w:eastAsia="Arial" w:hAnsi="Arial"/>
                <w:sz w:val="18"/>
                <w:szCs w:val="18"/>
                <w:color w:val="auto"/>
              </w:rPr>
              <w:t>64</w:t>
            </w:r>
          </w:p>
        </w:tc>
      </w:tr>
      <w:tr>
        <w:trPr>
          <w:trHeight w:val="203"/>
        </w:trPr>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7480" w:type="dxa"/>
            <w:vAlign w:val="bottom"/>
          </w:tcPr>
          <w:p>
            <w:pPr>
              <w:ind w:left="20"/>
              <w:spacing w:after="0" w:line="202" w:lineRule="exact"/>
              <w:rPr>
                <w:sz w:val="20"/>
                <w:szCs w:val="20"/>
                <w:color w:val="auto"/>
              </w:rPr>
            </w:pPr>
            <w:r>
              <w:rPr>
                <w:rFonts w:ascii="Arial" w:cs="Arial" w:eastAsia="Arial" w:hAnsi="Arial"/>
                <w:sz w:val="18"/>
                <w:szCs w:val="18"/>
                <w:color w:val="auto"/>
              </w:rPr>
              <w:t>Land, Buildings and Equipment, Net</w:t>
            </w:r>
          </w:p>
        </w:tc>
        <w:tc>
          <w:tcPr>
            <w:tcW w:w="3460" w:type="dxa"/>
            <w:vAlign w:val="bottom"/>
          </w:tcPr>
          <w:p>
            <w:pPr>
              <w:jc w:val="right"/>
              <w:spacing w:after="0" w:line="202" w:lineRule="exact"/>
              <w:rPr>
                <w:sz w:val="20"/>
                <w:szCs w:val="20"/>
                <w:color w:val="auto"/>
              </w:rPr>
            </w:pPr>
            <w:r>
              <w:rPr>
                <w:rFonts w:ascii="Arial" w:cs="Arial" w:eastAsia="Arial" w:hAnsi="Arial"/>
                <w:sz w:val="18"/>
                <w:szCs w:val="18"/>
                <w:color w:val="auto"/>
              </w:rPr>
              <w:t>65</w:t>
            </w:r>
          </w:p>
        </w:tc>
      </w:tr>
      <w:tr>
        <w:trPr>
          <w:trHeight w:val="203"/>
        </w:trPr>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7480" w:type="dxa"/>
            <w:vAlign w:val="bottom"/>
          </w:tcPr>
          <w:p>
            <w:pPr>
              <w:ind w:left="20"/>
              <w:spacing w:after="0" w:line="202" w:lineRule="exact"/>
              <w:rPr>
                <w:sz w:val="20"/>
                <w:szCs w:val="20"/>
                <w:color w:val="auto"/>
              </w:rPr>
            </w:pPr>
            <w:r>
              <w:rPr>
                <w:rFonts w:ascii="Arial" w:cs="Arial" w:eastAsia="Arial" w:hAnsi="Arial"/>
                <w:sz w:val="18"/>
                <w:szCs w:val="18"/>
                <w:color w:val="auto"/>
              </w:rPr>
              <w:t>Investments in Affiliates, at Equity</w:t>
            </w:r>
          </w:p>
        </w:tc>
        <w:tc>
          <w:tcPr>
            <w:tcW w:w="3460" w:type="dxa"/>
            <w:vAlign w:val="bottom"/>
          </w:tcPr>
          <w:p>
            <w:pPr>
              <w:jc w:val="right"/>
              <w:spacing w:after="0" w:line="202" w:lineRule="exact"/>
              <w:rPr>
                <w:sz w:val="20"/>
                <w:szCs w:val="20"/>
                <w:color w:val="auto"/>
              </w:rPr>
            </w:pPr>
            <w:r>
              <w:rPr>
                <w:rFonts w:ascii="Arial" w:cs="Arial" w:eastAsia="Arial" w:hAnsi="Arial"/>
                <w:sz w:val="18"/>
                <w:szCs w:val="18"/>
                <w:color w:val="auto"/>
              </w:rPr>
              <w:t>66</w:t>
            </w:r>
          </w:p>
        </w:tc>
      </w:tr>
      <w:tr>
        <w:trPr>
          <w:trHeight w:val="203"/>
        </w:trPr>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7480" w:type="dxa"/>
            <w:vAlign w:val="bottom"/>
          </w:tcPr>
          <w:p>
            <w:pPr>
              <w:ind w:left="20"/>
              <w:spacing w:after="0" w:line="202" w:lineRule="exact"/>
              <w:rPr>
                <w:sz w:val="20"/>
                <w:szCs w:val="20"/>
                <w:color w:val="auto"/>
              </w:rPr>
            </w:pPr>
            <w:r>
              <w:rPr>
                <w:rFonts w:ascii="Arial" w:cs="Arial" w:eastAsia="Arial" w:hAnsi="Arial"/>
                <w:sz w:val="18"/>
                <w:szCs w:val="18"/>
                <w:color w:val="auto"/>
              </w:rPr>
              <w:t>Goodwill and Intangible Assets, Net</w:t>
            </w:r>
          </w:p>
        </w:tc>
        <w:tc>
          <w:tcPr>
            <w:tcW w:w="3460" w:type="dxa"/>
            <w:vAlign w:val="bottom"/>
          </w:tcPr>
          <w:p>
            <w:pPr>
              <w:jc w:val="right"/>
              <w:spacing w:after="0" w:line="202" w:lineRule="exact"/>
              <w:rPr>
                <w:sz w:val="20"/>
                <w:szCs w:val="20"/>
                <w:color w:val="auto"/>
              </w:rPr>
            </w:pPr>
            <w:r>
              <w:rPr>
                <w:rFonts w:ascii="Arial" w:cs="Arial" w:eastAsia="Arial" w:hAnsi="Arial"/>
                <w:sz w:val="18"/>
                <w:szCs w:val="18"/>
                <w:color w:val="auto"/>
              </w:rPr>
              <w:t>67</w:t>
            </w:r>
          </w:p>
        </w:tc>
      </w:tr>
      <w:tr>
        <w:trPr>
          <w:trHeight w:val="203"/>
        </w:trPr>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c>
          <w:tcPr>
            <w:tcW w:w="7480" w:type="dxa"/>
            <w:vAlign w:val="bottom"/>
          </w:tcPr>
          <w:p>
            <w:pPr>
              <w:ind w:left="20"/>
              <w:spacing w:after="0" w:line="202" w:lineRule="exact"/>
              <w:rPr>
                <w:sz w:val="20"/>
                <w:szCs w:val="20"/>
                <w:color w:val="auto"/>
              </w:rPr>
            </w:pPr>
            <w:r>
              <w:rPr>
                <w:rFonts w:ascii="Arial" w:cs="Arial" w:eastAsia="Arial" w:hAnsi="Arial"/>
                <w:sz w:val="18"/>
                <w:szCs w:val="18"/>
                <w:color w:val="auto"/>
              </w:rPr>
              <w:t>Restructuring and Asset Impairment Charges</w:t>
            </w:r>
          </w:p>
        </w:tc>
        <w:tc>
          <w:tcPr>
            <w:tcW w:w="3460" w:type="dxa"/>
            <w:vAlign w:val="bottom"/>
          </w:tcPr>
          <w:p>
            <w:pPr>
              <w:jc w:val="right"/>
              <w:spacing w:after="0" w:line="202" w:lineRule="exact"/>
              <w:rPr>
                <w:sz w:val="20"/>
                <w:szCs w:val="20"/>
                <w:color w:val="auto"/>
              </w:rPr>
            </w:pPr>
            <w:r>
              <w:rPr>
                <w:rFonts w:ascii="Arial" w:cs="Arial" w:eastAsia="Arial" w:hAnsi="Arial"/>
                <w:sz w:val="18"/>
                <w:szCs w:val="18"/>
                <w:color w:val="auto"/>
              </w:rPr>
              <w:t>69</w:t>
            </w:r>
          </w:p>
        </w:tc>
      </w:tr>
      <w:tr>
        <w:trPr>
          <w:trHeight w:val="203"/>
        </w:trPr>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7480" w:type="dxa"/>
            <w:vAlign w:val="bottom"/>
          </w:tcPr>
          <w:p>
            <w:pPr>
              <w:ind w:left="20"/>
              <w:spacing w:after="0" w:line="202" w:lineRule="exact"/>
              <w:rPr>
                <w:sz w:val="20"/>
                <w:szCs w:val="20"/>
                <w:color w:val="auto"/>
              </w:rPr>
            </w:pPr>
            <w:r>
              <w:rPr>
                <w:rFonts w:ascii="Arial" w:cs="Arial" w:eastAsia="Arial" w:hAnsi="Arial"/>
                <w:sz w:val="18"/>
                <w:szCs w:val="18"/>
                <w:color w:val="auto"/>
              </w:rPr>
              <w:t>Supplementary Financial Information</w:t>
            </w:r>
          </w:p>
        </w:tc>
        <w:tc>
          <w:tcPr>
            <w:tcW w:w="3460" w:type="dxa"/>
            <w:vAlign w:val="bottom"/>
          </w:tcPr>
          <w:p>
            <w:pPr>
              <w:jc w:val="right"/>
              <w:spacing w:after="0" w:line="202" w:lineRule="exact"/>
              <w:rPr>
                <w:sz w:val="20"/>
                <w:szCs w:val="20"/>
                <w:color w:val="auto"/>
              </w:rPr>
            </w:pPr>
            <w:r>
              <w:rPr>
                <w:rFonts w:ascii="Arial" w:cs="Arial" w:eastAsia="Arial" w:hAnsi="Arial"/>
                <w:sz w:val="18"/>
                <w:szCs w:val="18"/>
                <w:color w:val="auto"/>
              </w:rPr>
              <w:t>71</w:t>
            </w:r>
          </w:p>
        </w:tc>
      </w:tr>
      <w:tr>
        <w:trPr>
          <w:trHeight w:val="203"/>
        </w:trPr>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7480" w:type="dxa"/>
            <w:vAlign w:val="bottom"/>
          </w:tcPr>
          <w:p>
            <w:pPr>
              <w:ind w:left="20"/>
              <w:spacing w:after="0" w:line="202" w:lineRule="exact"/>
              <w:rPr>
                <w:sz w:val="20"/>
                <w:szCs w:val="20"/>
                <w:color w:val="auto"/>
              </w:rPr>
            </w:pPr>
            <w:r>
              <w:rPr>
                <w:rFonts w:ascii="Arial" w:cs="Arial" w:eastAsia="Arial" w:hAnsi="Arial"/>
                <w:sz w:val="18"/>
                <w:szCs w:val="18"/>
                <w:color w:val="auto"/>
              </w:rPr>
              <w:t>Debt</w:t>
            </w:r>
          </w:p>
        </w:tc>
        <w:tc>
          <w:tcPr>
            <w:tcW w:w="3460" w:type="dxa"/>
            <w:vAlign w:val="bottom"/>
          </w:tcPr>
          <w:p>
            <w:pPr>
              <w:jc w:val="right"/>
              <w:spacing w:after="0" w:line="202" w:lineRule="exact"/>
              <w:rPr>
                <w:sz w:val="20"/>
                <w:szCs w:val="20"/>
                <w:color w:val="auto"/>
              </w:rPr>
            </w:pPr>
            <w:r>
              <w:rPr>
                <w:rFonts w:ascii="Arial" w:cs="Arial" w:eastAsia="Arial" w:hAnsi="Arial"/>
                <w:sz w:val="18"/>
                <w:szCs w:val="18"/>
                <w:color w:val="auto"/>
              </w:rPr>
              <w:t>72</w:t>
            </w:r>
          </w:p>
        </w:tc>
      </w:tr>
      <w:tr>
        <w:trPr>
          <w:trHeight w:val="203"/>
        </w:trPr>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7480" w:type="dxa"/>
            <w:vAlign w:val="bottom"/>
          </w:tcPr>
          <w:p>
            <w:pPr>
              <w:ind w:left="20"/>
              <w:spacing w:after="0" w:line="202" w:lineRule="exact"/>
              <w:rPr>
                <w:sz w:val="20"/>
                <w:szCs w:val="20"/>
                <w:color w:val="auto"/>
              </w:rPr>
            </w:pPr>
            <w:r>
              <w:rPr>
                <w:rFonts w:ascii="Arial" w:cs="Arial" w:eastAsia="Arial" w:hAnsi="Arial"/>
                <w:sz w:val="18"/>
                <w:szCs w:val="18"/>
                <w:color w:val="auto"/>
              </w:rPr>
              <w:t>Liability to Subsidiary Trust Issuing Preferred Securities</w:t>
            </w:r>
          </w:p>
        </w:tc>
        <w:tc>
          <w:tcPr>
            <w:tcW w:w="3460" w:type="dxa"/>
            <w:vAlign w:val="bottom"/>
          </w:tcPr>
          <w:p>
            <w:pPr>
              <w:jc w:val="right"/>
              <w:spacing w:after="0" w:line="202" w:lineRule="exact"/>
              <w:rPr>
                <w:sz w:val="20"/>
                <w:szCs w:val="20"/>
                <w:color w:val="auto"/>
              </w:rPr>
            </w:pPr>
            <w:r>
              <w:rPr>
                <w:rFonts w:ascii="Arial" w:cs="Arial" w:eastAsia="Arial" w:hAnsi="Arial"/>
                <w:sz w:val="18"/>
                <w:szCs w:val="18"/>
                <w:color w:val="auto"/>
              </w:rPr>
              <w:t>75</w:t>
            </w:r>
          </w:p>
        </w:tc>
      </w:tr>
      <w:tr>
        <w:trPr>
          <w:trHeight w:val="203"/>
        </w:trPr>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7480" w:type="dxa"/>
            <w:vAlign w:val="bottom"/>
          </w:tcPr>
          <w:p>
            <w:pPr>
              <w:ind w:left="20"/>
              <w:spacing w:after="0" w:line="202" w:lineRule="exact"/>
              <w:rPr>
                <w:sz w:val="20"/>
                <w:szCs w:val="20"/>
                <w:color w:val="auto"/>
              </w:rPr>
            </w:pPr>
            <w:r>
              <w:rPr>
                <w:rFonts w:ascii="Arial" w:cs="Arial" w:eastAsia="Arial" w:hAnsi="Arial"/>
                <w:sz w:val="18"/>
                <w:szCs w:val="18"/>
                <w:color w:val="auto"/>
              </w:rPr>
              <w:t>Financial Instruments</w:t>
            </w:r>
          </w:p>
        </w:tc>
        <w:tc>
          <w:tcPr>
            <w:tcW w:w="3460" w:type="dxa"/>
            <w:vAlign w:val="bottom"/>
          </w:tcPr>
          <w:p>
            <w:pPr>
              <w:jc w:val="right"/>
              <w:spacing w:after="0" w:line="202" w:lineRule="exact"/>
              <w:rPr>
                <w:sz w:val="20"/>
                <w:szCs w:val="20"/>
                <w:color w:val="auto"/>
              </w:rPr>
            </w:pPr>
            <w:r>
              <w:rPr>
                <w:rFonts w:ascii="Arial" w:cs="Arial" w:eastAsia="Arial" w:hAnsi="Arial"/>
                <w:sz w:val="18"/>
                <w:szCs w:val="18"/>
                <w:color w:val="auto"/>
              </w:rPr>
              <w:t>75</w:t>
            </w:r>
          </w:p>
        </w:tc>
      </w:tr>
      <w:tr>
        <w:trPr>
          <w:trHeight w:val="203"/>
        </w:trPr>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7480" w:type="dxa"/>
            <w:vAlign w:val="bottom"/>
          </w:tcPr>
          <w:p>
            <w:pPr>
              <w:ind w:left="20"/>
              <w:spacing w:after="0" w:line="202" w:lineRule="exact"/>
              <w:rPr>
                <w:sz w:val="20"/>
                <w:szCs w:val="20"/>
                <w:color w:val="auto"/>
              </w:rPr>
            </w:pPr>
            <w:r>
              <w:rPr>
                <w:rFonts w:ascii="Arial" w:cs="Arial" w:eastAsia="Arial" w:hAnsi="Arial"/>
                <w:sz w:val="18"/>
                <w:szCs w:val="18"/>
                <w:color w:val="auto"/>
              </w:rPr>
              <w:t>Fair Value of Financial Assets and Liabilities</w:t>
            </w:r>
          </w:p>
        </w:tc>
        <w:tc>
          <w:tcPr>
            <w:tcW w:w="3460" w:type="dxa"/>
            <w:vAlign w:val="bottom"/>
          </w:tcPr>
          <w:p>
            <w:pPr>
              <w:jc w:val="right"/>
              <w:spacing w:after="0" w:line="202" w:lineRule="exact"/>
              <w:rPr>
                <w:sz w:val="20"/>
                <w:szCs w:val="20"/>
                <w:color w:val="auto"/>
              </w:rPr>
            </w:pPr>
            <w:r>
              <w:rPr>
                <w:rFonts w:ascii="Arial" w:cs="Arial" w:eastAsia="Arial" w:hAnsi="Arial"/>
                <w:sz w:val="18"/>
                <w:szCs w:val="18"/>
                <w:color w:val="auto"/>
              </w:rPr>
              <w:t>80</w:t>
            </w:r>
          </w:p>
        </w:tc>
      </w:tr>
      <w:tr>
        <w:trPr>
          <w:trHeight w:val="203"/>
        </w:trPr>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c>
          <w:tcPr>
            <w:tcW w:w="7480" w:type="dxa"/>
            <w:vAlign w:val="bottom"/>
          </w:tcPr>
          <w:p>
            <w:pPr>
              <w:ind w:left="20"/>
              <w:spacing w:after="0" w:line="202" w:lineRule="exact"/>
              <w:rPr>
                <w:sz w:val="20"/>
                <w:szCs w:val="20"/>
                <w:color w:val="auto"/>
              </w:rPr>
            </w:pPr>
            <w:r>
              <w:rPr>
                <w:rFonts w:ascii="Arial" w:cs="Arial" w:eastAsia="Arial" w:hAnsi="Arial"/>
                <w:sz w:val="18"/>
                <w:szCs w:val="18"/>
                <w:color w:val="auto"/>
              </w:rPr>
              <w:t>Employee Benefit Plans</w:t>
            </w:r>
          </w:p>
        </w:tc>
        <w:tc>
          <w:tcPr>
            <w:tcW w:w="3460" w:type="dxa"/>
            <w:vAlign w:val="bottom"/>
          </w:tcPr>
          <w:p>
            <w:pPr>
              <w:jc w:val="right"/>
              <w:spacing w:after="0" w:line="202" w:lineRule="exact"/>
              <w:rPr>
                <w:sz w:val="20"/>
                <w:szCs w:val="20"/>
                <w:color w:val="auto"/>
              </w:rPr>
            </w:pPr>
            <w:r>
              <w:rPr>
                <w:rFonts w:ascii="Arial" w:cs="Arial" w:eastAsia="Arial" w:hAnsi="Arial"/>
                <w:sz w:val="18"/>
                <w:szCs w:val="18"/>
                <w:color w:val="auto"/>
              </w:rPr>
              <w:t>81</w:t>
            </w:r>
          </w:p>
        </w:tc>
      </w:tr>
      <w:tr>
        <w:trPr>
          <w:trHeight w:val="203"/>
        </w:trPr>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16.</w:t>
            </w:r>
          </w:p>
        </w:tc>
        <w:tc>
          <w:tcPr>
            <w:tcW w:w="7480" w:type="dxa"/>
            <w:vAlign w:val="bottom"/>
          </w:tcPr>
          <w:p>
            <w:pPr>
              <w:ind w:left="20"/>
              <w:spacing w:after="0" w:line="202" w:lineRule="exact"/>
              <w:rPr>
                <w:sz w:val="20"/>
                <w:szCs w:val="20"/>
                <w:color w:val="auto"/>
              </w:rPr>
            </w:pPr>
            <w:r>
              <w:rPr>
                <w:rFonts w:ascii="Arial" w:cs="Arial" w:eastAsia="Arial" w:hAnsi="Arial"/>
                <w:sz w:val="18"/>
                <w:szCs w:val="18"/>
                <w:color w:val="auto"/>
              </w:rPr>
              <w:t>Income and Other Taxes</w:t>
            </w:r>
          </w:p>
        </w:tc>
        <w:tc>
          <w:tcPr>
            <w:tcW w:w="3460" w:type="dxa"/>
            <w:vAlign w:val="bottom"/>
          </w:tcPr>
          <w:p>
            <w:pPr>
              <w:jc w:val="right"/>
              <w:spacing w:after="0" w:line="202" w:lineRule="exact"/>
              <w:rPr>
                <w:sz w:val="20"/>
                <w:szCs w:val="20"/>
                <w:color w:val="auto"/>
              </w:rPr>
            </w:pPr>
            <w:r>
              <w:rPr>
                <w:rFonts w:ascii="Arial" w:cs="Arial" w:eastAsia="Arial" w:hAnsi="Arial"/>
                <w:sz w:val="18"/>
                <w:szCs w:val="18"/>
                <w:color w:val="auto"/>
              </w:rPr>
              <w:t>89</w:t>
            </w:r>
          </w:p>
        </w:tc>
      </w:tr>
      <w:tr>
        <w:trPr>
          <w:trHeight w:val="203"/>
        </w:trPr>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17.</w:t>
            </w:r>
          </w:p>
        </w:tc>
        <w:tc>
          <w:tcPr>
            <w:tcW w:w="7480" w:type="dxa"/>
            <w:vAlign w:val="bottom"/>
          </w:tcPr>
          <w:p>
            <w:pPr>
              <w:ind w:left="20"/>
              <w:spacing w:after="0" w:line="202" w:lineRule="exact"/>
              <w:rPr>
                <w:sz w:val="20"/>
                <w:szCs w:val="20"/>
                <w:color w:val="auto"/>
              </w:rPr>
            </w:pPr>
            <w:r>
              <w:rPr>
                <w:rFonts w:ascii="Arial" w:cs="Arial" w:eastAsia="Arial" w:hAnsi="Arial"/>
                <w:sz w:val="18"/>
                <w:szCs w:val="18"/>
                <w:color w:val="auto"/>
              </w:rPr>
              <w:t>Contingencies</w:t>
            </w:r>
          </w:p>
        </w:tc>
        <w:tc>
          <w:tcPr>
            <w:tcW w:w="3460" w:type="dxa"/>
            <w:vAlign w:val="bottom"/>
          </w:tcPr>
          <w:p>
            <w:pPr>
              <w:jc w:val="right"/>
              <w:spacing w:after="0" w:line="202" w:lineRule="exact"/>
              <w:rPr>
                <w:sz w:val="20"/>
                <w:szCs w:val="20"/>
                <w:color w:val="auto"/>
              </w:rPr>
            </w:pPr>
            <w:r>
              <w:rPr>
                <w:rFonts w:ascii="Arial" w:cs="Arial" w:eastAsia="Arial" w:hAnsi="Arial"/>
                <w:sz w:val="18"/>
                <w:szCs w:val="18"/>
                <w:color w:val="auto"/>
              </w:rPr>
              <w:t>93</w:t>
            </w:r>
          </w:p>
        </w:tc>
      </w:tr>
      <w:tr>
        <w:trPr>
          <w:trHeight w:val="203"/>
        </w:trPr>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18.</w:t>
            </w:r>
          </w:p>
        </w:tc>
        <w:tc>
          <w:tcPr>
            <w:tcW w:w="7480" w:type="dxa"/>
            <w:vAlign w:val="bottom"/>
          </w:tcPr>
          <w:p>
            <w:pPr>
              <w:ind w:left="20"/>
              <w:spacing w:after="0" w:line="202" w:lineRule="exact"/>
              <w:rPr>
                <w:sz w:val="20"/>
                <w:szCs w:val="20"/>
                <w:color w:val="auto"/>
              </w:rPr>
            </w:pPr>
            <w:r>
              <w:rPr>
                <w:rFonts w:ascii="Arial" w:cs="Arial" w:eastAsia="Arial" w:hAnsi="Arial"/>
                <w:sz w:val="18"/>
                <w:szCs w:val="18"/>
                <w:color w:val="auto"/>
              </w:rPr>
              <w:t>Preferred Stock</w:t>
            </w:r>
          </w:p>
        </w:tc>
        <w:tc>
          <w:tcPr>
            <w:tcW w:w="3460" w:type="dxa"/>
            <w:vAlign w:val="bottom"/>
          </w:tcPr>
          <w:p>
            <w:pPr>
              <w:jc w:val="right"/>
              <w:spacing w:after="0" w:line="202" w:lineRule="exact"/>
              <w:rPr>
                <w:sz w:val="20"/>
                <w:szCs w:val="20"/>
                <w:color w:val="auto"/>
              </w:rPr>
            </w:pPr>
            <w:r>
              <w:rPr>
                <w:rFonts w:ascii="Arial" w:cs="Arial" w:eastAsia="Arial" w:hAnsi="Arial"/>
                <w:sz w:val="18"/>
                <w:szCs w:val="18"/>
                <w:color w:val="auto"/>
              </w:rPr>
              <w:t>97</w:t>
            </w:r>
          </w:p>
        </w:tc>
      </w:tr>
      <w:tr>
        <w:trPr>
          <w:trHeight w:val="203"/>
        </w:trPr>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c>
          <w:tcPr>
            <w:tcW w:w="7480" w:type="dxa"/>
            <w:vAlign w:val="bottom"/>
          </w:tcPr>
          <w:p>
            <w:pPr>
              <w:ind w:left="20"/>
              <w:spacing w:after="0" w:line="202" w:lineRule="exact"/>
              <w:rPr>
                <w:sz w:val="20"/>
                <w:szCs w:val="20"/>
                <w:color w:val="auto"/>
              </w:rPr>
            </w:pPr>
            <w:r>
              <w:rPr>
                <w:rFonts w:ascii="Arial" w:cs="Arial" w:eastAsia="Arial" w:hAnsi="Arial"/>
                <w:sz w:val="18"/>
                <w:szCs w:val="18"/>
                <w:color w:val="auto"/>
              </w:rPr>
              <w:t>Shareholders’ Equity</w:t>
            </w:r>
          </w:p>
        </w:tc>
        <w:tc>
          <w:tcPr>
            <w:tcW w:w="3460" w:type="dxa"/>
            <w:vAlign w:val="bottom"/>
          </w:tcPr>
          <w:p>
            <w:pPr>
              <w:jc w:val="right"/>
              <w:spacing w:after="0" w:line="202" w:lineRule="exact"/>
              <w:rPr>
                <w:sz w:val="20"/>
                <w:szCs w:val="20"/>
                <w:color w:val="auto"/>
              </w:rPr>
            </w:pPr>
            <w:r>
              <w:rPr>
                <w:rFonts w:ascii="Arial" w:cs="Arial" w:eastAsia="Arial" w:hAnsi="Arial"/>
                <w:sz w:val="18"/>
                <w:szCs w:val="18"/>
                <w:color w:val="auto"/>
              </w:rPr>
              <w:t>97</w:t>
            </w:r>
          </w:p>
        </w:tc>
      </w:tr>
      <w:tr>
        <w:trPr>
          <w:trHeight w:val="203"/>
        </w:trPr>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c>
          <w:tcPr>
            <w:tcW w:w="7480" w:type="dxa"/>
            <w:vAlign w:val="bottom"/>
          </w:tcPr>
          <w:p>
            <w:pPr>
              <w:ind w:left="20"/>
              <w:spacing w:after="0" w:line="202" w:lineRule="exact"/>
              <w:rPr>
                <w:sz w:val="20"/>
                <w:szCs w:val="20"/>
                <w:color w:val="auto"/>
              </w:rPr>
            </w:pPr>
            <w:r>
              <w:rPr>
                <w:rFonts w:ascii="Arial" w:cs="Arial" w:eastAsia="Arial" w:hAnsi="Arial"/>
                <w:sz w:val="18"/>
                <w:szCs w:val="18"/>
                <w:color w:val="auto"/>
              </w:rPr>
              <w:t>Earnings per Share</w:t>
            </w:r>
          </w:p>
        </w:tc>
        <w:tc>
          <w:tcPr>
            <w:tcW w:w="3460" w:type="dxa"/>
            <w:vAlign w:val="bottom"/>
          </w:tcPr>
          <w:p>
            <w:pPr>
              <w:jc w:val="right"/>
              <w:spacing w:after="0" w:line="202" w:lineRule="exact"/>
              <w:rPr>
                <w:sz w:val="20"/>
                <w:szCs w:val="20"/>
                <w:color w:val="auto"/>
              </w:rPr>
            </w:pPr>
            <w:r>
              <w:rPr>
                <w:rFonts w:ascii="Arial" w:cs="Arial" w:eastAsia="Arial" w:hAnsi="Arial"/>
                <w:sz w:val="18"/>
                <w:szCs w:val="18"/>
                <w:color w:val="auto"/>
              </w:rPr>
              <w:t>102</w:t>
            </w:r>
          </w:p>
        </w:tc>
      </w:tr>
      <w:tr>
        <w:trPr>
          <w:trHeight w:val="203"/>
        </w:trPr>
        <w:tc>
          <w:tcPr>
            <w:tcW w:w="7860" w:type="dxa"/>
            <w:vAlign w:val="bottom"/>
            <w:gridSpan w:val="2"/>
          </w:tcPr>
          <w:p>
            <w:pPr>
              <w:spacing w:after="0" w:line="202" w:lineRule="exact"/>
              <w:rPr>
                <w:sz w:val="20"/>
                <w:szCs w:val="20"/>
                <w:color w:val="auto"/>
              </w:rPr>
            </w:pPr>
            <w:r>
              <w:rPr>
                <w:rFonts w:ascii="Arial" w:cs="Arial" w:eastAsia="Arial" w:hAnsi="Arial"/>
                <w:sz w:val="18"/>
                <w:szCs w:val="18"/>
                <w:color w:val="auto"/>
              </w:rPr>
              <w:t>Reports of Management</w:t>
            </w:r>
          </w:p>
        </w:tc>
        <w:tc>
          <w:tcPr>
            <w:tcW w:w="3460" w:type="dxa"/>
            <w:vAlign w:val="bottom"/>
          </w:tcPr>
          <w:p>
            <w:pPr>
              <w:jc w:val="right"/>
              <w:spacing w:after="0" w:line="202" w:lineRule="exact"/>
              <w:rPr>
                <w:sz w:val="20"/>
                <w:szCs w:val="20"/>
                <w:color w:val="auto"/>
              </w:rPr>
            </w:pPr>
            <w:r>
              <w:rPr>
                <w:rFonts w:ascii="Arial" w:cs="Arial" w:eastAsia="Arial" w:hAnsi="Arial"/>
                <w:sz w:val="18"/>
                <w:szCs w:val="18"/>
                <w:color w:val="auto"/>
              </w:rPr>
              <w:t>103</w:t>
            </w:r>
          </w:p>
        </w:tc>
      </w:tr>
      <w:tr>
        <w:trPr>
          <w:trHeight w:val="203"/>
        </w:trPr>
        <w:tc>
          <w:tcPr>
            <w:tcW w:w="7860" w:type="dxa"/>
            <w:vAlign w:val="bottom"/>
            <w:gridSpan w:val="2"/>
          </w:tcPr>
          <w:p>
            <w:pPr>
              <w:spacing w:after="0" w:line="202" w:lineRule="exact"/>
              <w:rPr>
                <w:sz w:val="20"/>
                <w:szCs w:val="20"/>
                <w:color w:val="auto"/>
              </w:rPr>
            </w:pPr>
            <w:r>
              <w:rPr>
                <w:rFonts w:ascii="Arial" w:cs="Arial" w:eastAsia="Arial" w:hAnsi="Arial"/>
                <w:sz w:val="18"/>
                <w:szCs w:val="18"/>
                <w:color w:val="auto"/>
              </w:rPr>
              <w:t>Report of Independent Registered Public Accounting Firm</w:t>
            </w:r>
          </w:p>
        </w:tc>
        <w:tc>
          <w:tcPr>
            <w:tcW w:w="3460" w:type="dxa"/>
            <w:vAlign w:val="bottom"/>
          </w:tcPr>
          <w:p>
            <w:pPr>
              <w:jc w:val="right"/>
              <w:spacing w:after="0" w:line="202" w:lineRule="exact"/>
              <w:rPr>
                <w:sz w:val="20"/>
                <w:szCs w:val="20"/>
                <w:color w:val="auto"/>
              </w:rPr>
            </w:pPr>
            <w:r>
              <w:rPr>
                <w:rFonts w:ascii="Arial" w:cs="Arial" w:eastAsia="Arial" w:hAnsi="Arial"/>
                <w:sz w:val="18"/>
                <w:szCs w:val="18"/>
                <w:color w:val="auto"/>
              </w:rPr>
              <w:t>104</w:t>
            </w:r>
          </w:p>
        </w:tc>
      </w:tr>
      <w:tr>
        <w:trPr>
          <w:trHeight w:val="203"/>
        </w:trPr>
        <w:tc>
          <w:tcPr>
            <w:tcW w:w="7860" w:type="dxa"/>
            <w:vAlign w:val="bottom"/>
            <w:gridSpan w:val="2"/>
          </w:tcPr>
          <w:p>
            <w:pPr>
              <w:spacing w:after="0" w:line="202" w:lineRule="exact"/>
              <w:rPr>
                <w:sz w:val="20"/>
                <w:szCs w:val="20"/>
                <w:color w:val="auto"/>
              </w:rPr>
            </w:pPr>
            <w:r>
              <w:rPr>
                <w:rFonts w:ascii="Arial" w:cs="Arial" w:eastAsia="Arial" w:hAnsi="Arial"/>
                <w:sz w:val="18"/>
                <w:szCs w:val="18"/>
                <w:color w:val="auto"/>
              </w:rPr>
              <w:t>Quarterly Results of Operations</w:t>
            </w:r>
          </w:p>
        </w:tc>
        <w:tc>
          <w:tcPr>
            <w:tcW w:w="3460" w:type="dxa"/>
            <w:vAlign w:val="bottom"/>
          </w:tcPr>
          <w:p>
            <w:pPr>
              <w:jc w:val="right"/>
              <w:spacing w:after="0" w:line="202" w:lineRule="exact"/>
              <w:rPr>
                <w:sz w:val="20"/>
                <w:szCs w:val="20"/>
                <w:color w:val="auto"/>
              </w:rPr>
            </w:pPr>
            <w:r>
              <w:rPr>
                <w:rFonts w:ascii="Arial" w:cs="Arial" w:eastAsia="Arial" w:hAnsi="Arial"/>
                <w:sz w:val="18"/>
                <w:szCs w:val="18"/>
                <w:color w:val="auto"/>
              </w:rPr>
              <w:t>105</w:t>
            </w:r>
          </w:p>
        </w:tc>
      </w:tr>
      <w:tr>
        <w:trPr>
          <w:trHeight w:val="203"/>
        </w:trPr>
        <w:tc>
          <w:tcPr>
            <w:tcW w:w="7860" w:type="dxa"/>
            <w:vAlign w:val="bottom"/>
            <w:gridSpan w:val="2"/>
          </w:tcPr>
          <w:p>
            <w:pPr>
              <w:spacing w:after="0" w:line="202" w:lineRule="exact"/>
              <w:rPr>
                <w:sz w:val="20"/>
                <w:szCs w:val="20"/>
                <w:color w:val="auto"/>
              </w:rPr>
            </w:pPr>
            <w:r>
              <w:rPr>
                <w:rFonts w:ascii="Arial" w:cs="Arial" w:eastAsia="Arial" w:hAnsi="Arial"/>
                <w:sz w:val="18"/>
                <w:szCs w:val="18"/>
                <w:color w:val="auto"/>
              </w:rPr>
              <w:t>Five Years in Review</w:t>
            </w:r>
          </w:p>
        </w:tc>
        <w:tc>
          <w:tcPr>
            <w:tcW w:w="3460" w:type="dxa"/>
            <w:vAlign w:val="bottom"/>
          </w:tcPr>
          <w:p>
            <w:pPr>
              <w:jc w:val="right"/>
              <w:spacing w:after="0" w:line="202" w:lineRule="exact"/>
              <w:rPr>
                <w:sz w:val="20"/>
                <w:szCs w:val="20"/>
                <w:color w:val="auto"/>
              </w:rPr>
            </w:pPr>
            <w:r>
              <w:rPr>
                <w:rFonts w:ascii="Arial" w:cs="Arial" w:eastAsia="Arial" w:hAnsi="Arial"/>
                <w:sz w:val="18"/>
                <w:szCs w:val="18"/>
                <w:color w:val="auto"/>
              </w:rPr>
              <w:t>106</w:t>
            </w:r>
          </w:p>
        </w:tc>
      </w:tr>
      <w:tr>
        <w:trPr>
          <w:trHeight w:val="203"/>
        </w:trPr>
        <w:tc>
          <w:tcPr>
            <w:tcW w:w="7860" w:type="dxa"/>
            <w:vAlign w:val="bottom"/>
            <w:gridSpan w:val="2"/>
          </w:tcPr>
          <w:p>
            <w:pPr>
              <w:spacing w:after="0" w:line="202" w:lineRule="exact"/>
              <w:rPr>
                <w:sz w:val="20"/>
                <w:szCs w:val="20"/>
                <w:color w:val="auto"/>
              </w:rPr>
            </w:pPr>
            <w:r>
              <w:rPr>
                <w:rFonts w:ascii="Arial" w:cs="Arial" w:eastAsia="Arial" w:hAnsi="Arial"/>
                <w:sz w:val="18"/>
                <w:szCs w:val="18"/>
                <w:color w:val="auto"/>
              </w:rPr>
              <w:t>Performance Graph</w:t>
            </w:r>
          </w:p>
        </w:tc>
        <w:tc>
          <w:tcPr>
            <w:tcW w:w="3460" w:type="dxa"/>
            <w:vAlign w:val="bottom"/>
          </w:tcPr>
          <w:p>
            <w:pPr>
              <w:jc w:val="right"/>
              <w:spacing w:after="0" w:line="202" w:lineRule="exact"/>
              <w:rPr>
                <w:sz w:val="20"/>
                <w:szCs w:val="20"/>
                <w:color w:val="auto"/>
              </w:rPr>
            </w:pPr>
            <w:r>
              <w:rPr>
                <w:rFonts w:ascii="Arial" w:cs="Arial" w:eastAsia="Arial" w:hAnsi="Arial"/>
                <w:sz w:val="18"/>
                <w:szCs w:val="18"/>
                <w:color w:val="auto"/>
              </w:rPr>
              <w:t>107</w:t>
            </w:r>
          </w:p>
        </w:tc>
      </w:tr>
      <w:tr>
        <w:trPr>
          <w:trHeight w:val="211"/>
        </w:trPr>
        <w:tc>
          <w:tcPr>
            <w:tcW w:w="7860" w:type="dxa"/>
            <w:vAlign w:val="bottom"/>
            <w:gridSpan w:val="2"/>
          </w:tcPr>
          <w:p>
            <w:pPr>
              <w:spacing w:after="0"/>
              <w:rPr>
                <w:sz w:val="20"/>
                <w:szCs w:val="20"/>
                <w:color w:val="auto"/>
              </w:rPr>
            </w:pPr>
            <w:r>
              <w:rPr>
                <w:rFonts w:ascii="Arial" w:cs="Arial" w:eastAsia="Arial" w:hAnsi="Arial"/>
                <w:sz w:val="18"/>
                <w:szCs w:val="18"/>
                <w:color w:val="auto"/>
              </w:rPr>
              <w:t>Corporate Information</w:t>
            </w:r>
          </w:p>
        </w:tc>
        <w:tc>
          <w:tcPr>
            <w:tcW w:w="3460" w:type="dxa"/>
            <w:vAlign w:val="bottom"/>
          </w:tcPr>
          <w:p>
            <w:pPr>
              <w:jc w:val="right"/>
              <w:spacing w:after="0"/>
              <w:rPr>
                <w:sz w:val="20"/>
                <w:szCs w:val="20"/>
                <w:color w:val="auto"/>
              </w:rPr>
            </w:pPr>
            <w:r>
              <w:rPr>
                <w:rFonts w:ascii="Arial" w:cs="Arial" w:eastAsia="Arial" w:hAnsi="Arial"/>
                <w:sz w:val="18"/>
                <w:szCs w:val="18"/>
                <w:color w:val="auto"/>
              </w:rPr>
              <w:t>107</w:t>
            </w:r>
          </w:p>
        </w:tc>
      </w:tr>
    </w:tbl>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4"/>
          <w:szCs w:val="14"/>
          <w:color w:val="4C9F40"/>
        </w:rPr>
        <w:t>Xerox 2010 Annual Report ii</w:t>
      </w:r>
    </w:p>
    <w:p>
      <w:pPr>
        <w:sectPr>
          <w:pgSz w:w="11900" w:h="16838" w:orient="portrait"/>
          <w:cols w:equalWidth="0" w:num="1">
            <w:col w:w="11420"/>
          </w:cols>
          <w:pgMar w:left="240" w:top="287" w:right="239" w:bottom="1440" w:gutter="0" w:footer="0" w:header="0"/>
        </w:sectPr>
      </w:pPr>
    </w:p>
    <w:bookmarkStart w:id="77" w:name="page78"/>
    <w:bookmarkEnd w:id="77"/>
    <w:p>
      <w:pPr>
        <w:spacing w:after="0"/>
        <w:rPr>
          <w:sz w:val="20"/>
          <w:szCs w:val="20"/>
          <w:color w:val="auto"/>
        </w:rPr>
      </w:pPr>
      <w:r>
        <w:rPr>
          <w:rFonts w:ascii="Arial" w:cs="Arial" w:eastAsia="Arial" w:hAnsi="Arial"/>
          <w:sz w:val="22"/>
          <w:szCs w:val="22"/>
          <w:b w:val="1"/>
          <w:bCs w:val="1"/>
          <w:color w:val="4C9F40"/>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Management’s Discussion and Analysis of Financial Condition and Results of Operations</w:t>
      </w:r>
    </w:p>
    <w:p>
      <w:pPr>
        <w:spacing w:after="0" w:line="188"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The following Management’s Discussion and Analysis (“MD&amp;A”) is intended to help the reader understand the results of operations and financial condition of Xerox Corporation. MD&amp;A is provided as a supplement to, and should be read in conjunction with, our consolidated financial statements and the accompanying notes.</w:t>
      </w:r>
    </w:p>
    <w:p>
      <w:pPr>
        <w:spacing w:after="0" w:line="154"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Throughout this document, references to “we,” “our,” the “Company” and “Xerox” refer to Xerox Corporation and its subsidiaries. References to “Xerox Corporation” refer to the stand-alone parent company and do not include its subsidiaries.</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4C9F40"/>
        </w:rPr>
        <w:t>Executive Overview</w:t>
      </w:r>
    </w:p>
    <w:p>
      <w:pPr>
        <w:spacing w:after="0" w:line="188"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color w:val="auto"/>
        </w:rPr>
        <w:t>We are a $22 billion leading global enterprise for business process and document management. We provide the industry’s broadest portfolio of document systems and services for businesses of any size. This includes printers, multifunction devices, production publishing systems, managed print services (“MPS”) and related software. We also offer financing, service and supplies, as part of our document technology offerings. In 2010, we acquired Affiliated Computer Services, Inc. (“ACS”). Through ACS we offer extensive business process outsourcing and information technology outsourcing services, including data processing, HR benefits management, finance support and customer relationship management services for commercial and government organizations worldwide. We operate in a market that is estimated to be $500 billion. We have 136,500 employees and serve customers in more than 160 countries. Approximately 36 percent of our revenue is generated from customers outside the U.S.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 organize our business around two segments: </w:t>
      </w:r>
      <w:r>
        <w:rPr>
          <w:rFonts w:ascii="Arial" w:cs="Arial" w:eastAsia="Arial" w:hAnsi="Arial"/>
          <w:sz w:val="18"/>
          <w:szCs w:val="18"/>
          <w:b w:val="1"/>
          <w:bCs w:val="1"/>
          <w:color w:val="4C9F40"/>
        </w:rPr>
        <w:t>Technology</w:t>
      </w:r>
      <w:r>
        <w:rPr>
          <w:rFonts w:ascii="Arial" w:cs="Arial" w:eastAsia="Arial" w:hAnsi="Arial"/>
          <w:sz w:val="18"/>
          <w:szCs w:val="18"/>
          <w:color w:val="auto"/>
        </w:rPr>
        <w:t xml:space="preserve"> and </w:t>
      </w:r>
      <w:r>
        <w:rPr>
          <w:rFonts w:ascii="Arial" w:cs="Arial" w:eastAsia="Arial" w:hAnsi="Arial"/>
          <w:sz w:val="18"/>
          <w:szCs w:val="18"/>
          <w:b w:val="1"/>
          <w:bCs w:val="1"/>
          <w:color w:val="4C9F40"/>
        </w:rPr>
        <w:t>Services.</w:t>
      </w:r>
    </w:p>
    <w:p>
      <w:pPr>
        <w:spacing w:after="0" w:line="77" w:lineRule="exact"/>
        <w:rPr>
          <w:sz w:val="20"/>
          <w:szCs w:val="20"/>
          <w:color w:val="auto"/>
        </w:rPr>
      </w:pPr>
    </w:p>
    <w:p>
      <w:pPr>
        <w:ind w:left="340" w:right="260" w:hanging="332"/>
        <w:spacing w:after="0" w:line="247" w:lineRule="auto"/>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Our </w:t>
      </w:r>
      <w:r>
        <w:rPr>
          <w:rFonts w:ascii="Arial" w:cs="Arial" w:eastAsia="Arial" w:hAnsi="Arial"/>
          <w:sz w:val="18"/>
          <w:szCs w:val="18"/>
          <w:b w:val="1"/>
          <w:bCs w:val="1"/>
          <w:color w:val="4C9F40"/>
        </w:rPr>
        <w:t>Technology</w:t>
      </w:r>
      <w:r>
        <w:rPr>
          <w:rFonts w:ascii="Arial" w:cs="Arial" w:eastAsia="Arial" w:hAnsi="Arial"/>
          <w:sz w:val="18"/>
          <w:szCs w:val="18"/>
          <w:color w:val="auto"/>
        </w:rPr>
        <w:t xml:space="preserve"> segment comprises our business of providing customers with document technology and related supplies, technical service and equipment financing. Our product categories within this segment include entry, mid-range and high-end products.</w:t>
      </w:r>
    </w:p>
    <w:p>
      <w:pPr>
        <w:spacing w:after="0" w:line="1" w:lineRule="exact"/>
        <w:rPr>
          <w:rFonts w:ascii="Arial" w:cs="Arial" w:eastAsia="Arial" w:hAnsi="Arial"/>
          <w:sz w:val="18"/>
          <w:szCs w:val="18"/>
          <w:color w:val="auto"/>
        </w:rPr>
      </w:pPr>
    </w:p>
    <w:p>
      <w:pPr>
        <w:ind w:left="340" w:right="220" w:hanging="332"/>
        <w:spacing w:after="0" w:line="238" w:lineRule="auto"/>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Our </w:t>
      </w:r>
      <w:r>
        <w:rPr>
          <w:rFonts w:ascii="Arial" w:cs="Arial" w:eastAsia="Arial" w:hAnsi="Arial"/>
          <w:sz w:val="18"/>
          <w:szCs w:val="18"/>
          <w:b w:val="1"/>
          <w:bCs w:val="1"/>
          <w:color w:val="4C9F40"/>
        </w:rPr>
        <w:t>Services</w:t>
      </w:r>
      <w:r>
        <w:rPr>
          <w:rFonts w:ascii="Arial" w:cs="Arial" w:eastAsia="Arial" w:hAnsi="Arial"/>
          <w:sz w:val="18"/>
          <w:szCs w:val="18"/>
          <w:color w:val="auto"/>
        </w:rPr>
        <w:t xml:space="preserve"> segment is comprised of our business process outsourcing, information technology outsourcing and document outsourcing services. Because we participate in all three of these lines of business, we are uniquely positioned in the industry, and we believe this allows us to provide a differentiated solution and deliver greater value to our customers.</w:t>
      </w:r>
    </w:p>
    <w:p>
      <w:pPr>
        <w:spacing w:after="0" w:line="154" w:lineRule="exact"/>
        <w:rPr>
          <w:sz w:val="20"/>
          <w:szCs w:val="20"/>
          <w:color w:val="auto"/>
        </w:rPr>
      </w:pPr>
    </w:p>
    <w:p>
      <w:pPr>
        <w:jc w:val="both"/>
        <w:ind w:right="240"/>
        <w:spacing w:after="0" w:line="238" w:lineRule="auto"/>
        <w:rPr>
          <w:sz w:val="20"/>
          <w:szCs w:val="20"/>
          <w:color w:val="auto"/>
        </w:rPr>
      </w:pPr>
      <w:r>
        <w:rPr>
          <w:rFonts w:ascii="Arial" w:cs="Arial" w:eastAsia="Arial" w:hAnsi="Arial"/>
          <w:sz w:val="18"/>
          <w:szCs w:val="18"/>
          <w:color w:val="auto"/>
        </w:rPr>
        <w:t>The fundamentals of our business rest upon an annuity model that drives significant recurring revenue and cash generation. Over 80 percent of our 2010 total revenue was annuity based revenue that includes contracted services, equipment maintenance and consumable supplies, among other elements. Some of the key indicators of annuity revenue growth include:</w:t>
      </w:r>
    </w:p>
    <w:p>
      <w:pPr>
        <w:spacing w:after="0" w:line="69" w:lineRule="exact"/>
        <w:rPr>
          <w:sz w:val="20"/>
          <w:szCs w:val="20"/>
          <w:color w:val="auto"/>
        </w:rPr>
      </w:pPr>
    </w:p>
    <w:p>
      <w:pPr>
        <w:ind w:left="340" w:hanging="332"/>
        <w:spacing w:after="0"/>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number of page-producing machines-in-the-field (“MIF”), which is impacted by equipment installations.</w:t>
      </w:r>
    </w:p>
    <w:p>
      <w:pPr>
        <w:ind w:left="340" w:hanging="332"/>
        <w:spacing w:after="0" w:line="234" w:lineRule="auto"/>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Page volume and the mix of color pages, as color pages generate more revenue per page than black-and-white.</w:t>
      </w:r>
    </w:p>
    <w:p>
      <w:pPr>
        <w:ind w:left="340" w:right="200" w:hanging="332"/>
        <w:spacing w:after="0" w:line="234" w:lineRule="auto"/>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Services signings growth, which reflects the year-over-year increase in estimated future revenues from contracts signed during the period as measured on a trailing twelve month basis.</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Services pipeline growth, which measures the year-over-year increase in new business opportunities.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Subsequent to the acquisition of ACS, we acquired three additional service companies further expanding our BPO capabilities.</w:t>
      </w:r>
    </w:p>
    <w:p>
      <w:pPr>
        <w:spacing w:after="0" w:line="72" w:lineRule="exact"/>
        <w:rPr>
          <w:sz w:val="20"/>
          <w:szCs w:val="20"/>
          <w:color w:val="auto"/>
        </w:rPr>
      </w:pPr>
    </w:p>
    <w:p>
      <w:pPr>
        <w:ind w:left="340" w:hanging="332"/>
        <w:spacing w:after="0"/>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 July 2010, we acquired ExcellerateHRO, LLP (“EHRO”), a global benefits administration and relocation services provider.</w:t>
      </w:r>
    </w:p>
    <w:p>
      <w:pPr>
        <w:ind w:left="340" w:right="920" w:hanging="332"/>
        <w:spacing w:after="0" w:line="234" w:lineRule="auto"/>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 October 2010, we acquired TMS Health (“TMS”), a U.S. based teleservices company that provides customer care services to the pharmaceutical, biotech and healthcare industries.</w:t>
      </w:r>
    </w:p>
    <w:p>
      <w:pPr>
        <w:spacing w:after="0" w:line="1" w:lineRule="exact"/>
        <w:rPr>
          <w:rFonts w:ascii="Arial" w:cs="Arial" w:eastAsia="Arial" w:hAnsi="Arial"/>
          <w:sz w:val="18"/>
          <w:szCs w:val="18"/>
          <w:color w:val="auto"/>
        </w:rPr>
      </w:pPr>
    </w:p>
    <w:p>
      <w:pPr>
        <w:ind w:left="340" w:right="20" w:hanging="332"/>
        <w:spacing w:after="0" w:line="239" w:lineRule="auto"/>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 November 2010, we acquired Spur Information Solutions (“Spur”), one of the United Kingdom’s leading providers of computer software used for parking enforcement.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Additionally, in 2010 we acquired two companies to further expand our distribution capacity.</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4"/>
          <w:szCs w:val="14"/>
          <w:color w:val="4C9F40"/>
        </w:rPr>
        <w:t>Xerox 2010 Annual Report 1</w:t>
      </w:r>
    </w:p>
    <w:p>
      <w:pPr>
        <w:sectPr>
          <w:pgSz w:w="11900" w:h="16838" w:orient="portrait"/>
          <w:cols w:equalWidth="0" w:num="1">
            <w:col w:w="11420"/>
          </w:cols>
          <w:pgMar w:left="240" w:top="310" w:right="239" w:bottom="1440" w:gutter="0" w:footer="0" w:header="0"/>
        </w:sectPr>
      </w:pPr>
    </w:p>
    <w:bookmarkStart w:id="78" w:name="page79"/>
    <w:bookmarkEnd w:id="78"/>
    <w:p>
      <w:pPr>
        <w:ind w:left="340" w:right="500" w:hanging="332"/>
        <w:spacing w:after="0" w:line="234" w:lineRule="auto"/>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January 2010, we acquired Irish Business Systems Limited (“IBS”) to expand our reach into the small and mid-size business market in Ireland.</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 September 2010, we acquired Georgia Duplicating Products (“Georgia”), an office equipment supplier.</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b w:val="1"/>
          <w:bCs w:val="1"/>
          <w:color w:val="4C9F40"/>
        </w:rPr>
        <w:t>Financial Overview</w:t>
      </w:r>
    </w:p>
    <w:p>
      <w:pPr>
        <w:spacing w:after="0" w:line="188"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During 2010, despite the continued economic weakness we began to see improvement in our markets. Results remained strong in our developing markets countries as well as in the small to mid-size business market. We began to see increased demand and usage activity in large enterprise customers particularly in the fourth quarter 2010. We closed 2010 with strong revenue growth, operating margin expansion and excellent cash generation, reflecting the strength of our business model and the benefits of our expanded technology and service offerings.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key 2010 highlights:</w:t>
      </w:r>
    </w:p>
    <w:p>
      <w:pPr>
        <w:spacing w:after="0" w:line="194" w:lineRule="exact"/>
        <w:rPr>
          <w:sz w:val="20"/>
          <w:szCs w:val="20"/>
          <w:color w:val="auto"/>
        </w:rPr>
      </w:pPr>
    </w:p>
    <w:p>
      <w:pPr>
        <w:ind w:left="340" w:hanging="332"/>
        <w:spacing w:after="0"/>
        <w:tabs>
          <w:tab w:leader="none" w:pos="3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Exceeded on earnings and cash generation commitments</w:t>
      </w:r>
    </w:p>
    <w:p>
      <w:pPr>
        <w:ind w:left="340" w:hanging="332"/>
        <w:spacing w:after="0" w:line="234" w:lineRule="auto"/>
        <w:tabs>
          <w:tab w:leader="none" w:pos="3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Strong services performance, realizing benefits from the ACS acquisition</w:t>
      </w:r>
    </w:p>
    <w:p>
      <w:pPr>
        <w:ind w:left="340" w:hanging="332"/>
        <w:spacing w:after="0" w:line="234" w:lineRule="auto"/>
        <w:tabs>
          <w:tab w:leader="none" w:pos="3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Technology revenue and activity growth; innovative products launched in key segments</w:t>
      </w:r>
    </w:p>
    <w:p>
      <w:pPr>
        <w:ind w:left="340" w:hanging="332"/>
        <w:spacing w:after="0"/>
        <w:tabs>
          <w:tab w:leader="none" w:pos="3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Disciplined cost and expense management yielding operating margin improvement</w:t>
      </w:r>
    </w:p>
    <w:p>
      <w:pPr>
        <w:spacing w:after="0" w:line="158" w:lineRule="exact"/>
        <w:rPr>
          <w:sz w:val="20"/>
          <w:szCs w:val="20"/>
          <w:color w:val="auto"/>
        </w:rPr>
      </w:pPr>
    </w:p>
    <w:p>
      <w:pPr>
        <w:ind w:right="100"/>
        <w:spacing w:after="0" w:line="217" w:lineRule="auto"/>
        <w:rPr>
          <w:sz w:val="20"/>
          <w:szCs w:val="20"/>
          <w:color w:val="auto"/>
        </w:rPr>
      </w:pPr>
      <w:r>
        <w:rPr>
          <w:rFonts w:ascii="Arial" w:cs="Arial" w:eastAsia="Arial" w:hAnsi="Arial"/>
          <w:sz w:val="18"/>
          <w:szCs w:val="18"/>
          <w:color w:val="auto"/>
        </w:rPr>
        <w:t>We completed the acquisition of ACS on February 5, 2010, and their results subsequent to that date are included in our results. Total revenue of $21.6 billion in 2010 increased 43% from the prior year primarily as a result of the ACS acquisition. Currency had a negligible impact on 2010 total revenues. In order to provide a clearer comparison of our results to the prior year, we are also providing a discussion and analysis on a pro-forma basis, where we include ACS’s 2009 estimated results from February 6 through December 31 in our historical 2009 results</w:t>
      </w:r>
      <w:r>
        <w:rPr>
          <w:rFonts w:ascii="Arial" w:cs="Arial" w:eastAsia="Arial" w:hAnsi="Arial"/>
          <w:sz w:val="22"/>
          <w:szCs w:val="22"/>
          <w:color w:val="auto"/>
          <w:vertAlign w:val="superscript"/>
        </w:rPr>
        <w:t>(1)</w:t>
      </w:r>
      <w:r>
        <w:rPr>
          <w:rFonts w:ascii="Arial" w:cs="Arial" w:eastAsia="Arial" w:hAnsi="Arial"/>
          <w:sz w:val="18"/>
          <w:szCs w:val="18"/>
          <w:color w:val="auto"/>
        </w:rPr>
        <w:t>. On a pro-forma</w:t>
      </w:r>
      <w:r>
        <w:rPr>
          <w:rFonts w:ascii="Arial" w:cs="Arial" w:eastAsia="Arial" w:hAnsi="Arial"/>
          <w:sz w:val="22"/>
          <w:szCs w:val="22"/>
          <w:color w:val="auto"/>
          <w:vertAlign w:val="superscript"/>
        </w:rPr>
        <w:t>(1)</w:t>
      </w:r>
      <w:r>
        <w:rPr>
          <w:rFonts w:ascii="Arial" w:cs="Arial" w:eastAsia="Arial" w:hAnsi="Arial"/>
          <w:sz w:val="18"/>
          <w:szCs w:val="18"/>
          <w:color w:val="auto"/>
        </w:rPr>
        <w:t xml:space="preserve"> basis, total revenue increased 3% in 2010, including a negligible impact from currency.</w:t>
      </w:r>
    </w:p>
    <w:p>
      <w:pPr>
        <w:spacing w:after="0" w:line="156" w:lineRule="exact"/>
        <w:rPr>
          <w:sz w:val="20"/>
          <w:szCs w:val="20"/>
          <w:color w:val="auto"/>
        </w:rPr>
      </w:pPr>
    </w:p>
    <w:p>
      <w:pPr>
        <w:ind w:right="120"/>
        <w:spacing w:after="0" w:line="221" w:lineRule="auto"/>
        <w:rPr>
          <w:sz w:val="20"/>
          <w:szCs w:val="20"/>
          <w:color w:val="auto"/>
        </w:rPr>
      </w:pPr>
      <w:r>
        <w:rPr>
          <w:rFonts w:ascii="Arial" w:cs="Arial" w:eastAsia="Arial" w:hAnsi="Arial"/>
          <w:sz w:val="18"/>
          <w:szCs w:val="18"/>
          <w:color w:val="auto"/>
        </w:rPr>
        <w:t>2010 Annuity Revenue</w:t>
      </w:r>
      <w:r>
        <w:rPr>
          <w:rFonts w:ascii="Arial" w:cs="Arial" w:eastAsia="Arial" w:hAnsi="Arial"/>
          <w:sz w:val="22"/>
          <w:szCs w:val="22"/>
          <w:color w:val="auto"/>
          <w:vertAlign w:val="superscript"/>
        </w:rPr>
        <w:t>(2)</w:t>
      </w:r>
      <w:r>
        <w:rPr>
          <w:rFonts w:ascii="Arial" w:cs="Arial" w:eastAsia="Arial" w:hAnsi="Arial"/>
          <w:sz w:val="18"/>
          <w:szCs w:val="18"/>
          <w:color w:val="auto"/>
        </w:rPr>
        <w:t xml:space="preserve"> increased 53% from the prior year, or 1% on a pro-forma</w:t>
      </w:r>
      <w:r>
        <w:rPr>
          <w:rFonts w:ascii="Arial" w:cs="Arial" w:eastAsia="Arial" w:hAnsi="Arial"/>
          <w:sz w:val="22"/>
          <w:szCs w:val="22"/>
          <w:color w:val="auto"/>
          <w:vertAlign w:val="superscript"/>
        </w:rPr>
        <w:t>(1)</w:t>
      </w:r>
      <w:r>
        <w:rPr>
          <w:rFonts w:ascii="Arial" w:cs="Arial" w:eastAsia="Arial" w:hAnsi="Arial"/>
          <w:sz w:val="18"/>
          <w:szCs w:val="18"/>
          <w:color w:val="auto"/>
        </w:rPr>
        <w:t xml:space="preserve"> basis. Currency had a 1-percentage point unfavorable impact on pro-forma annuity revenue. 2010 Equipment Revenue increased 9% from the prior year, including a 1-percentage point negative impact from currency.</w:t>
      </w:r>
    </w:p>
    <w:p>
      <w:pPr>
        <w:spacing w:after="0" w:line="156"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Net income attributable to Xerox for 2010 was $606 million and included $690 million of after-tax costs and expenses related to restructuring, intangibles amortization, acquisition-related costs and other discrete and unusual items. Net income attributable to Xerox for 2009 was $485 million and included $128 million of similar after-tax costs and expenses.</w:t>
      </w:r>
    </w:p>
    <w:p>
      <w:pPr>
        <w:spacing w:after="0" w:line="154"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Cash flow from operations was $2.7 billion for 2010 primarily as a result of increased earnings and working capital cash generation. Cash used in investing activities of $2.2 billion primarily reflects the net cash consideration of $1.5 billion for the ACS acquisition. Cash used in financing activities was $3.1 billion, primarily reflecting the repayment of ACS’s debt of $1.7 billion as well as net payments on other debt during 2010 including the early redemption of $660 million of debt.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Our 2011 priorities include:</w:t>
      </w:r>
    </w:p>
    <w:p>
      <w:pPr>
        <w:spacing w:after="0" w:line="194" w:lineRule="exact"/>
        <w:rPr>
          <w:sz w:val="20"/>
          <w:szCs w:val="20"/>
          <w:color w:val="auto"/>
        </w:rPr>
      </w:pPr>
    </w:p>
    <w:p>
      <w:pPr>
        <w:ind w:left="340" w:hanging="332"/>
        <w:spacing w:after="0"/>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Strengthening our leadership in Technology through competitively advantaged products and increased distribution</w:t>
      </w:r>
    </w:p>
    <w:p>
      <w:pPr>
        <w:ind w:left="340" w:hanging="332"/>
        <w:spacing w:after="0" w:line="234" w:lineRule="auto"/>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Accelerating our services business - capture significant BPO opportunity and continue improvements in ITO and document outsourcing</w:t>
      </w:r>
    </w:p>
    <w:p>
      <w:pPr>
        <w:ind w:left="340" w:hanging="332"/>
        <w:spacing w:after="0" w:line="234" w:lineRule="auto"/>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Continued cost and expense discipline to enable operating margin expansion</w:t>
      </w:r>
    </w:p>
    <w:p>
      <w:pPr>
        <w:ind w:left="340" w:hanging="332"/>
        <w:spacing w:after="0"/>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Drive cash flow, reduce debt and return cash to shareholders</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4"/>
          <w:szCs w:val="14"/>
          <w:color w:val="4C9F40"/>
        </w:rPr>
        <w:t>Xerox 2010 Annual Report 2</w:t>
      </w:r>
    </w:p>
    <w:p>
      <w:pPr>
        <w:sectPr>
          <w:pgSz w:w="11900" w:h="16838" w:orient="portrait"/>
          <w:cols w:equalWidth="0" w:num="1">
            <w:col w:w="11420"/>
          </w:cols>
          <w:pgMar w:left="240" w:top="291" w:right="239" w:bottom="1440" w:gutter="0" w:footer="0" w:header="0"/>
        </w:sectPr>
      </w:pPr>
    </w:p>
    <w:bookmarkStart w:id="79" w:name="page80"/>
    <w:bookmarkEnd w:id="79"/>
    <w:p>
      <w:pPr>
        <w:ind w:right="60"/>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Our 2011 balance sheet and cash flow strategy includes: sustaining our working capital improvements; continued reductions in non-financing debt; leveraging of our financing assets (finance receivables and equipment on operating leases); achieving an optimal cost of capital; and effectively deploying cash to maximize shareholder value through share repurchase, acquisitions and dividends.</w:t>
      </w:r>
    </w:p>
    <w:p>
      <w:pPr>
        <w:spacing w:after="0" w:line="154" w:lineRule="exact"/>
        <w:rPr>
          <w:sz w:val="20"/>
          <w:szCs w:val="20"/>
          <w:color w:val="auto"/>
        </w:rPr>
      </w:pPr>
    </w:p>
    <w:p>
      <w:pPr>
        <w:ind w:right="420"/>
        <w:spacing w:after="0" w:line="238" w:lineRule="auto"/>
        <w:rPr>
          <w:sz w:val="20"/>
          <w:szCs w:val="20"/>
          <w:color w:val="auto"/>
        </w:rPr>
      </w:pPr>
      <w:r>
        <w:rPr>
          <w:rFonts w:ascii="Arial" w:cs="Arial" w:eastAsia="Arial" w:hAnsi="Arial"/>
          <w:sz w:val="18"/>
          <w:szCs w:val="18"/>
          <w:color w:val="auto"/>
        </w:rPr>
        <w:t>In addition, as a result of providing lease equipment financing to our customers, we expect to continue to make investments in lease contracts (finance receivables and equipment on operating leases). Since we maintain a certain level of debt to support this investment, we expect to continue to leverage this investment in 2011 (see “Customer Financing Activities”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289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7" w:lineRule="exact"/>
        <w:rPr>
          <w:sz w:val="20"/>
          <w:szCs w:val="20"/>
          <w:color w:val="auto"/>
        </w:rPr>
      </w:pPr>
    </w:p>
    <w:p>
      <w:pPr>
        <w:ind w:left="340" w:right="80" w:hanging="332"/>
        <w:spacing w:after="0" w:line="221" w:lineRule="auto"/>
        <w:tabs>
          <w:tab w:leader="none" w:pos="340" w:val="left"/>
        </w:tabs>
        <w:numPr>
          <w:ilvl w:val="0"/>
          <w:numId w:val="89"/>
        </w:numPr>
        <w:rPr>
          <w:rFonts w:ascii="Arial" w:cs="Arial" w:eastAsia="Arial" w:hAnsi="Arial"/>
          <w:sz w:val="14"/>
          <w:szCs w:val="14"/>
          <w:color w:val="auto"/>
        </w:rPr>
      </w:pPr>
      <w:r>
        <w:rPr>
          <w:rFonts w:ascii="Arial" w:cs="Arial" w:eastAsia="Arial" w:hAnsi="Arial"/>
          <w:sz w:val="14"/>
          <w:szCs w:val="14"/>
          <w:color w:val="auto"/>
        </w:rPr>
        <w:t>The pro-forma information included within this MD&amp;A is different than the pro-forma information provided in Note 3 – Acquisitions. The pro-forma information included in Note 3 presents the combined results for 2010 and 2009 as if the acquisition was completed January 1st of each respective year. See the “Non-GAAP Financial Measures” section for a further explanation and discussion of this non-GAAP measure.</w:t>
      </w:r>
    </w:p>
    <w:p>
      <w:pPr>
        <w:ind w:left="340" w:hanging="332"/>
        <w:spacing w:after="0"/>
        <w:tabs>
          <w:tab w:leader="none" w:pos="340" w:val="left"/>
        </w:tabs>
        <w:numPr>
          <w:ilvl w:val="0"/>
          <w:numId w:val="89"/>
        </w:numPr>
        <w:rPr>
          <w:rFonts w:ascii="Arial" w:cs="Arial" w:eastAsia="Arial" w:hAnsi="Arial"/>
          <w:sz w:val="14"/>
          <w:szCs w:val="14"/>
          <w:color w:val="auto"/>
        </w:rPr>
      </w:pPr>
      <w:r>
        <w:rPr>
          <w:rFonts w:ascii="Arial" w:cs="Arial" w:eastAsia="Arial" w:hAnsi="Arial"/>
          <w:sz w:val="14"/>
          <w:szCs w:val="14"/>
          <w:color w:val="auto"/>
        </w:rPr>
        <w:t>Annuity revenue = Service, outsourcing and rentals + Supplies, paper and other sales + Finance income.</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4C9F40"/>
        </w:rPr>
        <w:t>Currency Impacts</w:t>
      </w:r>
    </w:p>
    <w:p>
      <w:pPr>
        <w:spacing w:after="0" w:line="18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To understand the trends in our business, we believe that it is helpful to analyze the impact of changes in the translation of foreign currencies into U.S. Dollars on revenues and expenses. We refer to this analysis as “currency impact” or “the impact from currency”. This impact is calculated by translating current period activity in local currency using the comparable prior year period’s currency translation rate. This impact is calculated for all countries where the functional currency is the local country currency. Revenues and expenses from our developing market countries (Latin America, Brazil, the Middle East, India, Eurasia and Central-Eastern Europe) are analyzed at actual exchange rates for all periods presented, since these countries generally have unpredictable currency and inflationary environments, and our operations in these countries have historically implemented pricing actions to recover the impact of inflation and devaluation. We do not hedge the translation effect of revenues or expenses denominated in currencies where the local currency is the functional currency.</w:t>
      </w:r>
    </w:p>
    <w:p>
      <w:pPr>
        <w:spacing w:after="0" w:line="73"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Approximately 36% of our consolidated revenues are derived from operations outside of the United States where the U.S. Dollar is not the functional currency. When compared with the average of the major European currencies and Canadian Dollar on a revenue-weighted basis, the U.S. Dollar was 2% stronger in 2010 and 7% stronger in 2009, each compared to the prior year. As a result, the foreign currency translation impact on revenue was negligible in 2010 and a 3% detriment in 2009.</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Refer to “Gross Margin” section for additional information regarding the impact of currency on our product costs.</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4"/>
          <w:szCs w:val="14"/>
          <w:color w:val="4C9F40"/>
        </w:rPr>
        <w:t>Xerox 2010 Annual Report 3</w:t>
      </w:r>
    </w:p>
    <w:p>
      <w:pPr>
        <w:sectPr>
          <w:pgSz w:w="11900" w:h="16838" w:orient="portrait"/>
          <w:cols w:equalWidth="0" w:num="1">
            <w:col w:w="11420"/>
          </w:cols>
          <w:pgMar w:left="240" w:top="345" w:right="239" w:bottom="1440" w:gutter="0" w:footer="0" w:header="0"/>
        </w:sectPr>
      </w:pPr>
    </w:p>
    <w:bookmarkStart w:id="80" w:name="page81"/>
    <w:bookmarkEnd w:id="80"/>
    <w:p>
      <w:pPr>
        <w:spacing w:after="0"/>
        <w:rPr>
          <w:sz w:val="20"/>
          <w:szCs w:val="20"/>
          <w:color w:val="auto"/>
        </w:rPr>
      </w:pPr>
      <w:r>
        <w:rPr>
          <w:rFonts w:ascii="Arial" w:cs="Arial" w:eastAsia="Arial" w:hAnsi="Arial"/>
          <w:sz w:val="22"/>
          <w:szCs w:val="22"/>
          <w:b w:val="1"/>
          <w:bCs w:val="1"/>
          <w:color w:val="4C9F40"/>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Summary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Revenue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Revenues for the three years ended December 31, 2010 were as follows: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Pro-forma</w:t>
            </w:r>
            <w:r>
              <w:rPr>
                <w:rFonts w:ascii="Arial" w:cs="Arial" w:eastAsia="Arial" w:hAnsi="Arial"/>
                <w:sz w:val="22"/>
                <w:szCs w:val="22"/>
                <w:color w:val="auto"/>
                <w:w w:val="93"/>
                <w:vertAlign w:val="superscript"/>
              </w:rPr>
              <w:t>(3)</w:t>
            </w: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4"/>
          </w:tcPr>
          <w:p>
            <w:pPr>
              <w:ind w:left="60"/>
              <w:spacing w:after="0" w:line="200" w:lineRule="exact"/>
              <w:rPr>
                <w:sz w:val="20"/>
                <w:szCs w:val="20"/>
                <w:color w:val="auto"/>
              </w:rPr>
            </w:pPr>
            <w:r>
              <w:rPr>
                <w:rFonts w:ascii="Arial" w:cs="Arial" w:eastAsia="Arial" w:hAnsi="Arial"/>
                <w:sz w:val="18"/>
                <w:szCs w:val="18"/>
                <w:color w:val="auto"/>
              </w:rPr>
              <w:t>Revenues</w:t>
            </w: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tcBorders>
              <w:bottom w:val="single" w:sz="8" w:color="auto"/>
            </w:tcBorders>
            <w:gridSpan w:val="3"/>
          </w:tcPr>
          <w:p>
            <w:pPr>
              <w:ind w:left="20"/>
              <w:spacing w:after="0" w:line="200" w:lineRule="exact"/>
              <w:rPr>
                <w:sz w:val="20"/>
                <w:szCs w:val="20"/>
                <w:color w:val="auto"/>
              </w:rPr>
            </w:pPr>
            <w:r>
              <w:rPr>
                <w:rFonts w:ascii="Arial" w:cs="Arial" w:eastAsia="Arial" w:hAnsi="Arial"/>
                <w:sz w:val="18"/>
                <w:szCs w:val="18"/>
                <w:color w:val="auto"/>
                <w:w w:val="96"/>
              </w:rPr>
              <w:t>Percent Change</w:t>
            </w:r>
          </w:p>
        </w:tc>
        <w:tc>
          <w:tcPr>
            <w:tcW w:w="340" w:type="dxa"/>
            <w:vAlign w:val="bottom"/>
          </w:tcPr>
          <w:p>
            <w:pPr>
              <w:spacing w:after="0"/>
              <w:rPr>
                <w:sz w:val="17"/>
                <w:szCs w:val="17"/>
                <w:color w:val="auto"/>
              </w:rPr>
            </w:pPr>
          </w:p>
        </w:tc>
        <w:tc>
          <w:tcPr>
            <w:tcW w:w="920" w:type="dxa"/>
            <w:vAlign w:val="bottom"/>
            <w:tcBorders>
              <w:bottom w:val="single" w:sz="8" w:color="auto"/>
            </w:tcBorders>
          </w:tcPr>
          <w:p>
            <w:pPr>
              <w:jc w:val="center"/>
              <w:spacing w:after="0" w:line="200" w:lineRule="exact"/>
              <w:rPr>
                <w:sz w:val="20"/>
                <w:szCs w:val="20"/>
                <w:color w:val="auto"/>
              </w:rPr>
            </w:pPr>
            <w:r>
              <w:rPr>
                <w:rFonts w:ascii="Arial" w:cs="Arial" w:eastAsia="Arial" w:hAnsi="Arial"/>
                <w:sz w:val="18"/>
                <w:szCs w:val="18"/>
                <w:color w:val="auto"/>
                <w:w w:val="95"/>
              </w:rPr>
              <w:t>Change</w:t>
            </w:r>
          </w:p>
        </w:tc>
        <w:tc>
          <w:tcPr>
            <w:tcW w:w="340" w:type="dxa"/>
            <w:vAlign w:val="bottom"/>
          </w:tcPr>
          <w:p>
            <w:pPr>
              <w:spacing w:after="0"/>
              <w:rPr>
                <w:sz w:val="17"/>
                <w:szCs w:val="17"/>
                <w:color w:val="auto"/>
              </w:rPr>
            </w:pPr>
          </w:p>
        </w:tc>
        <w:tc>
          <w:tcPr>
            <w:tcW w:w="2020" w:type="dxa"/>
            <w:vAlign w:val="bottom"/>
            <w:tcBorders>
              <w:bottom w:val="single" w:sz="8" w:color="auto"/>
            </w:tcBorders>
            <w:gridSpan w:val="5"/>
          </w:tcPr>
          <w:p>
            <w:pPr>
              <w:ind w:left="20"/>
              <w:spacing w:after="0" w:line="200" w:lineRule="exact"/>
              <w:rPr>
                <w:sz w:val="20"/>
                <w:szCs w:val="20"/>
                <w:color w:val="auto"/>
              </w:rPr>
            </w:pPr>
            <w:r>
              <w:rPr>
                <w:rFonts w:ascii="Arial" w:cs="Arial" w:eastAsia="Arial" w:hAnsi="Arial"/>
                <w:sz w:val="18"/>
                <w:szCs w:val="18"/>
                <w:color w:val="auto"/>
                <w:w w:val="96"/>
              </w:rPr>
              <w:t>Percent of Total Revenue</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60" w:type="dxa"/>
            <w:vAlign w:val="bottom"/>
            <w:gridSpan w:val="3"/>
          </w:tcPr>
          <w:p>
            <w:pPr>
              <w:spacing w:after="0"/>
              <w:rPr>
                <w:sz w:val="20"/>
                <w:szCs w:val="20"/>
                <w:color w:val="auto"/>
              </w:rPr>
            </w:pPr>
            <w:r>
              <w:rPr>
                <w:rFonts w:ascii="Arial" w:cs="Arial" w:eastAsia="Arial" w:hAnsi="Arial"/>
                <w:sz w:val="14"/>
                <w:szCs w:val="14"/>
                <w:color w:val="auto"/>
              </w:rPr>
              <w:t>(in millions)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ind w:right="92"/>
              <w:spacing w:after="0" w:line="196" w:lineRule="exact"/>
              <w:rPr>
                <w:sz w:val="20"/>
                <w:szCs w:val="20"/>
                <w:color w:val="auto"/>
              </w:rPr>
            </w:pPr>
            <w:r>
              <w:rPr>
                <w:rFonts w:ascii="Arial" w:cs="Arial" w:eastAsia="Arial" w:hAnsi="Arial"/>
                <w:sz w:val="18"/>
                <w:szCs w:val="18"/>
                <w:color w:val="auto"/>
              </w:rPr>
              <w:t>2010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ind w:right="92"/>
              <w:spacing w:after="0" w:line="196" w:lineRule="exact"/>
              <w:rPr>
                <w:sz w:val="20"/>
                <w:szCs w:val="20"/>
                <w:color w:val="auto"/>
              </w:rPr>
            </w:pPr>
            <w:r>
              <w:rPr>
                <w:rFonts w:ascii="Arial" w:cs="Arial" w:eastAsia="Arial" w:hAnsi="Arial"/>
                <w:sz w:val="18"/>
                <w:szCs w:val="18"/>
                <w:color w:val="auto"/>
              </w:rPr>
              <w:t>2009</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ind w:right="92"/>
              <w:spacing w:after="0" w:line="196" w:lineRule="exact"/>
              <w:rPr>
                <w:sz w:val="20"/>
                <w:szCs w:val="20"/>
                <w:color w:val="auto"/>
              </w:rPr>
            </w:pPr>
            <w:r>
              <w:rPr>
                <w:rFonts w:ascii="Arial" w:cs="Arial" w:eastAsia="Arial" w:hAnsi="Arial"/>
                <w:sz w:val="18"/>
                <w:szCs w:val="18"/>
                <w:color w:val="auto"/>
              </w:rPr>
              <w:t>2008</w:t>
            </w:r>
          </w:p>
        </w:tc>
        <w:tc>
          <w:tcPr>
            <w:tcW w:w="100" w:type="dxa"/>
            <w:vAlign w:val="bottom"/>
          </w:tcPr>
          <w:p>
            <w:pPr>
              <w:spacing w:after="0"/>
              <w:rPr>
                <w:sz w:val="17"/>
                <w:szCs w:val="17"/>
                <w:color w:val="auto"/>
              </w:rPr>
            </w:pPr>
          </w:p>
        </w:tc>
        <w:tc>
          <w:tcPr>
            <w:tcW w:w="520" w:type="dxa"/>
            <w:vAlign w:val="bottom"/>
            <w:gridSpan w:val="2"/>
          </w:tcPr>
          <w:p>
            <w:pPr>
              <w:ind w:left="100"/>
              <w:spacing w:after="0" w:line="196" w:lineRule="exact"/>
              <w:rPr>
                <w:sz w:val="20"/>
                <w:szCs w:val="20"/>
                <w:color w:val="auto"/>
              </w:rPr>
            </w:pPr>
            <w:r>
              <w:rPr>
                <w:rFonts w:ascii="Arial" w:cs="Arial" w:eastAsia="Arial" w:hAnsi="Arial"/>
                <w:sz w:val="18"/>
                <w:szCs w:val="18"/>
                <w:color w:val="auto"/>
                <w:w w:val="99"/>
              </w:rPr>
              <w:t>2010</w:t>
            </w:r>
          </w:p>
        </w:tc>
        <w:tc>
          <w:tcPr>
            <w:tcW w:w="34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2009</w:t>
            </w:r>
          </w:p>
        </w:tc>
        <w:tc>
          <w:tcPr>
            <w:tcW w:w="340" w:type="dxa"/>
            <w:vAlign w:val="bottom"/>
          </w:tcPr>
          <w:p>
            <w:pPr>
              <w:spacing w:after="0"/>
              <w:rPr>
                <w:sz w:val="17"/>
                <w:szCs w:val="17"/>
                <w:color w:val="auto"/>
              </w:rPr>
            </w:pPr>
          </w:p>
        </w:tc>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99"/>
              </w:rPr>
              <w:t>2010</w:t>
            </w:r>
          </w:p>
        </w:tc>
        <w:tc>
          <w:tcPr>
            <w:tcW w:w="340" w:type="dxa"/>
            <w:vAlign w:val="bottom"/>
          </w:tcPr>
          <w:p>
            <w:pPr>
              <w:spacing w:after="0"/>
              <w:rPr>
                <w:sz w:val="17"/>
                <w:szCs w:val="17"/>
                <w:color w:val="auto"/>
              </w:rPr>
            </w:pPr>
          </w:p>
        </w:tc>
        <w:tc>
          <w:tcPr>
            <w:tcW w:w="440" w:type="dxa"/>
            <w:vAlign w:val="bottom"/>
          </w:tcPr>
          <w:p>
            <w:pPr>
              <w:ind w:left="20"/>
              <w:spacing w:after="0" w:line="196" w:lineRule="exact"/>
              <w:rPr>
                <w:sz w:val="20"/>
                <w:szCs w:val="20"/>
                <w:color w:val="auto"/>
              </w:rPr>
            </w:pPr>
            <w:r>
              <w:rPr>
                <w:rFonts w:ascii="Arial" w:cs="Arial" w:eastAsia="Arial" w:hAnsi="Arial"/>
                <w:sz w:val="18"/>
                <w:szCs w:val="18"/>
                <w:color w:val="auto"/>
                <w:w w:val="99"/>
              </w:rPr>
              <w:t>2010</w:t>
            </w:r>
          </w:p>
        </w:tc>
        <w:tc>
          <w:tcPr>
            <w:tcW w:w="320" w:type="dxa"/>
            <w:vAlign w:val="bottom"/>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w w:val="99"/>
              </w:rPr>
              <w:t>2009</w:t>
            </w:r>
          </w:p>
        </w:tc>
        <w:tc>
          <w:tcPr>
            <w:tcW w:w="32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2008</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440" w:type="dxa"/>
            <w:vAlign w:val="bottom"/>
            <w:gridSpan w:val="2"/>
            <w:shd w:val="clear" w:color="auto" w:fill="E5E5E5"/>
          </w:tcPr>
          <w:p>
            <w:pPr>
              <w:spacing w:after="0" w:line="196" w:lineRule="exact"/>
              <w:rPr>
                <w:sz w:val="20"/>
                <w:szCs w:val="20"/>
                <w:color w:val="auto"/>
              </w:rPr>
            </w:pPr>
            <w:r>
              <w:rPr>
                <w:rFonts w:ascii="Arial" w:cs="Arial" w:eastAsia="Arial" w:hAnsi="Arial"/>
                <w:sz w:val="18"/>
                <w:szCs w:val="18"/>
                <w:b w:val="1"/>
                <w:bCs w:val="1"/>
                <w:color w:val="auto"/>
              </w:rPr>
              <w:t>Revenue:</w:t>
            </w:r>
          </w:p>
        </w:tc>
        <w:tc>
          <w:tcPr>
            <w:tcW w:w="8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50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92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48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Equipment sales</w:t>
            </w:r>
          </w:p>
        </w:tc>
        <w:tc>
          <w:tcPr>
            <w:tcW w:w="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3,857</w:t>
            </w:r>
          </w:p>
        </w:tc>
        <w:tc>
          <w:tcPr>
            <w:tcW w:w="80" w:type="dxa"/>
            <w:vAlign w:val="bottom"/>
          </w:tcPr>
          <w:p>
            <w:pPr>
              <w:spacing w:after="0"/>
              <w:rPr>
                <w:sz w:val="17"/>
                <w:szCs w:val="17"/>
                <w:color w:val="auto"/>
              </w:rPr>
            </w:pPr>
          </w:p>
        </w:tc>
        <w:tc>
          <w:tcPr>
            <w:tcW w:w="220" w:type="dxa"/>
            <w:vAlign w:val="bottom"/>
            <w:gridSpan w:val="2"/>
          </w:tcPr>
          <w:p>
            <w:pPr>
              <w:ind w:left="100"/>
              <w:spacing w:after="0" w:line="202" w:lineRule="exact"/>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3,550</w:t>
            </w:r>
          </w:p>
        </w:tc>
        <w:tc>
          <w:tcPr>
            <w:tcW w:w="100" w:type="dxa"/>
            <w:vAlign w:val="bottom"/>
          </w:tcPr>
          <w:p>
            <w:pPr>
              <w:spacing w:after="0"/>
              <w:rPr>
                <w:sz w:val="17"/>
                <w:szCs w:val="17"/>
                <w:color w:val="auto"/>
              </w:rPr>
            </w:pPr>
          </w:p>
        </w:tc>
        <w:tc>
          <w:tcPr>
            <w:tcW w:w="2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4,679</w:t>
            </w:r>
          </w:p>
        </w:tc>
        <w:tc>
          <w:tcPr>
            <w:tcW w:w="100" w:type="dxa"/>
            <w:vAlign w:val="bottom"/>
          </w:tcPr>
          <w:p>
            <w:pPr>
              <w:spacing w:after="0"/>
              <w:rPr>
                <w:sz w:val="17"/>
                <w:szCs w:val="17"/>
                <w:color w:val="auto"/>
              </w:rPr>
            </w:pPr>
          </w:p>
        </w:tc>
        <w:tc>
          <w:tcPr>
            <w:tcW w:w="86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9%</w:t>
            </w: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(24)%</w:t>
            </w:r>
          </w:p>
        </w:tc>
        <w:tc>
          <w:tcPr>
            <w:tcW w:w="12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9%</w:t>
            </w:r>
          </w:p>
        </w:tc>
        <w:tc>
          <w:tcPr>
            <w:tcW w:w="7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18%</w:t>
            </w:r>
          </w:p>
        </w:tc>
        <w:tc>
          <w:tcPr>
            <w:tcW w:w="7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24%</w:t>
            </w:r>
          </w:p>
        </w:tc>
        <w:tc>
          <w:tcPr>
            <w:tcW w:w="7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gridSpan w:val="2"/>
            <w:shd w:val="clear" w:color="auto" w:fill="E5E5E5"/>
          </w:tcPr>
          <w:p>
            <w:pPr>
              <w:ind w:left="200"/>
              <w:spacing w:after="0" w:line="202" w:lineRule="exact"/>
              <w:rPr>
                <w:sz w:val="20"/>
                <w:szCs w:val="20"/>
                <w:color w:val="auto"/>
              </w:rPr>
            </w:pPr>
            <w:r>
              <w:rPr>
                <w:rFonts w:ascii="Arial" w:cs="Arial" w:eastAsia="Arial" w:hAnsi="Arial"/>
                <w:sz w:val="18"/>
                <w:szCs w:val="18"/>
                <w:color w:val="auto"/>
              </w:rPr>
              <w:t>Supplies, paper and other</w:t>
            </w:r>
          </w:p>
        </w:tc>
        <w:tc>
          <w:tcPr>
            <w:tcW w:w="8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3,377</w:t>
            </w:r>
          </w:p>
        </w:tc>
        <w:tc>
          <w:tcPr>
            <w:tcW w:w="8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3,096</w:t>
            </w:r>
          </w:p>
        </w:tc>
        <w:tc>
          <w:tcPr>
            <w:tcW w:w="10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6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3,646</w:t>
            </w:r>
          </w:p>
        </w:tc>
        <w:tc>
          <w:tcPr>
            <w:tcW w:w="100" w:type="dxa"/>
            <w:vAlign w:val="bottom"/>
            <w:shd w:val="clear" w:color="auto" w:fill="E5E5E5"/>
          </w:tcPr>
          <w:p>
            <w:pPr>
              <w:spacing w:after="0"/>
              <w:rPr>
                <w:sz w:val="17"/>
                <w:szCs w:val="17"/>
                <w:color w:val="auto"/>
              </w:rPr>
            </w:pPr>
          </w:p>
        </w:tc>
        <w:tc>
          <w:tcPr>
            <w:tcW w:w="860" w:type="dxa"/>
            <w:vAlign w:val="bottom"/>
            <w:gridSpan w:val="3"/>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9%</w:t>
            </w:r>
          </w:p>
        </w:tc>
        <w:tc>
          <w:tcPr>
            <w:tcW w:w="84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(15)%</w:t>
            </w:r>
          </w:p>
        </w:tc>
        <w:tc>
          <w:tcPr>
            <w:tcW w:w="126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4%</w:t>
            </w:r>
          </w:p>
        </w:tc>
        <w:tc>
          <w:tcPr>
            <w:tcW w:w="76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15%</w:t>
            </w:r>
          </w:p>
        </w:tc>
        <w:tc>
          <w:tcPr>
            <w:tcW w:w="78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20%</w:t>
            </w:r>
          </w:p>
        </w:tc>
        <w:tc>
          <w:tcPr>
            <w:tcW w:w="70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34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60" w:type="dxa"/>
            <w:vAlign w:val="bottom"/>
            <w:gridSpan w:val="3"/>
          </w:tcPr>
          <w:p>
            <w:pPr>
              <w:spacing w:after="0"/>
              <w:rPr>
                <w:sz w:val="20"/>
                <w:szCs w:val="20"/>
                <w:color w:val="auto"/>
              </w:rPr>
            </w:pPr>
            <w:r>
              <w:rPr>
                <w:rFonts w:ascii="Arial" w:cs="Arial" w:eastAsia="Arial" w:hAnsi="Arial"/>
                <w:sz w:val="18"/>
                <w:szCs w:val="18"/>
                <w:color w:val="auto"/>
              </w:rPr>
              <w:t>Sales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7,234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6,646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8,325</w:t>
            </w:r>
          </w:p>
        </w:tc>
        <w:tc>
          <w:tcPr>
            <w:tcW w:w="100" w:type="dxa"/>
            <w:vAlign w:val="bottom"/>
          </w:tcPr>
          <w:p>
            <w:pPr>
              <w:spacing w:after="0"/>
              <w:rPr>
                <w:sz w:val="18"/>
                <w:szCs w:val="18"/>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8"/>
                <w:szCs w:val="18"/>
                <w:color w:val="auto"/>
              </w:rPr>
              <w:t>9%</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33%</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44%</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Service, outsourcing and rentals</w:t>
            </w:r>
          </w:p>
        </w:tc>
        <w:tc>
          <w:tcPr>
            <w:tcW w:w="8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70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13,739</w:t>
            </w:r>
          </w:p>
        </w:tc>
        <w:tc>
          <w:tcPr>
            <w:tcW w:w="1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7,820</w:t>
            </w:r>
          </w:p>
        </w:tc>
        <w:tc>
          <w:tcPr>
            <w:tcW w:w="10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6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8,485</w:t>
            </w:r>
          </w:p>
        </w:tc>
        <w:tc>
          <w:tcPr>
            <w:tcW w:w="100" w:type="dxa"/>
            <w:vAlign w:val="bottom"/>
            <w:shd w:val="clear" w:color="auto" w:fill="E5E5E5"/>
          </w:tcPr>
          <w:p>
            <w:pPr>
              <w:spacing w:after="0"/>
              <w:rPr>
                <w:sz w:val="17"/>
                <w:szCs w:val="17"/>
                <w:color w:val="auto"/>
              </w:rPr>
            </w:pPr>
          </w:p>
        </w:tc>
        <w:tc>
          <w:tcPr>
            <w:tcW w:w="860" w:type="dxa"/>
            <w:vAlign w:val="bottom"/>
            <w:gridSpan w:val="3"/>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76%</w:t>
            </w:r>
          </w:p>
        </w:tc>
        <w:tc>
          <w:tcPr>
            <w:tcW w:w="84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(8)%</w:t>
            </w:r>
          </w:p>
        </w:tc>
        <w:tc>
          <w:tcPr>
            <w:tcW w:w="126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1%</w:t>
            </w:r>
          </w:p>
        </w:tc>
        <w:tc>
          <w:tcPr>
            <w:tcW w:w="76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64%</w:t>
            </w:r>
          </w:p>
        </w:tc>
        <w:tc>
          <w:tcPr>
            <w:tcW w:w="78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51%</w:t>
            </w:r>
          </w:p>
        </w:tc>
        <w:tc>
          <w:tcPr>
            <w:tcW w:w="70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3"/>
        </w:trPr>
        <w:tc>
          <w:tcPr>
            <w:tcW w:w="3460" w:type="dxa"/>
            <w:vAlign w:val="bottom"/>
            <w:gridSpan w:val="3"/>
          </w:tcPr>
          <w:p>
            <w:pPr>
              <w:spacing w:after="0" w:line="202" w:lineRule="exact"/>
              <w:rPr>
                <w:sz w:val="20"/>
                <w:szCs w:val="20"/>
                <w:color w:val="auto"/>
              </w:rPr>
            </w:pPr>
            <w:r>
              <w:rPr>
                <w:rFonts w:ascii="Arial" w:cs="Arial" w:eastAsia="Arial" w:hAnsi="Arial"/>
                <w:sz w:val="18"/>
                <w:szCs w:val="18"/>
                <w:color w:val="auto"/>
              </w:rPr>
              <w:t>Finance income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660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713</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798</w:t>
            </w:r>
          </w:p>
        </w:tc>
        <w:tc>
          <w:tcPr>
            <w:tcW w:w="100" w:type="dxa"/>
            <w:vAlign w:val="bottom"/>
          </w:tcPr>
          <w:p>
            <w:pPr>
              <w:spacing w:after="0"/>
              <w:rPr>
                <w:sz w:val="17"/>
                <w:szCs w:val="17"/>
                <w:color w:val="auto"/>
              </w:rPr>
            </w:pPr>
          </w:p>
        </w:tc>
        <w:tc>
          <w:tcPr>
            <w:tcW w:w="86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(7)%</w:t>
            </w: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(11)%</w:t>
            </w:r>
          </w:p>
        </w:tc>
        <w:tc>
          <w:tcPr>
            <w:tcW w:w="12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w:t>
            </w:r>
          </w:p>
        </w:tc>
        <w:tc>
          <w:tcPr>
            <w:tcW w:w="7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w:t>
            </w:r>
          </w:p>
        </w:tc>
        <w:tc>
          <w:tcPr>
            <w:tcW w:w="7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w:t>
            </w:r>
          </w:p>
        </w:tc>
        <w:tc>
          <w:tcPr>
            <w:tcW w:w="7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44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Total Revenues</w:t>
            </w:r>
          </w:p>
        </w:tc>
        <w:tc>
          <w:tcPr>
            <w:tcW w:w="20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21,633</w:t>
            </w:r>
          </w:p>
        </w:tc>
        <w:tc>
          <w:tcPr>
            <w:tcW w:w="80" w:type="dxa"/>
            <w:vAlign w:val="bottom"/>
            <w:shd w:val="clear" w:color="auto" w:fill="E5E5E5"/>
          </w:tcPr>
          <w:p>
            <w:pPr>
              <w:spacing w:after="0"/>
              <w:rPr>
                <w:sz w:val="17"/>
                <w:szCs w:val="17"/>
                <w:color w:val="auto"/>
              </w:rPr>
            </w:pPr>
          </w:p>
        </w:tc>
        <w:tc>
          <w:tcPr>
            <w:tcW w:w="220" w:type="dxa"/>
            <w:vAlign w:val="bottom"/>
            <w:gridSpan w:val="2"/>
            <w:shd w:val="clear" w:color="auto" w:fill="E5E5E5"/>
          </w:tcPr>
          <w:p>
            <w:pPr>
              <w:ind w:left="100"/>
              <w:spacing w:after="0" w:line="202" w:lineRule="exact"/>
              <w:rPr>
                <w:sz w:val="20"/>
                <w:szCs w:val="20"/>
                <w:color w:val="auto"/>
              </w:rPr>
            </w:pPr>
            <w:r>
              <w:rPr>
                <w:rFonts w:ascii="Arial" w:cs="Arial" w:eastAsia="Arial" w:hAnsi="Arial"/>
                <w:sz w:val="18"/>
                <w:szCs w:val="18"/>
                <w:color w:val="auto"/>
                <w:w w:val="99"/>
              </w:rPr>
              <w:t>$</w:t>
            </w:r>
          </w:p>
        </w:tc>
        <w:tc>
          <w:tcPr>
            <w:tcW w:w="6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15,179</w:t>
            </w:r>
          </w:p>
        </w:tc>
        <w:tc>
          <w:tcPr>
            <w:tcW w:w="100" w:type="dxa"/>
            <w:vAlign w:val="bottom"/>
            <w:shd w:val="clear" w:color="auto" w:fill="E5E5E5"/>
          </w:tcPr>
          <w:p>
            <w:pPr>
              <w:spacing w:after="0"/>
              <w:rPr>
                <w:sz w:val="17"/>
                <w:szCs w:val="17"/>
                <w:color w:val="auto"/>
              </w:rPr>
            </w:pPr>
          </w:p>
        </w:tc>
        <w:tc>
          <w:tcPr>
            <w:tcW w:w="20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17,608</w:t>
            </w:r>
          </w:p>
        </w:tc>
        <w:tc>
          <w:tcPr>
            <w:tcW w:w="100" w:type="dxa"/>
            <w:vAlign w:val="bottom"/>
            <w:shd w:val="clear" w:color="auto" w:fill="E5E5E5"/>
          </w:tcPr>
          <w:p>
            <w:pPr>
              <w:spacing w:after="0"/>
              <w:rPr>
                <w:sz w:val="17"/>
                <w:szCs w:val="17"/>
                <w:color w:val="auto"/>
              </w:rPr>
            </w:pPr>
          </w:p>
        </w:tc>
        <w:tc>
          <w:tcPr>
            <w:tcW w:w="860" w:type="dxa"/>
            <w:vAlign w:val="bottom"/>
            <w:gridSpan w:val="3"/>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43%</w:t>
            </w:r>
          </w:p>
        </w:tc>
        <w:tc>
          <w:tcPr>
            <w:tcW w:w="84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(14)%</w:t>
            </w:r>
          </w:p>
        </w:tc>
        <w:tc>
          <w:tcPr>
            <w:tcW w:w="126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3%</w:t>
            </w:r>
          </w:p>
        </w:tc>
        <w:tc>
          <w:tcPr>
            <w:tcW w:w="76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100%</w:t>
            </w:r>
          </w:p>
        </w:tc>
        <w:tc>
          <w:tcPr>
            <w:tcW w:w="78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100%</w:t>
            </w:r>
          </w:p>
        </w:tc>
        <w:tc>
          <w:tcPr>
            <w:tcW w:w="70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4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Segments:</w:t>
            </w: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346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gridSpan w:val="2"/>
            <w:shd w:val="clear" w:color="auto" w:fill="E5E5E5"/>
          </w:tcPr>
          <w:p>
            <w:pPr>
              <w:ind w:left="200"/>
              <w:spacing w:after="0" w:line="202" w:lineRule="exact"/>
              <w:rPr>
                <w:sz w:val="20"/>
                <w:szCs w:val="20"/>
                <w:color w:val="auto"/>
              </w:rPr>
            </w:pPr>
            <w:r>
              <w:rPr>
                <w:rFonts w:ascii="Arial" w:cs="Arial" w:eastAsia="Arial" w:hAnsi="Arial"/>
                <w:sz w:val="18"/>
                <w:szCs w:val="18"/>
                <w:color w:val="auto"/>
              </w:rPr>
              <w:t>Technology</w:t>
            </w:r>
          </w:p>
        </w:tc>
        <w:tc>
          <w:tcPr>
            <w:tcW w:w="20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10,349</w:t>
            </w:r>
          </w:p>
        </w:tc>
        <w:tc>
          <w:tcPr>
            <w:tcW w:w="220" w:type="dxa"/>
            <w:vAlign w:val="bottom"/>
            <w:gridSpan w:val="2"/>
            <w:shd w:val="clear" w:color="auto" w:fill="E5E5E5"/>
          </w:tcPr>
          <w:p>
            <w:pPr>
              <w:ind w:left="100"/>
              <w:spacing w:after="0" w:line="202" w:lineRule="exact"/>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10,067</w:t>
            </w:r>
          </w:p>
        </w:tc>
        <w:tc>
          <w:tcPr>
            <w:tcW w:w="20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11,714</w:t>
            </w:r>
          </w:p>
        </w:tc>
        <w:tc>
          <w:tcPr>
            <w:tcW w:w="100" w:type="dxa"/>
            <w:vAlign w:val="bottom"/>
            <w:shd w:val="clear" w:color="auto" w:fill="E5E5E5"/>
          </w:tcPr>
          <w:p>
            <w:pPr>
              <w:spacing w:after="0"/>
              <w:rPr>
                <w:sz w:val="17"/>
                <w:szCs w:val="17"/>
                <w:color w:val="auto"/>
              </w:rPr>
            </w:pPr>
          </w:p>
        </w:tc>
        <w:tc>
          <w:tcPr>
            <w:tcW w:w="860" w:type="dxa"/>
            <w:vAlign w:val="bottom"/>
            <w:gridSpan w:val="3"/>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3%</w:t>
            </w:r>
          </w:p>
        </w:tc>
        <w:tc>
          <w:tcPr>
            <w:tcW w:w="84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(14)%</w:t>
            </w:r>
          </w:p>
        </w:tc>
        <w:tc>
          <w:tcPr>
            <w:tcW w:w="126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3%</w:t>
            </w:r>
          </w:p>
        </w:tc>
        <w:tc>
          <w:tcPr>
            <w:tcW w:w="76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48%</w:t>
            </w:r>
          </w:p>
        </w:tc>
        <w:tc>
          <w:tcPr>
            <w:tcW w:w="78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66%</w:t>
            </w:r>
          </w:p>
        </w:tc>
        <w:tc>
          <w:tcPr>
            <w:tcW w:w="70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Services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9,637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3,476</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3,828</w:t>
            </w:r>
          </w:p>
        </w:tc>
        <w:tc>
          <w:tcPr>
            <w:tcW w:w="100" w:type="dxa"/>
            <w:vAlign w:val="bottom"/>
          </w:tcPr>
          <w:p>
            <w:pPr>
              <w:spacing w:after="0"/>
              <w:rPr>
                <w:sz w:val="17"/>
                <w:szCs w:val="17"/>
                <w:color w:val="auto"/>
              </w:rPr>
            </w:pPr>
          </w:p>
        </w:tc>
        <w:tc>
          <w:tcPr>
            <w:tcW w:w="86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177%</w:t>
            </w: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w:t>
            </w:r>
          </w:p>
        </w:tc>
        <w:tc>
          <w:tcPr>
            <w:tcW w:w="12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w:t>
            </w:r>
          </w:p>
        </w:tc>
        <w:tc>
          <w:tcPr>
            <w:tcW w:w="7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44%</w:t>
            </w:r>
          </w:p>
        </w:tc>
        <w:tc>
          <w:tcPr>
            <w:tcW w:w="7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23%</w:t>
            </w:r>
          </w:p>
        </w:tc>
        <w:tc>
          <w:tcPr>
            <w:tcW w:w="7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gridSpan w:val="2"/>
            <w:shd w:val="clear" w:color="auto" w:fill="E5E5E5"/>
          </w:tcPr>
          <w:p>
            <w:pPr>
              <w:ind w:left="200"/>
              <w:spacing w:after="0" w:line="202" w:lineRule="exact"/>
              <w:rPr>
                <w:sz w:val="20"/>
                <w:szCs w:val="20"/>
                <w:color w:val="auto"/>
              </w:rPr>
            </w:pPr>
            <w:r>
              <w:rPr>
                <w:rFonts w:ascii="Arial" w:cs="Arial" w:eastAsia="Arial" w:hAnsi="Arial"/>
                <w:sz w:val="18"/>
                <w:szCs w:val="18"/>
                <w:color w:val="auto"/>
              </w:rPr>
              <w:t>Other</w:t>
            </w:r>
          </w:p>
        </w:tc>
        <w:tc>
          <w:tcPr>
            <w:tcW w:w="8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1,647</w:t>
            </w:r>
          </w:p>
        </w:tc>
        <w:tc>
          <w:tcPr>
            <w:tcW w:w="8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1,636</w:t>
            </w:r>
          </w:p>
        </w:tc>
        <w:tc>
          <w:tcPr>
            <w:tcW w:w="10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6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2,066</w:t>
            </w:r>
          </w:p>
        </w:tc>
        <w:tc>
          <w:tcPr>
            <w:tcW w:w="100" w:type="dxa"/>
            <w:vAlign w:val="bottom"/>
            <w:shd w:val="clear" w:color="auto" w:fill="E5E5E5"/>
          </w:tcPr>
          <w:p>
            <w:pPr>
              <w:spacing w:after="0"/>
              <w:rPr>
                <w:sz w:val="17"/>
                <w:szCs w:val="17"/>
                <w:color w:val="auto"/>
              </w:rPr>
            </w:pPr>
          </w:p>
        </w:tc>
        <w:tc>
          <w:tcPr>
            <w:tcW w:w="860" w:type="dxa"/>
            <w:vAlign w:val="bottom"/>
            <w:gridSpan w:val="3"/>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1%</w:t>
            </w:r>
          </w:p>
        </w:tc>
        <w:tc>
          <w:tcPr>
            <w:tcW w:w="84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(21)%</w:t>
            </w:r>
          </w:p>
        </w:tc>
        <w:tc>
          <w:tcPr>
            <w:tcW w:w="126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1%</w:t>
            </w:r>
          </w:p>
        </w:tc>
        <w:tc>
          <w:tcPr>
            <w:tcW w:w="76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8%</w:t>
            </w:r>
          </w:p>
        </w:tc>
        <w:tc>
          <w:tcPr>
            <w:tcW w:w="78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11%</w:t>
            </w:r>
          </w:p>
        </w:tc>
        <w:tc>
          <w:tcPr>
            <w:tcW w:w="70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34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Total Revenues</w:t>
            </w: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60" w:type="dxa"/>
            <w:vAlign w:val="bottom"/>
            <w:gridSpan w:val="3"/>
            <w:vMerge w:val="continue"/>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21,633</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15,179</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17,608</w:t>
            </w:r>
          </w:p>
        </w:tc>
        <w:tc>
          <w:tcPr>
            <w:tcW w:w="100" w:type="dxa"/>
            <w:vAlign w:val="bottom"/>
          </w:tcPr>
          <w:p>
            <w:pPr>
              <w:spacing w:after="0"/>
              <w:rPr>
                <w:sz w:val="18"/>
                <w:szCs w:val="18"/>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8"/>
                <w:szCs w:val="18"/>
                <w:color w:val="auto"/>
              </w:rPr>
              <w:t>43%</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7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9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Memo:</w:t>
            </w:r>
          </w:p>
        </w:tc>
        <w:tc>
          <w:tcPr>
            <w:tcW w:w="8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50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92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48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gridSpan w:val="2"/>
          </w:tcPr>
          <w:p>
            <w:pPr>
              <w:ind w:left="200"/>
              <w:spacing w:after="0" w:line="203" w:lineRule="exact"/>
              <w:rPr>
                <w:sz w:val="20"/>
                <w:szCs w:val="20"/>
                <w:color w:val="auto"/>
              </w:rPr>
            </w:pPr>
            <w:r>
              <w:rPr>
                <w:rFonts w:ascii="Arial" w:cs="Arial" w:eastAsia="Arial" w:hAnsi="Arial"/>
                <w:sz w:val="18"/>
                <w:szCs w:val="18"/>
                <w:color w:val="auto"/>
              </w:rPr>
              <w:t xml:space="preserve">Annuity Revenue </w:t>
            </w:r>
            <w:r>
              <w:rPr>
                <w:rFonts w:ascii="Arial" w:cs="Arial" w:eastAsia="Arial" w:hAnsi="Arial"/>
                <w:sz w:val="22"/>
                <w:szCs w:val="22"/>
                <w:color w:val="auto"/>
                <w:vertAlign w:val="superscript"/>
              </w:rPr>
              <w:t>(1)</w:t>
            </w:r>
          </w:p>
        </w:tc>
        <w:tc>
          <w:tcPr>
            <w:tcW w:w="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17,776</w:t>
            </w:r>
          </w:p>
        </w:tc>
        <w:tc>
          <w:tcPr>
            <w:tcW w:w="220" w:type="dxa"/>
            <w:vAlign w:val="bottom"/>
            <w:gridSpan w:val="2"/>
          </w:tcPr>
          <w:p>
            <w:pPr>
              <w:ind w:left="100"/>
              <w:spacing w:after="0" w:line="202" w:lineRule="exact"/>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11,629</w:t>
            </w:r>
          </w:p>
        </w:tc>
        <w:tc>
          <w:tcPr>
            <w:tcW w:w="2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12,929</w:t>
            </w:r>
          </w:p>
        </w:tc>
        <w:tc>
          <w:tcPr>
            <w:tcW w:w="100" w:type="dxa"/>
            <w:vAlign w:val="bottom"/>
          </w:tcPr>
          <w:p>
            <w:pPr>
              <w:spacing w:after="0"/>
              <w:rPr>
                <w:sz w:val="17"/>
                <w:szCs w:val="17"/>
                <w:color w:val="auto"/>
              </w:rPr>
            </w:pPr>
          </w:p>
        </w:tc>
        <w:tc>
          <w:tcPr>
            <w:tcW w:w="86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53%</w:t>
            </w: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w:t>
            </w:r>
          </w:p>
        </w:tc>
        <w:tc>
          <w:tcPr>
            <w:tcW w:w="12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w:t>
            </w:r>
          </w:p>
        </w:tc>
        <w:tc>
          <w:tcPr>
            <w:tcW w:w="7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82%</w:t>
            </w:r>
          </w:p>
        </w:tc>
        <w:tc>
          <w:tcPr>
            <w:tcW w:w="7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77%</w:t>
            </w:r>
          </w:p>
        </w:tc>
        <w:tc>
          <w:tcPr>
            <w:tcW w:w="7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gridSpan w:val="2"/>
            <w:shd w:val="clear" w:color="auto" w:fill="E5E5E5"/>
          </w:tcPr>
          <w:p>
            <w:pPr>
              <w:ind w:left="200"/>
              <w:spacing w:after="0" w:line="203" w:lineRule="exact"/>
              <w:rPr>
                <w:sz w:val="20"/>
                <w:szCs w:val="20"/>
                <w:color w:val="auto"/>
              </w:rPr>
            </w:pPr>
            <w:r>
              <w:rPr>
                <w:rFonts w:ascii="Arial" w:cs="Arial" w:eastAsia="Arial" w:hAnsi="Arial"/>
                <w:sz w:val="18"/>
                <w:szCs w:val="18"/>
                <w:color w:val="auto"/>
              </w:rPr>
              <w:t xml:space="preserve">Color </w:t>
            </w:r>
            <w:r>
              <w:rPr>
                <w:rFonts w:ascii="Arial" w:cs="Arial" w:eastAsia="Arial" w:hAnsi="Arial"/>
                <w:sz w:val="22"/>
                <w:szCs w:val="22"/>
                <w:color w:val="auto"/>
                <w:vertAlign w:val="superscript"/>
              </w:rPr>
              <w:t>(2)</w:t>
            </w:r>
          </w:p>
        </w:tc>
        <w:tc>
          <w:tcPr>
            <w:tcW w:w="20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6,397</w:t>
            </w:r>
          </w:p>
        </w:tc>
        <w:tc>
          <w:tcPr>
            <w:tcW w:w="80" w:type="dxa"/>
            <w:vAlign w:val="bottom"/>
            <w:shd w:val="clear" w:color="auto" w:fill="E5E5E5"/>
          </w:tcPr>
          <w:p>
            <w:pPr>
              <w:spacing w:after="0"/>
              <w:rPr>
                <w:sz w:val="17"/>
                <w:szCs w:val="17"/>
                <w:color w:val="auto"/>
              </w:rPr>
            </w:pPr>
          </w:p>
        </w:tc>
        <w:tc>
          <w:tcPr>
            <w:tcW w:w="220" w:type="dxa"/>
            <w:vAlign w:val="bottom"/>
            <w:gridSpan w:val="2"/>
            <w:shd w:val="clear" w:color="auto" w:fill="E5E5E5"/>
          </w:tcPr>
          <w:p>
            <w:pPr>
              <w:ind w:left="100"/>
              <w:spacing w:after="0" w:line="202" w:lineRule="exact"/>
              <w:rPr>
                <w:sz w:val="20"/>
                <w:szCs w:val="20"/>
                <w:color w:val="auto"/>
              </w:rPr>
            </w:pPr>
            <w:r>
              <w:rPr>
                <w:rFonts w:ascii="Arial" w:cs="Arial" w:eastAsia="Arial" w:hAnsi="Arial"/>
                <w:sz w:val="18"/>
                <w:szCs w:val="18"/>
                <w:color w:val="auto"/>
                <w:w w:val="99"/>
              </w:rPr>
              <w:t>$</w:t>
            </w:r>
          </w:p>
        </w:tc>
        <w:tc>
          <w:tcPr>
            <w:tcW w:w="6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5,972</w:t>
            </w:r>
          </w:p>
        </w:tc>
        <w:tc>
          <w:tcPr>
            <w:tcW w:w="100" w:type="dxa"/>
            <w:vAlign w:val="bottom"/>
            <w:shd w:val="clear" w:color="auto" w:fill="E5E5E5"/>
          </w:tcPr>
          <w:p>
            <w:pPr>
              <w:spacing w:after="0"/>
              <w:rPr>
                <w:sz w:val="17"/>
                <w:szCs w:val="17"/>
                <w:color w:val="auto"/>
              </w:rPr>
            </w:pPr>
          </w:p>
        </w:tc>
        <w:tc>
          <w:tcPr>
            <w:tcW w:w="20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6,669</w:t>
            </w:r>
          </w:p>
        </w:tc>
        <w:tc>
          <w:tcPr>
            <w:tcW w:w="100" w:type="dxa"/>
            <w:vAlign w:val="bottom"/>
            <w:shd w:val="clear" w:color="auto" w:fill="E5E5E5"/>
          </w:tcPr>
          <w:p>
            <w:pPr>
              <w:spacing w:after="0"/>
              <w:rPr>
                <w:sz w:val="17"/>
                <w:szCs w:val="17"/>
                <w:color w:val="auto"/>
              </w:rPr>
            </w:pPr>
          </w:p>
        </w:tc>
        <w:tc>
          <w:tcPr>
            <w:tcW w:w="860" w:type="dxa"/>
            <w:vAlign w:val="bottom"/>
            <w:gridSpan w:val="3"/>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7%</w:t>
            </w:r>
          </w:p>
        </w:tc>
        <w:tc>
          <w:tcPr>
            <w:tcW w:w="84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(10)%</w:t>
            </w:r>
          </w:p>
        </w:tc>
        <w:tc>
          <w:tcPr>
            <w:tcW w:w="126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7%</w:t>
            </w:r>
          </w:p>
        </w:tc>
        <w:tc>
          <w:tcPr>
            <w:tcW w:w="76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30%</w:t>
            </w:r>
          </w:p>
        </w:tc>
        <w:tc>
          <w:tcPr>
            <w:tcW w:w="78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39%</w:t>
            </w:r>
          </w:p>
        </w:tc>
        <w:tc>
          <w:tcPr>
            <w:tcW w:w="70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Revenue 2010</w:t>
      </w:r>
    </w:p>
    <w:p>
      <w:pPr>
        <w:spacing w:after="0" w:line="18" w:lineRule="exact"/>
        <w:rPr>
          <w:sz w:val="20"/>
          <w:szCs w:val="20"/>
          <w:color w:val="auto"/>
        </w:rPr>
      </w:pPr>
    </w:p>
    <w:p>
      <w:pPr>
        <w:ind w:right="80"/>
        <w:spacing w:after="0" w:line="218" w:lineRule="auto"/>
        <w:rPr>
          <w:sz w:val="20"/>
          <w:szCs w:val="20"/>
          <w:color w:val="auto"/>
        </w:rPr>
      </w:pPr>
      <w:r>
        <w:rPr>
          <w:rFonts w:ascii="Arial" w:cs="Arial" w:eastAsia="Arial" w:hAnsi="Arial"/>
          <w:sz w:val="18"/>
          <w:szCs w:val="18"/>
          <w:color w:val="auto"/>
        </w:rPr>
        <w:t xml:space="preserve">Total revenues increased 43% compared to the prior year. Our consolidated 2010 results include ACS results subsequent to February 5, 2010, the effective date of the acquisition. On a pro-forma </w:t>
      </w:r>
      <w:r>
        <w:rPr>
          <w:rFonts w:ascii="Arial" w:cs="Arial" w:eastAsia="Arial" w:hAnsi="Arial"/>
          <w:sz w:val="22"/>
          <w:szCs w:val="22"/>
          <w:color w:val="auto"/>
          <w:vertAlign w:val="superscript"/>
        </w:rPr>
        <w:t>(3)</w:t>
      </w:r>
      <w:r>
        <w:rPr>
          <w:rFonts w:ascii="Arial" w:cs="Arial" w:eastAsia="Arial" w:hAnsi="Arial"/>
          <w:sz w:val="18"/>
          <w:szCs w:val="18"/>
          <w:color w:val="auto"/>
        </w:rPr>
        <w:t xml:space="preserve"> basis total revenue grew 3%. Currency had a negligible impact on total revenues during 2010. Total revenues included the following:</w:t>
      </w:r>
    </w:p>
    <w:p>
      <w:pPr>
        <w:spacing w:after="0" w:line="2" w:lineRule="exact"/>
        <w:rPr>
          <w:sz w:val="20"/>
          <w:szCs w:val="20"/>
          <w:color w:val="auto"/>
        </w:rPr>
      </w:pPr>
    </w:p>
    <w:p>
      <w:pPr>
        <w:ind w:left="340" w:right="120" w:hanging="332"/>
        <w:spacing w:after="0" w:line="211" w:lineRule="auto"/>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53% increase in annuity revenue </w:t>
      </w:r>
      <w:r>
        <w:rPr>
          <w:rFonts w:ascii="Arial" w:cs="Arial" w:eastAsia="Arial" w:hAnsi="Arial"/>
          <w:sz w:val="22"/>
          <w:szCs w:val="22"/>
          <w:color w:val="auto"/>
          <w:vertAlign w:val="superscript"/>
        </w:rPr>
        <w:t>(1)</w:t>
      </w:r>
      <w:r>
        <w:rPr>
          <w:rFonts w:ascii="Arial" w:cs="Arial" w:eastAsia="Arial" w:hAnsi="Arial"/>
          <w:sz w:val="18"/>
          <w:szCs w:val="18"/>
          <w:color w:val="auto"/>
        </w:rPr>
        <w:t xml:space="preserve">, or 1% on a pro-forma </w:t>
      </w:r>
      <w:r>
        <w:rPr>
          <w:rFonts w:ascii="Arial" w:cs="Arial" w:eastAsia="Arial" w:hAnsi="Arial"/>
          <w:sz w:val="22"/>
          <w:szCs w:val="22"/>
          <w:color w:val="auto"/>
          <w:vertAlign w:val="superscript"/>
        </w:rPr>
        <w:t>(3)</w:t>
      </w:r>
      <w:r>
        <w:rPr>
          <w:rFonts w:ascii="Arial" w:cs="Arial" w:eastAsia="Arial" w:hAnsi="Arial"/>
          <w:sz w:val="18"/>
          <w:szCs w:val="18"/>
          <w:color w:val="auto"/>
        </w:rPr>
        <w:t xml:space="preserve"> basis, with a 1-percentage point negative impact from currency. The components of annuity revenue were as follows:</w:t>
      </w:r>
    </w:p>
    <w:p>
      <w:pPr>
        <w:ind w:left="660" w:right="300" w:hanging="324"/>
        <w:spacing w:after="0" w:line="222" w:lineRule="auto"/>
        <w:rPr>
          <w:rFonts w:ascii="Arial" w:cs="Arial" w:eastAsia="Arial" w:hAnsi="Arial"/>
          <w:sz w:val="18"/>
          <w:szCs w:val="18"/>
          <w:color w:val="auto"/>
        </w:rPr>
      </w:pPr>
      <w:r>
        <w:rPr>
          <w:rFonts w:ascii="Arial" w:cs="Arial" w:eastAsia="Arial" w:hAnsi="Arial"/>
          <w:sz w:val="18"/>
          <w:szCs w:val="18"/>
          <w:color w:val="auto"/>
        </w:rPr>
        <w:t xml:space="preserve">– Service, outsourcing and rentals revenue of $13,739 million increased 76%, or 1% on a pro-forma </w:t>
      </w:r>
      <w:r>
        <w:rPr>
          <w:rFonts w:ascii="Arial" w:cs="Arial" w:eastAsia="Arial" w:hAnsi="Arial"/>
          <w:sz w:val="22"/>
          <w:szCs w:val="22"/>
          <w:color w:val="auto"/>
          <w:vertAlign w:val="superscript"/>
        </w:rPr>
        <w:t>(3)</w:t>
      </w:r>
      <w:r>
        <w:rPr>
          <w:rFonts w:ascii="Arial" w:cs="Arial" w:eastAsia="Arial" w:hAnsi="Arial"/>
          <w:sz w:val="18"/>
          <w:szCs w:val="18"/>
          <w:color w:val="auto"/>
        </w:rPr>
        <w:t xml:space="preserve"> basis, and included a negligible impact from currency. The increase was driven by Business Process Outsourcing (“BPO”) revenue that partially offset the declines in technical service revenue which were driven by a continued but stabilizing decline in pages. Total digital pages declined 4% while color pages increased 9%. During 2010 digital MIF increased by 1% and color MIF increased by 15%.</w:t>
      </w:r>
    </w:p>
    <w:p>
      <w:pPr>
        <w:spacing w:after="0" w:line="1" w:lineRule="exact"/>
        <w:rPr>
          <w:rFonts w:ascii="Arial" w:cs="Arial" w:eastAsia="Arial" w:hAnsi="Arial"/>
          <w:sz w:val="18"/>
          <w:szCs w:val="18"/>
          <w:color w:val="auto"/>
        </w:rPr>
      </w:pPr>
    </w:p>
    <w:p>
      <w:pPr>
        <w:ind w:left="660" w:right="80" w:hanging="324"/>
        <w:spacing w:after="0" w:line="211" w:lineRule="auto"/>
        <w:rPr>
          <w:rFonts w:ascii="Arial" w:cs="Arial" w:eastAsia="Arial" w:hAnsi="Arial"/>
          <w:sz w:val="18"/>
          <w:szCs w:val="18"/>
          <w:color w:val="auto"/>
        </w:rPr>
      </w:pPr>
      <w:r>
        <w:rPr>
          <w:rFonts w:ascii="Arial" w:cs="Arial" w:eastAsia="Arial" w:hAnsi="Arial"/>
          <w:sz w:val="18"/>
          <w:szCs w:val="18"/>
          <w:color w:val="auto"/>
        </w:rPr>
        <w:t xml:space="preserve">– Supplies, paper, and other sales of $3,377 million increased 9%, or 4% on a pro-forma </w:t>
      </w:r>
      <w:r>
        <w:rPr>
          <w:rFonts w:ascii="Arial" w:cs="Arial" w:eastAsia="Arial" w:hAnsi="Arial"/>
          <w:sz w:val="22"/>
          <w:szCs w:val="22"/>
          <w:color w:val="auto"/>
          <w:vertAlign w:val="superscript"/>
        </w:rPr>
        <w:t>(3)</w:t>
      </w:r>
      <w:r>
        <w:rPr>
          <w:rFonts w:ascii="Arial" w:cs="Arial" w:eastAsia="Arial" w:hAnsi="Arial"/>
          <w:sz w:val="18"/>
          <w:szCs w:val="18"/>
          <w:color w:val="auto"/>
        </w:rPr>
        <w:t xml:space="preserve"> basis, with a 1-percentage point negative impact from currency. Growth in supplies revenues were partially offset by a decline in paper sales.</w:t>
      </w:r>
    </w:p>
    <w:p>
      <w:pPr>
        <w:ind w:left="340" w:right="140" w:hanging="332"/>
        <w:spacing w:after="0" w:line="234" w:lineRule="auto"/>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9% increase in equipment sales revenue, including a 1-percentage point negative impact from currency. Growth in install activity was partially offset by price declines of approximately 5% and mix.</w:t>
      </w:r>
    </w:p>
    <w:p>
      <w:pPr>
        <w:spacing w:after="0" w:line="1" w:lineRule="exact"/>
        <w:rPr>
          <w:rFonts w:ascii="Arial" w:cs="Arial" w:eastAsia="Arial" w:hAnsi="Arial"/>
          <w:sz w:val="18"/>
          <w:szCs w:val="18"/>
          <w:color w:val="auto"/>
        </w:rPr>
      </w:pPr>
    </w:p>
    <w:p>
      <w:pPr>
        <w:ind w:left="340" w:hanging="332"/>
        <w:spacing w:after="0" w:line="192" w:lineRule="auto"/>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7% increase in color revenue </w:t>
      </w:r>
      <w:r>
        <w:rPr>
          <w:rFonts w:ascii="Arial" w:cs="Arial" w:eastAsia="Arial" w:hAnsi="Arial"/>
          <w:sz w:val="22"/>
          <w:szCs w:val="22"/>
          <w:color w:val="auto"/>
          <w:vertAlign w:val="superscript"/>
        </w:rPr>
        <w:t>(2)</w:t>
      </w:r>
      <w:r>
        <w:rPr>
          <w:rFonts w:ascii="Arial" w:cs="Arial" w:eastAsia="Arial" w:hAnsi="Arial"/>
          <w:sz w:val="18"/>
          <w:szCs w:val="18"/>
          <w:color w:val="auto"/>
        </w:rPr>
        <w:t>, including a 1-percentage point negative impact from currency reflecting:</w:t>
      </w:r>
    </w:p>
    <w:p>
      <w:pPr>
        <w:ind w:left="660" w:right="260" w:hanging="324"/>
        <w:spacing w:after="0" w:line="234" w:lineRule="auto"/>
        <w:rPr>
          <w:rFonts w:ascii="Arial" w:cs="Arial" w:eastAsia="Arial" w:hAnsi="Arial"/>
          <w:sz w:val="18"/>
          <w:szCs w:val="18"/>
          <w:color w:val="auto"/>
        </w:rPr>
      </w:pPr>
      <w:r>
        <w:rPr>
          <w:rFonts w:ascii="Arial" w:cs="Arial" w:eastAsia="Arial" w:hAnsi="Arial"/>
          <w:sz w:val="18"/>
          <w:szCs w:val="18"/>
          <w:color w:val="auto"/>
        </w:rPr>
        <w:t>– 5% increase in color annuity revenue, including a 1-percentage point negative impact from currency. The increase was driven by higher printer supplies sales and higher page volumes.</w:t>
      </w:r>
    </w:p>
    <w:p>
      <w:pPr>
        <w:spacing w:after="0" w:line="1" w:lineRule="exact"/>
        <w:rPr>
          <w:rFonts w:ascii="Arial" w:cs="Arial" w:eastAsia="Arial" w:hAnsi="Arial"/>
          <w:sz w:val="18"/>
          <w:szCs w:val="18"/>
          <w:color w:val="auto"/>
        </w:rPr>
      </w:pPr>
    </w:p>
    <w:p>
      <w:pPr>
        <w:ind w:left="660" w:right="220" w:hanging="324"/>
        <w:spacing w:after="0" w:line="234" w:lineRule="auto"/>
        <w:rPr>
          <w:rFonts w:ascii="Arial" w:cs="Arial" w:eastAsia="Arial" w:hAnsi="Arial"/>
          <w:sz w:val="18"/>
          <w:szCs w:val="18"/>
          <w:color w:val="auto"/>
        </w:rPr>
      </w:pPr>
      <w:r>
        <w:rPr>
          <w:rFonts w:ascii="Arial" w:cs="Arial" w:eastAsia="Arial" w:hAnsi="Arial"/>
          <w:sz w:val="18"/>
          <w:szCs w:val="18"/>
          <w:color w:val="auto"/>
        </w:rPr>
        <w:t>– 12% increase in color equipment sales revenue, including a 2-percentage point negative impact from currency. The increase was driven by higher installs of new products.</w:t>
      </w:r>
    </w:p>
    <w:p>
      <w:pPr>
        <w:spacing w:after="0" w:line="1"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   9% growth in color pages</w:t>
      </w:r>
      <w:r>
        <w:rPr>
          <w:rFonts w:ascii="Arial" w:cs="Arial" w:eastAsia="Arial" w:hAnsi="Arial"/>
          <w:sz w:val="22"/>
          <w:szCs w:val="22"/>
          <w:color w:val="auto"/>
          <w:vertAlign w:val="superscript"/>
        </w:rPr>
        <w:t>(4)</w:t>
      </w:r>
      <w:r>
        <w:rPr>
          <w:rFonts w:ascii="Arial" w:cs="Arial" w:eastAsia="Arial" w:hAnsi="Arial"/>
          <w:sz w:val="18"/>
          <w:szCs w:val="18"/>
          <w:color w:val="auto"/>
        </w:rPr>
        <w:t xml:space="preserve">. Color pages </w:t>
      </w:r>
      <w:r>
        <w:rPr>
          <w:rFonts w:ascii="Arial" w:cs="Arial" w:eastAsia="Arial" w:hAnsi="Arial"/>
          <w:sz w:val="22"/>
          <w:szCs w:val="22"/>
          <w:color w:val="auto"/>
          <w:vertAlign w:val="superscript"/>
        </w:rPr>
        <w:t>(4)</w:t>
      </w:r>
      <w:r>
        <w:rPr>
          <w:rFonts w:ascii="Arial" w:cs="Arial" w:eastAsia="Arial" w:hAnsi="Arial"/>
          <w:sz w:val="18"/>
          <w:szCs w:val="18"/>
          <w:color w:val="auto"/>
        </w:rPr>
        <w:t xml:space="preserve"> represented 23% of total pages in 2010 while color MIF represented 31% of total MIF.</w:t>
      </w:r>
    </w:p>
    <w:p>
      <w:pPr>
        <w:spacing w:after="0" w:line="94" w:lineRule="exact"/>
        <w:rPr>
          <w:sz w:val="20"/>
          <w:szCs w:val="20"/>
          <w:color w:val="auto"/>
        </w:rPr>
      </w:pPr>
    </w:p>
    <w:p>
      <w:pPr>
        <w:ind w:left="9680"/>
        <w:spacing w:after="0"/>
        <w:rPr>
          <w:sz w:val="20"/>
          <w:szCs w:val="20"/>
          <w:color w:val="auto"/>
        </w:rPr>
      </w:pPr>
      <w:r>
        <w:rPr>
          <w:rFonts w:ascii="Arial" w:cs="Arial" w:eastAsia="Arial" w:hAnsi="Arial"/>
          <w:sz w:val="12"/>
          <w:szCs w:val="12"/>
          <w:color w:val="4C9F40"/>
        </w:rPr>
        <w:t>Xerox 2010 Annual Report 4</w:t>
      </w:r>
    </w:p>
    <w:p>
      <w:pPr>
        <w:sectPr>
          <w:pgSz w:w="11900" w:h="16838" w:orient="portrait"/>
          <w:cols w:equalWidth="0" w:num="1">
            <w:col w:w="11420"/>
          </w:cols>
          <w:pgMar w:left="240" w:top="310"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4C9F40"/>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Revenue 2009</w:t>
      </w:r>
    </w:p>
    <w:p>
      <w:pPr>
        <w:spacing w:after="0" w:line="18" w:lineRule="exact"/>
        <w:rPr>
          <w:sz w:val="20"/>
          <w:szCs w:val="20"/>
          <w:color w:val="auto"/>
        </w:rPr>
      </w:pPr>
    </w:p>
    <w:p>
      <w:pPr>
        <w:ind w:right="180"/>
        <w:spacing w:after="0" w:line="234" w:lineRule="auto"/>
        <w:rPr>
          <w:sz w:val="20"/>
          <w:szCs w:val="20"/>
          <w:color w:val="auto"/>
        </w:rPr>
      </w:pPr>
      <w:r>
        <w:rPr>
          <w:rFonts w:ascii="Arial" w:cs="Arial" w:eastAsia="Arial" w:hAnsi="Arial"/>
          <w:sz w:val="18"/>
          <w:szCs w:val="18"/>
          <w:color w:val="auto"/>
        </w:rPr>
        <w:t>Revenue decreased 14% compared to the prior year, including a 3-percentage point negative impact from currency. Although moderating in the fourth quarter 2009, worldwide economic weakness negatively impacted our major market segments during the year. Total revenues included the following:</w:t>
      </w:r>
    </w:p>
    <w:p>
      <w:pPr>
        <w:spacing w:after="0" w:line="2" w:lineRule="exact"/>
        <w:rPr>
          <w:sz w:val="20"/>
          <w:szCs w:val="20"/>
          <w:color w:val="auto"/>
        </w:rPr>
      </w:pPr>
    </w:p>
    <w:p>
      <w:pPr>
        <w:ind w:left="340" w:right="360" w:hanging="332"/>
        <w:spacing w:after="0" w:line="211" w:lineRule="auto"/>
        <w:tabs>
          <w:tab w:leader="none" w:pos="3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10% decrease in annuity revenue</w:t>
      </w:r>
      <w:r>
        <w:rPr>
          <w:rFonts w:ascii="Arial" w:cs="Arial" w:eastAsia="Arial" w:hAnsi="Arial"/>
          <w:sz w:val="22"/>
          <w:szCs w:val="22"/>
          <w:color w:val="auto"/>
          <w:vertAlign w:val="superscript"/>
        </w:rPr>
        <w:t>(1)</w:t>
      </w:r>
      <w:r>
        <w:rPr>
          <w:rFonts w:ascii="Arial" w:cs="Arial" w:eastAsia="Arial" w:hAnsi="Arial"/>
          <w:sz w:val="18"/>
          <w:szCs w:val="18"/>
          <w:color w:val="auto"/>
        </w:rPr>
        <w:t xml:space="preserve"> including a 3-percentage point negative impact from currency. The components of the annuity revenue decreased as follows:</w:t>
      </w:r>
    </w:p>
    <w:p>
      <w:pPr>
        <w:ind w:left="660" w:right="180" w:hanging="324"/>
        <w:spacing w:after="0" w:line="234" w:lineRule="auto"/>
        <w:rPr>
          <w:rFonts w:ascii="Arial" w:cs="Arial" w:eastAsia="Arial" w:hAnsi="Arial"/>
          <w:sz w:val="18"/>
          <w:szCs w:val="18"/>
          <w:color w:val="auto"/>
        </w:rPr>
      </w:pPr>
      <w:r>
        <w:rPr>
          <w:rFonts w:ascii="Arial" w:cs="Arial" w:eastAsia="Arial" w:hAnsi="Arial"/>
          <w:sz w:val="18"/>
          <w:szCs w:val="18"/>
          <w:color w:val="auto"/>
        </w:rPr>
        <w:t>– 8% decrease in service, outsourcing and rentals revenue to $7,820 million reflecting a 3-percentage point negative impact from currency and an overall decline in page volume. Total digital pages declined 6% despite an increase in color pages of 10%. Additionally, during 2009 digital MIF increased by 2% and color MIF increased by 21%.</w:t>
      </w:r>
    </w:p>
    <w:p>
      <w:pPr>
        <w:spacing w:after="0" w:line="2" w:lineRule="exact"/>
        <w:rPr>
          <w:rFonts w:ascii="Arial" w:cs="Arial" w:eastAsia="Arial" w:hAnsi="Arial"/>
          <w:sz w:val="18"/>
          <w:szCs w:val="18"/>
          <w:color w:val="auto"/>
        </w:rPr>
      </w:pPr>
    </w:p>
    <w:p>
      <w:pPr>
        <w:ind w:left="660" w:right="420" w:hanging="324"/>
        <w:spacing w:after="0" w:line="264" w:lineRule="auto"/>
        <w:rPr>
          <w:rFonts w:ascii="Arial" w:cs="Arial" w:eastAsia="Arial" w:hAnsi="Arial"/>
          <w:sz w:val="18"/>
          <w:szCs w:val="18"/>
          <w:color w:val="auto"/>
        </w:rPr>
      </w:pPr>
      <w:r>
        <w:rPr>
          <w:rFonts w:ascii="Arial" w:cs="Arial" w:eastAsia="Arial" w:hAnsi="Arial"/>
          <w:sz w:val="16"/>
          <w:szCs w:val="16"/>
          <w:color w:val="auto"/>
        </w:rPr>
        <w:t>– Supplies, paper, and other sales of $3,096 million decreased 15% due primarily to currency, which had a 2-percentage point negative impact, and declines in channel supplies purchases, including lower purchases within developing markets, and lower paper sales.</w:t>
      </w:r>
    </w:p>
    <w:p>
      <w:pPr>
        <w:ind w:left="340" w:right="100" w:hanging="332"/>
        <w:spacing w:after="0" w:line="234" w:lineRule="auto"/>
        <w:tabs>
          <w:tab w:leader="none" w:pos="3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24% decrease in equipment sales revenue, including a 1-percentage point negative impact from currency. The overall decline in install activity was the primary driver along with price declines of approximately 5%.</w:t>
      </w:r>
    </w:p>
    <w:p>
      <w:pPr>
        <w:spacing w:after="0" w:line="1" w:lineRule="exact"/>
        <w:rPr>
          <w:rFonts w:ascii="Arial" w:cs="Arial" w:eastAsia="Arial" w:hAnsi="Arial"/>
          <w:sz w:val="18"/>
          <w:szCs w:val="18"/>
          <w:color w:val="auto"/>
        </w:rPr>
      </w:pPr>
    </w:p>
    <w:p>
      <w:pPr>
        <w:ind w:left="340" w:hanging="332"/>
        <w:spacing w:after="0" w:line="192" w:lineRule="auto"/>
        <w:tabs>
          <w:tab w:leader="none" w:pos="3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10% decrease in color revenue </w:t>
      </w:r>
      <w:r>
        <w:rPr>
          <w:rFonts w:ascii="Arial" w:cs="Arial" w:eastAsia="Arial" w:hAnsi="Arial"/>
          <w:sz w:val="22"/>
          <w:szCs w:val="22"/>
          <w:color w:val="auto"/>
          <w:vertAlign w:val="superscript"/>
        </w:rPr>
        <w:t>(2)</w:t>
      </w:r>
      <w:r>
        <w:rPr>
          <w:rFonts w:ascii="Arial" w:cs="Arial" w:eastAsia="Arial" w:hAnsi="Arial"/>
          <w:sz w:val="18"/>
          <w:szCs w:val="18"/>
          <w:color w:val="auto"/>
        </w:rPr>
        <w:t xml:space="preserve"> including a 2-percentage point negative impact from currency reflecting:</w:t>
      </w:r>
    </w:p>
    <w:p>
      <w:pPr>
        <w:jc w:val="center"/>
        <w:ind w:left="660" w:right="240" w:hanging="324"/>
        <w:spacing w:after="0" w:line="264" w:lineRule="auto"/>
        <w:rPr>
          <w:rFonts w:ascii="Arial" w:cs="Arial" w:eastAsia="Arial" w:hAnsi="Arial"/>
          <w:sz w:val="18"/>
          <w:szCs w:val="18"/>
          <w:color w:val="auto"/>
        </w:rPr>
      </w:pPr>
      <w:r>
        <w:rPr>
          <w:rFonts w:ascii="Arial" w:cs="Arial" w:eastAsia="Arial" w:hAnsi="Arial"/>
          <w:sz w:val="16"/>
          <w:szCs w:val="16"/>
          <w:color w:val="auto"/>
        </w:rPr>
        <w:t>–   5% decrease in color annuity revenue including a 3-percentage point negative impact from currency. The decline was partially driven by lower channel color printer supplies purchases. Color represented 40% and 37% of annuity revenue in 2009 and 2008, respectively.</w:t>
      </w:r>
    </w:p>
    <w:p>
      <w:pPr>
        <w:ind w:left="660" w:right="40" w:hanging="324"/>
        <w:spacing w:after="0" w:line="234" w:lineRule="auto"/>
        <w:rPr>
          <w:rFonts w:ascii="Arial" w:cs="Arial" w:eastAsia="Arial" w:hAnsi="Arial"/>
          <w:sz w:val="18"/>
          <w:szCs w:val="18"/>
          <w:color w:val="auto"/>
        </w:rPr>
      </w:pPr>
      <w:r>
        <w:rPr>
          <w:rFonts w:ascii="Arial" w:cs="Arial" w:eastAsia="Arial" w:hAnsi="Arial"/>
          <w:sz w:val="18"/>
          <w:szCs w:val="18"/>
          <w:color w:val="auto"/>
        </w:rPr>
        <w:t>– 22% decrease in color equipment sales revenue including a 2-percentage point negative impact from currency and lower installs driven by the impact of the economic environment. Color sales represented 53% and 50% of total equipment sales in 2009 and 2008.</w:t>
      </w:r>
    </w:p>
    <w:p>
      <w:pPr>
        <w:spacing w:after="0" w:line="1"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   10% growth in color pages</w:t>
      </w:r>
      <w:r>
        <w:rPr>
          <w:rFonts w:ascii="Arial" w:cs="Arial" w:eastAsia="Arial" w:hAnsi="Arial"/>
          <w:sz w:val="22"/>
          <w:szCs w:val="22"/>
          <w:color w:val="auto"/>
          <w:vertAlign w:val="superscript"/>
        </w:rPr>
        <w:t>(4)</w:t>
      </w:r>
      <w:r>
        <w:rPr>
          <w:rFonts w:ascii="Arial" w:cs="Arial" w:eastAsia="Arial" w:hAnsi="Arial"/>
          <w:sz w:val="18"/>
          <w:szCs w:val="18"/>
          <w:color w:val="auto"/>
        </w:rPr>
        <w:t xml:space="preserve">. Color pages </w:t>
      </w:r>
      <w:r>
        <w:rPr>
          <w:rFonts w:ascii="Arial" w:cs="Arial" w:eastAsia="Arial" w:hAnsi="Arial"/>
          <w:sz w:val="22"/>
          <w:szCs w:val="22"/>
          <w:color w:val="auto"/>
          <w:vertAlign w:val="superscript"/>
        </w:rPr>
        <w:t>(4)</w:t>
      </w:r>
      <w:r>
        <w:rPr>
          <w:rFonts w:ascii="Arial" w:cs="Arial" w:eastAsia="Arial" w:hAnsi="Arial"/>
          <w:sz w:val="18"/>
          <w:szCs w:val="18"/>
          <w:color w:val="auto"/>
        </w:rPr>
        <w:t xml:space="preserve"> represented 21% and 18% of total pages in 2009 and 2008, respectively.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Net Income</w:t>
      </w:r>
    </w:p>
    <w:p>
      <w:pPr>
        <w:spacing w:after="0" w:line="169" w:lineRule="exact"/>
        <w:rPr>
          <w:sz w:val="20"/>
          <w:szCs w:val="20"/>
          <w:color w:val="auto"/>
        </w:rPr>
      </w:pPr>
    </w:p>
    <w:p>
      <w:pPr>
        <w:ind w:right="420"/>
        <w:spacing w:after="0" w:line="221" w:lineRule="auto"/>
        <w:rPr>
          <w:sz w:val="20"/>
          <w:szCs w:val="20"/>
          <w:color w:val="auto"/>
        </w:rPr>
      </w:pPr>
      <w:r>
        <w:rPr>
          <w:rFonts w:ascii="Arial" w:cs="Arial" w:eastAsia="Arial" w:hAnsi="Arial"/>
          <w:sz w:val="18"/>
          <w:szCs w:val="18"/>
          <w:color w:val="auto"/>
        </w:rPr>
        <w:t xml:space="preserve">Net income and diluted earnings per share, as well as the adjustments to net income </w:t>
      </w:r>
      <w:r>
        <w:rPr>
          <w:rFonts w:ascii="Arial" w:cs="Arial" w:eastAsia="Arial" w:hAnsi="Arial"/>
          <w:sz w:val="22"/>
          <w:szCs w:val="22"/>
          <w:b w:val="1"/>
          <w:bCs w:val="1"/>
          <w:color w:val="auto"/>
          <w:vertAlign w:val="superscript"/>
        </w:rPr>
        <w:t>(5)</w:t>
      </w:r>
      <w:r>
        <w:rPr>
          <w:rFonts w:ascii="Arial" w:cs="Arial" w:eastAsia="Arial" w:hAnsi="Arial"/>
          <w:sz w:val="18"/>
          <w:szCs w:val="18"/>
          <w:color w:val="auto"/>
        </w:rPr>
        <w:t xml:space="preserve"> for the three years ended December 31, 2010 were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2010</w:t>
            </w: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2009</w:t>
            </w: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2008</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00" w:type="dxa"/>
            <w:vAlign w:val="bottom"/>
            <w:gridSpan w:val="4"/>
          </w:tcPr>
          <w:p>
            <w:pPr>
              <w:spacing w:after="0"/>
              <w:rPr>
                <w:sz w:val="20"/>
                <w:szCs w:val="20"/>
                <w:color w:val="auto"/>
              </w:rPr>
            </w:pPr>
            <w:r>
              <w:rPr>
                <w:rFonts w:ascii="Arial" w:cs="Arial" w:eastAsia="Arial" w:hAnsi="Arial"/>
                <w:sz w:val="14"/>
                <w:szCs w:val="14"/>
                <w:color w:val="auto"/>
              </w:rPr>
              <w:t>(in millions, except per-share amounts)</w:t>
            </w:r>
          </w:p>
        </w:tc>
        <w:tc>
          <w:tcPr>
            <w:tcW w:w="920" w:type="dxa"/>
            <w:vAlign w:val="bottom"/>
          </w:tcPr>
          <w:p>
            <w:pPr>
              <w:spacing w:after="0"/>
              <w:rPr>
                <w:sz w:val="17"/>
                <w:szCs w:val="17"/>
                <w:color w:val="auto"/>
              </w:rPr>
            </w:pPr>
          </w:p>
        </w:tc>
        <w:tc>
          <w:tcPr>
            <w:tcW w:w="1300" w:type="dxa"/>
            <w:vAlign w:val="bottom"/>
            <w:gridSpan w:val="3"/>
          </w:tcPr>
          <w:p>
            <w:pPr>
              <w:jc w:val="right"/>
              <w:ind w:right="400"/>
              <w:spacing w:after="0" w:line="196" w:lineRule="exact"/>
              <w:rPr>
                <w:sz w:val="20"/>
                <w:szCs w:val="20"/>
                <w:color w:val="auto"/>
              </w:rPr>
            </w:pPr>
            <w:r>
              <w:rPr>
                <w:rFonts w:ascii="Arial" w:cs="Arial" w:eastAsia="Arial" w:hAnsi="Arial"/>
                <w:sz w:val="18"/>
                <w:szCs w:val="18"/>
                <w:color w:val="auto"/>
                <w:w w:val="95"/>
              </w:rPr>
              <w:t>Net Income</w:t>
            </w:r>
          </w:p>
        </w:tc>
        <w:tc>
          <w:tcPr>
            <w:tcW w:w="100" w:type="dxa"/>
            <w:vAlign w:val="bottom"/>
          </w:tcPr>
          <w:p>
            <w:pPr>
              <w:spacing w:after="0"/>
              <w:rPr>
                <w:sz w:val="17"/>
                <w:szCs w:val="17"/>
                <w:color w:val="auto"/>
              </w:rPr>
            </w:pPr>
          </w:p>
        </w:tc>
        <w:tc>
          <w:tcPr>
            <w:tcW w:w="460" w:type="dxa"/>
            <w:vAlign w:val="bottom"/>
          </w:tcPr>
          <w:p>
            <w:pPr>
              <w:jc w:val="right"/>
              <w:ind w:right="12"/>
              <w:spacing w:after="0" w:line="196" w:lineRule="exact"/>
              <w:rPr>
                <w:sz w:val="20"/>
                <w:szCs w:val="20"/>
                <w:color w:val="auto"/>
              </w:rPr>
            </w:pPr>
            <w:r>
              <w:rPr>
                <w:rFonts w:ascii="Arial" w:cs="Arial" w:eastAsia="Arial" w:hAnsi="Arial"/>
                <w:sz w:val="18"/>
                <w:szCs w:val="18"/>
                <w:color w:val="auto"/>
                <w:w w:val="94"/>
              </w:rPr>
              <w:t>EPS</w:t>
            </w:r>
          </w:p>
        </w:tc>
        <w:tc>
          <w:tcPr>
            <w:tcW w:w="280" w:type="dxa"/>
            <w:vAlign w:val="bottom"/>
          </w:tcPr>
          <w:p>
            <w:pPr>
              <w:spacing w:after="0"/>
              <w:rPr>
                <w:sz w:val="17"/>
                <w:szCs w:val="17"/>
                <w:color w:val="auto"/>
              </w:rPr>
            </w:pPr>
          </w:p>
        </w:tc>
        <w:tc>
          <w:tcPr>
            <w:tcW w:w="1180" w:type="dxa"/>
            <w:vAlign w:val="bottom"/>
            <w:gridSpan w:val="3"/>
          </w:tcPr>
          <w:p>
            <w:pPr>
              <w:spacing w:after="0" w:line="196" w:lineRule="exact"/>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7"/>
                <w:szCs w:val="17"/>
                <w:color w:val="auto"/>
              </w:rPr>
            </w:pPr>
          </w:p>
        </w:tc>
        <w:tc>
          <w:tcPr>
            <w:tcW w:w="600" w:type="dxa"/>
            <w:vAlign w:val="bottom"/>
            <w:gridSpan w:val="2"/>
          </w:tcPr>
          <w:p>
            <w:pPr>
              <w:spacing w:after="0" w:line="196" w:lineRule="exact"/>
              <w:rPr>
                <w:sz w:val="20"/>
                <w:szCs w:val="20"/>
                <w:color w:val="auto"/>
              </w:rPr>
            </w:pPr>
            <w:r>
              <w:rPr>
                <w:rFonts w:ascii="Arial" w:cs="Arial" w:eastAsia="Arial" w:hAnsi="Arial"/>
                <w:sz w:val="18"/>
                <w:szCs w:val="18"/>
                <w:color w:val="auto"/>
              </w:rPr>
              <w:t>EPS</w:t>
            </w:r>
          </w:p>
        </w:tc>
        <w:tc>
          <w:tcPr>
            <w:tcW w:w="140" w:type="dxa"/>
            <w:vAlign w:val="bottom"/>
          </w:tcPr>
          <w:p>
            <w:pPr>
              <w:spacing w:after="0"/>
              <w:rPr>
                <w:sz w:val="17"/>
                <w:szCs w:val="17"/>
                <w:color w:val="auto"/>
              </w:rPr>
            </w:pPr>
          </w:p>
        </w:tc>
        <w:tc>
          <w:tcPr>
            <w:tcW w:w="1120" w:type="dxa"/>
            <w:vAlign w:val="bottom"/>
            <w:gridSpan w:val="3"/>
          </w:tcPr>
          <w:p>
            <w:pPr>
              <w:jc w:val="right"/>
              <w:ind w:right="220"/>
              <w:spacing w:after="0" w:line="196" w:lineRule="exact"/>
              <w:rPr>
                <w:sz w:val="20"/>
                <w:szCs w:val="20"/>
                <w:color w:val="auto"/>
              </w:rPr>
            </w:pPr>
            <w:r>
              <w:rPr>
                <w:rFonts w:ascii="Arial" w:cs="Arial" w:eastAsia="Arial" w:hAnsi="Arial"/>
                <w:sz w:val="18"/>
                <w:szCs w:val="18"/>
                <w:color w:val="auto"/>
                <w:w w:val="95"/>
              </w:rPr>
              <w:t>Net Income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w w:val="94"/>
              </w:rPr>
              <w:t>EPS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320" w:type="dxa"/>
            <w:vAlign w:val="bottom"/>
            <w:gridSpan w:val="2"/>
            <w:shd w:val="clear" w:color="auto" w:fill="E5E5E5"/>
          </w:tcPr>
          <w:p>
            <w:pPr>
              <w:spacing w:after="0" w:line="196" w:lineRule="exact"/>
              <w:rPr>
                <w:sz w:val="20"/>
                <w:szCs w:val="20"/>
                <w:color w:val="auto"/>
              </w:rPr>
            </w:pPr>
            <w:r>
              <w:rPr>
                <w:rFonts w:ascii="Arial" w:cs="Arial" w:eastAsia="Arial" w:hAnsi="Arial"/>
                <w:sz w:val="18"/>
                <w:szCs w:val="18"/>
                <w:b w:val="1"/>
                <w:bCs w:val="1"/>
                <w:color w:val="auto"/>
              </w:rPr>
              <w:t>As Reported</w:t>
            </w:r>
          </w:p>
        </w:tc>
        <w:tc>
          <w:tcPr>
            <w:tcW w:w="2160" w:type="dxa"/>
            <w:vAlign w:val="bottom"/>
            <w:shd w:val="clear" w:color="auto" w:fill="E5E5E5"/>
          </w:tcPr>
          <w:p>
            <w:pPr>
              <w:spacing w:after="0"/>
              <w:rPr>
                <w:sz w:val="17"/>
                <w:szCs w:val="17"/>
                <w:color w:val="auto"/>
              </w:rPr>
            </w:pPr>
          </w:p>
        </w:tc>
        <w:tc>
          <w:tcPr>
            <w:tcW w:w="920" w:type="dxa"/>
            <w:vAlign w:val="bottom"/>
            <w:shd w:val="clear" w:color="auto" w:fill="E5E5E5"/>
          </w:tcPr>
          <w:p>
            <w:pPr>
              <w:spacing w:after="0"/>
              <w:rPr>
                <w:sz w:val="17"/>
                <w:szCs w:val="17"/>
                <w:color w:val="auto"/>
              </w:rPr>
            </w:pPr>
          </w:p>
        </w:tc>
        <w:tc>
          <w:tcPr>
            <w:tcW w:w="280" w:type="dxa"/>
            <w:vAlign w:val="bottom"/>
            <w:shd w:val="clear" w:color="auto" w:fill="E5E5E5"/>
          </w:tcPr>
          <w:p>
            <w:pPr>
              <w:jc w:val="right"/>
              <w:ind w:right="92"/>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rPr>
              <w:t>606</w:t>
            </w:r>
          </w:p>
        </w:tc>
        <w:tc>
          <w:tcPr>
            <w:tcW w:w="400" w:type="dxa"/>
            <w:vAlign w:val="bottom"/>
            <w:shd w:val="clear" w:color="auto" w:fill="E5E5E5"/>
          </w:tcPr>
          <w:p>
            <w:pPr>
              <w:spacing w:after="0"/>
              <w:rPr>
                <w:sz w:val="17"/>
                <w:szCs w:val="17"/>
                <w:color w:val="auto"/>
              </w:rPr>
            </w:pPr>
          </w:p>
        </w:tc>
        <w:tc>
          <w:tcPr>
            <w:tcW w:w="10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rPr>
              <w:t>0.43</w:t>
            </w:r>
          </w:p>
        </w:tc>
        <w:tc>
          <w:tcPr>
            <w:tcW w:w="640" w:type="dxa"/>
            <w:vAlign w:val="bottom"/>
            <w:gridSpan w:val="2"/>
            <w:shd w:val="clear" w:color="auto" w:fill="E5E5E5"/>
          </w:tcPr>
          <w:p>
            <w:pPr>
              <w:ind w:left="280"/>
              <w:spacing w:after="0" w:line="196"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E5E5E5"/>
          </w:tcPr>
          <w:p>
            <w:pPr>
              <w:jc w:val="right"/>
              <w:ind w:right="280"/>
              <w:spacing w:after="0" w:line="196" w:lineRule="exact"/>
              <w:rPr>
                <w:sz w:val="20"/>
                <w:szCs w:val="20"/>
                <w:color w:val="auto"/>
              </w:rPr>
            </w:pPr>
            <w:r>
              <w:rPr>
                <w:rFonts w:ascii="Arial" w:cs="Arial" w:eastAsia="Arial" w:hAnsi="Arial"/>
                <w:sz w:val="18"/>
                <w:szCs w:val="18"/>
                <w:color w:val="auto"/>
              </w:rPr>
              <w:t>485</w:t>
            </w:r>
          </w:p>
        </w:tc>
        <w:tc>
          <w:tcPr>
            <w:tcW w:w="10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E5E5E5"/>
          </w:tcPr>
          <w:p>
            <w:pPr>
              <w:jc w:val="right"/>
              <w:ind w:right="140"/>
              <w:spacing w:after="0" w:line="196" w:lineRule="exact"/>
              <w:rPr>
                <w:sz w:val="20"/>
                <w:szCs w:val="20"/>
                <w:color w:val="auto"/>
              </w:rPr>
            </w:pPr>
            <w:r>
              <w:rPr>
                <w:rFonts w:ascii="Arial" w:cs="Arial" w:eastAsia="Arial" w:hAnsi="Arial"/>
                <w:sz w:val="18"/>
                <w:szCs w:val="18"/>
                <w:color w:val="auto"/>
              </w:rPr>
              <w:t>0.55</w:t>
            </w:r>
          </w:p>
        </w:tc>
        <w:tc>
          <w:tcPr>
            <w:tcW w:w="420" w:type="dxa"/>
            <w:vAlign w:val="bottom"/>
            <w:gridSpan w:val="2"/>
            <w:shd w:val="clear" w:color="auto" w:fill="E5E5E5"/>
          </w:tcPr>
          <w:p>
            <w:pPr>
              <w:jc w:val="right"/>
              <w:ind w:right="92"/>
              <w:spacing w:after="0" w:line="196" w:lineRule="exact"/>
              <w:rPr>
                <w:sz w:val="20"/>
                <w:szCs w:val="20"/>
                <w:color w:val="auto"/>
              </w:rPr>
            </w:pPr>
            <w:r>
              <w:rPr>
                <w:rFonts w:ascii="Arial" w:cs="Arial" w:eastAsia="Arial" w:hAnsi="Arial"/>
                <w:sz w:val="18"/>
                <w:szCs w:val="18"/>
                <w:color w:val="auto"/>
              </w:rPr>
              <w:t>$</w:t>
            </w:r>
          </w:p>
        </w:tc>
        <w:tc>
          <w:tcPr>
            <w:tcW w:w="62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rPr>
              <w:t>230</w:t>
            </w:r>
          </w:p>
        </w:tc>
        <w:tc>
          <w:tcPr>
            <w:tcW w:w="220" w:type="dxa"/>
            <w:vAlign w:val="bottom"/>
            <w:shd w:val="clear" w:color="auto" w:fill="E5E5E5"/>
          </w:tcPr>
          <w:p>
            <w:pPr>
              <w:spacing w:after="0"/>
              <w:rPr>
                <w:sz w:val="17"/>
                <w:szCs w:val="17"/>
                <w:color w:val="auto"/>
              </w:rPr>
            </w:pPr>
          </w:p>
        </w:tc>
        <w:tc>
          <w:tcPr>
            <w:tcW w:w="160" w:type="dxa"/>
            <w:vAlign w:val="bottom"/>
            <w:gridSpan w:val="2"/>
            <w:shd w:val="clear" w:color="auto" w:fill="E5E5E5"/>
          </w:tcPr>
          <w:p>
            <w:pPr>
              <w:jc w:val="right"/>
              <w:spacing w:after="0" w:line="196" w:lineRule="exact"/>
              <w:rPr>
                <w:sz w:val="20"/>
                <w:szCs w:val="20"/>
                <w:color w:val="auto"/>
              </w:rPr>
            </w:pPr>
            <w:r>
              <w:rPr>
                <w:rFonts w:ascii="Arial" w:cs="Arial" w:eastAsia="Arial" w:hAnsi="Arial"/>
                <w:sz w:val="18"/>
                <w:szCs w:val="18"/>
                <w:color w:val="auto"/>
              </w:rPr>
              <w:t>$</w:t>
            </w:r>
          </w:p>
        </w:tc>
        <w:tc>
          <w:tcPr>
            <w:tcW w:w="560" w:type="dxa"/>
            <w:vAlign w:val="bottom"/>
            <w:gridSpan w:val="2"/>
            <w:shd w:val="clear" w:color="auto" w:fill="E5E5E5"/>
          </w:tcPr>
          <w:p>
            <w:pPr>
              <w:jc w:val="right"/>
              <w:ind w:right="100"/>
              <w:spacing w:after="0" w:line="196" w:lineRule="exact"/>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176"/>
        </w:trPr>
        <w:tc>
          <w:tcPr>
            <w:tcW w:w="4500" w:type="dxa"/>
            <w:vAlign w:val="bottom"/>
            <w:gridSpan w:val="4"/>
          </w:tcPr>
          <w:p>
            <w:pPr>
              <w:spacing w:after="0" w:line="176" w:lineRule="exact"/>
              <w:rPr>
                <w:sz w:val="20"/>
                <w:szCs w:val="20"/>
                <w:color w:val="auto"/>
              </w:rPr>
            </w:pPr>
            <w:r>
              <w:rPr>
                <w:rFonts w:ascii="Arial" w:cs="Arial" w:eastAsia="Arial" w:hAnsi="Arial"/>
                <w:sz w:val="18"/>
                <w:szCs w:val="18"/>
                <w:color w:val="auto"/>
              </w:rPr>
              <w:t>Adjustments:</w:t>
            </w: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3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480" w:type="dxa"/>
            <w:vAlign w:val="bottom"/>
            <w:gridSpan w:val="3"/>
            <w:shd w:val="clear" w:color="auto" w:fill="E5E5E5"/>
          </w:tcPr>
          <w:p>
            <w:pPr>
              <w:ind w:left="200"/>
              <w:spacing w:after="0" w:line="202" w:lineRule="exact"/>
              <w:rPr>
                <w:sz w:val="20"/>
                <w:szCs w:val="20"/>
                <w:color w:val="auto"/>
              </w:rPr>
            </w:pPr>
            <w:r>
              <w:rPr>
                <w:rFonts w:ascii="Arial" w:cs="Arial" w:eastAsia="Arial" w:hAnsi="Arial"/>
                <w:sz w:val="18"/>
                <w:szCs w:val="18"/>
                <w:color w:val="auto"/>
              </w:rPr>
              <w:t>Xerox and Fuji Xerox restructuring charges</w:t>
            </w:r>
          </w:p>
        </w:tc>
        <w:tc>
          <w:tcPr>
            <w:tcW w:w="92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6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355</w:t>
            </w:r>
          </w:p>
        </w:tc>
        <w:tc>
          <w:tcPr>
            <w:tcW w:w="4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4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0.26</w:t>
            </w:r>
          </w:p>
        </w:tc>
        <w:tc>
          <w:tcPr>
            <w:tcW w:w="28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820" w:type="dxa"/>
            <w:vAlign w:val="bottom"/>
            <w:gridSpan w:val="2"/>
            <w:shd w:val="clear" w:color="auto" w:fill="E5E5E5"/>
          </w:tcPr>
          <w:p>
            <w:pPr>
              <w:jc w:val="right"/>
              <w:ind w:right="280"/>
              <w:spacing w:after="0" w:line="202" w:lineRule="exact"/>
              <w:rPr>
                <w:sz w:val="20"/>
                <w:szCs w:val="20"/>
                <w:color w:val="auto"/>
              </w:rPr>
            </w:pPr>
            <w:r>
              <w:rPr>
                <w:rFonts w:ascii="Arial" w:cs="Arial" w:eastAsia="Arial" w:hAnsi="Arial"/>
                <w:sz w:val="18"/>
                <w:szCs w:val="18"/>
                <w:color w:val="auto"/>
              </w:rPr>
              <w:t>41</w:t>
            </w:r>
          </w:p>
        </w:tc>
        <w:tc>
          <w:tcPr>
            <w:tcW w:w="100" w:type="dxa"/>
            <w:vAlign w:val="bottom"/>
            <w:shd w:val="clear" w:color="auto" w:fill="E5E5E5"/>
          </w:tcPr>
          <w:p>
            <w:pPr>
              <w:spacing w:after="0"/>
              <w:rPr>
                <w:sz w:val="17"/>
                <w:szCs w:val="17"/>
                <w:color w:val="auto"/>
              </w:rPr>
            </w:pPr>
          </w:p>
        </w:tc>
        <w:tc>
          <w:tcPr>
            <w:tcW w:w="4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0.05</w:t>
            </w:r>
          </w:p>
        </w:tc>
        <w:tc>
          <w:tcPr>
            <w:tcW w:w="14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6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308</w:t>
            </w:r>
          </w:p>
        </w:tc>
        <w:tc>
          <w:tcPr>
            <w:tcW w:w="22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5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Acquisition-related costs</w:t>
            </w: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58</w:t>
            </w: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0.04</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49</w:t>
            </w: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0.06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80" w:type="dxa"/>
            <w:vAlign w:val="bottom"/>
            <w:gridSpan w:val="3"/>
            <w:shd w:val="clear" w:color="auto" w:fill="E5E5E5"/>
          </w:tcPr>
          <w:p>
            <w:pPr>
              <w:ind w:left="200"/>
              <w:spacing w:after="0" w:line="202" w:lineRule="exact"/>
              <w:rPr>
                <w:sz w:val="20"/>
                <w:szCs w:val="20"/>
                <w:color w:val="auto"/>
              </w:rPr>
            </w:pPr>
            <w:r>
              <w:rPr>
                <w:rFonts w:ascii="Arial" w:cs="Arial" w:eastAsia="Arial" w:hAnsi="Arial"/>
                <w:sz w:val="18"/>
                <w:szCs w:val="18"/>
                <w:color w:val="auto"/>
              </w:rPr>
              <w:t>Amortization of intangible assets</w:t>
            </w:r>
          </w:p>
        </w:tc>
        <w:tc>
          <w:tcPr>
            <w:tcW w:w="92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6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194</w:t>
            </w:r>
          </w:p>
        </w:tc>
        <w:tc>
          <w:tcPr>
            <w:tcW w:w="4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4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0.14</w:t>
            </w:r>
          </w:p>
        </w:tc>
        <w:tc>
          <w:tcPr>
            <w:tcW w:w="28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820" w:type="dxa"/>
            <w:vAlign w:val="bottom"/>
            <w:gridSpan w:val="2"/>
            <w:shd w:val="clear" w:color="auto" w:fill="E5E5E5"/>
          </w:tcPr>
          <w:p>
            <w:pPr>
              <w:jc w:val="right"/>
              <w:ind w:right="280"/>
              <w:spacing w:after="0" w:line="202" w:lineRule="exact"/>
              <w:rPr>
                <w:sz w:val="20"/>
                <w:szCs w:val="20"/>
                <w:color w:val="auto"/>
              </w:rPr>
            </w:pPr>
            <w:r>
              <w:rPr>
                <w:rFonts w:ascii="Arial" w:cs="Arial" w:eastAsia="Arial" w:hAnsi="Arial"/>
                <w:sz w:val="18"/>
                <w:szCs w:val="18"/>
                <w:color w:val="auto"/>
              </w:rPr>
              <w:t>38</w:t>
            </w:r>
          </w:p>
        </w:tc>
        <w:tc>
          <w:tcPr>
            <w:tcW w:w="100" w:type="dxa"/>
            <w:vAlign w:val="bottom"/>
            <w:shd w:val="clear" w:color="auto" w:fill="E5E5E5"/>
          </w:tcPr>
          <w:p>
            <w:pPr>
              <w:spacing w:after="0"/>
              <w:rPr>
                <w:sz w:val="17"/>
                <w:szCs w:val="17"/>
                <w:color w:val="auto"/>
              </w:rPr>
            </w:pPr>
          </w:p>
        </w:tc>
        <w:tc>
          <w:tcPr>
            <w:tcW w:w="4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0.04</w:t>
            </w:r>
          </w:p>
        </w:tc>
        <w:tc>
          <w:tcPr>
            <w:tcW w:w="14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8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35</w:t>
            </w:r>
          </w:p>
        </w:tc>
        <w:tc>
          <w:tcPr>
            <w:tcW w:w="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5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ACS shareholders litigation settlement</w:t>
            </w: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36</w:t>
            </w: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0.03</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6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80" w:type="dxa"/>
            <w:vAlign w:val="bottom"/>
            <w:gridSpan w:val="3"/>
            <w:shd w:val="clear" w:color="auto" w:fill="E5E5E5"/>
          </w:tcPr>
          <w:p>
            <w:pPr>
              <w:ind w:left="200"/>
              <w:spacing w:after="0" w:line="202" w:lineRule="exact"/>
              <w:rPr>
                <w:sz w:val="20"/>
                <w:szCs w:val="20"/>
                <w:color w:val="auto"/>
              </w:rPr>
            </w:pPr>
            <w:r>
              <w:rPr>
                <w:rFonts w:ascii="Arial" w:cs="Arial" w:eastAsia="Arial" w:hAnsi="Arial"/>
                <w:sz w:val="18"/>
                <w:szCs w:val="18"/>
                <w:color w:val="auto"/>
              </w:rPr>
              <w:t>Venezuela devaluation costs</w:t>
            </w:r>
          </w:p>
        </w:tc>
        <w:tc>
          <w:tcPr>
            <w:tcW w:w="92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1020" w:type="dxa"/>
            <w:vAlign w:val="bottom"/>
            <w:gridSpan w:val="2"/>
            <w:shd w:val="clear" w:color="auto" w:fill="E5E5E5"/>
          </w:tcPr>
          <w:p>
            <w:pPr>
              <w:jc w:val="right"/>
              <w:ind w:right="400"/>
              <w:spacing w:after="0" w:line="202" w:lineRule="exact"/>
              <w:rPr>
                <w:sz w:val="20"/>
                <w:szCs w:val="20"/>
                <w:color w:val="auto"/>
              </w:rPr>
            </w:pPr>
            <w:r>
              <w:rPr>
                <w:rFonts w:ascii="Arial" w:cs="Arial" w:eastAsia="Arial" w:hAnsi="Arial"/>
                <w:sz w:val="18"/>
                <w:szCs w:val="18"/>
                <w:color w:val="auto"/>
              </w:rPr>
              <w:t>21</w:t>
            </w:r>
          </w:p>
        </w:tc>
        <w:tc>
          <w:tcPr>
            <w:tcW w:w="100" w:type="dxa"/>
            <w:vAlign w:val="bottom"/>
            <w:shd w:val="clear" w:color="auto" w:fill="E5E5E5"/>
          </w:tcPr>
          <w:p>
            <w:pPr>
              <w:spacing w:after="0"/>
              <w:rPr>
                <w:sz w:val="17"/>
                <w:szCs w:val="17"/>
                <w:color w:val="auto"/>
              </w:rPr>
            </w:pPr>
          </w:p>
        </w:tc>
        <w:tc>
          <w:tcPr>
            <w:tcW w:w="4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0.02</w:t>
            </w:r>
          </w:p>
        </w:tc>
        <w:tc>
          <w:tcPr>
            <w:tcW w:w="28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820" w:type="dxa"/>
            <w:vAlign w:val="bottom"/>
            <w:gridSpan w:val="2"/>
            <w:shd w:val="clear" w:color="auto" w:fill="E5E5E5"/>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E5E5E5"/>
          </w:tcPr>
          <w:p>
            <w:pPr>
              <w:spacing w:after="0"/>
              <w:rPr>
                <w:sz w:val="17"/>
                <w:szCs w:val="17"/>
                <w:color w:val="auto"/>
              </w:rPr>
            </w:pPr>
          </w:p>
        </w:tc>
        <w:tc>
          <w:tcPr>
            <w:tcW w:w="60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8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5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Medicare subsidy tax law change</w:t>
            </w: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16</w:t>
            </w: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0.01</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6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80" w:type="dxa"/>
            <w:vAlign w:val="bottom"/>
            <w:gridSpan w:val="3"/>
            <w:shd w:val="clear" w:color="auto" w:fill="E5E5E5"/>
          </w:tcPr>
          <w:p>
            <w:pPr>
              <w:ind w:left="200"/>
              <w:spacing w:after="0" w:line="202" w:lineRule="exact"/>
              <w:rPr>
                <w:sz w:val="20"/>
                <w:szCs w:val="20"/>
                <w:color w:val="auto"/>
              </w:rPr>
            </w:pPr>
            <w:r>
              <w:rPr>
                <w:rFonts w:ascii="Arial" w:cs="Arial" w:eastAsia="Arial" w:hAnsi="Arial"/>
                <w:sz w:val="18"/>
                <w:szCs w:val="18"/>
                <w:color w:val="auto"/>
              </w:rPr>
              <w:t>Provision for litigation matters</w:t>
            </w:r>
          </w:p>
        </w:tc>
        <w:tc>
          <w:tcPr>
            <w:tcW w:w="92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1020" w:type="dxa"/>
            <w:vAlign w:val="bottom"/>
            <w:gridSpan w:val="2"/>
            <w:shd w:val="clear" w:color="auto" w:fill="E5E5E5"/>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E5E5E5"/>
          </w:tcPr>
          <w:p>
            <w:pPr>
              <w:spacing w:after="0"/>
              <w:rPr>
                <w:sz w:val="17"/>
                <w:szCs w:val="17"/>
                <w:color w:val="auto"/>
              </w:rPr>
            </w:pPr>
          </w:p>
        </w:tc>
        <w:tc>
          <w:tcPr>
            <w:tcW w:w="4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820" w:type="dxa"/>
            <w:vAlign w:val="bottom"/>
            <w:gridSpan w:val="2"/>
            <w:shd w:val="clear" w:color="auto" w:fill="E5E5E5"/>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E5E5E5"/>
          </w:tcPr>
          <w:p>
            <w:pPr>
              <w:spacing w:after="0"/>
              <w:rPr>
                <w:sz w:val="17"/>
                <w:szCs w:val="17"/>
                <w:color w:val="auto"/>
              </w:rPr>
            </w:pPr>
          </w:p>
        </w:tc>
        <w:tc>
          <w:tcPr>
            <w:tcW w:w="60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6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491</w:t>
            </w:r>
          </w:p>
        </w:tc>
        <w:tc>
          <w:tcPr>
            <w:tcW w:w="22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5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Equipment write-off</w:t>
            </w: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6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80" w:type="dxa"/>
            <w:vAlign w:val="bottom"/>
            <w:gridSpan w:val="3"/>
            <w:shd w:val="clear" w:color="auto" w:fill="E5E5E5"/>
          </w:tcPr>
          <w:p>
            <w:pPr>
              <w:ind w:left="200"/>
              <w:spacing w:after="0" w:line="202" w:lineRule="exact"/>
              <w:rPr>
                <w:sz w:val="20"/>
                <w:szCs w:val="20"/>
                <w:color w:val="auto"/>
              </w:rPr>
            </w:pPr>
            <w:r>
              <w:rPr>
                <w:rFonts w:ascii="Arial" w:cs="Arial" w:eastAsia="Arial" w:hAnsi="Arial"/>
                <w:sz w:val="18"/>
                <w:szCs w:val="18"/>
                <w:color w:val="auto"/>
              </w:rPr>
              <w:t>Loss on early extinguishment of debt</w:t>
            </w:r>
          </w:p>
        </w:tc>
        <w:tc>
          <w:tcPr>
            <w:tcW w:w="92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1020" w:type="dxa"/>
            <w:vAlign w:val="bottom"/>
            <w:gridSpan w:val="2"/>
            <w:shd w:val="clear" w:color="auto" w:fill="E5E5E5"/>
          </w:tcPr>
          <w:p>
            <w:pPr>
              <w:jc w:val="right"/>
              <w:ind w:right="400"/>
              <w:spacing w:after="0" w:line="202" w:lineRule="exact"/>
              <w:rPr>
                <w:sz w:val="20"/>
                <w:szCs w:val="20"/>
                <w:color w:val="auto"/>
              </w:rPr>
            </w:pPr>
            <w:r>
              <w:rPr>
                <w:rFonts w:ascii="Arial" w:cs="Arial" w:eastAsia="Arial" w:hAnsi="Arial"/>
                <w:sz w:val="18"/>
                <w:szCs w:val="18"/>
                <w:color w:val="auto"/>
              </w:rPr>
              <w:t>10</w:t>
            </w:r>
          </w:p>
        </w:tc>
        <w:tc>
          <w:tcPr>
            <w:tcW w:w="100" w:type="dxa"/>
            <w:vAlign w:val="bottom"/>
            <w:shd w:val="clear" w:color="auto" w:fill="E5E5E5"/>
          </w:tcPr>
          <w:p>
            <w:pPr>
              <w:spacing w:after="0"/>
              <w:rPr>
                <w:sz w:val="17"/>
                <w:szCs w:val="17"/>
                <w:color w:val="auto"/>
              </w:rPr>
            </w:pPr>
          </w:p>
        </w:tc>
        <w:tc>
          <w:tcPr>
            <w:tcW w:w="4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0.01</w:t>
            </w:r>
          </w:p>
        </w:tc>
        <w:tc>
          <w:tcPr>
            <w:tcW w:w="28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820" w:type="dxa"/>
            <w:vAlign w:val="bottom"/>
            <w:gridSpan w:val="2"/>
            <w:shd w:val="clear" w:color="auto" w:fill="E5E5E5"/>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E5E5E5"/>
          </w:tcPr>
          <w:p>
            <w:pPr>
              <w:spacing w:after="0"/>
              <w:rPr>
                <w:sz w:val="17"/>
                <w:szCs w:val="17"/>
                <w:color w:val="auto"/>
              </w:rPr>
            </w:pPr>
          </w:p>
        </w:tc>
        <w:tc>
          <w:tcPr>
            <w:tcW w:w="60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8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5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Settlement of unrecognized tax benefits</w:t>
            </w: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6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480" w:type="dxa"/>
            <w:vAlign w:val="bottom"/>
            <w:gridSpan w:val="3"/>
            <w:shd w:val="clear" w:color="auto" w:fill="E5E5E5"/>
          </w:tcPr>
          <w:p>
            <w:pPr>
              <w:spacing w:after="0" w:line="203" w:lineRule="exact"/>
              <w:rPr>
                <w:sz w:val="20"/>
                <w:szCs w:val="20"/>
                <w:color w:val="auto"/>
              </w:rPr>
            </w:pPr>
            <w:r>
              <w:rPr>
                <w:rFonts w:ascii="Arial" w:cs="Arial" w:eastAsia="Arial" w:hAnsi="Arial"/>
                <w:sz w:val="18"/>
                <w:szCs w:val="18"/>
                <w:b w:val="1"/>
                <w:bCs w:val="1"/>
                <w:color w:val="auto"/>
              </w:rPr>
              <w:t>As Adjusted</w:t>
            </w:r>
            <w:r>
              <w:rPr>
                <w:rFonts w:ascii="Arial" w:cs="Arial" w:eastAsia="Arial" w:hAnsi="Arial"/>
                <w:sz w:val="22"/>
                <w:szCs w:val="22"/>
                <w:b w:val="1"/>
                <w:bCs w:val="1"/>
                <w:color w:val="auto"/>
                <w:vertAlign w:val="superscript"/>
              </w:rPr>
              <w:t>(5)</w:t>
            </w:r>
          </w:p>
        </w:tc>
        <w:tc>
          <w:tcPr>
            <w:tcW w:w="920" w:type="dxa"/>
            <w:vAlign w:val="bottom"/>
            <w:shd w:val="clear" w:color="auto" w:fill="E5E5E5"/>
          </w:tcPr>
          <w:p>
            <w:pPr>
              <w:spacing w:after="0"/>
              <w:rPr>
                <w:sz w:val="17"/>
                <w:szCs w:val="17"/>
                <w:color w:val="auto"/>
              </w:rPr>
            </w:pPr>
          </w:p>
        </w:tc>
        <w:tc>
          <w:tcPr>
            <w:tcW w:w="280" w:type="dxa"/>
            <w:vAlign w:val="bottom"/>
            <w:shd w:val="clear" w:color="auto" w:fill="E5E5E5"/>
          </w:tcPr>
          <w:p>
            <w:pPr>
              <w:jc w:val="right"/>
              <w:ind w:right="92"/>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E5E5E5"/>
          </w:tcPr>
          <w:p>
            <w:pPr>
              <w:jc w:val="right"/>
              <w:ind w:right="400"/>
              <w:spacing w:after="0" w:line="202" w:lineRule="exact"/>
              <w:rPr>
                <w:sz w:val="20"/>
                <w:szCs w:val="20"/>
                <w:color w:val="auto"/>
              </w:rPr>
            </w:pPr>
            <w:r>
              <w:rPr>
                <w:rFonts w:ascii="Arial" w:cs="Arial" w:eastAsia="Arial" w:hAnsi="Arial"/>
                <w:sz w:val="18"/>
                <w:szCs w:val="18"/>
                <w:color w:val="auto"/>
              </w:rPr>
              <w:t>1,296</w:t>
            </w:r>
          </w:p>
        </w:tc>
        <w:tc>
          <w:tcPr>
            <w:tcW w:w="1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0.94</w:t>
            </w:r>
          </w:p>
        </w:tc>
        <w:tc>
          <w:tcPr>
            <w:tcW w:w="640" w:type="dxa"/>
            <w:vAlign w:val="bottom"/>
            <w:gridSpan w:val="2"/>
            <w:shd w:val="clear" w:color="auto" w:fill="E5E5E5"/>
          </w:tcPr>
          <w:p>
            <w:pPr>
              <w:ind w:left="280"/>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613</w:t>
            </w:r>
          </w:p>
        </w:tc>
        <w:tc>
          <w:tcPr>
            <w:tcW w:w="280" w:type="dxa"/>
            <w:vAlign w:val="bottom"/>
            <w:shd w:val="clear" w:color="auto" w:fill="E5E5E5"/>
          </w:tcPr>
          <w:p>
            <w:pPr>
              <w:spacing w:after="0"/>
              <w:rPr>
                <w:sz w:val="17"/>
                <w:szCs w:val="17"/>
                <w:color w:val="auto"/>
              </w:rPr>
            </w:pPr>
          </w:p>
        </w:tc>
        <w:tc>
          <w:tcPr>
            <w:tcW w:w="1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0.70</w:t>
            </w:r>
          </w:p>
        </w:tc>
        <w:tc>
          <w:tcPr>
            <w:tcW w:w="140" w:type="dxa"/>
            <w:vAlign w:val="bottom"/>
            <w:shd w:val="clear" w:color="auto" w:fill="E5E5E5"/>
          </w:tcPr>
          <w:p>
            <w:pPr>
              <w:spacing w:after="0"/>
              <w:rPr>
                <w:sz w:val="17"/>
                <w:szCs w:val="17"/>
                <w:color w:val="auto"/>
              </w:rPr>
            </w:pPr>
          </w:p>
        </w:tc>
        <w:tc>
          <w:tcPr>
            <w:tcW w:w="420" w:type="dxa"/>
            <w:vAlign w:val="bottom"/>
            <w:gridSpan w:val="2"/>
            <w:shd w:val="clear" w:color="auto" w:fill="E5E5E5"/>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1,047</w:t>
            </w:r>
          </w:p>
        </w:tc>
        <w:tc>
          <w:tcPr>
            <w:tcW w:w="16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00" w:type="dxa"/>
            <w:vAlign w:val="bottom"/>
            <w:gridSpan w:val="4"/>
          </w:tcPr>
          <w:p>
            <w:pPr>
              <w:spacing w:after="0" w:line="196" w:lineRule="exact"/>
              <w:rPr>
                <w:sz w:val="20"/>
                <w:szCs w:val="20"/>
                <w:color w:val="auto"/>
              </w:rPr>
            </w:pPr>
            <w:r>
              <w:rPr>
                <w:rFonts w:ascii="Arial" w:cs="Arial" w:eastAsia="Arial" w:hAnsi="Arial"/>
                <w:sz w:val="18"/>
                <w:szCs w:val="18"/>
                <w:color w:val="auto"/>
              </w:rPr>
              <w:t>Weighted average shares for reported EPS</w:t>
            </w: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w w:val="97"/>
              </w:rPr>
              <w:t>1,351</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880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895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80" w:type="dxa"/>
            <w:vAlign w:val="bottom"/>
            <w:gridSpan w:val="3"/>
            <w:shd w:val="clear" w:color="auto" w:fill="E5E5E5"/>
          </w:tcPr>
          <w:p>
            <w:pPr>
              <w:spacing w:after="0" w:line="202" w:lineRule="exact"/>
              <w:rPr>
                <w:sz w:val="20"/>
                <w:szCs w:val="20"/>
                <w:color w:val="auto"/>
              </w:rPr>
            </w:pPr>
            <w:r>
              <w:rPr>
                <w:rFonts w:ascii="Arial" w:cs="Arial" w:eastAsia="Arial" w:hAnsi="Arial"/>
                <w:sz w:val="18"/>
                <w:szCs w:val="18"/>
                <w:color w:val="auto"/>
              </w:rPr>
              <w:t>Weighted average shares for adjusted EPS</w:t>
            </w:r>
          </w:p>
        </w:tc>
        <w:tc>
          <w:tcPr>
            <w:tcW w:w="92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4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97"/>
              </w:rPr>
              <w:t>1,378</w:t>
            </w:r>
          </w:p>
        </w:tc>
        <w:tc>
          <w:tcPr>
            <w:tcW w:w="28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54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4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880</w:t>
            </w:r>
          </w:p>
        </w:tc>
        <w:tc>
          <w:tcPr>
            <w:tcW w:w="14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4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897</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Average shares for the calculation of adjusted EPS for 2010 of 1,378 million include a pro-rata portion of 27 million shares associated with the Series A convertible preferred stock and therefore the 2010 dividends of $21 million are excluded. In addition, average shares for the calculation of adjusted EPS for both 2010 and 2008 include 2 million shares associated with other convertible securities. We evaluate the dilutive effect of our convertible securities on an “if-converted” basis. Refer to Note 20 – Earnings Per Share in the Consolidated Financial Statements for additional information.</w:t>
      </w:r>
    </w:p>
    <w:p>
      <w:pPr>
        <w:spacing w:after="0" w:line="140" w:lineRule="exact"/>
        <w:rPr>
          <w:sz w:val="20"/>
          <w:szCs w:val="20"/>
          <w:color w:val="auto"/>
        </w:rPr>
      </w:pPr>
    </w:p>
    <w:p>
      <w:pPr>
        <w:ind w:left="9680"/>
        <w:spacing w:after="0"/>
        <w:rPr>
          <w:sz w:val="20"/>
          <w:szCs w:val="20"/>
          <w:color w:val="auto"/>
        </w:rPr>
      </w:pPr>
      <w:r>
        <w:rPr>
          <w:rFonts w:ascii="Arial" w:cs="Arial" w:eastAsia="Arial" w:hAnsi="Arial"/>
          <w:sz w:val="12"/>
          <w:szCs w:val="12"/>
          <w:color w:val="4C9F40"/>
        </w:rPr>
        <w:t>Xerox 2010 Annual Report 5</w:t>
      </w:r>
    </w:p>
    <w:p>
      <w:pPr>
        <w:sectPr>
          <w:pgSz w:w="11900" w:h="16838" w:orient="portrait"/>
          <w:cols w:equalWidth="0" w:num="1">
            <w:col w:w="11420"/>
          </w:cols>
          <w:pgMar w:left="240" w:top="404" w:right="239" w:bottom="1440" w:gutter="0" w:footer="0" w:header="0"/>
        </w:sectPr>
      </w:pPr>
    </w:p>
    <w:bookmarkStart w:id="82" w:name="page83"/>
    <w:bookmarkEnd w:id="82"/>
    <w:p>
      <w:pPr>
        <w:ind w:left="340" w:hanging="332"/>
        <w:spacing w:after="0"/>
        <w:tabs>
          <w:tab w:leader="none" w:pos="340" w:val="left"/>
        </w:tabs>
        <w:numPr>
          <w:ilvl w:val="0"/>
          <w:numId w:val="92"/>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252095</wp:posOffset>
            </wp:positionV>
            <wp:extent cx="7289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80" cy="8890"/>
                    </a:xfrm>
                    <a:prstGeom prst="rect">
                      <a:avLst/>
                    </a:prstGeom>
                    <a:noFill/>
                  </pic:spPr>
                </pic:pic>
              </a:graphicData>
            </a:graphic>
          </wp:anchor>
        </w:drawing>
        <w:t>Annuity revenue equals Service, outsourcing and rentals plus Supplies, paper and other sales plus Finance income.</w:t>
      </w:r>
    </w:p>
    <w:p>
      <w:pPr>
        <w:ind w:left="340" w:hanging="332"/>
        <w:spacing w:after="0" w:line="221" w:lineRule="auto"/>
        <w:tabs>
          <w:tab w:leader="none" w:pos="3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Color revenues represent a subset of total revenue and excludes the impact of GIS’s revenues.</w:t>
      </w:r>
    </w:p>
    <w:p>
      <w:pPr>
        <w:ind w:left="340" w:right="200" w:hanging="332"/>
        <w:spacing w:after="0" w:line="221" w:lineRule="auto"/>
        <w:tabs>
          <w:tab w:leader="none" w:pos="3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Growth on a pro-forma basis reflects the inclusion of ACS’s adjusted results from February 6 through December 31, 2009. Refer to the “Non-GAAP Financial Measures” section for an explanation of this non-GAAP financial measure.</w:t>
      </w:r>
    </w:p>
    <w:p>
      <w:pPr>
        <w:ind w:left="340" w:hanging="332"/>
        <w:spacing w:after="0" w:line="221" w:lineRule="auto"/>
        <w:tabs>
          <w:tab w:leader="none" w:pos="3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Pages include estimates for developing markets, GIS and printers.</w:t>
      </w:r>
    </w:p>
    <w:p>
      <w:pPr>
        <w:ind w:left="340" w:hanging="332"/>
        <w:spacing w:after="0"/>
        <w:tabs>
          <w:tab w:leader="none" w:pos="3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Refer to the “Non-GAAP Financial Measures” section for an explanation of this non-GAAP financial measure.</w:t>
      </w:r>
    </w:p>
    <w:p>
      <w:pPr>
        <w:spacing w:after="0" w:line="280" w:lineRule="exact"/>
        <w:rPr>
          <w:sz w:val="20"/>
          <w:szCs w:val="20"/>
          <w:color w:val="auto"/>
        </w:rPr>
      </w:pPr>
    </w:p>
    <w:p>
      <w:pPr>
        <w:spacing w:after="0"/>
        <w:rPr>
          <w:sz w:val="20"/>
          <w:szCs w:val="20"/>
          <w:color w:val="auto"/>
        </w:rPr>
      </w:pPr>
      <w:r>
        <w:rPr>
          <w:rFonts w:ascii="Arial" w:cs="Arial" w:eastAsia="Arial" w:hAnsi="Arial"/>
          <w:sz w:val="22"/>
          <w:szCs w:val="22"/>
          <w:b w:val="1"/>
          <w:bCs w:val="1"/>
          <w:color w:val="4C9F40"/>
        </w:rPr>
        <w:t>Application of Critical Accounting Policies</w:t>
      </w:r>
    </w:p>
    <w:p>
      <w:pPr>
        <w:spacing w:after="0" w:line="188"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In preparing our Consolidated Financial Statements and accounting for the underlying transactions and balances, we apply various accounting policies. Senior management has discussed the development and selection of the critical accounting policies, estimates and related disclosures included herein with the Audit Committee of the Board of Directors. We consider the policies discussed below as critical to understanding our Consolidated Financial Statements, as their application places the most significant demands on management’s judgment, since financial reporting results rely on estimates of the effects of matters that are inherently uncertain. In instances where different estimates could have reasonably been used, we disclosed the impact of these different estimates on our operations. In certain instances, like revenue recognition for leases, the accounting rules are prescriptive; therefore, it would not have been possible to reasonably use different estimates. Changes in assumptions and estimates are reflected in the period in which they occur. The impact of such changes could be material to our results of operations and financial condition in any quarterly or annual period.</w:t>
      </w:r>
    </w:p>
    <w:p>
      <w:pPr>
        <w:spacing w:after="0" w:line="161"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Specific risks associated with these critical accounting policies are discussed throughout the MD&amp;A, where such policies affect our reported and expected financial results. For a detailed discussion of the application of these and other accounting policies, refer to Note 1 - Summary of Significant Accounting Policies, in the Consolidated Financial Statements.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Revenue Recognition for Leases</w:t>
      </w:r>
    </w:p>
    <w:p>
      <w:pPr>
        <w:spacing w:after="0" w:line="18"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Our accounting for leases involves specific determinations under applicable lease accounting standards. These determinations affect the timing of revenue recognition for our equipment. If a lease qualifies as a sales-type capital lease, equipment revenue is recognized as sale revenue upon delivery or installation of the equipment as opposed to ratably over the lease term. The critical elements that we consider with respect to our lease accounting are the determination of the economic life and the fair value of equipment, including the residual value. For purposes of determining the economic life, we consider the most objective measure to be the original contract term, since most equipment is returned by lessees at or near the end of the contracted term. The economic life of most of our products is five years since this represents the most frequent contractual lease term for our principal products and only a small percentage of our leases are for original terms longer than five years. There is no significant after-market for our used equipment. We believe five years is representative of the period during which the equipment is expected to be economically usable, with normal service, for the purpose for which it is intended.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Revenue Recognition for Bundled Lease Arrangements</w:t>
      </w:r>
    </w:p>
    <w:p>
      <w:pPr>
        <w:spacing w:after="0" w:line="18" w:lineRule="exact"/>
        <w:rPr>
          <w:sz w:val="20"/>
          <w:szCs w:val="20"/>
          <w:color w:val="auto"/>
        </w:rPr>
      </w:pPr>
    </w:p>
    <w:p>
      <w:pPr>
        <w:ind w:right="60"/>
        <w:spacing w:after="0" w:line="267" w:lineRule="auto"/>
        <w:rPr>
          <w:sz w:val="20"/>
          <w:szCs w:val="20"/>
          <w:color w:val="auto"/>
        </w:rPr>
      </w:pPr>
      <w:r>
        <w:rPr>
          <w:rFonts w:ascii="Arial" w:cs="Arial" w:eastAsia="Arial" w:hAnsi="Arial"/>
          <w:sz w:val="16"/>
          <w:szCs w:val="16"/>
          <w:color w:val="auto"/>
        </w:rPr>
        <w:t>We sell our products and services under bundled lease arrangements, which typically include equipment, service, supplies and financing components for which the customer pays a single negotiated monthly fixed price for all elements over the contractual lease term. Approximately 40% of our equipment sales revenue is related to sales made under bundled lease arrangements. Typically these arrangements include an incremental, variable component for page volumes in excess of contractual page volume minimums, which are often expressed in terms of price per page. Revenues under these arrangements are allocated, considering the relative fair values of the lease and non-lease deliverables included in the bundled arrangement, based upon the estimated fair values of each element. Lease deliverables include maintenance and executory costs, equipment and financing, while non-lease deliverables generally consist of supplies and non-maintenance services. The allocation for lease deliverables begins by allocating revenues to the maintenance and executory costs plus profit thereon. These elements are generally recognized over the term of the lease as services revenue. The remaining amounts are allocated to the equipment and financing elements, which are subjected to the accounting estimates noted above under “Revenue Recognition for Leases.” We perform analyses of available verifiable objective evidence of equipment fair value based on cash selling prices during the applicable period. The cash selling prices are compared to the range of values included in our lease accounting systems. The range of cash selling prices must be reasonably consistent with the lease selling prices, taking into account residual values, in order for us to determine that such lease prices are indicative of fair value.</w:t>
      </w:r>
    </w:p>
    <w:p>
      <w:pPr>
        <w:spacing w:after="0" w:line="322" w:lineRule="exact"/>
        <w:rPr>
          <w:sz w:val="20"/>
          <w:szCs w:val="20"/>
          <w:color w:val="auto"/>
        </w:rPr>
      </w:pPr>
    </w:p>
    <w:p>
      <w:pPr>
        <w:jc w:val="right"/>
        <w:spacing w:after="0"/>
        <w:rPr>
          <w:sz w:val="20"/>
          <w:szCs w:val="20"/>
          <w:color w:val="auto"/>
        </w:rPr>
      </w:pPr>
      <w:r>
        <w:rPr>
          <w:rFonts w:ascii="Arial" w:cs="Arial" w:eastAsia="Arial" w:hAnsi="Arial"/>
          <w:sz w:val="14"/>
          <w:szCs w:val="14"/>
          <w:color w:val="4C9F40"/>
        </w:rPr>
        <w:t>Xerox 2010 Annual Report 6</w:t>
      </w:r>
    </w:p>
    <w:p>
      <w:pPr>
        <w:sectPr>
          <w:pgSz w:w="11900" w:h="16838" w:orient="portrait"/>
          <w:cols w:equalWidth="0" w:num="1">
            <w:col w:w="11420"/>
          </w:cols>
          <w:pgMar w:left="240" w:top="423" w:right="239" w:bottom="1440" w:gutter="0" w:footer="0" w:header="0"/>
        </w:sectPr>
      </w:pPr>
    </w:p>
    <w:bookmarkStart w:id="83" w:name="page84"/>
    <w:bookmarkEnd w:id="83"/>
    <w:p>
      <w:pPr>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Our pricing interest rates, which are used in determining customer payments, are developed based upon a variety of factors including local prevailing rates in the marketplace and the customer’s credit history, industry and credit class. We reassess our pricing interest rates quarterly based on changes in the local prevailing rates in the marketplace. These interest rates have generally been adjusted if the rates vary by twenty-five basis points or more, cumulatively, from the last rate in effect. The pricing interest rates generally equal the implicit rates within the leases, as corroborated by our comparisons of cash to lease selling prices.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Revenue Recognition for Services – Percentage-of-Completion</w:t>
      </w:r>
    </w:p>
    <w:p>
      <w:pPr>
        <w:spacing w:after="0" w:line="18"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color w:val="auto"/>
        </w:rPr>
        <w:t>A significant portion of our services revenue is recognized based on objective criteria that do not require significant estimates or uncertainties. For example, transaction volume, time and materials and cost reimbursable arrangements are based on specific, objective criteria under the contracts. Accordingly, revenues recognized under these contracts do not require the use of significant estimates that are susceptible to change. However, revenue recognized using the percentage-of-completion accounting method does require the use of estimates and judgment as discussed below. During 2010, we recognized approximately $270 million of revenue using the percentage-of-completion accounting method.</w:t>
      </w:r>
    </w:p>
    <w:p>
      <w:pPr>
        <w:spacing w:after="0" w:line="12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Revenues on certain fixed price contracts where we provide information technology system development and implementation services are recognized using the percentage-of-completion approach. Revenue is recognized over the contract term based on the percentage of development and implementation services that are provided during the period compared with the total estimated development and implementation services to be provided over the entire contract. These contracts require that we perform significant, extensive and complex design, development, modification and implementation activities for our clients’ systems. Performance will often extend over long periods, and our right to receive future payment depends on our future performance in accordance with the agreement.</w:t>
      </w:r>
    </w:p>
    <w:p>
      <w:pPr>
        <w:spacing w:after="0" w:line="156"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percentage-of-completion methodology involves recognizing probable and reasonably estimable revenue using the percentage of services completed, on a current cumulative cost to estimated total cost basis, using a reasonably consistent profit margin over the period. Due to the longer term nature of these projects, developing the estimates of costs often requires significant judgment. Factors that must be considered in estimating the progress of work completed and ultimate cost of the projects include, but are not limited to, the availability of labor and labor productivity, the nature and complexity of the work to be performed and the impact of delayed performance. If changes occur in delivery, productivity or other factors used in developing the estimates of costs or revenues, we revise our cost and revenue estimates, which may result in increases or decreases in revenues and costs. Such revisions are reflected in income in the period in which the facts that give rise to that revision become known. If at any time these estimates indicate the contract will be unprofitable, the entire estimated loss for the remainder of the contract is recorded immediately in cost. We perform ongoing profitability analyses of our services contracts in order to determine whether the latest estimates require updating.</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Allowance for Doubtful Accounts and Credit Losses</w:t>
      </w:r>
    </w:p>
    <w:p>
      <w:pPr>
        <w:spacing w:after="0" w:line="18" w:lineRule="exact"/>
        <w:rPr>
          <w:sz w:val="20"/>
          <w:szCs w:val="20"/>
          <w:color w:val="auto"/>
        </w:rPr>
      </w:pPr>
    </w:p>
    <w:p>
      <w:pPr>
        <w:ind w:right="360"/>
        <w:spacing w:after="0" w:line="237" w:lineRule="auto"/>
        <w:rPr>
          <w:sz w:val="20"/>
          <w:szCs w:val="20"/>
          <w:color w:val="auto"/>
        </w:rPr>
      </w:pPr>
      <w:r>
        <w:rPr>
          <w:rFonts w:ascii="Arial" w:cs="Arial" w:eastAsia="Arial" w:hAnsi="Arial"/>
          <w:sz w:val="18"/>
          <w:szCs w:val="18"/>
          <w:color w:val="auto"/>
        </w:rPr>
        <w:t>We perform ongoing credit evaluations of our customers and adjust credit limits based upon customer payment history and current creditworthiness. We continuously monitor collections and payments from our customers and maintain a provision for estimated credit losses based upon our historical experience adjusted for current conditions. We cannot guarantee that we will continue to experience credit loss rates similar to those we have experienced in the past.</w:t>
      </w:r>
    </w:p>
    <w:p>
      <w:pPr>
        <w:spacing w:after="0" w:line="137" w:lineRule="exact"/>
        <w:rPr>
          <w:sz w:val="20"/>
          <w:szCs w:val="20"/>
          <w:color w:val="auto"/>
        </w:rPr>
      </w:pPr>
    </w:p>
    <w:p>
      <w:pPr>
        <w:jc w:val="right"/>
        <w:spacing w:after="0"/>
        <w:rPr>
          <w:sz w:val="20"/>
          <w:szCs w:val="20"/>
          <w:color w:val="auto"/>
        </w:rPr>
      </w:pPr>
      <w:r>
        <w:rPr>
          <w:rFonts w:ascii="Arial" w:cs="Arial" w:eastAsia="Arial" w:hAnsi="Arial"/>
          <w:sz w:val="14"/>
          <w:szCs w:val="14"/>
          <w:color w:val="4C9F40"/>
        </w:rPr>
        <w:t>Xerox 2010 Annual Report 7</w:t>
      </w:r>
    </w:p>
    <w:p>
      <w:pPr>
        <w:sectPr>
          <w:pgSz w:w="11900" w:h="16838" w:orient="portrait"/>
          <w:cols w:equalWidth="0" w:num="1">
            <w:col w:w="11420"/>
          </w:cols>
          <w:pgMar w:left="240" w:top="345" w:right="239" w:bottom="1440" w:gutter="0" w:footer="0" w:header="0"/>
        </w:sectPr>
      </w:pPr>
    </w:p>
    <w:bookmarkStart w:id="84" w:name="page85"/>
    <w:bookmarkEnd w:id="84"/>
    <w:p>
      <w:pPr>
        <w:ind w:right="20"/>
        <w:spacing w:after="0" w:line="23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Measurement of such losses requires consideration of historical loss experience, including the need to adjust for current conditions, and judgments about the probable effects of relevant observable data, including present economic conditions such as delinquency rates and financial health of specific customers. We recorded bad debt provisions of $188 million, $291 million and $188 million in SAG expenses in our Consolidated Statements of Income for the years ended December 31, 2010, 2009 and 2008, respectively.</w:t>
      </w:r>
    </w:p>
    <w:p>
      <w:pPr>
        <w:spacing w:after="0" w:line="155"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Historically, the majority of the bad debt provision related to our finance receivables portfolio. This provision is inherently more difficult to estimate than the provision for trade accounts receivable because the underlying lease portfolio has an average maturity, at any time, of approximately two to three years and contains past due billed amounts, as well as unbilled amounts. The estimated credit quality of any given customer and class of customer or geographic location can significantly change during the life of the portfolio. We consider all available information in our quarterly assessments of the adequacy of the provision for doubtful accounts.</w:t>
      </w:r>
    </w:p>
    <w:p>
      <w:pPr>
        <w:spacing w:after="0" w:line="15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Bad debt provisions decreased by $103 million in 2010 and reserves as a percentage of trade and finance receivables decreased to 3.3% at December 31, 2010 as compared to 4.1% at December 31, 2009 and 3.4% at December 31, 2008. The decline in 2010 reflects the improving trend in write-off’s over the past year as well as the acquisition of ACS. We continue to assess our receivable portfolio in light of the current economic environment and its impact on our estimation of the adequacy of the allowance for doubtful accounts. Refer to Note 4 – Receivables in the Consolidated Financial Statements for additional information.</w:t>
      </w:r>
    </w:p>
    <w:p>
      <w:pPr>
        <w:spacing w:after="0" w:line="157"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As discussed above, in preparing our Consolidated Financial Statements for the three years ended December 31, 2010, we estimated our provision for doubtful accounts based on historical experience and customer-specific collection issues. This methodology was consistently applied for all periods presented. During the five year period ended December 31, 2010, our reserve for doubtful accounts ranged from 3.0% to 4.1% of gross receivables. Holding all assumptions constant, a 1-percentage point increase or decrease in the reserve from the December 31, 2010 rate of 3.3% would change the 2010 provision by approximately $98 million.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Pension and Retiree Health Benefit Plan Assumptions</w:t>
      </w:r>
    </w:p>
    <w:p>
      <w:pPr>
        <w:spacing w:after="0" w:line="1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sponsor defined benefit pension plans in various forms in several countries covering employees who meet eligibility requirements. Retiree health benefit plans cover U.S. and Canadian employees for retirement medical costs. Several statistical and other factors that attempt to anticipate future events are used in calculating the expense, liability and asset values related to our pension and retiree health benefit plans. These factors include assumptions we make about the discount rate, expected return on plan assets, rate of increase in healthcare costs, the rate of future compensation increases and mortality. Differences between these assumptions and actual experiences are reported as net actuarial gains and losses and are subject to amortization to net periodic benefit cost generally over the average remaining service lives of the employees participating in the plans.</w:t>
      </w:r>
    </w:p>
    <w:p>
      <w:pPr>
        <w:spacing w:after="0" w:line="155" w:lineRule="exact"/>
        <w:rPr>
          <w:sz w:val="20"/>
          <w:szCs w:val="20"/>
          <w:color w:val="auto"/>
        </w:rPr>
      </w:pPr>
    </w:p>
    <w:p>
      <w:pPr>
        <w:jc w:val="both"/>
        <w:ind w:right="640"/>
        <w:spacing w:after="0" w:line="281" w:lineRule="auto"/>
        <w:rPr>
          <w:sz w:val="20"/>
          <w:szCs w:val="20"/>
          <w:color w:val="auto"/>
        </w:rPr>
      </w:pPr>
      <w:r>
        <w:rPr>
          <w:rFonts w:ascii="Arial" w:cs="Arial" w:eastAsia="Arial" w:hAnsi="Arial"/>
          <w:sz w:val="16"/>
          <w:szCs w:val="16"/>
          <w:color w:val="auto"/>
        </w:rPr>
        <w:t>Cumulative actuarial losses for our defined benefit pension plans of $1.9 billion as of December 31, 2010 were essentially unchanged from December 31, 2009. Positive returns on plan assets in 2010 as compared to expected returns offset a decrease in discount rates. The total actuarial loss will be amortized over future periods, subject to offsetting gains or losses that will impact the future amortization amounts.</w:t>
      </w:r>
    </w:p>
    <w:p>
      <w:pPr>
        <w:spacing w:after="0" w:line="12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used a weighted average expected rate of return on plan assets of 7.3% for 2010, 7.4% for 2009 and 7.6% for 2008, on a worldwide basis. During 2010, the actual return on plan assets was $846 million, reflecting an improvement in the equity markets during the year. When estimating the 2011 expected rate of return, in addition to assessing recent performance, we considered the historical returns earned on plan assets, the rates of return expected in the future and our investment strategy and asset mix with respect to the plans’ funds. The weighted average expected rate of return on plan assets we will use in 2011 is 7.2%.</w:t>
      </w:r>
    </w:p>
    <w:p>
      <w:pPr>
        <w:spacing w:after="0" w:line="15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For purposes of determining the expected return on plan assets, we use a calculated value approach to determine the value of the pension plan assets, rather than a fair market value approach. The primary difference between these two methods relates to a systematic recognition of changes in fair value over time (generally two years) versus immediate recognition of changes in fair value. Our expected rate of return on plan assets is applied to the calculated asset value to determine the amount of the expected return on plan assets to be used in the determination of the net periodic pension cost. The calculated value approach reduces the volatility in net periodic pension cost that can result from using the fair market value approach. The difference between the actual return on plan assets and the expected return on plan assets is added to, or subtracted from, any cumulative differences from prior years. This amount is a component of the net actuarial gain or loss.</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4"/>
          <w:szCs w:val="14"/>
          <w:color w:val="4C9F40"/>
        </w:rPr>
        <w:t>Xerox 2010 Annual Report 8</w:t>
      </w:r>
    </w:p>
    <w:p>
      <w:pPr>
        <w:sectPr>
          <w:pgSz w:w="11900" w:h="16838" w:orient="portrait"/>
          <w:cols w:equalWidth="0" w:num="1">
            <w:col w:w="11420"/>
          </w:cols>
          <w:pgMar w:left="240" w:top="345" w:right="239" w:bottom="1440" w:gutter="0" w:footer="0" w:header="0"/>
        </w:sectPr>
      </w:pPr>
    </w:p>
    <w:bookmarkStart w:id="85" w:name="page86"/>
    <w:bookmarkEnd w:id="85"/>
    <w:p>
      <w:pPr>
        <w:ind w:right="20"/>
        <w:spacing w:after="0" w:line="23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Another significant assumption affecting our pension and retiree health benefit obligations and the net periodic benefit cost is the rate that we use to discount our future anticipated benefit obligations. The discount rate reflects the current rate at which the benefit liabilities could be effectively settled considering the timing of expected payments for plan participants. In estimating this rate, we consider rates of return on high quality fixed-income investments included in published bond indices, adjusted to eliminate the effects of call provisions and differences in the timing and amounts of cash outflows related to the bonds. In the U.S. and the U.K., which comprise approximately 75% of our projected benefit obligations, we consider the Moody’s Aa Corporate Bond Index and the International Index Company’s iBoxx Sterling Corporate AA Cash Bond Index, respectively, in the determination of the appropriate discount rate assumptions. The weighted average discount rate we used to measure our pension obligations as of December 31, 2010 and to calculate our 2011 expense was 5.2%, which is lower than 5.7% that was used to calculate our 2010 expense. The weighted average discount rate we used to measure our retiree health obligation as of December 31, 2010 and to calculate our 2011 expense was 4.9%, which is lower than 5.4% that was used to calculate our 2010 expense.</w:t>
      </w:r>
    </w:p>
    <w:p>
      <w:pPr>
        <w:spacing w:after="0" w:line="161"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On a consolidated basis, we recognized net periodic pension cost of $355 million, $270 million and $254 million for the years ended December 31, 2010, 2009 and 2008, respectively. The costs associated with our defined contribution plans, which are included in net periodic pension cost, were $51 million, $38 million and $80 million for the years ended December 31, 2010, 2009 and 2008, respectively. The increase in 2010 was primarily due to our partial resumption of the 401(k) match in the U.S. On a consolidated basis, we recognized net retiree health benefit cost of $32 million, $26 million and $77 million for the years ended December 31, 2010, 2009 and 2008, respectively.</w:t>
      </w:r>
    </w:p>
    <w:p>
      <w:pPr>
        <w:spacing w:after="0" w:line="157"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Assuming settlement losses in 2011 are consistent with 2010, our 2011 net periodic defined benefit pension cost is expected to be approximately $30 million lower than 2010, primarily driven by the U.S. as a result of a reduction in the amortization of actuarial losses and an increase in expected asset returns from higher asset values and expected contributions to the plan. Our 2011 retiree health benefit cost is expected to be approximately $17 million lower than 2010, primarily as a result of amendments to the U.S. plan in 2010.</w:t>
      </w:r>
    </w:p>
    <w:p>
      <w:pPr>
        <w:spacing w:after="0" w:line="155"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Benefit plan costs are included in several income statement components based on the related underlying employee costs. Pension and retiree health benefit plan assumptions are included in Note 15 – Employee Benefit Plans in the Consolidated Financial Statements. Holding all other assumptions constant, a 0.25% increase or decrease in the discount rate would change the 2011 projected net periodic pension cost by $17 million. Likewise, a 0.25% increase or decrease in the expected return on plan assets would change the 2011 projected net periodic pension cost by $17 million.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Income Taxes and Tax Valuation Allowances</w:t>
      </w:r>
    </w:p>
    <w:p>
      <w:pPr>
        <w:spacing w:after="0" w:line="18"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We record the estimated future tax effects of temporary differences between the tax bases of assets and liabilities and amounts reported in our Consolidated Balance Sheets, as well as operating loss and tax credit carryforwards. We follow very specific and detailed guidelines in each tax jurisdiction regarding the recoverability of any tax assets recorded in our Consolidated Balance Sheets and provide valuation allowances as required. We regularly review our deferred tax assets for recoverability considering historical profitability, projected future taxable income, the expected timing of the reversals of existing temporary differences and tax planning strategies. If we continue to operate at a loss in certain jurisdictions or are unable to generate sufficient future taxable income, or if there is a material change in the actual effective tax rates or time period within which the underlying temporary differences become taxable or deductible, we could be required to increase the valuation allowance against all or a significant portion of our deferred tax assets resulting in a substantial increase in our effective tax rate and a material adverse impact on our operating results. Conversely, if and when our operations in some jurisdictions become sufficiently profitable to recover previously reserved deferred tax assets, we would reduce all or a portion of the applicable valuation allowance in the period when such determination is made. This would result in an increase to reported earnings in such period. Adjustments to our valuation allowance, through charges (credits) to income tax expense, were $22 million, $(11) million and $17 million for the years ended December 31, 2010, 2009 and 2008, respectively. There were other (decreases) increases to our valuation allowance, including the effects of currency, of $11 million, $55 million and $(136) million for the years ended December 31, 2010, 2009 and 2008, respectively. These did not affect income tax expense in total as there was a corresponding adjustment to deferred tax assets or other comprehensive income. Gross deferred tax assets of $3.8 billion and $3.7 billion had valuation allowances of $735 million and $672 million at December 31, 2010 and 2009, respectively.</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color w:val="4C9F40"/>
        </w:rPr>
        <w:t>Xerox 2010 Annual Report 9</w:t>
      </w:r>
    </w:p>
    <w:p>
      <w:pPr>
        <w:sectPr>
          <w:pgSz w:w="11900" w:h="16838" w:orient="portrait"/>
          <w:cols w:equalWidth="0" w:num="1">
            <w:col w:w="11420"/>
          </w:cols>
          <w:pgMar w:left="240" w:top="345" w:right="239" w:bottom="1440" w:gutter="0" w:footer="0" w:header="0"/>
        </w:sectPr>
      </w:pPr>
    </w:p>
    <w:bookmarkStart w:id="86" w:name="page87"/>
    <w:bookmarkEnd w:id="86"/>
    <w:p>
      <w:pPr>
        <w:ind w:right="320"/>
        <w:spacing w:after="0" w:line="27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are subject to ongoing tax examinations and assessments in various jurisdictions. Accordingly, we may incur additional tax expense based upon our assessment of the more-likely-than-not outcomes of such matters. In addition, when applicable, we adjust the previously recorded tax expense to reflect examination results. Our ongoing assessments of the more-likely-than-not outcomes of the examinations and related tax positions require judgment and can materially increase or decrease our effective tax rate, as well as impact our operating results.</w:t>
      </w:r>
    </w:p>
    <w:p>
      <w:pPr>
        <w:spacing w:after="0" w:line="48" w:lineRule="exact"/>
        <w:rPr>
          <w:sz w:val="20"/>
          <w:szCs w:val="20"/>
          <w:color w:val="auto"/>
        </w:rPr>
      </w:pPr>
    </w:p>
    <w:p>
      <w:pPr>
        <w:jc w:val="both"/>
        <w:ind w:right="440"/>
        <w:spacing w:after="0" w:line="281" w:lineRule="auto"/>
        <w:rPr>
          <w:sz w:val="20"/>
          <w:szCs w:val="20"/>
          <w:color w:val="auto"/>
        </w:rPr>
      </w:pPr>
      <w:r>
        <w:rPr>
          <w:rFonts w:ascii="Arial" w:cs="Arial" w:eastAsia="Arial" w:hAnsi="Arial"/>
          <w:sz w:val="16"/>
          <w:szCs w:val="16"/>
          <w:color w:val="auto"/>
        </w:rPr>
        <w:t>We file income tax returns in the U.S. Federal jurisdiction and in various foreign jurisdictions. In the U.S, with the exception of ACS, we are no longer subject to U.S. Federal income tax examinations for years before 2007. ACS is no longer subject to such examination for years before 2004. With respect to our major foreign jurisdictions, we are no longer subject to tax examinations by tax authorities for years before 2000.</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Legal Contingencies</w:t>
      </w:r>
    </w:p>
    <w:p>
      <w:pPr>
        <w:spacing w:after="0" w:line="18"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We are involved in a variety of claims, lawsuits, investigations and proceedings concerning securities law, intellectual property law, environmental law, employment law and ERISA, as discussed in Note 17 – Contingencies in the Consolidated Financial Statements. We determine whether an estimated loss from a contingency should be accrued by assessing whether a loss is deemed probable and can be reasonably estimated. We assess our potential liability by analyzing our litigation and regulatory matters using available information. We develop our views on estimated losses in consultation with outside counsel handling our defense in these matters, which involves an analysis of potential results, assuming a combination of litigation and settlement strategies. Should developments in any of these matters cause a change in our determination as to an unfavorable outcome and result in the need to recognize a material accrual, or should any of these matters result in a final adverse judgment or be settled for significant amounts, they could have a material adverse effect on our results of operations, cash flows and financial position in the period or periods in which such change in determination, judgment or settlement occurs.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Business Combinations and Goodwill</w:t>
      </w:r>
    </w:p>
    <w:p>
      <w:pPr>
        <w:spacing w:after="0" w:line="18"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application of the purchase method of accounting for business combinations requires the use of significant estimates and assumptions in the determination of the fair value of assets acquired and liabilities assumed in order to properly allocate purchase price consideration between assets that are depreciated and amortized from goodwill. Our estimates of the fair values of assets and liabilities acquired are based upon assumptions believed to be reasonable, and when appropriate, include assistance from independent third-party appraisal firms.</w:t>
      </w:r>
    </w:p>
    <w:p>
      <w:pPr>
        <w:spacing w:after="0" w:line="155"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As a result of our acquisition of ACS, as well as other acquisitions including GIS, we have a significant amount of goodwill. Goodwill is tested for impairment annually or more frequently if an event or circumstance indicates that an impairment loss may have been incurred. Application of the goodwill impairment test requires judgment, including the identification of reporting units, assignment of assets and liabilities to reporting units, assignment of goodwill to reporting units and determination of the fair value of each reporting unit. We estimate the fair value of each reporting unit using a discounted cash flow methodology. This requires significant judgment including: estimation of future cash flows, which is dependent on internal forecasts; estimation of the long-term rate of growth for our business; the useful life over which cash flows will occur; determination of our weighted average cost of capital for purposes of establishing a discount rate; and consideration of relevant market data.</w:t>
      </w:r>
    </w:p>
    <w:p>
      <w:pPr>
        <w:spacing w:after="0" w:line="155"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Our annual impairment test of goodwill is performed in the fourth quarter of each year. The estimated fair values of our reporting units were based on discounted cash flow models derived from internal earnings forecasts and assumptions. The assumptions and estimates used in those valuations considered the current economic environment. In performing our 2010 impairment test, the following were the overall composite assumptions regarding revenue and expense growth, which formed the basis for estimating future cash flows used in the discounted cash flow model: (1) revenue growth 3-5%; (2) gross margin 33-35%; (3) RD&amp;E 3%; (4) SAG 19-20%; and (5) return on sales 10-12%. We believe these assumptions are appropriate because they are consistent with historical results (inclusive of ACS), generally consistent with our forecasted long-term business model and give appropriate consideration to the current economic environment.</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4"/>
          <w:szCs w:val="14"/>
          <w:color w:val="4C9F40"/>
        </w:rPr>
        <w:t>Xerox 2010 Annual Report 10</w:t>
      </w:r>
    </w:p>
    <w:p>
      <w:pPr>
        <w:sectPr>
          <w:pgSz w:w="11900" w:h="16838" w:orient="portrait"/>
          <w:cols w:equalWidth="0" w:num="1">
            <w:col w:w="11420"/>
          </w:cols>
          <w:pgMar w:left="240" w:top="291" w:right="239" w:bottom="1440" w:gutter="0" w:footer="0" w:header="0"/>
        </w:sectPr>
      </w:pPr>
    </w:p>
    <w:bookmarkStart w:id="87" w:name="page88"/>
    <w:bookmarkEnd w:id="87"/>
    <w:p>
      <w:pPr>
        <w:ind w:right="340"/>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Based on these valuations, we determined that the fair values of our reporting units exceeded their carrying values and no goodwill impairment charge was required during the fourth quarter 2010.</w:t>
      </w:r>
    </w:p>
    <w:p>
      <w:pPr>
        <w:spacing w:after="0" w:line="155"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Refer to Note 1 – Summary of Significant Accounting Policies – “Goodwill and Intangible Assets” for additional information regarding our goodwill impairment testing, as well as Note 8 – Goodwill and Intangible Assets, Net in the Consolidated Financial Statements for additional information regarding goodwill by operating segment.</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4C9F40"/>
        </w:rPr>
        <w:t>Operations Review of Segment Revenue and Operating Profit</w:t>
      </w:r>
    </w:p>
    <w:p>
      <w:pPr>
        <w:spacing w:after="0" w:line="188" w:lineRule="exact"/>
        <w:rPr>
          <w:sz w:val="20"/>
          <w:szCs w:val="20"/>
          <w:color w:val="auto"/>
        </w:rPr>
      </w:pPr>
    </w:p>
    <w:p>
      <w:pPr>
        <w:ind w:right="800"/>
        <w:spacing w:after="0" w:line="239" w:lineRule="auto"/>
        <w:rPr>
          <w:sz w:val="20"/>
          <w:szCs w:val="20"/>
          <w:color w:val="auto"/>
        </w:rPr>
      </w:pPr>
      <w:r>
        <w:rPr>
          <w:rFonts w:ascii="Arial" w:cs="Arial" w:eastAsia="Arial" w:hAnsi="Arial"/>
          <w:sz w:val="18"/>
          <w:szCs w:val="18"/>
          <w:color w:val="auto"/>
        </w:rPr>
        <w:t>Our reportable segments are consistent with how we manage the business and view the markets we serve. Our reportable segments are Technology, Services and Other.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2010 Segment Reporting Change</w:t>
      </w:r>
    </w:p>
    <w:p>
      <w:pPr>
        <w:spacing w:after="0" w:line="180"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 xml:space="preserve">In 2010, as a result of our acquisition of ACS, we realigned our internal financial reporting structure and began reporting our financial performance based on two primary segments – </w:t>
      </w:r>
      <w:r>
        <w:rPr>
          <w:rFonts w:ascii="Arial" w:cs="Arial" w:eastAsia="Arial" w:hAnsi="Arial"/>
          <w:sz w:val="18"/>
          <w:szCs w:val="18"/>
          <w:b w:val="1"/>
          <w:bCs w:val="1"/>
          <w:color w:val="4C9F40"/>
        </w:rPr>
        <w:t>Technology</w:t>
      </w:r>
      <w:r>
        <w:rPr>
          <w:rFonts w:ascii="Arial" w:cs="Arial" w:eastAsia="Arial" w:hAnsi="Arial"/>
          <w:sz w:val="18"/>
          <w:szCs w:val="18"/>
          <w:color w:val="auto"/>
        </w:rPr>
        <w:t xml:space="preserve"> and </w:t>
      </w:r>
      <w:r>
        <w:rPr>
          <w:rFonts w:ascii="Arial" w:cs="Arial" w:eastAsia="Arial" w:hAnsi="Arial"/>
          <w:sz w:val="18"/>
          <w:szCs w:val="18"/>
          <w:b w:val="1"/>
          <w:bCs w:val="1"/>
          <w:color w:val="4C9F40"/>
        </w:rPr>
        <w:t>Services</w:t>
      </w:r>
      <w:r>
        <w:rPr>
          <w:rFonts w:ascii="Arial" w:cs="Arial" w:eastAsia="Arial" w:hAnsi="Arial"/>
          <w:sz w:val="18"/>
          <w:szCs w:val="18"/>
          <w:color w:val="auto"/>
        </w:rPr>
        <w:t>. The Technology segment represents the combination of our former Production and Office segments excluding the document outsourcing business. The Services segment represents the combination of our document outsourcing business, which includes Xerox’s historic business process services, and ACS’s business process outsourcing and information technology outsourcing businesses. We believe this realignment improves our view of the expanded markets we now serve and will help us to better manage our business which is primarily centered around equipment systems and outsourcing services. Our Technology segment operations involve the sale and support of a broad range of document systems from entry level to the high-end. Our Services segment operations involve delivery of a broad range of outsourcing services including document, business processing and IT. Our 2009 and 2008 segment disclosures have been restated to reflect our new 2010 internal reporting structure. Refer to Note 2 – Segment Reporting, in the Consolidated Financial Statements for further description of these segments.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Revenues by segment for the three years ended December 31, 2010 were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gridSpan w:val="3"/>
          </w:tcPr>
          <w:p>
            <w:pPr>
              <w:spacing w:after="0"/>
              <w:rPr>
                <w:sz w:val="20"/>
                <w:szCs w:val="20"/>
                <w:color w:val="auto"/>
              </w:rPr>
            </w:pPr>
            <w:r>
              <w:rPr>
                <w:rFonts w:ascii="Arial" w:cs="Arial" w:eastAsia="Arial" w:hAnsi="Arial"/>
                <w:sz w:val="14"/>
                <w:szCs w:val="14"/>
                <w:color w:val="auto"/>
              </w:rPr>
              <w:t>(in millions)</w:t>
            </w:r>
          </w:p>
        </w:tc>
        <w:tc>
          <w:tcPr>
            <w:tcW w:w="880" w:type="dxa"/>
            <w:vAlign w:val="bottom"/>
            <w:gridSpan w:val="2"/>
          </w:tcPr>
          <w:p>
            <w:pPr>
              <w:spacing w:after="0"/>
              <w:rPr>
                <w:sz w:val="20"/>
                <w:szCs w:val="20"/>
                <w:color w:val="auto"/>
              </w:rPr>
            </w:pPr>
            <w:r>
              <w:rPr>
                <w:rFonts w:ascii="Arial" w:cs="Arial" w:eastAsia="Arial" w:hAnsi="Arial"/>
                <w:sz w:val="14"/>
                <w:szCs w:val="14"/>
                <w:color w:val="auto"/>
                <w:w w:val="94"/>
              </w:rPr>
              <w:t>Total Revenue</w:t>
            </w:r>
          </w:p>
        </w:tc>
        <w:tc>
          <w:tcPr>
            <w:tcW w:w="20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color w:val="auto"/>
              </w:rPr>
              <w:t>Segment Profit (Loss)</w:t>
            </w:r>
          </w:p>
        </w:tc>
        <w:tc>
          <w:tcPr>
            <w:tcW w:w="1260" w:type="dxa"/>
            <w:vAlign w:val="bottom"/>
            <w:gridSpan w:val="2"/>
          </w:tcPr>
          <w:p>
            <w:pPr>
              <w:jc w:val="right"/>
              <w:ind w:right="280"/>
              <w:spacing w:after="0"/>
              <w:rPr>
                <w:sz w:val="20"/>
                <w:szCs w:val="20"/>
                <w:color w:val="auto"/>
              </w:rPr>
            </w:pPr>
            <w:r>
              <w:rPr>
                <w:rFonts w:ascii="Arial" w:cs="Arial" w:eastAsia="Arial" w:hAnsi="Arial"/>
                <w:sz w:val="14"/>
                <w:szCs w:val="14"/>
                <w:color w:val="auto"/>
                <w:w w:val="93"/>
              </w:rPr>
              <w:t>Segment Margin</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tcBorders>
              <w:top w:val="single" w:sz="8" w:color="auto"/>
            </w:tcBorders>
            <w:shd w:val="clear" w:color="auto" w:fill="E5E5E5"/>
          </w:tcPr>
          <w:p>
            <w:pPr>
              <w:spacing w:after="0" w:line="196" w:lineRule="exact"/>
              <w:rPr>
                <w:sz w:val="20"/>
                <w:szCs w:val="20"/>
                <w:color w:val="auto"/>
              </w:rPr>
            </w:pPr>
            <w:r>
              <w:rPr>
                <w:rFonts w:ascii="Arial" w:cs="Arial" w:eastAsia="Arial" w:hAnsi="Arial"/>
                <w:sz w:val="18"/>
                <w:szCs w:val="18"/>
                <w:b w:val="1"/>
                <w:bCs w:val="1"/>
                <w:color w:val="auto"/>
              </w:rPr>
              <w:t>2010</w:t>
            </w:r>
          </w:p>
        </w:tc>
        <w:tc>
          <w:tcPr>
            <w:tcW w:w="5080" w:type="dxa"/>
            <w:vAlign w:val="bottom"/>
            <w:shd w:val="clear" w:color="auto" w:fill="E5E5E5"/>
          </w:tcPr>
          <w:p>
            <w:pPr>
              <w:spacing w:after="0"/>
              <w:rPr>
                <w:sz w:val="17"/>
                <w:szCs w:val="17"/>
                <w:color w:val="auto"/>
              </w:rPr>
            </w:pPr>
          </w:p>
        </w:tc>
        <w:tc>
          <w:tcPr>
            <w:tcW w:w="220" w:type="dxa"/>
            <w:vAlign w:val="bottom"/>
            <w:tcBorders>
              <w:top w:val="single" w:sz="8" w:color="auto"/>
            </w:tcBorders>
            <w:shd w:val="clear" w:color="auto" w:fill="E5E5E5"/>
          </w:tcPr>
          <w:p>
            <w:pPr>
              <w:spacing w:after="0"/>
              <w:rPr>
                <w:sz w:val="17"/>
                <w:szCs w:val="17"/>
                <w:color w:val="auto"/>
              </w:rPr>
            </w:pPr>
          </w:p>
        </w:tc>
        <w:tc>
          <w:tcPr>
            <w:tcW w:w="660" w:type="dxa"/>
            <w:vAlign w:val="bottom"/>
            <w:tcBorders>
              <w:top w:val="single" w:sz="8" w:color="auto"/>
            </w:tcBorders>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480" w:type="dxa"/>
            <w:vAlign w:val="bottom"/>
            <w:tcBorders>
              <w:top w:val="single" w:sz="8" w:color="auto"/>
            </w:tcBorders>
            <w:shd w:val="clear" w:color="auto" w:fill="E5E5E5"/>
          </w:tcPr>
          <w:p>
            <w:pPr>
              <w:spacing w:after="0"/>
              <w:rPr>
                <w:sz w:val="17"/>
                <w:szCs w:val="17"/>
                <w:color w:val="auto"/>
              </w:rPr>
            </w:pPr>
          </w:p>
        </w:tc>
        <w:tc>
          <w:tcPr>
            <w:tcW w:w="820" w:type="dxa"/>
            <w:vAlign w:val="bottom"/>
            <w:tcBorders>
              <w:top w:val="single" w:sz="8" w:color="auto"/>
            </w:tcBorders>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000" w:type="dxa"/>
            <w:vAlign w:val="bottom"/>
            <w:tcBorders>
              <w:top w:val="single" w:sz="8" w:color="auto"/>
            </w:tcBorders>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Technology</w:t>
            </w:r>
          </w:p>
        </w:tc>
        <w:tc>
          <w:tcPr>
            <w:tcW w:w="2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10,349</w:t>
            </w:r>
          </w:p>
        </w:tc>
        <w:tc>
          <w:tcPr>
            <w:tcW w:w="6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1,085</w:t>
            </w:r>
          </w:p>
        </w:tc>
        <w:tc>
          <w:tcPr>
            <w:tcW w:w="12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gridSpan w:val="2"/>
            <w:shd w:val="clear" w:color="auto" w:fill="E5E5E5"/>
          </w:tcPr>
          <w:p>
            <w:pPr>
              <w:ind w:left="200"/>
              <w:spacing w:after="0" w:line="202" w:lineRule="exact"/>
              <w:rPr>
                <w:sz w:val="20"/>
                <w:szCs w:val="20"/>
                <w:color w:val="auto"/>
              </w:rPr>
            </w:pPr>
            <w:r>
              <w:rPr>
                <w:rFonts w:ascii="Arial" w:cs="Arial" w:eastAsia="Arial" w:hAnsi="Arial"/>
                <w:sz w:val="18"/>
                <w:szCs w:val="18"/>
                <w:color w:val="auto"/>
              </w:rPr>
              <w:t>Services</w:t>
            </w:r>
          </w:p>
        </w:tc>
        <w:tc>
          <w:tcPr>
            <w:tcW w:w="220" w:type="dxa"/>
            <w:vAlign w:val="bottom"/>
            <w:shd w:val="clear" w:color="auto" w:fill="E5E5E5"/>
          </w:tcPr>
          <w:p>
            <w:pPr>
              <w:spacing w:after="0"/>
              <w:rPr>
                <w:sz w:val="17"/>
                <w:szCs w:val="17"/>
                <w:color w:val="auto"/>
              </w:rPr>
            </w:pPr>
          </w:p>
        </w:tc>
        <w:tc>
          <w:tcPr>
            <w:tcW w:w="6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9,637</w:t>
            </w:r>
          </w:p>
        </w:tc>
        <w:tc>
          <w:tcPr>
            <w:tcW w:w="200" w:type="dxa"/>
            <w:vAlign w:val="bottom"/>
            <w:shd w:val="clear" w:color="auto" w:fill="E5E5E5"/>
          </w:tcPr>
          <w:p>
            <w:pPr>
              <w:spacing w:after="0"/>
              <w:rPr>
                <w:sz w:val="17"/>
                <w:szCs w:val="17"/>
                <w:color w:val="auto"/>
              </w:rPr>
            </w:pPr>
          </w:p>
        </w:tc>
        <w:tc>
          <w:tcPr>
            <w:tcW w:w="480" w:type="dxa"/>
            <w:vAlign w:val="bottom"/>
            <w:shd w:val="clear" w:color="auto" w:fill="E5E5E5"/>
          </w:tcPr>
          <w:p>
            <w:pPr>
              <w:spacing w:after="0"/>
              <w:rPr>
                <w:sz w:val="17"/>
                <w:szCs w:val="17"/>
                <w:color w:val="auto"/>
              </w:rPr>
            </w:pPr>
          </w:p>
        </w:tc>
        <w:tc>
          <w:tcPr>
            <w:tcW w:w="8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1,132</w:t>
            </w:r>
          </w:p>
        </w:tc>
        <w:tc>
          <w:tcPr>
            <w:tcW w:w="200" w:type="dxa"/>
            <w:vAlign w:val="bottom"/>
            <w:shd w:val="clear" w:color="auto" w:fill="E5E5E5"/>
          </w:tcPr>
          <w:p>
            <w:pPr>
              <w:spacing w:after="0"/>
              <w:rPr>
                <w:sz w:val="17"/>
                <w:szCs w:val="17"/>
                <w:color w:val="auto"/>
              </w:rPr>
            </w:pPr>
          </w:p>
        </w:tc>
        <w:tc>
          <w:tcPr>
            <w:tcW w:w="126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Other</w:t>
            </w: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1,647</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(342)</w:t>
            </w:r>
          </w:p>
        </w:tc>
        <w:tc>
          <w:tcPr>
            <w:tcW w:w="12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 w:type="dxa"/>
            <w:vAlign w:val="bottom"/>
          </w:tcPr>
          <w:p>
            <w:pPr>
              <w:spacing w:after="0"/>
              <w:rPr>
                <w:sz w:val="2"/>
                <w:szCs w:val="2"/>
                <w:color w:val="auto"/>
              </w:rPr>
            </w:pPr>
          </w:p>
        </w:tc>
        <w:tc>
          <w:tcPr>
            <w:tcW w:w="50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2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Total</w:t>
            </w:r>
          </w:p>
        </w:tc>
        <w:tc>
          <w:tcPr>
            <w:tcW w:w="2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21,633</w:t>
            </w:r>
          </w:p>
        </w:tc>
        <w:tc>
          <w:tcPr>
            <w:tcW w:w="680" w:type="dxa"/>
            <w:vAlign w:val="bottom"/>
            <w:gridSpan w:val="2"/>
            <w:shd w:val="clear" w:color="auto" w:fill="E5E5E5"/>
          </w:tcPr>
          <w:p>
            <w:pPr>
              <w:ind w:left="20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1,875</w:t>
            </w:r>
          </w:p>
        </w:tc>
        <w:tc>
          <w:tcPr>
            <w:tcW w:w="200" w:type="dxa"/>
            <w:vAlign w:val="bottom"/>
            <w:shd w:val="clear" w:color="auto" w:fill="E5E5E5"/>
          </w:tcPr>
          <w:p>
            <w:pPr>
              <w:spacing w:after="0"/>
              <w:rPr>
                <w:sz w:val="17"/>
                <w:szCs w:val="17"/>
                <w:color w:val="auto"/>
              </w:rPr>
            </w:pPr>
          </w:p>
        </w:tc>
        <w:tc>
          <w:tcPr>
            <w:tcW w:w="126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2009</w:t>
            </w:r>
          </w:p>
        </w:tc>
        <w:tc>
          <w:tcPr>
            <w:tcW w:w="5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660" w:type="dxa"/>
            <w:vAlign w:val="bottom"/>
            <w:gridSpan w:val="2"/>
            <w:vMerge w:val="continue"/>
          </w:tcPr>
          <w:p>
            <w:pPr>
              <w:spacing w:after="0"/>
              <w:rPr>
                <w:sz w:val="24"/>
                <w:szCs w:val="24"/>
                <w:color w:val="auto"/>
              </w:rPr>
            </w:pPr>
          </w:p>
        </w:tc>
        <w:tc>
          <w:tcPr>
            <w:tcW w:w="5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gridSpan w:val="2"/>
            <w:shd w:val="clear" w:color="auto" w:fill="E5E5E5"/>
          </w:tcPr>
          <w:p>
            <w:pPr>
              <w:ind w:left="200"/>
              <w:spacing w:after="0" w:line="202" w:lineRule="exact"/>
              <w:rPr>
                <w:sz w:val="20"/>
                <w:szCs w:val="20"/>
                <w:color w:val="auto"/>
              </w:rPr>
            </w:pPr>
            <w:r>
              <w:rPr>
                <w:rFonts w:ascii="Arial" w:cs="Arial" w:eastAsia="Arial" w:hAnsi="Arial"/>
                <w:sz w:val="18"/>
                <w:szCs w:val="18"/>
                <w:color w:val="auto"/>
              </w:rPr>
              <w:t>Technology</w:t>
            </w:r>
          </w:p>
        </w:tc>
        <w:tc>
          <w:tcPr>
            <w:tcW w:w="2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10,067</w:t>
            </w:r>
          </w:p>
        </w:tc>
        <w:tc>
          <w:tcPr>
            <w:tcW w:w="680" w:type="dxa"/>
            <w:vAlign w:val="bottom"/>
            <w:gridSpan w:val="2"/>
            <w:shd w:val="clear" w:color="auto" w:fill="E5E5E5"/>
          </w:tcPr>
          <w:p>
            <w:pPr>
              <w:ind w:left="20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949</w:t>
            </w:r>
          </w:p>
        </w:tc>
        <w:tc>
          <w:tcPr>
            <w:tcW w:w="200" w:type="dxa"/>
            <w:vAlign w:val="bottom"/>
            <w:shd w:val="clear" w:color="auto" w:fill="E5E5E5"/>
          </w:tcPr>
          <w:p>
            <w:pPr>
              <w:spacing w:after="0"/>
              <w:rPr>
                <w:sz w:val="17"/>
                <w:szCs w:val="17"/>
                <w:color w:val="auto"/>
              </w:rPr>
            </w:pPr>
          </w:p>
        </w:tc>
        <w:tc>
          <w:tcPr>
            <w:tcW w:w="126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Services</w:t>
            </w: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3,476</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231</w:t>
            </w:r>
          </w:p>
        </w:tc>
        <w:tc>
          <w:tcPr>
            <w:tcW w:w="200" w:type="dxa"/>
            <w:vAlign w:val="bottom"/>
          </w:tcPr>
          <w:p>
            <w:pPr>
              <w:spacing w:after="0"/>
              <w:rPr>
                <w:sz w:val="17"/>
                <w:szCs w:val="17"/>
                <w:color w:val="auto"/>
              </w:rPr>
            </w:pPr>
          </w:p>
        </w:tc>
        <w:tc>
          <w:tcPr>
            <w:tcW w:w="12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gridSpan w:val="2"/>
            <w:shd w:val="clear" w:color="auto" w:fill="E5E5E5"/>
          </w:tcPr>
          <w:p>
            <w:pPr>
              <w:ind w:left="200"/>
              <w:spacing w:after="0" w:line="202" w:lineRule="exact"/>
              <w:rPr>
                <w:sz w:val="20"/>
                <w:szCs w:val="20"/>
                <w:color w:val="auto"/>
              </w:rPr>
            </w:pPr>
            <w:r>
              <w:rPr>
                <w:rFonts w:ascii="Arial" w:cs="Arial" w:eastAsia="Arial" w:hAnsi="Arial"/>
                <w:sz w:val="18"/>
                <w:szCs w:val="18"/>
                <w:color w:val="auto"/>
              </w:rPr>
              <w:t>Other</w:t>
            </w:r>
          </w:p>
        </w:tc>
        <w:tc>
          <w:tcPr>
            <w:tcW w:w="220" w:type="dxa"/>
            <w:vAlign w:val="bottom"/>
            <w:shd w:val="clear" w:color="auto" w:fill="E5E5E5"/>
          </w:tcPr>
          <w:p>
            <w:pPr>
              <w:spacing w:after="0"/>
              <w:rPr>
                <w:sz w:val="17"/>
                <w:szCs w:val="17"/>
                <w:color w:val="auto"/>
              </w:rPr>
            </w:pPr>
          </w:p>
        </w:tc>
        <w:tc>
          <w:tcPr>
            <w:tcW w:w="6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1,636</w:t>
            </w:r>
          </w:p>
        </w:tc>
        <w:tc>
          <w:tcPr>
            <w:tcW w:w="200" w:type="dxa"/>
            <w:vAlign w:val="bottom"/>
            <w:shd w:val="clear" w:color="auto" w:fill="E5E5E5"/>
          </w:tcPr>
          <w:p>
            <w:pPr>
              <w:spacing w:after="0"/>
              <w:rPr>
                <w:sz w:val="17"/>
                <w:szCs w:val="17"/>
                <w:color w:val="auto"/>
              </w:rPr>
            </w:pPr>
          </w:p>
        </w:tc>
        <w:tc>
          <w:tcPr>
            <w:tcW w:w="480" w:type="dxa"/>
            <w:vAlign w:val="bottom"/>
            <w:shd w:val="clear" w:color="auto" w:fill="E5E5E5"/>
          </w:tcPr>
          <w:p>
            <w:pPr>
              <w:spacing w:after="0"/>
              <w:rPr>
                <w:sz w:val="17"/>
                <w:szCs w:val="17"/>
                <w:color w:val="auto"/>
              </w:rPr>
            </w:pPr>
          </w:p>
        </w:tc>
        <w:tc>
          <w:tcPr>
            <w:tcW w:w="102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(342)</w:t>
            </w:r>
          </w:p>
        </w:tc>
        <w:tc>
          <w:tcPr>
            <w:tcW w:w="126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0"/>
        </w:trPr>
        <w:tc>
          <w:tcPr>
            <w:tcW w:w="57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Total</w:t>
            </w: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40" w:type="dxa"/>
            <w:vAlign w:val="bottom"/>
            <w:gridSpan w:val="3"/>
            <w:vMerge w:val="continue"/>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15,179</w:t>
            </w:r>
          </w:p>
        </w:tc>
        <w:tc>
          <w:tcPr>
            <w:tcW w:w="6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838</w:t>
            </w:r>
          </w:p>
        </w:tc>
        <w:tc>
          <w:tcPr>
            <w:tcW w:w="2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640" w:type="dxa"/>
            <w:vAlign w:val="bottom"/>
          </w:tcPr>
          <w:p>
            <w:pPr>
              <w:spacing w:after="0"/>
              <w:rPr>
                <w:sz w:val="8"/>
                <w:szCs w:val="8"/>
                <w:color w:val="auto"/>
              </w:rPr>
            </w:pPr>
          </w:p>
        </w:tc>
        <w:tc>
          <w:tcPr>
            <w:tcW w:w="5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20" w:type="dxa"/>
            <w:vAlign w:val="bottom"/>
            <w:gridSpan w:val="2"/>
            <w:shd w:val="clear" w:color="auto" w:fill="E5E5E5"/>
          </w:tcPr>
          <w:p>
            <w:pPr>
              <w:spacing w:after="0" w:line="203" w:lineRule="exact"/>
              <w:rPr>
                <w:sz w:val="20"/>
                <w:szCs w:val="20"/>
                <w:color w:val="auto"/>
              </w:rPr>
            </w:pPr>
            <w:r>
              <w:rPr>
                <w:rFonts w:ascii="Arial" w:cs="Arial" w:eastAsia="Arial" w:hAnsi="Arial"/>
                <w:sz w:val="18"/>
                <w:szCs w:val="18"/>
                <w:b w:val="1"/>
                <w:bCs w:val="1"/>
                <w:color w:val="auto"/>
              </w:rPr>
              <w:t>2009 Pro-forma</w:t>
            </w:r>
            <w:r>
              <w:rPr>
                <w:rFonts w:ascii="Arial" w:cs="Arial" w:eastAsia="Arial" w:hAnsi="Arial"/>
                <w:sz w:val="22"/>
                <w:szCs w:val="22"/>
                <w:b w:val="1"/>
                <w:bCs w:val="1"/>
                <w:color w:val="auto"/>
                <w:vertAlign w:val="superscript"/>
              </w:rPr>
              <w:t>(1)</w:t>
            </w:r>
          </w:p>
        </w:tc>
        <w:tc>
          <w:tcPr>
            <w:tcW w:w="220" w:type="dxa"/>
            <w:vAlign w:val="bottom"/>
            <w:shd w:val="clear" w:color="auto" w:fill="E5E5E5"/>
          </w:tcPr>
          <w:p>
            <w:pPr>
              <w:spacing w:after="0"/>
              <w:rPr>
                <w:sz w:val="17"/>
                <w:szCs w:val="17"/>
                <w:color w:val="auto"/>
              </w:rPr>
            </w:pPr>
          </w:p>
        </w:tc>
        <w:tc>
          <w:tcPr>
            <w:tcW w:w="66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480" w:type="dxa"/>
            <w:vAlign w:val="bottom"/>
            <w:shd w:val="clear" w:color="auto" w:fill="E5E5E5"/>
          </w:tcPr>
          <w:p>
            <w:pPr>
              <w:spacing w:after="0"/>
              <w:rPr>
                <w:sz w:val="17"/>
                <w:szCs w:val="17"/>
                <w:color w:val="auto"/>
              </w:rPr>
            </w:pPr>
          </w:p>
        </w:tc>
        <w:tc>
          <w:tcPr>
            <w:tcW w:w="82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0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Technology</w:t>
            </w:r>
          </w:p>
        </w:tc>
        <w:tc>
          <w:tcPr>
            <w:tcW w:w="2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10,067</w:t>
            </w:r>
          </w:p>
        </w:tc>
        <w:tc>
          <w:tcPr>
            <w:tcW w:w="6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949</w:t>
            </w:r>
          </w:p>
        </w:tc>
        <w:tc>
          <w:tcPr>
            <w:tcW w:w="200" w:type="dxa"/>
            <w:vAlign w:val="bottom"/>
          </w:tcPr>
          <w:p>
            <w:pPr>
              <w:spacing w:after="0"/>
              <w:rPr>
                <w:sz w:val="17"/>
                <w:szCs w:val="17"/>
                <w:color w:val="auto"/>
              </w:rPr>
            </w:pPr>
          </w:p>
        </w:tc>
        <w:tc>
          <w:tcPr>
            <w:tcW w:w="12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gridSpan w:val="2"/>
            <w:shd w:val="clear" w:color="auto" w:fill="E5E5E5"/>
          </w:tcPr>
          <w:p>
            <w:pPr>
              <w:ind w:left="200"/>
              <w:spacing w:after="0" w:line="202" w:lineRule="exact"/>
              <w:rPr>
                <w:sz w:val="20"/>
                <w:szCs w:val="20"/>
                <w:color w:val="auto"/>
              </w:rPr>
            </w:pPr>
            <w:r>
              <w:rPr>
                <w:rFonts w:ascii="Arial" w:cs="Arial" w:eastAsia="Arial" w:hAnsi="Arial"/>
                <w:sz w:val="18"/>
                <w:szCs w:val="18"/>
                <w:color w:val="auto"/>
              </w:rPr>
              <w:t>Services</w:t>
            </w:r>
          </w:p>
        </w:tc>
        <w:tc>
          <w:tcPr>
            <w:tcW w:w="220" w:type="dxa"/>
            <w:vAlign w:val="bottom"/>
            <w:shd w:val="clear" w:color="auto" w:fill="E5E5E5"/>
          </w:tcPr>
          <w:p>
            <w:pPr>
              <w:spacing w:after="0"/>
              <w:rPr>
                <w:sz w:val="17"/>
                <w:szCs w:val="17"/>
                <w:color w:val="auto"/>
              </w:rPr>
            </w:pPr>
          </w:p>
        </w:tc>
        <w:tc>
          <w:tcPr>
            <w:tcW w:w="6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9,379</w:t>
            </w:r>
          </w:p>
        </w:tc>
        <w:tc>
          <w:tcPr>
            <w:tcW w:w="200" w:type="dxa"/>
            <w:vAlign w:val="bottom"/>
            <w:shd w:val="clear" w:color="auto" w:fill="E5E5E5"/>
          </w:tcPr>
          <w:p>
            <w:pPr>
              <w:spacing w:after="0"/>
              <w:rPr>
                <w:sz w:val="17"/>
                <w:szCs w:val="17"/>
                <w:color w:val="auto"/>
              </w:rPr>
            </w:pPr>
          </w:p>
        </w:tc>
        <w:tc>
          <w:tcPr>
            <w:tcW w:w="480" w:type="dxa"/>
            <w:vAlign w:val="bottom"/>
            <w:shd w:val="clear" w:color="auto" w:fill="E5E5E5"/>
          </w:tcPr>
          <w:p>
            <w:pPr>
              <w:spacing w:after="0"/>
              <w:rPr>
                <w:sz w:val="17"/>
                <w:szCs w:val="17"/>
                <w:color w:val="auto"/>
              </w:rPr>
            </w:pPr>
          </w:p>
        </w:tc>
        <w:tc>
          <w:tcPr>
            <w:tcW w:w="8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1,008</w:t>
            </w:r>
          </w:p>
        </w:tc>
        <w:tc>
          <w:tcPr>
            <w:tcW w:w="200" w:type="dxa"/>
            <w:vAlign w:val="bottom"/>
            <w:shd w:val="clear" w:color="auto" w:fill="E5E5E5"/>
          </w:tcPr>
          <w:p>
            <w:pPr>
              <w:spacing w:after="0"/>
              <w:rPr>
                <w:sz w:val="17"/>
                <w:szCs w:val="17"/>
                <w:color w:val="auto"/>
              </w:rPr>
            </w:pPr>
          </w:p>
        </w:tc>
        <w:tc>
          <w:tcPr>
            <w:tcW w:w="126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Other</w:t>
            </w: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1,636</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(447)</w:t>
            </w:r>
          </w:p>
        </w:tc>
        <w:tc>
          <w:tcPr>
            <w:tcW w:w="12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 w:type="dxa"/>
            <w:vAlign w:val="bottom"/>
          </w:tcPr>
          <w:p>
            <w:pPr>
              <w:spacing w:after="0"/>
              <w:rPr>
                <w:sz w:val="2"/>
                <w:szCs w:val="2"/>
                <w:color w:val="auto"/>
              </w:rPr>
            </w:pPr>
          </w:p>
        </w:tc>
        <w:tc>
          <w:tcPr>
            <w:tcW w:w="50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2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Total</w:t>
            </w:r>
          </w:p>
        </w:tc>
        <w:tc>
          <w:tcPr>
            <w:tcW w:w="2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21,082</w:t>
            </w:r>
          </w:p>
        </w:tc>
        <w:tc>
          <w:tcPr>
            <w:tcW w:w="680" w:type="dxa"/>
            <w:vAlign w:val="bottom"/>
            <w:gridSpan w:val="2"/>
            <w:shd w:val="clear" w:color="auto" w:fill="E5E5E5"/>
          </w:tcPr>
          <w:p>
            <w:pPr>
              <w:ind w:left="20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1,510</w:t>
            </w:r>
          </w:p>
        </w:tc>
        <w:tc>
          <w:tcPr>
            <w:tcW w:w="200" w:type="dxa"/>
            <w:vAlign w:val="bottom"/>
            <w:shd w:val="clear" w:color="auto" w:fill="E5E5E5"/>
          </w:tcPr>
          <w:p>
            <w:pPr>
              <w:spacing w:after="0"/>
              <w:rPr>
                <w:sz w:val="17"/>
                <w:szCs w:val="17"/>
                <w:color w:val="auto"/>
              </w:rPr>
            </w:pPr>
          </w:p>
        </w:tc>
        <w:tc>
          <w:tcPr>
            <w:tcW w:w="126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2008</w:t>
            </w:r>
          </w:p>
        </w:tc>
        <w:tc>
          <w:tcPr>
            <w:tcW w:w="5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660" w:type="dxa"/>
            <w:vAlign w:val="bottom"/>
            <w:gridSpan w:val="2"/>
            <w:vMerge w:val="continue"/>
          </w:tcPr>
          <w:p>
            <w:pPr>
              <w:spacing w:after="0"/>
              <w:rPr>
                <w:sz w:val="24"/>
                <w:szCs w:val="24"/>
                <w:color w:val="auto"/>
              </w:rPr>
            </w:pPr>
          </w:p>
        </w:tc>
        <w:tc>
          <w:tcPr>
            <w:tcW w:w="5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gridSpan w:val="2"/>
            <w:shd w:val="clear" w:color="auto" w:fill="E5E5E5"/>
          </w:tcPr>
          <w:p>
            <w:pPr>
              <w:ind w:left="200"/>
              <w:spacing w:after="0" w:line="202" w:lineRule="exact"/>
              <w:rPr>
                <w:sz w:val="20"/>
                <w:szCs w:val="20"/>
                <w:color w:val="auto"/>
              </w:rPr>
            </w:pPr>
            <w:r>
              <w:rPr>
                <w:rFonts w:ascii="Arial" w:cs="Arial" w:eastAsia="Arial" w:hAnsi="Arial"/>
                <w:sz w:val="18"/>
                <w:szCs w:val="18"/>
                <w:color w:val="auto"/>
              </w:rPr>
              <w:t>Technology</w:t>
            </w:r>
          </w:p>
        </w:tc>
        <w:tc>
          <w:tcPr>
            <w:tcW w:w="2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11,714</w:t>
            </w:r>
          </w:p>
        </w:tc>
        <w:tc>
          <w:tcPr>
            <w:tcW w:w="680" w:type="dxa"/>
            <w:vAlign w:val="bottom"/>
            <w:gridSpan w:val="2"/>
            <w:shd w:val="clear" w:color="auto" w:fill="E5E5E5"/>
          </w:tcPr>
          <w:p>
            <w:pPr>
              <w:ind w:left="20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1,288</w:t>
            </w:r>
          </w:p>
        </w:tc>
        <w:tc>
          <w:tcPr>
            <w:tcW w:w="200" w:type="dxa"/>
            <w:vAlign w:val="bottom"/>
            <w:shd w:val="clear" w:color="auto" w:fill="E5E5E5"/>
          </w:tcPr>
          <w:p>
            <w:pPr>
              <w:spacing w:after="0"/>
              <w:rPr>
                <w:sz w:val="17"/>
                <w:szCs w:val="17"/>
                <w:color w:val="auto"/>
              </w:rPr>
            </w:pPr>
          </w:p>
        </w:tc>
        <w:tc>
          <w:tcPr>
            <w:tcW w:w="126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Services</w:t>
            </w: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3,828</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302</w:t>
            </w:r>
          </w:p>
        </w:tc>
        <w:tc>
          <w:tcPr>
            <w:tcW w:w="200" w:type="dxa"/>
            <w:vAlign w:val="bottom"/>
          </w:tcPr>
          <w:p>
            <w:pPr>
              <w:spacing w:after="0"/>
              <w:rPr>
                <w:sz w:val="17"/>
                <w:szCs w:val="17"/>
                <w:color w:val="auto"/>
              </w:rPr>
            </w:pPr>
          </w:p>
        </w:tc>
        <w:tc>
          <w:tcPr>
            <w:tcW w:w="12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gridSpan w:val="2"/>
            <w:shd w:val="clear" w:color="auto" w:fill="E5E5E5"/>
          </w:tcPr>
          <w:p>
            <w:pPr>
              <w:ind w:left="200"/>
              <w:spacing w:after="0" w:line="202" w:lineRule="exact"/>
              <w:rPr>
                <w:sz w:val="20"/>
                <w:szCs w:val="20"/>
                <w:color w:val="auto"/>
              </w:rPr>
            </w:pPr>
            <w:r>
              <w:rPr>
                <w:rFonts w:ascii="Arial" w:cs="Arial" w:eastAsia="Arial" w:hAnsi="Arial"/>
                <w:sz w:val="18"/>
                <w:szCs w:val="18"/>
                <w:color w:val="auto"/>
              </w:rPr>
              <w:t>Other</w:t>
            </w:r>
          </w:p>
        </w:tc>
        <w:tc>
          <w:tcPr>
            <w:tcW w:w="220" w:type="dxa"/>
            <w:vAlign w:val="bottom"/>
            <w:shd w:val="clear" w:color="auto" w:fill="E5E5E5"/>
          </w:tcPr>
          <w:p>
            <w:pPr>
              <w:spacing w:after="0"/>
              <w:rPr>
                <w:sz w:val="17"/>
                <w:szCs w:val="17"/>
                <w:color w:val="auto"/>
              </w:rPr>
            </w:pPr>
          </w:p>
        </w:tc>
        <w:tc>
          <w:tcPr>
            <w:tcW w:w="6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2,066</w:t>
            </w:r>
          </w:p>
        </w:tc>
        <w:tc>
          <w:tcPr>
            <w:tcW w:w="200" w:type="dxa"/>
            <w:vAlign w:val="bottom"/>
            <w:shd w:val="clear" w:color="auto" w:fill="E5E5E5"/>
          </w:tcPr>
          <w:p>
            <w:pPr>
              <w:spacing w:after="0"/>
              <w:rPr>
                <w:sz w:val="17"/>
                <w:szCs w:val="17"/>
                <w:color w:val="auto"/>
              </w:rPr>
            </w:pPr>
          </w:p>
        </w:tc>
        <w:tc>
          <w:tcPr>
            <w:tcW w:w="480" w:type="dxa"/>
            <w:vAlign w:val="bottom"/>
            <w:shd w:val="clear" w:color="auto" w:fill="E5E5E5"/>
          </w:tcPr>
          <w:p>
            <w:pPr>
              <w:spacing w:after="0"/>
              <w:rPr>
                <w:sz w:val="17"/>
                <w:szCs w:val="17"/>
                <w:color w:val="auto"/>
              </w:rPr>
            </w:pPr>
          </w:p>
        </w:tc>
        <w:tc>
          <w:tcPr>
            <w:tcW w:w="102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(245)</w:t>
            </w:r>
          </w:p>
        </w:tc>
        <w:tc>
          <w:tcPr>
            <w:tcW w:w="126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gridSpan w:val="2"/>
            <w:vMerge w:val="restart"/>
          </w:tcPr>
          <w:p>
            <w:pPr>
              <w:ind w:left="420"/>
              <w:spacing w:after="0"/>
              <w:rPr>
                <w:sz w:val="20"/>
                <w:szCs w:val="20"/>
                <w:color w:val="auto"/>
              </w:rPr>
            </w:pPr>
            <w:r>
              <w:rPr>
                <w:rFonts w:ascii="Arial" w:cs="Arial" w:eastAsia="Arial" w:hAnsi="Arial"/>
                <w:sz w:val="18"/>
                <w:szCs w:val="18"/>
                <w:b w:val="1"/>
                <w:bCs w:val="1"/>
                <w:color w:val="auto"/>
              </w:rPr>
              <w:t>Total</w:t>
            </w: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gridSpan w:val="2"/>
            <w:vMerge w:val="continue"/>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17,608</w:t>
            </w:r>
          </w:p>
        </w:tc>
        <w:tc>
          <w:tcPr>
            <w:tcW w:w="6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1,345</w:t>
            </w:r>
          </w:p>
        </w:tc>
        <w:tc>
          <w:tcPr>
            <w:tcW w:w="2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1" w:lineRule="exact"/>
        <w:rPr>
          <w:sz w:val="20"/>
          <w:szCs w:val="20"/>
          <w:color w:val="auto"/>
        </w:rPr>
      </w:pPr>
    </w:p>
    <w:p>
      <w:pPr>
        <w:ind w:left="340" w:right="340" w:hanging="332"/>
        <w:spacing w:after="0" w:line="231" w:lineRule="auto"/>
        <w:tabs>
          <w:tab w:leader="none" w:pos="3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Results include ACS’s 2009 estimated results February 6 through December 31. Refer to the “Non-GAAP Financial Measures” section for an explanation of this non-GAAP financial measure.</w:t>
      </w:r>
    </w:p>
    <w:p>
      <w:pPr>
        <w:spacing w:after="0" w:line="136" w:lineRule="exact"/>
        <w:rPr>
          <w:sz w:val="20"/>
          <w:szCs w:val="20"/>
          <w:color w:val="auto"/>
        </w:rPr>
      </w:pPr>
    </w:p>
    <w:p>
      <w:pPr>
        <w:jc w:val="right"/>
        <w:spacing w:after="0"/>
        <w:rPr>
          <w:sz w:val="20"/>
          <w:szCs w:val="20"/>
          <w:color w:val="auto"/>
        </w:rPr>
      </w:pPr>
      <w:r>
        <w:rPr>
          <w:rFonts w:ascii="Arial" w:cs="Arial" w:eastAsia="Arial" w:hAnsi="Arial"/>
          <w:sz w:val="14"/>
          <w:szCs w:val="14"/>
          <w:color w:val="4C9F40"/>
        </w:rPr>
        <w:t>Xerox 2010 Annual Report 11</w:t>
      </w:r>
    </w:p>
    <w:p>
      <w:pPr>
        <w:sectPr>
          <w:pgSz w:w="11900" w:h="16838" w:orient="portrait"/>
          <w:cols w:equalWidth="0" w:num="1">
            <w:col w:w="11420"/>
          </w:cols>
          <w:pgMar w:left="240" w:top="345"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4C9F40"/>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Technology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Our technology segment includes the sale of document systems and supplies, provision of technical service and financing of products.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gridSpan w:val="3"/>
            <w:vMerge w:val="restart"/>
          </w:tcPr>
          <w:p>
            <w:pPr>
              <w:spacing w:after="0"/>
              <w:rPr>
                <w:sz w:val="20"/>
                <w:szCs w:val="20"/>
                <w:color w:val="auto"/>
              </w:rPr>
            </w:pPr>
            <w:r>
              <w:rPr>
                <w:rFonts w:ascii="Arial" w:cs="Arial" w:eastAsia="Arial" w:hAnsi="Arial"/>
                <w:sz w:val="14"/>
                <w:szCs w:val="14"/>
                <w:color w:val="auto"/>
              </w:rPr>
              <w:t>(in millions)</w:t>
            </w:r>
          </w:p>
        </w:tc>
        <w:tc>
          <w:tcPr>
            <w:tcW w:w="1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80" w:type="dxa"/>
            <w:vAlign w:val="bottom"/>
            <w:gridSpan w:val="8"/>
          </w:tcPr>
          <w:p>
            <w:pPr>
              <w:jc w:val="right"/>
              <w:ind w:right="720"/>
              <w:spacing w:after="0"/>
              <w:rPr>
                <w:sz w:val="20"/>
                <w:szCs w:val="20"/>
                <w:color w:val="auto"/>
              </w:rPr>
            </w:pPr>
            <w:r>
              <w:rPr>
                <w:rFonts w:ascii="Arial" w:cs="Arial" w:eastAsia="Arial" w:hAnsi="Arial"/>
                <w:sz w:val="14"/>
                <w:szCs w:val="14"/>
                <w:color w:val="auto"/>
              </w:rPr>
              <w:t>Year Ended December 31,</w:t>
            </w:r>
          </w:p>
        </w:tc>
        <w:tc>
          <w:tcPr>
            <w:tcW w:w="1300" w:type="dxa"/>
            <w:vAlign w:val="bottom"/>
            <w:gridSpan w:val="4"/>
          </w:tcPr>
          <w:p>
            <w:pPr>
              <w:jc w:val="right"/>
              <w:ind w:right="300"/>
              <w:spacing w:after="0"/>
              <w:rPr>
                <w:sz w:val="20"/>
                <w:szCs w:val="20"/>
                <w:color w:val="auto"/>
              </w:rPr>
            </w:pPr>
            <w:r>
              <w:rPr>
                <w:rFonts w:ascii="Arial" w:cs="Arial" w:eastAsia="Arial" w:hAnsi="Arial"/>
                <w:sz w:val="14"/>
                <w:szCs w:val="14"/>
                <w:color w:val="auto"/>
                <w:w w:val="96"/>
              </w:rPr>
              <w:t>Percent Change</w:t>
            </w:r>
          </w:p>
        </w:tc>
        <w:tc>
          <w:tcPr>
            <w:tcW w:w="0" w:type="dxa"/>
            <w:vAlign w:val="bottom"/>
          </w:tcPr>
          <w:p>
            <w:pPr>
              <w:spacing w:after="0"/>
              <w:rPr>
                <w:sz w:val="1"/>
                <w:szCs w:val="1"/>
                <w:color w:val="auto"/>
              </w:rPr>
            </w:pPr>
          </w:p>
        </w:tc>
      </w:tr>
      <w:tr>
        <w:trPr>
          <w:trHeight w:val="142"/>
        </w:trPr>
        <w:tc>
          <w:tcPr>
            <w:tcW w:w="3560" w:type="dxa"/>
            <w:vAlign w:val="bottom"/>
            <w:gridSpan w:val="3"/>
            <w:vMerge w:val="continue"/>
          </w:tcPr>
          <w:p>
            <w:pPr>
              <w:spacing w:after="0"/>
              <w:rPr>
                <w:sz w:val="12"/>
                <w:szCs w:val="12"/>
                <w:color w:val="auto"/>
              </w:rPr>
            </w:pPr>
          </w:p>
        </w:tc>
        <w:tc>
          <w:tcPr>
            <w:tcW w:w="19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40"/>
              <w:spacing w:after="0" w:line="142" w:lineRule="exact"/>
              <w:rPr>
                <w:sz w:val="20"/>
                <w:szCs w:val="20"/>
                <w:color w:val="auto"/>
              </w:rPr>
            </w:pPr>
            <w:r>
              <w:rPr>
                <w:rFonts w:ascii="Arial" w:cs="Arial" w:eastAsia="Arial" w:hAnsi="Arial"/>
                <w:sz w:val="14"/>
                <w:szCs w:val="14"/>
                <w:color w:val="auto"/>
              </w:rPr>
              <w:t>2010</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7"/>
              <w:spacing w:after="0" w:line="142" w:lineRule="exact"/>
              <w:rPr>
                <w:sz w:val="20"/>
                <w:szCs w:val="20"/>
                <w:color w:val="auto"/>
              </w:rPr>
            </w:pPr>
            <w:r>
              <w:rPr>
                <w:rFonts w:ascii="Arial" w:cs="Arial" w:eastAsia="Arial" w:hAnsi="Arial"/>
                <w:sz w:val="14"/>
                <w:szCs w:val="14"/>
                <w:color w:val="auto"/>
              </w:rPr>
              <w:t>2009</w:t>
            </w: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7"/>
              <w:spacing w:after="0" w:line="142" w:lineRule="exact"/>
              <w:rPr>
                <w:sz w:val="20"/>
                <w:szCs w:val="20"/>
                <w:color w:val="auto"/>
              </w:rPr>
            </w:pPr>
            <w:r>
              <w:rPr>
                <w:rFonts w:ascii="Arial" w:cs="Arial" w:eastAsia="Arial" w:hAnsi="Arial"/>
                <w:sz w:val="14"/>
                <w:szCs w:val="14"/>
                <w:color w:val="auto"/>
              </w:rPr>
              <w:t>2008</w:t>
            </w:r>
          </w:p>
        </w:tc>
        <w:tc>
          <w:tcPr>
            <w:tcW w:w="200" w:type="dxa"/>
            <w:vAlign w:val="bottom"/>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2010</w:t>
            </w:r>
          </w:p>
        </w:tc>
        <w:tc>
          <w:tcPr>
            <w:tcW w:w="3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2009</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540" w:type="dxa"/>
            <w:vAlign w:val="bottom"/>
            <w:gridSpan w:val="2"/>
            <w:shd w:val="clear" w:color="auto" w:fill="E5E5E5"/>
          </w:tcPr>
          <w:p>
            <w:pPr>
              <w:spacing w:after="0" w:line="196" w:lineRule="exact"/>
              <w:rPr>
                <w:sz w:val="20"/>
                <w:szCs w:val="20"/>
                <w:color w:val="auto"/>
              </w:rPr>
            </w:pPr>
            <w:r>
              <w:rPr>
                <w:rFonts w:ascii="Arial" w:cs="Arial" w:eastAsia="Arial" w:hAnsi="Arial"/>
                <w:sz w:val="18"/>
                <w:szCs w:val="18"/>
                <w:color w:val="auto"/>
              </w:rPr>
              <w:t>Equipment sales</w:t>
            </w:r>
          </w:p>
        </w:tc>
        <w:tc>
          <w:tcPr>
            <w:tcW w:w="2040" w:type="dxa"/>
            <w:vAlign w:val="bottom"/>
            <w:gridSpan w:val="2"/>
            <w:shd w:val="clear" w:color="auto" w:fill="E5E5E5"/>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60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rPr>
              <w:t>3,404</w:t>
            </w:r>
          </w:p>
        </w:tc>
        <w:tc>
          <w:tcPr>
            <w:tcW w:w="340" w:type="dxa"/>
            <w:vAlign w:val="bottom"/>
            <w:gridSpan w:val="2"/>
            <w:shd w:val="clear" w:color="auto" w:fill="E5E5E5"/>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60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rPr>
              <w:t>3,137</w:t>
            </w:r>
          </w:p>
        </w:tc>
        <w:tc>
          <w:tcPr>
            <w:tcW w:w="360" w:type="dxa"/>
            <w:vAlign w:val="bottom"/>
            <w:gridSpan w:val="2"/>
            <w:shd w:val="clear" w:color="auto" w:fill="E5E5E5"/>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58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rPr>
              <w:t>4,079</w:t>
            </w:r>
          </w:p>
        </w:tc>
        <w:tc>
          <w:tcPr>
            <w:tcW w:w="200" w:type="dxa"/>
            <w:vAlign w:val="bottom"/>
            <w:shd w:val="clear" w:color="auto" w:fill="E5E5E5"/>
          </w:tcPr>
          <w:p>
            <w:pPr>
              <w:spacing w:after="0"/>
              <w:rPr>
                <w:sz w:val="17"/>
                <w:szCs w:val="17"/>
                <w:color w:val="auto"/>
              </w:rPr>
            </w:pPr>
          </w:p>
        </w:tc>
        <w:tc>
          <w:tcPr>
            <w:tcW w:w="660" w:type="dxa"/>
            <w:vAlign w:val="bottom"/>
            <w:gridSpan w:val="2"/>
            <w:shd w:val="clear" w:color="auto" w:fill="E5E5E5"/>
          </w:tcPr>
          <w:p>
            <w:pPr>
              <w:jc w:val="right"/>
              <w:ind w:right="160"/>
              <w:spacing w:after="0" w:line="196" w:lineRule="exact"/>
              <w:rPr>
                <w:sz w:val="20"/>
                <w:szCs w:val="20"/>
                <w:color w:val="auto"/>
              </w:rPr>
            </w:pPr>
            <w:r>
              <w:rPr>
                <w:rFonts w:ascii="Arial" w:cs="Arial" w:eastAsia="Arial" w:hAnsi="Arial"/>
                <w:sz w:val="18"/>
                <w:szCs w:val="18"/>
                <w:color w:val="auto"/>
              </w:rPr>
              <w:t>9%</w:t>
            </w:r>
          </w:p>
        </w:tc>
        <w:tc>
          <w:tcPr>
            <w:tcW w:w="640" w:type="dxa"/>
            <w:vAlign w:val="bottom"/>
            <w:gridSpan w:val="2"/>
            <w:shd w:val="clear" w:color="auto" w:fill="E5E5E5"/>
          </w:tcPr>
          <w:p>
            <w:pPr>
              <w:jc w:val="right"/>
              <w:ind w:right="6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3560" w:type="dxa"/>
            <w:vAlign w:val="bottom"/>
            <w:gridSpan w:val="3"/>
          </w:tcPr>
          <w:p>
            <w:pPr>
              <w:spacing w:after="0" w:line="203" w:lineRule="exact"/>
              <w:rPr>
                <w:sz w:val="20"/>
                <w:szCs w:val="20"/>
                <w:color w:val="auto"/>
              </w:rPr>
            </w:pPr>
            <w:r>
              <w:rPr>
                <w:rFonts w:ascii="Arial" w:cs="Arial" w:eastAsia="Arial" w:hAnsi="Arial"/>
                <w:sz w:val="18"/>
                <w:szCs w:val="18"/>
                <w:color w:val="auto"/>
              </w:rPr>
              <w:t xml:space="preserve">Post sale revenues </w:t>
            </w:r>
            <w:r>
              <w:rPr>
                <w:rFonts w:ascii="Arial" w:cs="Arial" w:eastAsia="Arial" w:hAnsi="Arial"/>
                <w:sz w:val="22"/>
                <w:szCs w:val="22"/>
                <w:color w:val="auto"/>
                <w:vertAlign w:val="superscript"/>
              </w:rPr>
              <w:t>(1)</w:t>
            </w:r>
          </w:p>
        </w:tc>
        <w:tc>
          <w:tcPr>
            <w:tcW w:w="19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6,945</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6,930</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7,635</w:t>
            </w:r>
          </w:p>
        </w:tc>
        <w:tc>
          <w:tcPr>
            <w:tcW w:w="200" w:type="dxa"/>
            <w:vAlign w:val="bottom"/>
          </w:tcPr>
          <w:p>
            <w:pPr>
              <w:spacing w:after="0"/>
              <w:rPr>
                <w:sz w:val="18"/>
                <w:szCs w:val="18"/>
                <w:color w:val="auto"/>
              </w:rPr>
            </w:pPr>
          </w:p>
        </w:tc>
        <w:tc>
          <w:tcPr>
            <w:tcW w:w="6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Total Revenue</w:t>
            </w:r>
          </w:p>
        </w:tc>
        <w:tc>
          <w:tcPr>
            <w:tcW w:w="204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10,349</w:t>
            </w:r>
          </w:p>
        </w:tc>
        <w:tc>
          <w:tcPr>
            <w:tcW w:w="34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10,067</w:t>
            </w:r>
          </w:p>
        </w:tc>
        <w:tc>
          <w:tcPr>
            <w:tcW w:w="36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11,714</w:t>
            </w:r>
          </w:p>
        </w:tc>
        <w:tc>
          <w:tcPr>
            <w:tcW w:w="66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3%</w:t>
            </w:r>
          </w:p>
        </w:tc>
        <w:tc>
          <w:tcPr>
            <w:tcW w:w="64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1" w:lineRule="exact"/>
        <w:rPr>
          <w:sz w:val="20"/>
          <w:szCs w:val="20"/>
          <w:color w:val="auto"/>
        </w:rPr>
      </w:pPr>
    </w:p>
    <w:p>
      <w:pPr>
        <w:ind w:left="340" w:hanging="332"/>
        <w:spacing w:after="0"/>
        <w:tabs>
          <w:tab w:leader="none" w:pos="340" w:val="left"/>
        </w:tabs>
        <w:numPr>
          <w:ilvl w:val="0"/>
          <w:numId w:val="94"/>
        </w:numPr>
        <w:rPr>
          <w:rFonts w:ascii="Arial" w:cs="Arial" w:eastAsia="Arial" w:hAnsi="Arial"/>
          <w:sz w:val="14"/>
          <w:szCs w:val="14"/>
          <w:color w:val="auto"/>
        </w:rPr>
      </w:pPr>
      <w:r>
        <w:rPr>
          <w:rFonts w:ascii="Arial" w:cs="Arial" w:eastAsia="Arial" w:hAnsi="Arial"/>
          <w:sz w:val="14"/>
          <w:szCs w:val="14"/>
          <w:color w:val="auto"/>
        </w:rPr>
        <w:t>Post sale revenue does not include outsourcing revenue which is reported in our Services segment.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Revenue 2010</w:t>
      </w:r>
    </w:p>
    <w:p>
      <w:pPr>
        <w:spacing w:after="0" w:line="18" w:lineRule="exact"/>
        <w:rPr>
          <w:sz w:val="20"/>
          <w:szCs w:val="20"/>
          <w:color w:val="auto"/>
        </w:rPr>
      </w:pPr>
    </w:p>
    <w:p>
      <w:pPr>
        <w:ind w:right="120"/>
        <w:spacing w:after="0" w:line="234" w:lineRule="auto"/>
        <w:rPr>
          <w:sz w:val="20"/>
          <w:szCs w:val="20"/>
          <w:color w:val="auto"/>
        </w:rPr>
      </w:pPr>
      <w:r>
        <w:rPr>
          <w:rFonts w:ascii="Arial" w:cs="Arial" w:eastAsia="Arial" w:hAnsi="Arial"/>
          <w:sz w:val="18"/>
          <w:szCs w:val="18"/>
          <w:color w:val="auto"/>
        </w:rPr>
        <w:t>Technology revenue of $10,349 million increased 3%, including a negligible impact from currency and reflected solid install and related equipment revenue growth including the launch of 21 new products in 2010. Total revenues included the following:</w:t>
      </w:r>
    </w:p>
    <w:p>
      <w:pPr>
        <w:spacing w:after="0" w:line="2" w:lineRule="exact"/>
        <w:rPr>
          <w:sz w:val="20"/>
          <w:szCs w:val="20"/>
          <w:color w:val="auto"/>
        </w:rPr>
      </w:pPr>
    </w:p>
    <w:p>
      <w:pPr>
        <w:ind w:left="340" w:right="80" w:hanging="332"/>
        <w:spacing w:after="0" w:line="234" w:lineRule="auto"/>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9% increase in equipment sales revenue, with a 1-percentage point negative impact from currency, driven primarily by install growth across all color product categories.</w:t>
      </w:r>
    </w:p>
    <w:p>
      <w:pPr>
        <w:spacing w:after="0" w:line="1" w:lineRule="exact"/>
        <w:rPr>
          <w:rFonts w:ascii="Arial" w:cs="Arial" w:eastAsia="Arial" w:hAnsi="Arial"/>
          <w:sz w:val="18"/>
          <w:szCs w:val="18"/>
          <w:color w:val="auto"/>
        </w:rPr>
      </w:pPr>
    </w:p>
    <w:p>
      <w:pPr>
        <w:ind w:left="340" w:right="100" w:hanging="332"/>
        <w:spacing w:after="0" w:line="234" w:lineRule="auto"/>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Post sale revenue was flat compared to prior year, with a 1-percentage point negative impact from currency, as increased supplies sales were offset by lower service revenues reflecting decreased but stabilizing page volumes.</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Technology revenue mix was 22% entry, 56% mid-range and 22% high-end.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Segment Profit 2010</w:t>
      </w:r>
    </w:p>
    <w:p>
      <w:pPr>
        <w:spacing w:after="0" w:line="18"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Technology segment profit of $1,085 million increased $136 million from 2009, reflecting an increase in gross profit due to higher revenues, lower bad debt expense as well as cost and expense savings from restructuring actions.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Installs 2010</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Entry</w:t>
      </w:r>
    </w:p>
    <w:p>
      <w:pPr>
        <w:spacing w:after="0" w:line="13" w:lineRule="exact"/>
        <w:rPr>
          <w:sz w:val="20"/>
          <w:szCs w:val="20"/>
          <w:color w:val="auto"/>
        </w:rPr>
      </w:pPr>
    </w:p>
    <w:p>
      <w:pPr>
        <w:ind w:left="340" w:hanging="332"/>
        <w:spacing w:after="0"/>
        <w:tabs>
          <w:tab w:leader="none" w:pos="3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46% increase in installs of A4 black-and white multifunction devices driven by growth in developing markets and indirect channels.</w:t>
      </w:r>
    </w:p>
    <w:p>
      <w:pPr>
        <w:ind w:left="340" w:hanging="332"/>
        <w:spacing w:after="0" w:line="234" w:lineRule="auto"/>
        <w:tabs>
          <w:tab w:leader="none" w:pos="3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39% increase in installs of A4 color multifunction devices driven by demand for new products.</w:t>
      </w:r>
    </w:p>
    <w:p>
      <w:pPr>
        <w:ind w:left="340" w:hanging="332"/>
        <w:spacing w:after="0"/>
        <w:tabs>
          <w:tab w:leader="none" w:pos="3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4% increase in installs of color printers.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Mid-range</w:t>
      </w:r>
    </w:p>
    <w:p>
      <w:pPr>
        <w:spacing w:after="0" w:line="13" w:lineRule="exact"/>
        <w:rPr>
          <w:sz w:val="20"/>
          <w:szCs w:val="20"/>
          <w:color w:val="auto"/>
        </w:rPr>
      </w:pPr>
    </w:p>
    <w:p>
      <w:pPr>
        <w:ind w:left="340" w:hanging="332"/>
        <w:spacing w:after="0"/>
        <w:tabs>
          <w:tab w:leader="none" w:pos="3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4% increase in installs of mid-range black-and-white devices.</w:t>
      </w:r>
    </w:p>
    <w:p>
      <w:pPr>
        <w:ind w:left="340" w:right="940" w:hanging="332"/>
        <w:spacing w:after="0" w:line="253" w:lineRule="auto"/>
        <w:tabs>
          <w:tab w:leader="none" w:pos="3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27% increase in installs of mid-range color devices primarily driven by demand for new products, such as the Xerox Color 550/560, WorkCentre</w:t>
      </w:r>
      <w:r>
        <w:rPr>
          <w:rFonts w:ascii="Arial" w:cs="Arial" w:eastAsia="Arial" w:hAnsi="Arial"/>
          <w:sz w:val="22"/>
          <w:szCs w:val="22"/>
          <w:color w:val="auto"/>
          <w:vertAlign w:val="superscript"/>
        </w:rPr>
        <w:t>®</w:t>
      </w:r>
      <w:r>
        <w:rPr>
          <w:rFonts w:ascii="Arial" w:cs="Arial" w:eastAsia="Arial" w:hAnsi="Arial"/>
          <w:sz w:val="18"/>
          <w:szCs w:val="18"/>
          <w:color w:val="auto"/>
        </w:rPr>
        <w:t xml:space="preserve"> 7545/7556 and WorkCentre</w:t>
      </w:r>
      <w:r>
        <w:rPr>
          <w:rFonts w:ascii="Arial" w:cs="Arial" w:eastAsia="Arial" w:hAnsi="Arial"/>
          <w:sz w:val="22"/>
          <w:szCs w:val="22"/>
          <w:color w:val="auto"/>
          <w:vertAlign w:val="superscript"/>
        </w:rPr>
        <w:t>®</w:t>
      </w:r>
      <w:r>
        <w:rPr>
          <w:rFonts w:ascii="Arial" w:cs="Arial" w:eastAsia="Arial" w:hAnsi="Arial"/>
          <w:sz w:val="18"/>
          <w:szCs w:val="18"/>
          <w:color w:val="auto"/>
        </w:rPr>
        <w:t xml:space="preserve"> 7120/7700, and the continued strong demand for the ColorQube</w:t>
      </w:r>
      <w:r>
        <w:rPr>
          <w:rFonts w:ascii="Arial" w:cs="Arial" w:eastAsia="Arial" w:hAnsi="Arial"/>
          <w:sz w:val="22"/>
          <w:szCs w:val="22"/>
          <w:color w:val="auto"/>
          <w:vertAlign w:val="superscript"/>
        </w:rPr>
        <w:t>TM</w:t>
      </w:r>
      <w:r>
        <w:rPr>
          <w:rFonts w:ascii="Arial" w:cs="Arial" w:eastAsia="Arial" w:hAnsi="Arial"/>
          <w:sz w:val="18"/>
          <w:szCs w:val="18"/>
          <w:color w:val="auto"/>
        </w:rPr>
        <w:t>.</w:t>
      </w:r>
    </w:p>
    <w:p>
      <w:pPr>
        <w:spacing w:after="0" w:line="236" w:lineRule="auto"/>
        <w:rPr>
          <w:sz w:val="20"/>
          <w:szCs w:val="20"/>
          <w:color w:val="auto"/>
        </w:rPr>
      </w:pPr>
      <w:r>
        <w:rPr>
          <w:rFonts w:ascii="Arial" w:cs="Arial" w:eastAsia="Arial" w:hAnsi="Arial"/>
          <w:sz w:val="18"/>
          <w:szCs w:val="18"/>
          <w:b w:val="1"/>
          <w:bCs w:val="1"/>
          <w:color w:val="4C9F40"/>
        </w:rPr>
        <w:t>High-end</w:t>
      </w:r>
    </w:p>
    <w:p>
      <w:pPr>
        <w:ind w:left="340" w:hanging="332"/>
        <w:spacing w:after="0" w:line="235" w:lineRule="auto"/>
        <w:tabs>
          <w:tab w:leader="none" w:pos="3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8% decrease in installs of high-end black-and-white systems, reflecting declines across most product areas.</w:t>
      </w:r>
    </w:p>
    <w:p>
      <w:pPr>
        <w:ind w:left="340" w:hanging="332"/>
        <w:spacing w:after="0"/>
        <w:tabs>
          <w:tab w:leader="none" w:pos="3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26% increase in installs of high-end color systems, reflecting strong demand for the recently launched Xerox Color 800 and 1000.</w:t>
      </w:r>
    </w:p>
    <w:p>
      <w:pPr>
        <w:spacing w:after="0" w:line="15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Install activity percentages include installations for document outsourcing and the Xerox-branded product shipments to GIS. Descriptions of “Entry,” “Mid-range,” and “High-end” can be found in Note 2 – Segment Reporting in the Consolidated Financial Statements.</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4"/>
          <w:szCs w:val="14"/>
          <w:color w:val="4C9F40"/>
        </w:rPr>
        <w:t>Xerox 2010 Annual Report 12</w:t>
      </w:r>
    </w:p>
    <w:p>
      <w:pPr>
        <w:sectPr>
          <w:pgSz w:w="11900" w:h="16838" w:orient="portrait"/>
          <w:cols w:equalWidth="0" w:num="1">
            <w:col w:w="11420"/>
          </w:cols>
          <w:pgMar w:left="240" w:top="404"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Revenue 2009</w:t>
      </w:r>
    </w:p>
    <w:p>
      <w:pPr>
        <w:spacing w:after="0" w:line="18" w:lineRule="exact"/>
        <w:rPr>
          <w:sz w:val="20"/>
          <w:szCs w:val="20"/>
          <w:color w:val="auto"/>
        </w:rPr>
      </w:pPr>
    </w:p>
    <w:p>
      <w:pPr>
        <w:ind w:right="160"/>
        <w:spacing w:after="0" w:line="234" w:lineRule="auto"/>
        <w:rPr>
          <w:sz w:val="20"/>
          <w:szCs w:val="20"/>
          <w:color w:val="auto"/>
        </w:rPr>
      </w:pPr>
      <w:r>
        <w:rPr>
          <w:rFonts w:ascii="Arial" w:cs="Arial" w:eastAsia="Arial" w:hAnsi="Arial"/>
          <w:sz w:val="18"/>
          <w:szCs w:val="18"/>
          <w:color w:val="auto"/>
        </w:rPr>
        <w:t>Technology revenue of $10,067 million decreased 14%, including a 3-percentage point negative impact from currency. Total revenue included the following:</w:t>
      </w:r>
    </w:p>
    <w:p>
      <w:pPr>
        <w:spacing w:after="0" w:line="2" w:lineRule="exact"/>
        <w:rPr>
          <w:sz w:val="20"/>
          <w:szCs w:val="20"/>
          <w:color w:val="auto"/>
        </w:rPr>
      </w:pPr>
    </w:p>
    <w:p>
      <w:pPr>
        <w:ind w:left="340" w:right="120" w:hanging="332"/>
        <w:spacing w:after="0" w:line="234" w:lineRule="auto"/>
        <w:tabs>
          <w:tab w:leader="none" w:pos="3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23% decrease in equipment sales revenue, with a 2-percentage point negative impact from currency. The decline reflects lower installs driven by the weak economic environment during the year and delays in customer spending on technology.</w:t>
      </w:r>
    </w:p>
    <w:p>
      <w:pPr>
        <w:spacing w:after="0" w:line="1" w:lineRule="exact"/>
        <w:rPr>
          <w:rFonts w:ascii="Arial" w:cs="Arial" w:eastAsia="Arial" w:hAnsi="Arial"/>
          <w:sz w:val="18"/>
          <w:szCs w:val="18"/>
          <w:color w:val="auto"/>
        </w:rPr>
      </w:pPr>
    </w:p>
    <w:p>
      <w:pPr>
        <w:ind w:left="340" w:right="540" w:hanging="332"/>
        <w:spacing w:after="0" w:line="234" w:lineRule="auto"/>
        <w:tabs>
          <w:tab w:leader="none" w:pos="3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9% decrease in post sale revenue, with a 3-percentage point negative impact from currency, reflecting lower page volumes and supplies primarily as a result of the weak economic environment.</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Technology revenue mix was 21% entry, 56% mid-range and 23% high-end.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Profit 2009</w:t>
      </w:r>
    </w:p>
    <w:p>
      <w:pPr>
        <w:spacing w:after="0" w:line="18"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Technology profit of $949 million decreased $339 million from 2008. The decrease is primarily the result of lower gross profit reflecting decreased revenue partially offset by lower costs and expenses reflecting the benefits from restructuring and favorable currency.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Installs 2009</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Entry</w:t>
      </w:r>
    </w:p>
    <w:p>
      <w:pPr>
        <w:spacing w:after="0" w:line="13" w:lineRule="exact"/>
        <w:rPr>
          <w:sz w:val="20"/>
          <w:szCs w:val="20"/>
          <w:color w:val="auto"/>
        </w:rPr>
      </w:pPr>
    </w:p>
    <w:p>
      <w:pPr>
        <w:ind w:left="340" w:hanging="332"/>
        <w:spacing w:after="0"/>
        <w:tabs>
          <w:tab w:leader="none" w:pos="3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40% decrease in installs of A4 black-and white multifunction devices primarily reflecting lower activity in developing markets.</w:t>
      </w:r>
    </w:p>
    <w:p>
      <w:pPr>
        <w:ind w:left="340" w:hanging="332"/>
        <w:spacing w:after="0" w:line="234" w:lineRule="auto"/>
        <w:tabs>
          <w:tab w:leader="none" w:pos="3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22% decrease in installs of A4 color multifunction devices driven by lower overall demand.</w:t>
      </w:r>
    </w:p>
    <w:p>
      <w:pPr>
        <w:ind w:left="340" w:hanging="332"/>
        <w:spacing w:after="0"/>
        <w:tabs>
          <w:tab w:leader="none" w:pos="3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34% decrease in installs of color printers due to lower demand and lower sales to OEM partners.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Mid-range</w:t>
      </w:r>
    </w:p>
    <w:p>
      <w:pPr>
        <w:spacing w:after="0" w:line="13" w:lineRule="exact"/>
        <w:rPr>
          <w:sz w:val="20"/>
          <w:szCs w:val="20"/>
          <w:color w:val="auto"/>
        </w:rPr>
      </w:pPr>
    </w:p>
    <w:p>
      <w:pPr>
        <w:ind w:left="340" w:hanging="332"/>
        <w:spacing w:after="0"/>
        <w:tabs>
          <w:tab w:leader="none" w:pos="3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31% decrease in installs of mid-range black-and-white devices.</w:t>
      </w:r>
    </w:p>
    <w:p>
      <w:pPr>
        <w:ind w:left="340" w:right="640" w:hanging="332"/>
        <w:spacing w:after="0" w:line="253" w:lineRule="auto"/>
        <w:tabs>
          <w:tab w:leader="none" w:pos="3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19% decrease in installs of mid-range color devices driven by lower overall demand which more than offset the impact of new products including the ColorQube and a mid-range version of the Xerox</w:t>
      </w:r>
      <w:r>
        <w:rPr>
          <w:rFonts w:ascii="Arial" w:cs="Arial" w:eastAsia="Arial" w:hAnsi="Arial"/>
          <w:sz w:val="22"/>
          <w:szCs w:val="22"/>
          <w:color w:val="auto"/>
          <w:vertAlign w:val="superscript"/>
        </w:rPr>
        <w:t>®</w:t>
      </w:r>
      <w:r>
        <w:rPr>
          <w:rFonts w:ascii="Arial" w:cs="Arial" w:eastAsia="Arial" w:hAnsi="Arial"/>
          <w:sz w:val="18"/>
          <w:szCs w:val="18"/>
          <w:color w:val="auto"/>
        </w:rPr>
        <w:t xml:space="preserve"> 700.</w:t>
      </w:r>
    </w:p>
    <w:p>
      <w:pPr>
        <w:spacing w:after="0" w:line="236" w:lineRule="auto"/>
        <w:rPr>
          <w:sz w:val="20"/>
          <w:szCs w:val="20"/>
          <w:color w:val="auto"/>
        </w:rPr>
      </w:pPr>
      <w:r>
        <w:rPr>
          <w:rFonts w:ascii="Arial" w:cs="Arial" w:eastAsia="Arial" w:hAnsi="Arial"/>
          <w:sz w:val="18"/>
          <w:szCs w:val="18"/>
          <w:b w:val="1"/>
          <w:bCs w:val="1"/>
          <w:color w:val="auto"/>
        </w:rPr>
        <w:t>High-end</w:t>
      </w:r>
    </w:p>
    <w:p>
      <w:pPr>
        <w:ind w:left="340" w:hanging="332"/>
        <w:spacing w:after="0" w:line="235" w:lineRule="auto"/>
        <w:tabs>
          <w:tab w:leader="none" w:pos="3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29% decrease in installs of high-end black-and-white systems reflecting declines in all product areas.</w:t>
      </w:r>
    </w:p>
    <w:p>
      <w:pPr>
        <w:ind w:left="340" w:hanging="332"/>
        <w:spacing w:after="0"/>
        <w:tabs>
          <w:tab w:leader="none" w:pos="3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37% decrease in installs of high-end color systems as entry production color declines were partially offset by increased iGen4 installs.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Services</w:t>
      </w:r>
    </w:p>
    <w:p>
      <w:pPr>
        <w:spacing w:after="0" w:line="180"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Our Services segment comprises three service offerings: Business Process Outsourcing (“BPO”), Document Outsourcing (“DO”) and Information Technology Outsourcing (“ITO”).</w:t>
      </w:r>
    </w:p>
    <w:p>
      <w:pPr>
        <w:spacing w:after="0" w:line="155"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Services total revenue and segment profit for the year ended December 31, 2010 increased 177% and 390%, respectively, primarily due to the inclusion of ACS. Since these comparisons are not meaningful, results for the Services segment are primarily discussed on a pro-forma basis, with ACS’s 2009 estimated results from February 6 through December 31 included in our historical 2009 results (See “Non-GAAP Financial Measures” section for discussion of this non-GAAP measure).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Revenue 2010</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Services revenue of $9,637 million increased 177%, or 3% on a pro-forma</w:t>
      </w:r>
      <w:r>
        <w:rPr>
          <w:rFonts w:ascii="Arial" w:cs="Arial" w:eastAsia="Arial" w:hAnsi="Arial"/>
          <w:sz w:val="22"/>
          <w:szCs w:val="22"/>
          <w:color w:val="auto"/>
          <w:vertAlign w:val="superscript"/>
        </w:rPr>
        <w:t>(1 )</w:t>
      </w:r>
      <w:r>
        <w:rPr>
          <w:rFonts w:ascii="Arial" w:cs="Arial" w:eastAsia="Arial" w:hAnsi="Arial"/>
          <w:sz w:val="18"/>
          <w:szCs w:val="18"/>
          <w:color w:val="auto"/>
        </w:rPr>
        <w:t xml:space="preserve"> basis, including a negligible impact from currency.</w:t>
      </w:r>
    </w:p>
    <w:p>
      <w:pPr>
        <w:ind w:left="340" w:right="560" w:hanging="332"/>
        <w:spacing w:after="0" w:line="211" w:lineRule="auto"/>
        <w:tabs>
          <w:tab w:leader="none" w:pos="3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BPO delivered pro-forma</w:t>
      </w:r>
      <w:r>
        <w:rPr>
          <w:rFonts w:ascii="Arial" w:cs="Arial" w:eastAsia="Arial" w:hAnsi="Arial"/>
          <w:sz w:val="22"/>
          <w:szCs w:val="22"/>
          <w:color w:val="auto"/>
          <w:vertAlign w:val="superscript"/>
        </w:rPr>
        <w:t>(1)</w:t>
      </w:r>
      <w:r>
        <w:rPr>
          <w:rFonts w:ascii="Arial" w:cs="Arial" w:eastAsia="Arial" w:hAnsi="Arial"/>
          <w:sz w:val="18"/>
          <w:szCs w:val="18"/>
          <w:color w:val="auto"/>
        </w:rPr>
        <w:t xml:space="preserve"> revenue growth of 8% and represented 53% of total services revenue. BPO growth was driven by healthcare services, customer care, transportation solutions, healthcare payer services and 2010 acquisitions.</w:t>
      </w:r>
    </w:p>
    <w:p>
      <w:pPr>
        <w:ind w:left="340" w:right="660" w:hanging="332"/>
        <w:spacing w:after="0" w:line="234" w:lineRule="auto"/>
        <w:tabs>
          <w:tab w:leader="none" w:pos="3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DO revenue decreased 3%, including a negligible impact from currency, and represented 34% of total services revenue. The decrease primarily reflects the continued impact of the weak economy on usage levels and renewal rates.</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ITO revenue was flat on a pro-forma</w:t>
      </w:r>
      <w:r>
        <w:rPr>
          <w:rFonts w:ascii="Arial" w:cs="Arial" w:eastAsia="Arial" w:hAnsi="Arial"/>
          <w:sz w:val="22"/>
          <w:szCs w:val="22"/>
          <w:color w:val="auto"/>
          <w:vertAlign w:val="superscript"/>
        </w:rPr>
        <w:t>(1)</w:t>
      </w:r>
      <w:r>
        <w:rPr>
          <w:rFonts w:ascii="Arial" w:cs="Arial" w:eastAsia="Arial" w:hAnsi="Arial"/>
          <w:sz w:val="18"/>
          <w:szCs w:val="18"/>
          <w:color w:val="auto"/>
        </w:rPr>
        <w:t xml:space="preserve"> basis and represented 13% of total services revenue.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Segment Profit 2010</w:t>
      </w:r>
    </w:p>
    <w:p>
      <w:pPr>
        <w:spacing w:after="0" w:line="45" w:lineRule="exact"/>
        <w:rPr>
          <w:sz w:val="20"/>
          <w:szCs w:val="20"/>
          <w:color w:val="auto"/>
        </w:rPr>
      </w:pPr>
    </w:p>
    <w:p>
      <w:pPr>
        <w:ind w:right="40"/>
        <w:spacing w:after="0" w:line="222" w:lineRule="auto"/>
        <w:rPr>
          <w:sz w:val="20"/>
          <w:szCs w:val="20"/>
          <w:color w:val="auto"/>
        </w:rPr>
      </w:pPr>
      <w:r>
        <w:rPr>
          <w:rFonts w:ascii="Arial" w:cs="Arial" w:eastAsia="Arial" w:hAnsi="Arial"/>
          <w:sz w:val="18"/>
          <w:szCs w:val="18"/>
          <w:color w:val="auto"/>
        </w:rPr>
        <w:t>Services operating profit of $1,132 million increased $901 million or $124 million on a pro-forma</w:t>
      </w:r>
      <w:r>
        <w:rPr>
          <w:rFonts w:ascii="Arial" w:cs="Arial" w:eastAsia="Arial" w:hAnsi="Arial"/>
          <w:sz w:val="22"/>
          <w:szCs w:val="22"/>
          <w:color w:val="auto"/>
          <w:vertAlign w:val="superscript"/>
        </w:rPr>
        <w:t>(1)</w:t>
      </w:r>
      <w:r>
        <w:rPr>
          <w:rFonts w:ascii="Arial" w:cs="Arial" w:eastAsia="Arial" w:hAnsi="Arial"/>
          <w:sz w:val="18"/>
          <w:szCs w:val="18"/>
          <w:color w:val="auto"/>
        </w:rPr>
        <w:t xml:space="preserve"> basis from 2009, driven primarily by BPO growth and lower G&amp;A expenses.</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4"/>
          <w:szCs w:val="14"/>
          <w:color w:val="4C9F40"/>
        </w:rPr>
        <w:t>Xerox 2010 Annual Report 13</w:t>
      </w:r>
    </w:p>
    <w:p>
      <w:pPr>
        <w:sectPr>
          <w:pgSz w:w="11900" w:h="16838" w:orient="portrait"/>
          <w:cols w:equalWidth="0" w:num="1">
            <w:col w:w="11420"/>
          </w:cols>
          <w:pgMar w:left="240" w:top="323"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4C9F40"/>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Metrics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Pipeline</w:t>
      </w:r>
    </w:p>
    <w:p>
      <w:pPr>
        <w:spacing w:after="0" w:line="18"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Our BPO and ITO revenue pipeline including synergy opportunities grew 25% over the fourth quarter 2009. The sales pipeline includes the Total Contract Value (“TCV”) of new business opportunities that could potentially be contracted within the next six months and excludes business opportunities with estimated annual recurring revenue in excess of $100 million. The DO sales pipeline grew approximately 17% over the fourth quarter 2009. The DO sales pipeline includes all active deals with $10 million or greater in TCV.</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Signings</w:t>
      </w:r>
    </w:p>
    <w:p>
      <w:pPr>
        <w:spacing w:after="0" w:line="18"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Signings (“Signings”) are defined as estimated future revenues from contracts signed during the period, including renewals of existing contracts. Services signings were an estimated $14.6 billion in TCV in 2010 and increased 13% as compared to the comparable prior year period. TCV represents estimated total revenue for future contracts for pipeline or signed contracts for signings as applicable.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Signings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gridSpan w:val="2"/>
          </w:tcPr>
          <w:p>
            <w:pPr>
              <w:spacing w:after="0"/>
              <w:rPr>
                <w:sz w:val="20"/>
                <w:szCs w:val="20"/>
                <w:color w:val="auto"/>
              </w:rPr>
            </w:pPr>
            <w:r>
              <w:rPr>
                <w:rFonts w:ascii="Arial" w:cs="Arial" w:eastAsia="Arial" w:hAnsi="Arial"/>
                <w:sz w:val="14"/>
                <w:szCs w:val="14"/>
                <w:color w:val="auto"/>
              </w:rPr>
              <w:t>(in billions)</w:t>
            </w:r>
          </w:p>
        </w:tc>
        <w:tc>
          <w:tcPr>
            <w:tcW w:w="2040" w:type="dxa"/>
            <w:vAlign w:val="bottom"/>
            <w:gridSpan w:val="3"/>
          </w:tcPr>
          <w:p>
            <w:pPr>
              <w:spacing w:after="0"/>
              <w:rPr>
                <w:sz w:val="20"/>
                <w:szCs w:val="20"/>
                <w:color w:val="auto"/>
              </w:rPr>
            </w:pPr>
            <w:r>
              <w:rPr>
                <w:rFonts w:ascii="Arial" w:cs="Arial" w:eastAsia="Arial" w:hAnsi="Arial"/>
                <w:sz w:val="14"/>
                <w:szCs w:val="14"/>
                <w:color w:val="auto"/>
              </w:rPr>
              <w:t>Year Ended December 31, 2010</w:t>
            </w:r>
          </w:p>
        </w:tc>
      </w:tr>
      <w:tr>
        <w:trPr>
          <w:trHeight w:val="196"/>
        </w:trPr>
        <w:tc>
          <w:tcPr>
            <w:tcW w:w="620" w:type="dxa"/>
            <w:vAlign w:val="bottom"/>
            <w:tcBorders>
              <w:top w:val="single" w:sz="8" w:color="auto"/>
            </w:tcBorders>
            <w:shd w:val="clear" w:color="auto" w:fill="E5E5E5"/>
          </w:tcPr>
          <w:p>
            <w:pPr>
              <w:spacing w:after="0" w:line="196" w:lineRule="exact"/>
              <w:rPr>
                <w:sz w:val="20"/>
                <w:szCs w:val="20"/>
                <w:color w:val="auto"/>
              </w:rPr>
            </w:pPr>
            <w:r>
              <w:rPr>
                <w:rFonts w:ascii="Arial" w:cs="Arial" w:eastAsia="Arial" w:hAnsi="Arial"/>
                <w:sz w:val="18"/>
                <w:szCs w:val="18"/>
                <w:color w:val="auto"/>
              </w:rPr>
              <w:t>BPO</w:t>
            </w:r>
          </w:p>
        </w:tc>
        <w:tc>
          <w:tcPr>
            <w:tcW w:w="6920" w:type="dxa"/>
            <w:vAlign w:val="bottom"/>
            <w:shd w:val="clear" w:color="auto" w:fill="E5E5E5"/>
          </w:tcPr>
          <w:p>
            <w:pPr>
              <w:spacing w:after="0"/>
              <w:rPr>
                <w:sz w:val="17"/>
                <w:szCs w:val="17"/>
                <w:color w:val="auto"/>
              </w:rPr>
            </w:pPr>
          </w:p>
        </w:tc>
        <w:tc>
          <w:tcPr>
            <w:tcW w:w="840" w:type="dxa"/>
            <w:vAlign w:val="bottom"/>
            <w:tcBorders>
              <w:top w:val="single" w:sz="8" w:color="auto"/>
            </w:tcBorders>
            <w:shd w:val="clear" w:color="auto" w:fill="E5E5E5"/>
          </w:tcPr>
          <w:p>
            <w:pPr>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E5E5E5"/>
          </w:tcPr>
          <w:p>
            <w:pPr>
              <w:jc w:val="right"/>
              <w:spacing w:after="0" w:line="196" w:lineRule="exact"/>
              <w:rPr>
                <w:sz w:val="20"/>
                <w:szCs w:val="20"/>
                <w:color w:val="auto"/>
              </w:rPr>
            </w:pPr>
            <w:r>
              <w:rPr>
                <w:rFonts w:ascii="Arial" w:cs="Arial" w:eastAsia="Arial" w:hAnsi="Arial"/>
                <w:sz w:val="18"/>
                <w:szCs w:val="18"/>
                <w:color w:val="auto"/>
              </w:rPr>
              <w:t>10.0</w:t>
            </w:r>
          </w:p>
        </w:tc>
        <w:tc>
          <w:tcPr>
            <w:tcW w:w="100" w:type="dxa"/>
            <w:vAlign w:val="bottom"/>
            <w:shd w:val="clear" w:color="auto" w:fill="E5E5E5"/>
          </w:tcPr>
          <w:p>
            <w:pPr>
              <w:spacing w:after="0"/>
              <w:rPr>
                <w:sz w:val="17"/>
                <w:szCs w:val="17"/>
                <w:color w:val="auto"/>
              </w:rPr>
            </w:pPr>
          </w:p>
        </w:tc>
      </w:tr>
      <w:tr>
        <w:trPr>
          <w:trHeight w:val="203"/>
        </w:trPr>
        <w:tc>
          <w:tcPr>
            <w:tcW w:w="7540" w:type="dxa"/>
            <w:vAlign w:val="bottom"/>
            <w:gridSpan w:val="2"/>
          </w:tcPr>
          <w:p>
            <w:pPr>
              <w:spacing w:after="0" w:line="202" w:lineRule="exact"/>
              <w:rPr>
                <w:sz w:val="20"/>
                <w:szCs w:val="20"/>
                <w:color w:val="auto"/>
              </w:rPr>
            </w:pPr>
            <w:r>
              <w:rPr>
                <w:rFonts w:ascii="Arial" w:cs="Arial" w:eastAsia="Arial" w:hAnsi="Arial"/>
                <w:sz w:val="18"/>
                <w:szCs w:val="18"/>
                <w:color w:val="auto"/>
              </w:rPr>
              <w:t>DO</w:t>
            </w:r>
          </w:p>
        </w:tc>
        <w:tc>
          <w:tcPr>
            <w:tcW w:w="840" w:type="dxa"/>
            <w:vAlign w:val="bottom"/>
          </w:tcPr>
          <w:p>
            <w:pPr>
              <w:spacing w:after="0"/>
              <w:rPr>
                <w:sz w:val="17"/>
                <w:szCs w:val="17"/>
                <w:color w:val="auto"/>
              </w:rPr>
            </w:pPr>
          </w:p>
        </w:tc>
        <w:tc>
          <w:tcPr>
            <w:tcW w:w="12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3.3</w:t>
            </w:r>
          </w:p>
        </w:tc>
      </w:tr>
      <w:tr>
        <w:trPr>
          <w:trHeight w:val="203"/>
        </w:trPr>
        <w:tc>
          <w:tcPr>
            <w:tcW w:w="754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ITO</w:t>
            </w:r>
          </w:p>
        </w:tc>
        <w:tc>
          <w:tcPr>
            <w:tcW w:w="840" w:type="dxa"/>
            <w:vAlign w:val="bottom"/>
            <w:shd w:val="clear" w:color="auto" w:fill="E5E5E5"/>
          </w:tcPr>
          <w:p>
            <w:pPr>
              <w:spacing w:after="0"/>
              <w:rPr>
                <w:sz w:val="17"/>
                <w:szCs w:val="17"/>
                <w:color w:val="auto"/>
              </w:rPr>
            </w:pPr>
          </w:p>
        </w:tc>
        <w:tc>
          <w:tcPr>
            <w:tcW w:w="12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1.3</w:t>
            </w:r>
          </w:p>
        </w:tc>
      </w:tr>
      <w:tr>
        <w:trPr>
          <w:trHeight w:val="210"/>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Total Signings</w:t>
            </w:r>
          </w:p>
        </w:tc>
        <w:tc>
          <w:tcPr>
            <w:tcW w:w="8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8"/>
                <w:szCs w:val="18"/>
                <w:color w:val="auto"/>
              </w:rPr>
            </w:pPr>
          </w:p>
        </w:tc>
      </w:tr>
      <w:tr>
        <w:trPr>
          <w:trHeight w:val="20"/>
        </w:trPr>
        <w:tc>
          <w:tcPr>
            <w:tcW w:w="6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9"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Signings growth was driven by strong signings in both our BPO and DO businesses. In 2010 we signed significant new business in the following areas:</w:t>
      </w:r>
    </w:p>
    <w:p>
      <w:pPr>
        <w:spacing w:after="0" w:line="191" w:lineRule="exact"/>
        <w:rPr>
          <w:sz w:val="20"/>
          <w:szCs w:val="20"/>
          <w:color w:val="auto"/>
        </w:rPr>
      </w:pPr>
    </w:p>
    <w:p>
      <w:pPr>
        <w:ind w:left="340" w:hanging="332"/>
        <w:spacing w:after="0"/>
        <w:tabs>
          <w:tab w:leader="none" w:pos="3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Child support payment processing</w:t>
      </w:r>
    </w:p>
    <w:p>
      <w:pPr>
        <w:ind w:left="340" w:hanging="332"/>
        <w:spacing w:after="0" w:line="234" w:lineRule="auto"/>
        <w:tabs>
          <w:tab w:leader="none" w:pos="3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Commercial healthcare</w:t>
      </w:r>
    </w:p>
    <w:p>
      <w:pPr>
        <w:ind w:left="340" w:hanging="332"/>
        <w:spacing w:after="0" w:line="234" w:lineRule="auto"/>
        <w:tabs>
          <w:tab w:leader="none" w:pos="3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Customer care</w:t>
      </w:r>
    </w:p>
    <w:p>
      <w:pPr>
        <w:ind w:left="340" w:hanging="332"/>
        <w:spacing w:after="0" w:line="234" w:lineRule="auto"/>
        <w:tabs>
          <w:tab w:leader="none" w:pos="3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Electronic payment cards</w:t>
      </w:r>
    </w:p>
    <w:p>
      <w:pPr>
        <w:ind w:left="340" w:hanging="332"/>
        <w:spacing w:after="0" w:line="234" w:lineRule="auto"/>
        <w:tabs>
          <w:tab w:leader="none" w:pos="3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Enterprise print services</w:t>
      </w:r>
    </w:p>
    <w:p>
      <w:pPr>
        <w:ind w:left="340" w:hanging="332"/>
        <w:spacing w:after="0" w:line="234" w:lineRule="auto"/>
        <w:tabs>
          <w:tab w:leader="none" w:pos="3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Government healthcare</w:t>
      </w:r>
    </w:p>
    <w:p>
      <w:pPr>
        <w:ind w:left="340" w:hanging="332"/>
        <w:spacing w:after="0" w:line="234" w:lineRule="auto"/>
        <w:tabs>
          <w:tab w:leader="none" w:pos="3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Telecom and hardware services</w:t>
      </w:r>
    </w:p>
    <w:p>
      <w:pPr>
        <w:ind w:left="340" w:hanging="332"/>
        <w:spacing w:after="0"/>
        <w:tabs>
          <w:tab w:leader="none" w:pos="3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Transportation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2009</w:t>
      </w:r>
    </w:p>
    <w:p>
      <w:pPr>
        <w:spacing w:after="0" w:line="18" w:lineRule="exact"/>
        <w:rPr>
          <w:sz w:val="20"/>
          <w:szCs w:val="20"/>
          <w:color w:val="auto"/>
        </w:rPr>
      </w:pPr>
    </w:p>
    <w:p>
      <w:pPr>
        <w:jc w:val="both"/>
        <w:ind w:right="280"/>
        <w:spacing w:after="0" w:line="299" w:lineRule="auto"/>
        <w:rPr>
          <w:sz w:val="20"/>
          <w:szCs w:val="20"/>
          <w:color w:val="auto"/>
        </w:rPr>
      </w:pPr>
      <w:r>
        <w:rPr>
          <w:rFonts w:ascii="Arial" w:cs="Arial" w:eastAsia="Arial" w:hAnsi="Arial"/>
          <w:sz w:val="16"/>
          <w:szCs w:val="16"/>
          <w:color w:val="auto"/>
        </w:rPr>
        <w:t>Services revenue of $3,476 million decreased 9% including a 2-percentage point negative impact from currency. Services revenue for 2009 and 2008 primarily reflects revenue from DO services. The decrease in revenue is primarily due to lower usage primarily in black-and-white devices.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Profit 2009</w:t>
      </w:r>
    </w:p>
    <w:p>
      <w:pPr>
        <w:spacing w:after="0" w:line="18" w:lineRule="exact"/>
        <w:rPr>
          <w:sz w:val="20"/>
          <w:szCs w:val="20"/>
          <w:color w:val="auto"/>
        </w:rPr>
      </w:pPr>
    </w:p>
    <w:p>
      <w:pPr>
        <w:ind w:right="660"/>
        <w:spacing w:after="0" w:line="299" w:lineRule="auto"/>
        <w:rPr>
          <w:sz w:val="20"/>
          <w:szCs w:val="20"/>
          <w:color w:val="auto"/>
        </w:rPr>
      </w:pPr>
      <w:r>
        <w:rPr>
          <w:rFonts w:ascii="Arial" w:cs="Arial" w:eastAsia="Arial" w:hAnsi="Arial"/>
          <w:sz w:val="16"/>
          <w:szCs w:val="16"/>
          <w:color w:val="auto"/>
        </w:rPr>
        <w:t>Services operating profit of $231 million decreased $71 million from 2008. The decrease was primarily due to lower gross profit reflecting a decrease in revenues partially offset by lower cost and expenses reflecting benefits from restructuring and favorable currency.</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Other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Revenue 2010</w:t>
      </w:r>
    </w:p>
    <w:p>
      <w:pPr>
        <w:spacing w:after="0" w:line="18" w:lineRule="exact"/>
        <w:rPr>
          <w:sz w:val="20"/>
          <w:szCs w:val="20"/>
          <w:color w:val="auto"/>
        </w:rPr>
      </w:pPr>
    </w:p>
    <w:p>
      <w:pPr>
        <w:ind w:right="140"/>
        <w:spacing w:after="0" w:line="299" w:lineRule="auto"/>
        <w:rPr>
          <w:sz w:val="20"/>
          <w:szCs w:val="20"/>
          <w:color w:val="auto"/>
        </w:rPr>
      </w:pPr>
      <w:r>
        <w:rPr>
          <w:rFonts w:ascii="Arial" w:cs="Arial" w:eastAsia="Arial" w:hAnsi="Arial"/>
          <w:sz w:val="16"/>
          <w:szCs w:val="16"/>
          <w:color w:val="auto"/>
        </w:rPr>
        <w:t>Other revenue of $1,647 million increased 1%, including a negligible impact from currency. Increases in GIS’s network integration and electronic presentation systems and Wide Format sales offset a decline in paper sales. Paper comprised approximately 58% of the Other segment revenue.</w:t>
      </w:r>
    </w:p>
    <w:p>
      <w:pPr>
        <w:spacing w:after="0" w:line="91" w:lineRule="exact"/>
        <w:rPr>
          <w:sz w:val="20"/>
          <w:szCs w:val="20"/>
          <w:color w:val="auto"/>
        </w:rPr>
      </w:pPr>
    </w:p>
    <w:p>
      <w:pPr>
        <w:jc w:val="right"/>
        <w:spacing w:after="0"/>
        <w:rPr>
          <w:sz w:val="20"/>
          <w:szCs w:val="20"/>
          <w:color w:val="auto"/>
        </w:rPr>
      </w:pPr>
      <w:r>
        <w:rPr>
          <w:rFonts w:ascii="Arial" w:cs="Arial" w:eastAsia="Arial" w:hAnsi="Arial"/>
          <w:sz w:val="14"/>
          <w:szCs w:val="14"/>
          <w:color w:val="4C9F40"/>
        </w:rPr>
        <w:t>Xerox 2010 Annual Report 14</w:t>
      </w:r>
    </w:p>
    <w:p>
      <w:pPr>
        <w:sectPr>
          <w:pgSz w:w="11900" w:h="16838" w:orient="portrait"/>
          <w:cols w:equalWidth="0" w:num="1">
            <w:col w:w="11420"/>
          </w:cols>
          <w:pgMar w:left="240" w:top="404"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4C9F40"/>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Segment Loss 2010</w:t>
      </w:r>
    </w:p>
    <w:p>
      <w:pPr>
        <w:spacing w:after="0" w:line="18"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Other segment loss of $342 million was flat with 2009 as higher gross profit reflecting an increase in gross margins from the mix of revenues was partially offset by higher interest expense associated with funding for the ACS acquisition.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2009</w:t>
      </w:r>
    </w:p>
    <w:p>
      <w:pPr>
        <w:spacing w:after="0" w:line="18" w:lineRule="exact"/>
        <w:rPr>
          <w:sz w:val="20"/>
          <w:szCs w:val="20"/>
          <w:color w:val="auto"/>
        </w:rPr>
      </w:pPr>
    </w:p>
    <w:p>
      <w:pPr>
        <w:jc w:val="both"/>
        <w:ind w:right="420"/>
        <w:spacing w:after="0" w:line="238" w:lineRule="auto"/>
        <w:rPr>
          <w:sz w:val="20"/>
          <w:szCs w:val="20"/>
          <w:color w:val="auto"/>
        </w:rPr>
      </w:pPr>
      <w:r>
        <w:rPr>
          <w:rFonts w:ascii="Arial" w:cs="Arial" w:eastAsia="Arial" w:hAnsi="Arial"/>
          <w:sz w:val="18"/>
          <w:szCs w:val="18"/>
          <w:color w:val="auto"/>
        </w:rPr>
        <w:t>Other revenue of $1,636 million decreased 21%, including a 2-percentage point negative impact from currency, primarily driven by declines in revenue from paper, wide format systems and licensing and royalty arrangements. Paper comprised approximately 60% of the Other segment revenue.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Loss 2009</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Other operating loss of $342 million increased $97 million from 2008, primarily due to lower revenue, as well as lower interest and equity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289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3" w:lineRule="exact"/>
        <w:rPr>
          <w:sz w:val="20"/>
          <w:szCs w:val="20"/>
          <w:color w:val="auto"/>
        </w:rPr>
      </w:pPr>
    </w:p>
    <w:p>
      <w:pPr>
        <w:ind w:left="340" w:hanging="332"/>
        <w:spacing w:after="0"/>
        <w:tabs>
          <w:tab w:leader="none" w:pos="34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Refer to the “Non-GAAP Financial Measures” section for an explanation of the Pro-forma non-GAAP financial measure.</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4C9F40"/>
        </w:rPr>
        <w:t>Costs, Expenses and Other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Gross Margin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Gross margins by revenue classification were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Pro-forma</w:t>
            </w:r>
            <w:r>
              <w:rPr>
                <w:rFonts w:ascii="Arial" w:cs="Arial" w:eastAsia="Arial" w:hAnsi="Arial"/>
                <w:sz w:val="22"/>
                <w:szCs w:val="22"/>
                <w:color w:val="auto"/>
                <w:w w:val="89"/>
                <w:vertAlign w:val="superscript"/>
              </w:rPr>
              <w:t>(1)</w:t>
            </w:r>
          </w:p>
        </w:tc>
      </w:tr>
      <w:tr>
        <w:trPr>
          <w:trHeight w:val="149"/>
        </w:trPr>
        <w:tc>
          <w:tcPr>
            <w:tcW w:w="6380" w:type="dxa"/>
            <w:vAlign w:val="bottom"/>
          </w:tcPr>
          <w:p>
            <w:pPr>
              <w:spacing w:after="0"/>
              <w:rPr>
                <w:sz w:val="12"/>
                <w:szCs w:val="12"/>
                <w:color w:val="auto"/>
              </w:rPr>
            </w:pPr>
          </w:p>
        </w:tc>
        <w:tc>
          <w:tcPr>
            <w:tcW w:w="2400" w:type="dxa"/>
            <w:vAlign w:val="bottom"/>
            <w:gridSpan w:val="6"/>
          </w:tcPr>
          <w:p>
            <w:pPr>
              <w:ind w:left="200"/>
              <w:spacing w:after="0" w:line="149" w:lineRule="exact"/>
              <w:rPr>
                <w:sz w:val="20"/>
                <w:szCs w:val="20"/>
                <w:color w:val="auto"/>
              </w:rPr>
            </w:pPr>
            <w:r>
              <w:rPr>
                <w:rFonts w:ascii="Arial" w:cs="Arial" w:eastAsia="Arial" w:hAnsi="Arial"/>
                <w:sz w:val="14"/>
                <w:szCs w:val="14"/>
                <w:color w:val="auto"/>
              </w:rPr>
              <w:t>Year Ended December 31,</w:t>
            </w:r>
          </w:p>
        </w:tc>
        <w:tc>
          <w:tcPr>
            <w:tcW w:w="1000" w:type="dxa"/>
            <w:vAlign w:val="bottom"/>
            <w:gridSpan w:val="3"/>
          </w:tcPr>
          <w:p>
            <w:pPr>
              <w:ind w:left="500"/>
              <w:spacing w:after="0" w:line="149" w:lineRule="exact"/>
              <w:rPr>
                <w:sz w:val="20"/>
                <w:szCs w:val="20"/>
                <w:color w:val="auto"/>
              </w:rPr>
            </w:pPr>
            <w:r>
              <w:rPr>
                <w:rFonts w:ascii="Arial" w:cs="Arial" w:eastAsia="Arial" w:hAnsi="Arial"/>
                <w:sz w:val="14"/>
                <w:szCs w:val="14"/>
                <w:color w:val="auto"/>
                <w:w w:val="97"/>
              </w:rPr>
              <w:t>Change</w:t>
            </w: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7"/>
              </w:rPr>
              <w:t>Change</w:t>
            </w:r>
          </w:p>
        </w:tc>
      </w:tr>
      <w:tr>
        <w:trPr>
          <w:trHeight w:val="142"/>
        </w:trPr>
        <w:tc>
          <w:tcPr>
            <w:tcW w:w="6380" w:type="dxa"/>
            <w:vAlign w:val="bottom"/>
          </w:tcPr>
          <w:p>
            <w:pPr>
              <w:spacing w:after="0"/>
              <w:rPr>
                <w:sz w:val="12"/>
                <w:szCs w:val="12"/>
                <w:color w:val="auto"/>
              </w:rPr>
            </w:pPr>
          </w:p>
        </w:tc>
        <w:tc>
          <w:tcPr>
            <w:tcW w:w="40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color w:val="auto"/>
              </w:rPr>
              <w:t>2010</w:t>
            </w:r>
          </w:p>
        </w:tc>
        <w:tc>
          <w:tcPr>
            <w:tcW w:w="40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color w:val="auto"/>
              </w:rPr>
              <w:t>2009</w:t>
            </w:r>
          </w:p>
        </w:tc>
        <w:tc>
          <w:tcPr>
            <w:tcW w:w="40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color w:val="auto"/>
              </w:rPr>
              <w:t>2008</w:t>
            </w:r>
          </w:p>
        </w:tc>
        <w:tc>
          <w:tcPr>
            <w:tcW w:w="40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color w:val="auto"/>
              </w:rPr>
              <w:t>2010</w:t>
            </w:r>
          </w:p>
        </w:tc>
        <w:tc>
          <w:tcPr>
            <w:tcW w:w="30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color w:val="auto"/>
              </w:rPr>
              <w:t>2009</w:t>
            </w:r>
          </w:p>
        </w:tc>
        <w:tc>
          <w:tcPr>
            <w:tcW w:w="28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6"/>
              </w:rPr>
              <w:t>2010</w:t>
            </w:r>
          </w:p>
        </w:tc>
        <w:tc>
          <w:tcPr>
            <w:tcW w:w="100" w:type="dxa"/>
            <w:vAlign w:val="bottom"/>
          </w:tcPr>
          <w:p>
            <w:pPr>
              <w:spacing w:after="0"/>
              <w:rPr>
                <w:sz w:val="12"/>
                <w:szCs w:val="12"/>
                <w:color w:val="auto"/>
              </w:rPr>
            </w:pPr>
          </w:p>
        </w:tc>
      </w:tr>
      <w:tr>
        <w:trPr>
          <w:trHeight w:val="196"/>
        </w:trPr>
        <w:tc>
          <w:tcPr>
            <w:tcW w:w="6380" w:type="dxa"/>
            <w:vAlign w:val="bottom"/>
            <w:shd w:val="clear" w:color="auto" w:fill="E5E5E5"/>
          </w:tcPr>
          <w:p>
            <w:pPr>
              <w:spacing w:after="0" w:line="196" w:lineRule="exact"/>
              <w:rPr>
                <w:sz w:val="20"/>
                <w:szCs w:val="20"/>
                <w:color w:val="auto"/>
              </w:rPr>
            </w:pPr>
            <w:r>
              <w:rPr>
                <w:rFonts w:ascii="Arial" w:cs="Arial" w:eastAsia="Arial" w:hAnsi="Arial"/>
                <w:sz w:val="18"/>
                <w:szCs w:val="18"/>
                <w:color w:val="auto"/>
              </w:rPr>
              <w:t>Sales</w:t>
            </w:r>
          </w:p>
        </w:tc>
        <w:tc>
          <w:tcPr>
            <w:tcW w:w="800" w:type="dxa"/>
            <w:vAlign w:val="bottom"/>
            <w:gridSpan w:val="2"/>
            <w:shd w:val="clear" w:color="auto" w:fill="E5E5E5"/>
          </w:tcPr>
          <w:p>
            <w:pPr>
              <w:ind w:left="60"/>
              <w:spacing w:after="0" w:line="196" w:lineRule="exact"/>
              <w:rPr>
                <w:sz w:val="20"/>
                <w:szCs w:val="20"/>
                <w:color w:val="auto"/>
              </w:rPr>
            </w:pPr>
            <w:r>
              <w:rPr>
                <w:rFonts w:ascii="Arial" w:cs="Arial" w:eastAsia="Arial" w:hAnsi="Arial"/>
                <w:sz w:val="18"/>
                <w:szCs w:val="18"/>
                <w:color w:val="auto"/>
              </w:rPr>
              <w:t>34.5%</w:t>
            </w:r>
          </w:p>
        </w:tc>
        <w:tc>
          <w:tcPr>
            <w:tcW w:w="800" w:type="dxa"/>
            <w:vAlign w:val="bottom"/>
            <w:gridSpan w:val="2"/>
            <w:shd w:val="clear" w:color="auto" w:fill="E5E5E5"/>
          </w:tcPr>
          <w:p>
            <w:pPr>
              <w:ind w:left="60"/>
              <w:spacing w:after="0" w:line="196" w:lineRule="exact"/>
              <w:rPr>
                <w:sz w:val="20"/>
                <w:szCs w:val="20"/>
                <w:color w:val="auto"/>
              </w:rPr>
            </w:pPr>
            <w:r>
              <w:rPr>
                <w:rFonts w:ascii="Arial" w:cs="Arial" w:eastAsia="Arial" w:hAnsi="Arial"/>
                <w:sz w:val="18"/>
                <w:szCs w:val="18"/>
                <w:color w:val="auto"/>
              </w:rPr>
              <w:t>33.9%</w:t>
            </w:r>
          </w:p>
        </w:tc>
        <w:tc>
          <w:tcPr>
            <w:tcW w:w="800" w:type="dxa"/>
            <w:vAlign w:val="bottom"/>
            <w:gridSpan w:val="2"/>
            <w:shd w:val="clear" w:color="auto" w:fill="E5E5E5"/>
          </w:tcPr>
          <w:p>
            <w:pPr>
              <w:ind w:left="60"/>
              <w:spacing w:after="0" w:line="196" w:lineRule="exact"/>
              <w:rPr>
                <w:sz w:val="20"/>
                <w:szCs w:val="20"/>
                <w:color w:val="auto"/>
              </w:rPr>
            </w:pPr>
            <w:r>
              <w:rPr>
                <w:rFonts w:ascii="Arial" w:cs="Arial" w:eastAsia="Arial" w:hAnsi="Arial"/>
                <w:sz w:val="18"/>
                <w:szCs w:val="18"/>
                <w:color w:val="auto"/>
              </w:rPr>
              <w:t>33.7%</w:t>
            </w:r>
          </w:p>
        </w:tc>
        <w:tc>
          <w:tcPr>
            <w:tcW w:w="1000" w:type="dxa"/>
            <w:vAlign w:val="bottom"/>
            <w:gridSpan w:val="3"/>
            <w:shd w:val="clear" w:color="auto" w:fill="E5E5E5"/>
          </w:tcPr>
          <w:p>
            <w:pPr>
              <w:jc w:val="right"/>
              <w:ind w:right="340"/>
              <w:spacing w:after="0" w:line="196" w:lineRule="exact"/>
              <w:rPr>
                <w:sz w:val="20"/>
                <w:szCs w:val="20"/>
                <w:color w:val="auto"/>
              </w:rPr>
            </w:pPr>
            <w:r>
              <w:rPr>
                <w:rFonts w:ascii="Arial" w:cs="Arial" w:eastAsia="Arial" w:hAnsi="Arial"/>
                <w:sz w:val="18"/>
                <w:szCs w:val="18"/>
                <w:color w:val="auto"/>
              </w:rPr>
              <w:t>0.6pts</w:t>
            </w:r>
          </w:p>
        </w:tc>
        <w:tc>
          <w:tcPr>
            <w:tcW w:w="500" w:type="dxa"/>
            <w:vAlign w:val="bottom"/>
            <w:shd w:val="clear" w:color="auto" w:fill="E5E5E5"/>
          </w:tcPr>
          <w:p>
            <w:pPr>
              <w:ind w:left="20"/>
              <w:spacing w:after="0" w:line="196" w:lineRule="exact"/>
              <w:rPr>
                <w:sz w:val="20"/>
                <w:szCs w:val="20"/>
                <w:color w:val="auto"/>
              </w:rPr>
            </w:pPr>
            <w:r>
              <w:rPr>
                <w:rFonts w:ascii="Arial" w:cs="Arial" w:eastAsia="Arial" w:hAnsi="Arial"/>
                <w:sz w:val="18"/>
                <w:szCs w:val="18"/>
                <w:color w:val="auto"/>
                <w:w w:val="93"/>
              </w:rPr>
              <w:t>0.2pts</w:t>
            </w:r>
          </w:p>
        </w:tc>
        <w:tc>
          <w:tcPr>
            <w:tcW w:w="28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100"/>
              <w:spacing w:after="0" w:line="196" w:lineRule="exact"/>
              <w:rPr>
                <w:sz w:val="20"/>
                <w:szCs w:val="20"/>
                <w:color w:val="auto"/>
              </w:rPr>
            </w:pPr>
            <w:r>
              <w:rPr>
                <w:rFonts w:ascii="Arial" w:cs="Arial" w:eastAsia="Arial" w:hAnsi="Arial"/>
                <w:sz w:val="18"/>
                <w:szCs w:val="18"/>
                <w:color w:val="auto"/>
              </w:rPr>
              <w:t>1.1pts</w:t>
            </w:r>
          </w:p>
        </w:tc>
      </w:tr>
      <w:tr>
        <w:trPr>
          <w:trHeight w:val="203"/>
        </w:trPr>
        <w:tc>
          <w:tcPr>
            <w:tcW w:w="6380" w:type="dxa"/>
            <w:vAlign w:val="bottom"/>
          </w:tcPr>
          <w:p>
            <w:pPr>
              <w:spacing w:after="0" w:line="202" w:lineRule="exact"/>
              <w:rPr>
                <w:sz w:val="20"/>
                <w:szCs w:val="20"/>
                <w:color w:val="auto"/>
              </w:rPr>
            </w:pPr>
            <w:r>
              <w:rPr>
                <w:rFonts w:ascii="Arial" w:cs="Arial" w:eastAsia="Arial" w:hAnsi="Arial"/>
                <w:sz w:val="18"/>
                <w:szCs w:val="18"/>
                <w:color w:val="auto"/>
              </w:rPr>
              <w:t>Service, outsourcing and rentals</w:t>
            </w:r>
          </w:p>
        </w:tc>
        <w:tc>
          <w:tcPr>
            <w:tcW w:w="80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33.1%</w:t>
            </w:r>
          </w:p>
        </w:tc>
        <w:tc>
          <w:tcPr>
            <w:tcW w:w="80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42.6%</w:t>
            </w:r>
          </w:p>
        </w:tc>
        <w:tc>
          <w:tcPr>
            <w:tcW w:w="80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41.9%</w:t>
            </w:r>
          </w:p>
        </w:tc>
        <w:tc>
          <w:tcPr>
            <w:tcW w:w="100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(9.5)pts</w:t>
            </w:r>
          </w:p>
        </w:tc>
        <w:tc>
          <w:tcPr>
            <w:tcW w:w="500" w:type="dxa"/>
            <w:vAlign w:val="bottom"/>
          </w:tcPr>
          <w:p>
            <w:pPr>
              <w:ind w:left="20"/>
              <w:spacing w:after="0" w:line="202" w:lineRule="exact"/>
              <w:rPr>
                <w:sz w:val="20"/>
                <w:szCs w:val="20"/>
                <w:color w:val="auto"/>
              </w:rPr>
            </w:pPr>
            <w:r>
              <w:rPr>
                <w:rFonts w:ascii="Arial" w:cs="Arial" w:eastAsia="Arial" w:hAnsi="Arial"/>
                <w:sz w:val="18"/>
                <w:szCs w:val="18"/>
                <w:color w:val="auto"/>
                <w:w w:val="93"/>
              </w:rPr>
              <w:t>0.7pts</w:t>
            </w:r>
          </w:p>
        </w:tc>
        <w:tc>
          <w:tcPr>
            <w:tcW w:w="28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(0.7)pts</w:t>
            </w:r>
          </w:p>
        </w:tc>
      </w:tr>
      <w:tr>
        <w:trPr>
          <w:trHeight w:val="203"/>
        </w:trPr>
        <w:tc>
          <w:tcPr>
            <w:tcW w:w="63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Finance income</w:t>
            </w:r>
          </w:p>
        </w:tc>
        <w:tc>
          <w:tcPr>
            <w:tcW w:w="800" w:type="dxa"/>
            <w:vAlign w:val="bottom"/>
            <w:gridSpan w:val="2"/>
            <w:shd w:val="clear" w:color="auto" w:fill="E5E5E5"/>
          </w:tcPr>
          <w:p>
            <w:pPr>
              <w:ind w:left="60"/>
              <w:spacing w:after="0" w:line="202" w:lineRule="exact"/>
              <w:rPr>
                <w:sz w:val="20"/>
                <w:szCs w:val="20"/>
                <w:color w:val="auto"/>
              </w:rPr>
            </w:pPr>
            <w:r>
              <w:rPr>
                <w:rFonts w:ascii="Arial" w:cs="Arial" w:eastAsia="Arial" w:hAnsi="Arial"/>
                <w:sz w:val="18"/>
                <w:szCs w:val="18"/>
                <w:color w:val="auto"/>
              </w:rPr>
              <w:t>62.7%</w:t>
            </w:r>
          </w:p>
        </w:tc>
        <w:tc>
          <w:tcPr>
            <w:tcW w:w="800" w:type="dxa"/>
            <w:vAlign w:val="bottom"/>
            <w:gridSpan w:val="2"/>
            <w:shd w:val="clear" w:color="auto" w:fill="E5E5E5"/>
          </w:tcPr>
          <w:p>
            <w:pPr>
              <w:ind w:left="60"/>
              <w:spacing w:after="0" w:line="202" w:lineRule="exact"/>
              <w:rPr>
                <w:sz w:val="20"/>
                <w:szCs w:val="20"/>
                <w:color w:val="auto"/>
              </w:rPr>
            </w:pPr>
            <w:r>
              <w:rPr>
                <w:rFonts w:ascii="Arial" w:cs="Arial" w:eastAsia="Arial" w:hAnsi="Arial"/>
                <w:sz w:val="18"/>
                <w:szCs w:val="18"/>
                <w:color w:val="auto"/>
              </w:rPr>
              <w:t>62.0%</w:t>
            </w:r>
          </w:p>
        </w:tc>
        <w:tc>
          <w:tcPr>
            <w:tcW w:w="800" w:type="dxa"/>
            <w:vAlign w:val="bottom"/>
            <w:gridSpan w:val="2"/>
            <w:shd w:val="clear" w:color="auto" w:fill="E5E5E5"/>
          </w:tcPr>
          <w:p>
            <w:pPr>
              <w:ind w:left="60"/>
              <w:spacing w:after="0" w:line="202" w:lineRule="exact"/>
              <w:rPr>
                <w:sz w:val="20"/>
                <w:szCs w:val="20"/>
                <w:color w:val="auto"/>
              </w:rPr>
            </w:pPr>
            <w:r>
              <w:rPr>
                <w:rFonts w:ascii="Arial" w:cs="Arial" w:eastAsia="Arial" w:hAnsi="Arial"/>
                <w:sz w:val="18"/>
                <w:szCs w:val="18"/>
                <w:color w:val="auto"/>
              </w:rPr>
              <w:t>61.8%</w:t>
            </w:r>
          </w:p>
        </w:tc>
        <w:tc>
          <w:tcPr>
            <w:tcW w:w="1000" w:type="dxa"/>
            <w:vAlign w:val="bottom"/>
            <w:gridSpan w:val="3"/>
            <w:shd w:val="clear" w:color="auto" w:fill="E5E5E5"/>
          </w:tcPr>
          <w:p>
            <w:pPr>
              <w:jc w:val="right"/>
              <w:ind w:right="340"/>
              <w:spacing w:after="0" w:line="202" w:lineRule="exact"/>
              <w:rPr>
                <w:sz w:val="20"/>
                <w:szCs w:val="20"/>
                <w:color w:val="auto"/>
              </w:rPr>
            </w:pPr>
            <w:r>
              <w:rPr>
                <w:rFonts w:ascii="Arial" w:cs="Arial" w:eastAsia="Arial" w:hAnsi="Arial"/>
                <w:sz w:val="18"/>
                <w:szCs w:val="18"/>
                <w:color w:val="auto"/>
              </w:rPr>
              <w:t>0.7pts</w:t>
            </w:r>
          </w:p>
        </w:tc>
        <w:tc>
          <w:tcPr>
            <w:tcW w:w="50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w w:val="93"/>
              </w:rPr>
              <w:t>0.2pts</w:t>
            </w:r>
          </w:p>
        </w:tc>
        <w:tc>
          <w:tcPr>
            <w:tcW w:w="28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0.7pts</w:t>
            </w:r>
          </w:p>
        </w:tc>
      </w:tr>
      <w:tr>
        <w:trPr>
          <w:trHeight w:val="233"/>
        </w:trPr>
        <w:tc>
          <w:tcPr>
            <w:tcW w:w="6380" w:type="dxa"/>
            <w:vAlign w:val="bottom"/>
          </w:tcPr>
          <w:p>
            <w:pPr>
              <w:ind w:left="220"/>
              <w:spacing w:after="0"/>
              <w:rPr>
                <w:sz w:val="20"/>
                <w:szCs w:val="20"/>
                <w:color w:val="auto"/>
              </w:rPr>
            </w:pPr>
            <w:r>
              <w:rPr>
                <w:rFonts w:ascii="Arial" w:cs="Arial" w:eastAsia="Arial" w:hAnsi="Arial"/>
                <w:sz w:val="18"/>
                <w:szCs w:val="18"/>
                <w:b w:val="1"/>
                <w:bCs w:val="1"/>
                <w:color w:val="auto"/>
              </w:rPr>
              <w:t>Total Gross Margin</w:t>
            </w:r>
          </w:p>
        </w:tc>
        <w:tc>
          <w:tcPr>
            <w:tcW w:w="800" w:type="dxa"/>
            <w:vAlign w:val="bottom"/>
            <w:gridSpan w:val="2"/>
          </w:tcPr>
          <w:p>
            <w:pPr>
              <w:ind w:left="60"/>
              <w:spacing w:after="0"/>
              <w:rPr>
                <w:sz w:val="20"/>
                <w:szCs w:val="20"/>
                <w:color w:val="auto"/>
              </w:rPr>
            </w:pPr>
            <w:r>
              <w:rPr>
                <w:rFonts w:ascii="Arial" w:cs="Arial" w:eastAsia="Arial" w:hAnsi="Arial"/>
                <w:sz w:val="18"/>
                <w:szCs w:val="18"/>
                <w:color w:val="auto"/>
              </w:rPr>
              <w:t>34.4%</w:t>
            </w:r>
          </w:p>
        </w:tc>
        <w:tc>
          <w:tcPr>
            <w:tcW w:w="800" w:type="dxa"/>
            <w:vAlign w:val="bottom"/>
            <w:gridSpan w:val="2"/>
          </w:tcPr>
          <w:p>
            <w:pPr>
              <w:ind w:left="60"/>
              <w:spacing w:after="0"/>
              <w:rPr>
                <w:sz w:val="20"/>
                <w:szCs w:val="20"/>
                <w:color w:val="auto"/>
              </w:rPr>
            </w:pPr>
            <w:r>
              <w:rPr>
                <w:rFonts w:ascii="Arial" w:cs="Arial" w:eastAsia="Arial" w:hAnsi="Arial"/>
                <w:sz w:val="18"/>
                <w:szCs w:val="18"/>
                <w:color w:val="auto"/>
              </w:rPr>
              <w:t>39.7%</w:t>
            </w:r>
          </w:p>
        </w:tc>
        <w:tc>
          <w:tcPr>
            <w:tcW w:w="800" w:type="dxa"/>
            <w:vAlign w:val="bottom"/>
            <w:gridSpan w:val="2"/>
          </w:tcPr>
          <w:p>
            <w:pPr>
              <w:ind w:left="60"/>
              <w:spacing w:after="0"/>
              <w:rPr>
                <w:sz w:val="20"/>
                <w:szCs w:val="20"/>
                <w:color w:val="auto"/>
              </w:rPr>
            </w:pPr>
            <w:r>
              <w:rPr>
                <w:rFonts w:ascii="Arial" w:cs="Arial" w:eastAsia="Arial" w:hAnsi="Arial"/>
                <w:sz w:val="18"/>
                <w:szCs w:val="18"/>
                <w:color w:val="auto"/>
              </w:rPr>
              <w:t>38.9%</w:t>
            </w:r>
          </w:p>
        </w:tc>
        <w:tc>
          <w:tcPr>
            <w:tcW w:w="1000" w:type="dxa"/>
            <w:vAlign w:val="bottom"/>
            <w:gridSpan w:val="3"/>
          </w:tcPr>
          <w:p>
            <w:pPr>
              <w:jc w:val="right"/>
              <w:ind w:right="340"/>
              <w:spacing w:after="0"/>
              <w:rPr>
                <w:sz w:val="20"/>
                <w:szCs w:val="20"/>
                <w:color w:val="auto"/>
              </w:rPr>
            </w:pPr>
            <w:r>
              <w:rPr>
                <w:rFonts w:ascii="Arial" w:cs="Arial" w:eastAsia="Arial" w:hAnsi="Arial"/>
                <w:sz w:val="18"/>
                <w:szCs w:val="18"/>
                <w:color w:val="auto"/>
              </w:rPr>
              <w:t>(5.3)pts</w:t>
            </w:r>
          </w:p>
        </w:tc>
        <w:tc>
          <w:tcPr>
            <w:tcW w:w="500" w:type="dxa"/>
            <w:vAlign w:val="bottom"/>
          </w:tcPr>
          <w:p>
            <w:pPr>
              <w:ind w:left="20"/>
              <w:spacing w:after="0"/>
              <w:rPr>
                <w:sz w:val="20"/>
                <w:szCs w:val="20"/>
                <w:color w:val="auto"/>
              </w:rPr>
            </w:pPr>
            <w:r>
              <w:rPr>
                <w:rFonts w:ascii="Arial" w:cs="Arial" w:eastAsia="Arial" w:hAnsi="Arial"/>
                <w:sz w:val="18"/>
                <w:szCs w:val="18"/>
                <w:color w:val="auto"/>
                <w:w w:val="93"/>
              </w:rPr>
              <w:t>0.8pts</w:t>
            </w:r>
          </w:p>
        </w:tc>
        <w:tc>
          <w:tcPr>
            <w:tcW w:w="28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(0.2)pts</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Gross Margin 2010</w:t>
      </w:r>
    </w:p>
    <w:p>
      <w:pPr>
        <w:spacing w:after="0" w:line="18"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color w:val="auto"/>
        </w:rPr>
        <w:t>The 2010 total gross margin decreased 5.3-percentage points, and service, outsourcing and rentals gross margin decreased 9.5-percentage points, on an actual basis primarily due to the ACS acquisition. ACS, as a services based company, had a lower gross margin as compared to a technology based company, which typified Xerox before the acquisition. Since actual comparisons are not meaningful, gross margins for these two categories are primarily discussed below on a pro-forma basis with ACS’s 2009 estimated results from February 6 through December 31 included in our historical 2009 results (See “Non-GAAP Financial Measures” section for a further discussion of this non-GAAP measure).</w:t>
      </w:r>
    </w:p>
    <w:p>
      <w:pPr>
        <w:spacing w:after="0" w:line="147" w:lineRule="exact"/>
        <w:rPr>
          <w:sz w:val="20"/>
          <w:szCs w:val="20"/>
          <w:color w:val="auto"/>
        </w:rPr>
      </w:pPr>
    </w:p>
    <w:p>
      <w:pPr>
        <w:ind w:left="340" w:right="40" w:hanging="332"/>
        <w:spacing w:after="0" w:line="222" w:lineRule="auto"/>
        <w:tabs>
          <w:tab w:leader="none" w:pos="340" w:val="left"/>
        </w:tabs>
        <w:numPr>
          <w:ilvl w:val="0"/>
          <w:numId w:val="106"/>
        </w:numPr>
        <w:rPr>
          <w:rFonts w:ascii="Arial" w:cs="Arial" w:eastAsia="Arial" w:hAnsi="Arial"/>
          <w:sz w:val="18"/>
          <w:szCs w:val="18"/>
          <w:color w:val="auto"/>
        </w:rPr>
      </w:pPr>
      <w:r>
        <w:rPr>
          <w:rFonts w:ascii="Arial" w:cs="Arial" w:eastAsia="Arial" w:hAnsi="Arial"/>
          <w:sz w:val="18"/>
          <w:szCs w:val="18"/>
          <w:b w:val="1"/>
          <w:bCs w:val="1"/>
          <w:color w:val="4C9F40"/>
        </w:rPr>
        <w:t xml:space="preserve">Total gross margin </w:t>
      </w:r>
      <w:r>
        <w:rPr>
          <w:rFonts w:ascii="Arial" w:cs="Arial" w:eastAsia="Arial" w:hAnsi="Arial"/>
          <w:sz w:val="18"/>
          <w:szCs w:val="18"/>
          <w:color w:val="000000"/>
        </w:rPr>
        <w:t>decreased 5.3-percentage points or 0.2-percentage points on a pro-forma</w:t>
      </w:r>
      <w:r>
        <w:rPr>
          <w:rFonts w:ascii="Arial" w:cs="Arial" w:eastAsia="Arial" w:hAnsi="Arial"/>
          <w:sz w:val="22"/>
          <w:szCs w:val="22"/>
          <w:color w:val="000000"/>
          <w:vertAlign w:val="superscript"/>
        </w:rPr>
        <w:t>(1)</w:t>
      </w:r>
      <w:r>
        <w:rPr>
          <w:rFonts w:ascii="Arial" w:cs="Arial" w:eastAsia="Arial" w:hAnsi="Arial"/>
          <w:sz w:val="18"/>
          <w:szCs w:val="18"/>
          <w:b w:val="1"/>
          <w:bCs w:val="1"/>
          <w:color w:val="4C9F40"/>
        </w:rPr>
        <w:t xml:space="preserve"> </w:t>
      </w:r>
      <w:r>
        <w:rPr>
          <w:rFonts w:ascii="Arial" w:cs="Arial" w:eastAsia="Arial" w:hAnsi="Arial"/>
          <w:sz w:val="18"/>
          <w:szCs w:val="18"/>
          <w:color w:val="000000"/>
        </w:rPr>
        <w:t>basis, as compared to 2009. The decline was</w:t>
      </w:r>
      <w:r>
        <w:rPr>
          <w:rFonts w:ascii="Arial" w:cs="Arial" w:eastAsia="Arial" w:hAnsi="Arial"/>
          <w:sz w:val="18"/>
          <w:szCs w:val="18"/>
          <w:b w:val="1"/>
          <w:bCs w:val="1"/>
          <w:color w:val="4C9F40"/>
        </w:rPr>
        <w:t xml:space="preserve"> </w:t>
      </w:r>
      <w:r>
        <w:rPr>
          <w:rFonts w:ascii="Arial" w:cs="Arial" w:eastAsia="Arial" w:hAnsi="Arial"/>
          <w:sz w:val="18"/>
          <w:szCs w:val="18"/>
          <w:color w:val="000000"/>
        </w:rPr>
        <w:t>primarily due to the unfavorable impact of year-over-year transaction currency.</w:t>
      </w:r>
    </w:p>
    <w:p>
      <w:pPr>
        <w:spacing w:after="0" w:line="1" w:lineRule="exact"/>
        <w:rPr>
          <w:rFonts w:ascii="Arial" w:cs="Arial" w:eastAsia="Arial" w:hAnsi="Arial"/>
          <w:sz w:val="18"/>
          <w:szCs w:val="18"/>
          <w:color w:val="auto"/>
        </w:rPr>
      </w:pPr>
    </w:p>
    <w:p>
      <w:pPr>
        <w:ind w:left="340" w:right="140" w:hanging="332"/>
        <w:spacing w:after="0" w:line="218" w:lineRule="auto"/>
        <w:tabs>
          <w:tab w:leader="none" w:pos="340" w:val="left"/>
        </w:tabs>
        <w:numPr>
          <w:ilvl w:val="0"/>
          <w:numId w:val="106"/>
        </w:numPr>
        <w:rPr>
          <w:rFonts w:ascii="Arial" w:cs="Arial" w:eastAsia="Arial" w:hAnsi="Arial"/>
          <w:sz w:val="18"/>
          <w:szCs w:val="18"/>
          <w:color w:val="auto"/>
        </w:rPr>
      </w:pPr>
      <w:r>
        <w:rPr>
          <w:rFonts w:ascii="Arial" w:cs="Arial" w:eastAsia="Arial" w:hAnsi="Arial"/>
          <w:sz w:val="18"/>
          <w:szCs w:val="18"/>
          <w:b w:val="1"/>
          <w:bCs w:val="1"/>
          <w:color w:val="4C9F40"/>
        </w:rPr>
        <w:t xml:space="preserve">Sales gross margin </w:t>
      </w:r>
      <w:r>
        <w:rPr>
          <w:rFonts w:ascii="Arial" w:cs="Arial" w:eastAsia="Arial" w:hAnsi="Arial"/>
          <w:sz w:val="18"/>
          <w:szCs w:val="18"/>
          <w:color w:val="000000"/>
        </w:rPr>
        <w:t>increased 0.6-percentage points or 1.1-percentage points on a pro-forma</w:t>
      </w:r>
      <w:r>
        <w:rPr>
          <w:rFonts w:ascii="Arial" w:cs="Arial" w:eastAsia="Arial" w:hAnsi="Arial"/>
          <w:sz w:val="22"/>
          <w:szCs w:val="22"/>
          <w:color w:val="000000"/>
          <w:vertAlign w:val="superscript"/>
        </w:rPr>
        <w:t>(1)</w:t>
      </w:r>
      <w:r>
        <w:rPr>
          <w:rFonts w:ascii="Arial" w:cs="Arial" w:eastAsia="Arial" w:hAnsi="Arial"/>
          <w:sz w:val="18"/>
          <w:szCs w:val="18"/>
          <w:b w:val="1"/>
          <w:bCs w:val="1"/>
          <w:color w:val="4C9F40"/>
        </w:rPr>
        <w:t xml:space="preserve"> </w:t>
      </w:r>
      <w:r>
        <w:rPr>
          <w:rFonts w:ascii="Arial" w:cs="Arial" w:eastAsia="Arial" w:hAnsi="Arial"/>
          <w:sz w:val="18"/>
          <w:szCs w:val="18"/>
          <w:color w:val="000000"/>
        </w:rPr>
        <w:t>basis, as compared to 2009. Cost</w:t>
      </w:r>
      <w:r>
        <w:rPr>
          <w:rFonts w:ascii="Arial" w:cs="Arial" w:eastAsia="Arial" w:hAnsi="Arial"/>
          <w:sz w:val="18"/>
          <w:szCs w:val="18"/>
          <w:b w:val="1"/>
          <w:bCs w:val="1"/>
          <w:color w:val="4C9F40"/>
        </w:rPr>
        <w:t xml:space="preserve"> </w:t>
      </w:r>
      <w:r>
        <w:rPr>
          <w:rFonts w:ascii="Arial" w:cs="Arial" w:eastAsia="Arial" w:hAnsi="Arial"/>
          <w:sz w:val="18"/>
          <w:szCs w:val="18"/>
          <w:color w:val="000000"/>
        </w:rPr>
        <w:t>improvements and positive mix more than offset a 0.5-percentage point adverse impact from transaction currency and price declines of about 1-percentage points.</w:t>
      </w:r>
    </w:p>
    <w:p>
      <w:pPr>
        <w:spacing w:after="0" w:line="1" w:lineRule="exact"/>
        <w:rPr>
          <w:rFonts w:ascii="Arial" w:cs="Arial" w:eastAsia="Arial" w:hAnsi="Arial"/>
          <w:sz w:val="18"/>
          <w:szCs w:val="18"/>
          <w:color w:val="auto"/>
        </w:rPr>
      </w:pPr>
    </w:p>
    <w:p>
      <w:pPr>
        <w:ind w:left="340" w:right="560" w:hanging="332"/>
        <w:spacing w:after="0" w:line="218" w:lineRule="auto"/>
        <w:tabs>
          <w:tab w:leader="none" w:pos="340" w:val="left"/>
        </w:tabs>
        <w:numPr>
          <w:ilvl w:val="0"/>
          <w:numId w:val="106"/>
        </w:numPr>
        <w:rPr>
          <w:rFonts w:ascii="Arial" w:cs="Arial" w:eastAsia="Arial" w:hAnsi="Arial"/>
          <w:sz w:val="18"/>
          <w:szCs w:val="18"/>
          <w:color w:val="auto"/>
        </w:rPr>
      </w:pPr>
      <w:r>
        <w:rPr>
          <w:rFonts w:ascii="Arial" w:cs="Arial" w:eastAsia="Arial" w:hAnsi="Arial"/>
          <w:sz w:val="18"/>
          <w:szCs w:val="18"/>
          <w:b w:val="1"/>
          <w:bCs w:val="1"/>
          <w:color w:val="4C9F40"/>
        </w:rPr>
        <w:t xml:space="preserve">Service, outsourcing and rentals gross margin </w:t>
      </w:r>
      <w:r>
        <w:rPr>
          <w:rFonts w:ascii="Arial" w:cs="Arial" w:eastAsia="Arial" w:hAnsi="Arial"/>
          <w:sz w:val="18"/>
          <w:szCs w:val="18"/>
          <w:color w:val="000000"/>
        </w:rPr>
        <w:t>decreased 9.5-percentage points or 0.7-percentage points on a pro-forma</w:t>
      </w:r>
      <w:r>
        <w:rPr>
          <w:rFonts w:ascii="Arial" w:cs="Arial" w:eastAsia="Arial" w:hAnsi="Arial"/>
          <w:sz w:val="22"/>
          <w:szCs w:val="22"/>
          <w:color w:val="000000"/>
          <w:vertAlign w:val="superscript"/>
        </w:rPr>
        <w:t>(1)</w:t>
      </w:r>
      <w:r>
        <w:rPr>
          <w:rFonts w:ascii="Arial" w:cs="Arial" w:eastAsia="Arial" w:hAnsi="Arial"/>
          <w:sz w:val="18"/>
          <w:szCs w:val="18"/>
          <w:b w:val="1"/>
          <w:bCs w:val="1"/>
          <w:color w:val="4C9F40"/>
        </w:rPr>
        <w:t xml:space="preserve"> </w:t>
      </w:r>
      <w:r>
        <w:rPr>
          <w:rFonts w:ascii="Arial" w:cs="Arial" w:eastAsia="Arial" w:hAnsi="Arial"/>
          <w:sz w:val="18"/>
          <w:szCs w:val="18"/>
          <w:color w:val="000000"/>
        </w:rPr>
        <w:t>basis, as</w:t>
      </w:r>
      <w:r>
        <w:rPr>
          <w:rFonts w:ascii="Arial" w:cs="Arial" w:eastAsia="Arial" w:hAnsi="Arial"/>
          <w:sz w:val="18"/>
          <w:szCs w:val="18"/>
          <w:b w:val="1"/>
          <w:bCs w:val="1"/>
          <w:color w:val="4C9F40"/>
        </w:rPr>
        <w:t xml:space="preserve"> </w:t>
      </w:r>
      <w:r>
        <w:rPr>
          <w:rFonts w:ascii="Arial" w:cs="Arial" w:eastAsia="Arial" w:hAnsi="Arial"/>
          <w:sz w:val="18"/>
          <w:szCs w:val="18"/>
          <w:color w:val="000000"/>
        </w:rPr>
        <w:t>compared to 2009 as price declines and the higher rate of growth in lower margin BPO revenue were only partially offset by cost improvements.</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06"/>
        </w:numPr>
        <w:rPr>
          <w:rFonts w:ascii="Arial" w:cs="Arial" w:eastAsia="Arial" w:hAnsi="Arial"/>
          <w:sz w:val="18"/>
          <w:szCs w:val="18"/>
          <w:color w:val="auto"/>
        </w:rPr>
      </w:pPr>
      <w:r>
        <w:rPr>
          <w:rFonts w:ascii="Arial" w:cs="Arial" w:eastAsia="Arial" w:hAnsi="Arial"/>
          <w:sz w:val="18"/>
          <w:szCs w:val="18"/>
          <w:b w:val="1"/>
          <w:bCs w:val="1"/>
          <w:color w:val="4C9F40"/>
        </w:rPr>
        <w:t xml:space="preserve">Financing income gross margin </w:t>
      </w:r>
      <w:r>
        <w:rPr>
          <w:rFonts w:ascii="Arial" w:cs="Arial" w:eastAsia="Arial" w:hAnsi="Arial"/>
          <w:sz w:val="18"/>
          <w:szCs w:val="18"/>
          <w:color w:val="000000"/>
        </w:rPr>
        <w:t>of 62.7% remained comparable to 2009.</w:t>
      </w:r>
    </w:p>
    <w:p>
      <w:pPr>
        <w:spacing w:after="0" w:line="158"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Since a large portion of our inventory is procured from Japan, the strengthening of the Yen versus the U.S. Dollar and Euro in 2010 and 2009 has significantly impacted our product costs. In 2010, the Yen strengthened approximately 6% against the U.S. Dollar and 10% against the Euro as compared to 2009. In 2009, the Yen strengthened approximately 10% against the U.S. Dollar and 15% against the Euro as compared to 2008. We expect product costs and gross margins to continue to be negatively impacted in 2011, particularly in the first half, if Yen exchange rates remain at January 2011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289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6" w:lineRule="exact"/>
        <w:rPr>
          <w:sz w:val="20"/>
          <w:szCs w:val="20"/>
          <w:color w:val="auto"/>
        </w:rPr>
      </w:pPr>
    </w:p>
    <w:p>
      <w:pPr>
        <w:ind w:left="340" w:hanging="332"/>
        <w:spacing w:after="0"/>
        <w:tabs>
          <w:tab w:leader="none" w:pos="34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Refer to the “Non-GAAP Financial Measures” section for an explanation of the Pro-forma non-GAAP financial measure.</w:t>
      </w:r>
    </w:p>
    <w:p>
      <w:pPr>
        <w:spacing w:after="0" w:line="136" w:lineRule="exact"/>
        <w:rPr>
          <w:sz w:val="20"/>
          <w:szCs w:val="20"/>
          <w:color w:val="auto"/>
        </w:rPr>
      </w:pPr>
    </w:p>
    <w:p>
      <w:pPr>
        <w:jc w:val="right"/>
        <w:spacing w:after="0"/>
        <w:rPr>
          <w:sz w:val="20"/>
          <w:szCs w:val="20"/>
          <w:color w:val="auto"/>
        </w:rPr>
      </w:pPr>
      <w:r>
        <w:rPr>
          <w:rFonts w:ascii="Arial" w:cs="Arial" w:eastAsia="Arial" w:hAnsi="Arial"/>
          <w:sz w:val="14"/>
          <w:szCs w:val="14"/>
          <w:color w:val="4C9F40"/>
        </w:rPr>
        <w:t>Xerox 2010 Annual Report 15</w:t>
      </w:r>
    </w:p>
    <w:p>
      <w:pPr>
        <w:sectPr>
          <w:pgSz w:w="11900" w:h="16838" w:orient="portrait"/>
          <w:cols w:equalWidth="0" w:num="1">
            <w:col w:w="11420"/>
          </w:cols>
          <w:pgMar w:left="240" w:top="323" w:right="2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Gross Margin 2009</w:t>
      </w:r>
    </w:p>
    <w:p>
      <w:pPr>
        <w:spacing w:after="0" w:line="18" w:lineRule="exact"/>
        <w:rPr>
          <w:sz w:val="20"/>
          <w:szCs w:val="20"/>
          <w:color w:val="auto"/>
        </w:rPr>
      </w:pPr>
    </w:p>
    <w:p>
      <w:pPr>
        <w:ind w:left="340" w:hanging="332"/>
        <w:spacing w:after="0" w:line="234" w:lineRule="auto"/>
        <w:tabs>
          <w:tab w:leader="none" w:pos="340" w:val="left"/>
        </w:tabs>
        <w:numPr>
          <w:ilvl w:val="0"/>
          <w:numId w:val="108"/>
        </w:numPr>
        <w:rPr>
          <w:rFonts w:ascii="Arial" w:cs="Arial" w:eastAsia="Arial" w:hAnsi="Arial"/>
          <w:sz w:val="18"/>
          <w:szCs w:val="18"/>
          <w:color w:val="auto"/>
        </w:rPr>
      </w:pPr>
      <w:r>
        <w:rPr>
          <w:rFonts w:ascii="Arial" w:cs="Arial" w:eastAsia="Arial" w:hAnsi="Arial"/>
          <w:sz w:val="18"/>
          <w:szCs w:val="18"/>
          <w:b w:val="1"/>
          <w:bCs w:val="1"/>
          <w:color w:val="auto"/>
        </w:rPr>
        <w:t xml:space="preserve">Total gross margin </w:t>
      </w:r>
      <w:r>
        <w:rPr>
          <w:rFonts w:ascii="Arial" w:cs="Arial" w:eastAsia="Arial" w:hAnsi="Arial"/>
          <w:sz w:val="18"/>
          <w:szCs w:val="18"/>
          <w:color w:val="auto"/>
        </w:rPr>
        <w:t>increased 0.8-percentage points compared to 2008 primarily driven by cost improvements, enabled by restructuring and</w:t>
      </w:r>
      <w:r>
        <w:rPr>
          <w:rFonts w:ascii="Arial" w:cs="Arial" w:eastAsia="Arial" w:hAnsi="Arial"/>
          <w:sz w:val="18"/>
          <w:szCs w:val="18"/>
          <w:b w:val="1"/>
          <w:bCs w:val="1"/>
          <w:color w:val="auto"/>
        </w:rPr>
        <w:t xml:space="preserve"> </w:t>
      </w:r>
      <w:r>
        <w:rPr>
          <w:rFonts w:ascii="Arial" w:cs="Arial" w:eastAsia="Arial" w:hAnsi="Arial"/>
          <w:sz w:val="18"/>
          <w:szCs w:val="18"/>
          <w:color w:val="auto"/>
        </w:rPr>
        <w:t>our cost actions, which were partially offset by the 0.5-percentage point unfavorable impact of transaction currency, primarily the Yen, and price declines of 1.0-percentage points.</w:t>
      </w:r>
    </w:p>
    <w:p>
      <w:pPr>
        <w:spacing w:after="0" w:line="2" w:lineRule="exact"/>
        <w:rPr>
          <w:rFonts w:ascii="Arial" w:cs="Arial" w:eastAsia="Arial" w:hAnsi="Arial"/>
          <w:sz w:val="18"/>
          <w:szCs w:val="18"/>
          <w:color w:val="auto"/>
        </w:rPr>
      </w:pPr>
    </w:p>
    <w:p>
      <w:pPr>
        <w:ind w:left="340" w:right="80" w:hanging="332"/>
        <w:spacing w:after="0" w:line="299" w:lineRule="auto"/>
        <w:tabs>
          <w:tab w:leader="none" w:pos="340" w:val="left"/>
        </w:tabs>
        <w:numPr>
          <w:ilvl w:val="0"/>
          <w:numId w:val="108"/>
        </w:numPr>
        <w:rPr>
          <w:rFonts w:ascii="Arial" w:cs="Arial" w:eastAsia="Arial" w:hAnsi="Arial"/>
          <w:sz w:val="16"/>
          <w:szCs w:val="16"/>
          <w:color w:val="auto"/>
        </w:rPr>
      </w:pPr>
      <w:r>
        <w:rPr>
          <w:rFonts w:ascii="Arial" w:cs="Arial" w:eastAsia="Arial" w:hAnsi="Arial"/>
          <w:sz w:val="16"/>
          <w:szCs w:val="16"/>
          <w:b w:val="1"/>
          <w:bCs w:val="1"/>
          <w:color w:val="auto"/>
        </w:rPr>
        <w:t xml:space="preserve">Sales gross margin </w:t>
      </w:r>
      <w:r>
        <w:rPr>
          <w:rFonts w:ascii="Arial" w:cs="Arial" w:eastAsia="Arial" w:hAnsi="Arial"/>
          <w:sz w:val="16"/>
          <w:szCs w:val="16"/>
          <w:color w:val="auto"/>
        </w:rPr>
        <w:t>increased 0.2-percentage points primarily due to the cost improvements and the positive mix of revenues partially offset</w:t>
      </w:r>
      <w:r>
        <w:rPr>
          <w:rFonts w:ascii="Arial" w:cs="Arial" w:eastAsia="Arial" w:hAnsi="Arial"/>
          <w:sz w:val="16"/>
          <w:szCs w:val="16"/>
          <w:b w:val="1"/>
          <w:bCs w:val="1"/>
          <w:color w:val="auto"/>
        </w:rPr>
        <w:t xml:space="preserve"> </w:t>
      </w:r>
      <w:r>
        <w:rPr>
          <w:rFonts w:ascii="Arial" w:cs="Arial" w:eastAsia="Arial" w:hAnsi="Arial"/>
          <w:sz w:val="16"/>
          <w:szCs w:val="16"/>
          <w:color w:val="auto"/>
        </w:rPr>
        <w:t>by the adverse impact of transaction currency on our inventory purchases of 1.0-percentage point and price declines of 1.2-percentage points.</w:t>
      </w:r>
    </w:p>
    <w:p>
      <w:pPr>
        <w:spacing w:after="0" w:line="5" w:lineRule="exact"/>
        <w:rPr>
          <w:rFonts w:ascii="Arial" w:cs="Arial" w:eastAsia="Arial" w:hAnsi="Arial"/>
          <w:sz w:val="16"/>
          <w:szCs w:val="16"/>
          <w:color w:val="auto"/>
        </w:rPr>
      </w:pPr>
    </w:p>
    <w:p>
      <w:pPr>
        <w:ind w:left="340" w:right="320" w:hanging="332"/>
        <w:spacing w:after="0" w:line="243" w:lineRule="auto"/>
        <w:tabs>
          <w:tab w:leader="none" w:pos="340" w:val="left"/>
        </w:tabs>
        <w:numPr>
          <w:ilvl w:val="0"/>
          <w:numId w:val="108"/>
        </w:numPr>
        <w:rPr>
          <w:rFonts w:ascii="Arial" w:cs="Arial" w:eastAsia="Arial" w:hAnsi="Arial"/>
          <w:sz w:val="18"/>
          <w:szCs w:val="18"/>
          <w:color w:val="auto"/>
        </w:rPr>
      </w:pPr>
      <w:r>
        <w:rPr>
          <w:rFonts w:ascii="Arial" w:cs="Arial" w:eastAsia="Arial" w:hAnsi="Arial"/>
          <w:sz w:val="18"/>
          <w:szCs w:val="18"/>
          <w:b w:val="1"/>
          <w:bCs w:val="1"/>
          <w:color w:val="auto"/>
        </w:rPr>
        <w:t xml:space="preserve">Service, outsourcing and rentals margin </w:t>
      </w:r>
      <w:r>
        <w:rPr>
          <w:rFonts w:ascii="Arial" w:cs="Arial" w:eastAsia="Arial" w:hAnsi="Arial"/>
          <w:sz w:val="18"/>
          <w:szCs w:val="18"/>
          <w:color w:val="auto"/>
        </w:rPr>
        <w:t>increased 0.7-percentage points primarily due to the positive impact from the reduction in costs</w:t>
      </w:r>
      <w:r>
        <w:rPr>
          <w:rFonts w:ascii="Arial" w:cs="Arial" w:eastAsia="Arial" w:hAnsi="Arial"/>
          <w:sz w:val="18"/>
          <w:szCs w:val="18"/>
          <w:b w:val="1"/>
          <w:bCs w:val="1"/>
          <w:color w:val="auto"/>
        </w:rPr>
        <w:t xml:space="preserve"> </w:t>
      </w:r>
      <w:r>
        <w:rPr>
          <w:rFonts w:ascii="Arial" w:cs="Arial" w:eastAsia="Arial" w:hAnsi="Arial"/>
          <w:sz w:val="18"/>
          <w:szCs w:val="18"/>
          <w:color w:val="auto"/>
        </w:rPr>
        <w:t>driven by our restructuring and cost actions of 1.5-percentage points. These cost improvements more than offset the approximate 0.9-percentage points impact of pricing.</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08"/>
        </w:numPr>
        <w:rPr>
          <w:rFonts w:ascii="Arial" w:cs="Arial" w:eastAsia="Arial" w:hAnsi="Arial"/>
          <w:sz w:val="18"/>
          <w:szCs w:val="18"/>
          <w:color w:val="auto"/>
        </w:rPr>
      </w:pPr>
      <w:r>
        <w:rPr>
          <w:rFonts w:ascii="Arial" w:cs="Arial" w:eastAsia="Arial" w:hAnsi="Arial"/>
          <w:sz w:val="18"/>
          <w:szCs w:val="18"/>
          <w:b w:val="1"/>
          <w:bCs w:val="1"/>
          <w:color w:val="auto"/>
        </w:rPr>
        <w:t xml:space="preserve">Financing income margin </w:t>
      </w:r>
      <w:r>
        <w:rPr>
          <w:rFonts w:ascii="Arial" w:cs="Arial" w:eastAsia="Arial" w:hAnsi="Arial"/>
          <w:sz w:val="18"/>
          <w:szCs w:val="18"/>
          <w:color w:val="auto"/>
        </w:rPr>
        <w:t>of 62% remained comparable to 2008.</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Research, Development and Engineering Expenses (“RD&amp;E”)</w:t>
      </w:r>
    </w:p>
    <w:p>
      <w:pPr>
        <w:spacing w:after="0" w:line="180"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We invest in technological research and development, particularly in color, software and services. We believe our R&amp;D spending is sufficient to remain technologically competitive. Our R&amp;D is strategically coordinated with that of Fuji Xerox.</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color w:val="auto"/>
              </w:rPr>
              <w:t>Pro-forma</w:t>
            </w:r>
            <w:r>
              <w:rPr>
                <w:rFonts w:ascii="Arial" w:cs="Arial" w:eastAsia="Arial" w:hAnsi="Arial"/>
                <w:sz w:val="22"/>
                <w:szCs w:val="22"/>
                <w:color w:val="auto"/>
                <w:vertAlign w:val="superscript"/>
              </w:rPr>
              <w:t>(1)</w:t>
            </w:r>
          </w:p>
        </w:tc>
        <w:tc>
          <w:tcPr>
            <w:tcW w:w="0" w:type="dxa"/>
            <w:vAlign w:val="bottom"/>
          </w:tcPr>
          <w:p>
            <w:pPr>
              <w:spacing w:after="0"/>
              <w:rPr>
                <w:sz w:val="1"/>
                <w:szCs w:val="1"/>
                <w:color w:val="auto"/>
              </w:rPr>
            </w:pPr>
          </w:p>
        </w:tc>
      </w:tr>
      <w:tr>
        <w:trPr>
          <w:trHeight w:val="149"/>
        </w:trPr>
        <w:tc>
          <w:tcPr>
            <w:tcW w:w="4480" w:type="dxa"/>
            <w:vAlign w:val="bottom"/>
            <w:gridSpan w:val="3"/>
            <w:vMerge w:val="restart"/>
          </w:tcPr>
          <w:p>
            <w:pPr>
              <w:spacing w:after="0"/>
              <w:rPr>
                <w:sz w:val="20"/>
                <w:szCs w:val="20"/>
                <w:color w:val="auto"/>
              </w:rPr>
            </w:pPr>
            <w:r>
              <w:rPr>
                <w:rFonts w:ascii="Arial" w:cs="Arial" w:eastAsia="Arial" w:hAnsi="Arial"/>
                <w:sz w:val="14"/>
                <w:szCs w:val="14"/>
                <w:color w:val="auto"/>
              </w:rPr>
              <w:t>(in millions)</w:t>
            </w: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gridSpan w:val="9"/>
          </w:tcPr>
          <w:p>
            <w:pPr>
              <w:jc w:val="right"/>
              <w:ind w:right="580"/>
              <w:spacing w:after="0" w:line="149" w:lineRule="exact"/>
              <w:rPr>
                <w:sz w:val="20"/>
                <w:szCs w:val="20"/>
                <w:color w:val="auto"/>
              </w:rPr>
            </w:pPr>
            <w:r>
              <w:rPr>
                <w:rFonts w:ascii="Arial" w:cs="Arial" w:eastAsia="Arial" w:hAnsi="Arial"/>
                <w:sz w:val="14"/>
                <w:szCs w:val="14"/>
                <w:color w:val="auto"/>
              </w:rPr>
              <w:t>Year Ended December 31,</w:t>
            </w:r>
          </w:p>
        </w:tc>
        <w:tc>
          <w:tcPr>
            <w:tcW w:w="100" w:type="dxa"/>
            <w:vAlign w:val="bottom"/>
          </w:tcPr>
          <w:p>
            <w:pPr>
              <w:spacing w:after="0"/>
              <w:rPr>
                <w:sz w:val="12"/>
                <w:szCs w:val="12"/>
                <w:color w:val="auto"/>
              </w:rPr>
            </w:pPr>
          </w:p>
        </w:tc>
        <w:tc>
          <w:tcPr>
            <w:tcW w:w="9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Change</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7"/>
              </w:rPr>
              <w:t>Change</w:t>
            </w:r>
          </w:p>
        </w:tc>
        <w:tc>
          <w:tcPr>
            <w:tcW w:w="0" w:type="dxa"/>
            <w:vAlign w:val="bottom"/>
          </w:tcPr>
          <w:p>
            <w:pPr>
              <w:spacing w:after="0"/>
              <w:rPr>
                <w:sz w:val="1"/>
                <w:szCs w:val="1"/>
                <w:color w:val="auto"/>
              </w:rPr>
            </w:pPr>
          </w:p>
        </w:tc>
      </w:tr>
      <w:tr>
        <w:trPr>
          <w:trHeight w:val="142"/>
        </w:trPr>
        <w:tc>
          <w:tcPr>
            <w:tcW w:w="4480" w:type="dxa"/>
            <w:vAlign w:val="bottom"/>
            <w:gridSpan w:val="3"/>
            <w:vMerge w:val="continue"/>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8"/>
              <w:spacing w:after="0" w:line="142" w:lineRule="exact"/>
              <w:rPr>
                <w:sz w:val="20"/>
                <w:szCs w:val="20"/>
                <w:color w:val="auto"/>
              </w:rPr>
            </w:pPr>
            <w:r>
              <w:rPr>
                <w:rFonts w:ascii="Arial" w:cs="Arial" w:eastAsia="Arial" w:hAnsi="Arial"/>
                <w:sz w:val="14"/>
                <w:szCs w:val="14"/>
                <w:color w:val="auto"/>
                <w:w w:val="89"/>
              </w:rPr>
              <w:t>2010</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6"/>
              <w:spacing w:after="0" w:line="142" w:lineRule="exact"/>
              <w:rPr>
                <w:sz w:val="20"/>
                <w:szCs w:val="20"/>
                <w:color w:val="auto"/>
              </w:rPr>
            </w:pPr>
            <w:r>
              <w:rPr>
                <w:rFonts w:ascii="Arial" w:cs="Arial" w:eastAsia="Arial" w:hAnsi="Arial"/>
                <w:sz w:val="14"/>
                <w:szCs w:val="14"/>
                <w:color w:val="auto"/>
                <w:w w:val="89"/>
              </w:rPr>
              <w:t>2009</w:t>
            </w: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6"/>
              <w:spacing w:after="0" w:line="142" w:lineRule="exact"/>
              <w:rPr>
                <w:sz w:val="20"/>
                <w:szCs w:val="20"/>
                <w:color w:val="auto"/>
              </w:rPr>
            </w:pPr>
            <w:r>
              <w:rPr>
                <w:rFonts w:ascii="Arial" w:cs="Arial" w:eastAsia="Arial" w:hAnsi="Arial"/>
                <w:sz w:val="14"/>
                <w:szCs w:val="14"/>
                <w:color w:val="auto"/>
                <w:w w:val="89"/>
              </w:rPr>
              <w:t>2008</w:t>
            </w: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8"/>
              <w:spacing w:after="0" w:line="142" w:lineRule="exact"/>
              <w:rPr>
                <w:sz w:val="20"/>
                <w:szCs w:val="20"/>
                <w:color w:val="auto"/>
              </w:rPr>
            </w:pPr>
            <w:r>
              <w:rPr>
                <w:rFonts w:ascii="Arial" w:cs="Arial" w:eastAsia="Arial" w:hAnsi="Arial"/>
                <w:sz w:val="14"/>
                <w:szCs w:val="14"/>
                <w:color w:val="auto"/>
              </w:rPr>
              <w:t>2010</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color w:val="auto"/>
              </w:rPr>
              <w:t>2009</w:t>
            </w: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38"/>
              <w:spacing w:after="0" w:line="142" w:lineRule="exact"/>
              <w:rPr>
                <w:sz w:val="20"/>
                <w:szCs w:val="20"/>
                <w:color w:val="auto"/>
              </w:rPr>
            </w:pPr>
            <w:r>
              <w:rPr>
                <w:rFonts w:ascii="Arial" w:cs="Arial" w:eastAsia="Arial" w:hAnsi="Arial"/>
                <w:sz w:val="14"/>
                <w:szCs w:val="14"/>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shd w:val="clear" w:color="auto" w:fill="E5E5E5"/>
          </w:tcPr>
          <w:p>
            <w:pPr>
              <w:spacing w:after="0" w:line="196" w:lineRule="exact"/>
              <w:rPr>
                <w:sz w:val="20"/>
                <w:szCs w:val="20"/>
                <w:color w:val="auto"/>
              </w:rPr>
            </w:pPr>
            <w:r>
              <w:rPr>
                <w:rFonts w:ascii="Arial" w:cs="Arial" w:eastAsia="Arial" w:hAnsi="Arial"/>
                <w:sz w:val="18"/>
                <w:szCs w:val="18"/>
                <w:color w:val="auto"/>
              </w:rPr>
              <w:t>R&amp;D</w:t>
            </w:r>
          </w:p>
        </w:tc>
        <w:tc>
          <w:tcPr>
            <w:tcW w:w="3820" w:type="dxa"/>
            <w:vAlign w:val="bottom"/>
            <w:shd w:val="clear" w:color="auto" w:fill="E5E5E5"/>
          </w:tcPr>
          <w:p>
            <w:pPr>
              <w:spacing w:after="0"/>
              <w:rPr>
                <w:sz w:val="17"/>
                <w:szCs w:val="17"/>
                <w:color w:val="auto"/>
              </w:rPr>
            </w:pPr>
          </w:p>
        </w:tc>
        <w:tc>
          <w:tcPr>
            <w:tcW w:w="1940" w:type="dxa"/>
            <w:vAlign w:val="bottom"/>
            <w:shd w:val="clear" w:color="auto" w:fill="E5E5E5"/>
          </w:tcPr>
          <w:p>
            <w:pPr>
              <w:spacing w:after="0"/>
              <w:rPr>
                <w:sz w:val="17"/>
                <w:szCs w:val="17"/>
                <w:color w:val="auto"/>
              </w:rPr>
            </w:pPr>
          </w:p>
        </w:tc>
        <w:tc>
          <w:tcPr>
            <w:tcW w:w="10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E5E5E5"/>
          </w:tcPr>
          <w:p>
            <w:pPr>
              <w:jc w:val="right"/>
              <w:ind w:right="320"/>
              <w:spacing w:after="0" w:line="196" w:lineRule="exact"/>
              <w:rPr>
                <w:sz w:val="20"/>
                <w:szCs w:val="20"/>
                <w:color w:val="auto"/>
              </w:rPr>
            </w:pPr>
            <w:r>
              <w:rPr>
                <w:rFonts w:ascii="Arial" w:cs="Arial" w:eastAsia="Arial" w:hAnsi="Arial"/>
                <w:sz w:val="18"/>
                <w:szCs w:val="18"/>
                <w:color w:val="auto"/>
              </w:rPr>
              <w:t>653</w:t>
            </w:r>
          </w:p>
        </w:tc>
        <w:tc>
          <w:tcPr>
            <w:tcW w:w="10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E5E5E5"/>
          </w:tcPr>
          <w:p>
            <w:pPr>
              <w:jc w:val="right"/>
              <w:ind w:right="220"/>
              <w:spacing w:after="0" w:line="196" w:lineRule="exact"/>
              <w:rPr>
                <w:sz w:val="20"/>
                <w:szCs w:val="20"/>
                <w:color w:val="auto"/>
              </w:rPr>
            </w:pPr>
            <w:r>
              <w:rPr>
                <w:rFonts w:ascii="Arial" w:cs="Arial" w:eastAsia="Arial" w:hAnsi="Arial"/>
                <w:sz w:val="18"/>
                <w:szCs w:val="18"/>
                <w:color w:val="auto"/>
              </w:rPr>
              <w:t>713</w:t>
            </w:r>
          </w:p>
        </w:tc>
        <w:tc>
          <w:tcPr>
            <w:tcW w:w="180" w:type="dxa"/>
            <w:vAlign w:val="bottom"/>
            <w:gridSpan w:val="2"/>
            <w:shd w:val="clear" w:color="auto" w:fill="E5E5E5"/>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E5E5E5"/>
          </w:tcPr>
          <w:p>
            <w:pPr>
              <w:jc w:val="right"/>
              <w:ind w:right="320"/>
              <w:spacing w:after="0" w:line="196" w:lineRule="exact"/>
              <w:rPr>
                <w:sz w:val="20"/>
                <w:szCs w:val="20"/>
                <w:color w:val="auto"/>
              </w:rPr>
            </w:pPr>
            <w:r>
              <w:rPr>
                <w:rFonts w:ascii="Arial" w:cs="Arial" w:eastAsia="Arial" w:hAnsi="Arial"/>
                <w:sz w:val="18"/>
                <w:szCs w:val="18"/>
                <w:color w:val="auto"/>
              </w:rPr>
              <w:t>750</w:t>
            </w:r>
          </w:p>
        </w:tc>
        <w:tc>
          <w:tcPr>
            <w:tcW w:w="10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E5E5E5"/>
          </w:tcPr>
          <w:p>
            <w:pPr>
              <w:jc w:val="right"/>
              <w:ind w:right="160"/>
              <w:spacing w:after="0" w:line="196" w:lineRule="exact"/>
              <w:rPr>
                <w:sz w:val="20"/>
                <w:szCs w:val="20"/>
                <w:color w:val="auto"/>
              </w:rPr>
            </w:pPr>
            <w:r>
              <w:rPr>
                <w:rFonts w:ascii="Arial" w:cs="Arial" w:eastAsia="Arial" w:hAnsi="Arial"/>
                <w:sz w:val="18"/>
                <w:szCs w:val="18"/>
                <w:color w:val="auto"/>
              </w:rPr>
              <w:t>(60)</w:t>
            </w:r>
          </w:p>
        </w:tc>
        <w:tc>
          <w:tcPr>
            <w:tcW w:w="10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E5E5E5"/>
          </w:tcPr>
          <w:p>
            <w:pPr>
              <w:jc w:val="right"/>
              <w:ind w:right="140"/>
              <w:spacing w:after="0" w:line="196" w:lineRule="exact"/>
              <w:rPr>
                <w:sz w:val="20"/>
                <w:szCs w:val="20"/>
                <w:color w:val="auto"/>
              </w:rPr>
            </w:pPr>
            <w:r>
              <w:rPr>
                <w:rFonts w:ascii="Arial" w:cs="Arial" w:eastAsia="Arial" w:hAnsi="Arial"/>
                <w:sz w:val="18"/>
                <w:szCs w:val="18"/>
                <w:color w:val="auto"/>
              </w:rPr>
              <w:t>(37)</w:t>
            </w:r>
          </w:p>
        </w:tc>
        <w:tc>
          <w:tcPr>
            <w:tcW w:w="120" w:type="dxa"/>
            <w:vAlign w:val="bottom"/>
            <w:shd w:val="clear" w:color="auto" w:fill="E5E5E5"/>
          </w:tcPr>
          <w:p>
            <w:pPr>
              <w:spacing w:after="0" w:line="196" w:lineRule="exact"/>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E5E5E5"/>
          </w:tcPr>
          <w:p>
            <w:pPr>
              <w:jc w:val="right"/>
              <w:ind w:right="40"/>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3"/>
        </w:trPr>
        <w:tc>
          <w:tcPr>
            <w:tcW w:w="4480" w:type="dxa"/>
            <w:vAlign w:val="bottom"/>
            <w:gridSpan w:val="3"/>
          </w:tcPr>
          <w:p>
            <w:pPr>
              <w:spacing w:after="0" w:line="202" w:lineRule="exact"/>
              <w:rPr>
                <w:sz w:val="20"/>
                <w:szCs w:val="20"/>
                <w:color w:val="auto"/>
              </w:rPr>
            </w:pPr>
            <w:r>
              <w:rPr>
                <w:rFonts w:ascii="Arial" w:cs="Arial" w:eastAsia="Arial" w:hAnsi="Arial"/>
                <w:sz w:val="18"/>
                <w:szCs w:val="18"/>
                <w:color w:val="auto"/>
              </w:rPr>
              <w:t>Sustaining Engineering</w:t>
            </w: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128</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127</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134</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c>
          <w:tcPr>
            <w:tcW w:w="6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w:t>
            </w:r>
          </w:p>
        </w:tc>
        <w:tc>
          <w:tcPr>
            <w:tcW w:w="120" w:type="dxa"/>
            <w:vAlign w:val="bottom"/>
          </w:tcPr>
          <w:p>
            <w:pPr>
              <w:spacing w:after="0"/>
              <w:rPr>
                <w:sz w:val="17"/>
                <w:szCs w:val="17"/>
                <w:color w:val="auto"/>
              </w:rPr>
            </w:pP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46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Total RD&amp;E Expenses</w:t>
            </w:r>
          </w:p>
        </w:tc>
        <w:tc>
          <w:tcPr>
            <w:tcW w:w="1940" w:type="dxa"/>
            <w:vAlign w:val="bottom"/>
            <w:shd w:val="clear" w:color="auto" w:fill="E5E5E5"/>
          </w:tcPr>
          <w:p>
            <w:pPr>
              <w:spacing w:after="0"/>
              <w:rPr>
                <w:sz w:val="17"/>
                <w:szCs w:val="17"/>
                <w:color w:val="auto"/>
              </w:rPr>
            </w:pPr>
          </w:p>
        </w:tc>
        <w:tc>
          <w:tcPr>
            <w:tcW w:w="1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781</w:t>
            </w:r>
          </w:p>
        </w:tc>
        <w:tc>
          <w:tcPr>
            <w:tcW w:w="320" w:type="dxa"/>
            <w:vAlign w:val="bottom"/>
            <w:shd w:val="clear" w:color="auto" w:fill="E5E5E5"/>
          </w:tcPr>
          <w:p>
            <w:pPr>
              <w:spacing w:after="0"/>
              <w:rPr>
                <w:sz w:val="17"/>
                <w:szCs w:val="17"/>
                <w:color w:val="auto"/>
              </w:rPr>
            </w:pPr>
          </w:p>
        </w:tc>
        <w:tc>
          <w:tcPr>
            <w:tcW w:w="1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840</w:t>
            </w:r>
          </w:p>
        </w:tc>
        <w:tc>
          <w:tcPr>
            <w:tcW w:w="22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1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884</w:t>
            </w:r>
          </w:p>
        </w:tc>
        <w:tc>
          <w:tcPr>
            <w:tcW w:w="320" w:type="dxa"/>
            <w:vAlign w:val="bottom"/>
            <w:shd w:val="clear" w:color="auto" w:fill="E5E5E5"/>
          </w:tcPr>
          <w:p>
            <w:pPr>
              <w:spacing w:after="0"/>
              <w:rPr>
                <w:sz w:val="17"/>
                <w:szCs w:val="17"/>
                <w:color w:val="auto"/>
              </w:rPr>
            </w:pPr>
          </w:p>
        </w:tc>
        <w:tc>
          <w:tcPr>
            <w:tcW w:w="1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(59)</w:t>
            </w:r>
          </w:p>
        </w:tc>
        <w:tc>
          <w:tcPr>
            <w:tcW w:w="1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(44)</w:t>
            </w:r>
          </w:p>
        </w:tc>
        <w:tc>
          <w:tcPr>
            <w:tcW w:w="1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4480" w:type="dxa"/>
            <w:vAlign w:val="bottom"/>
            <w:gridSpan w:val="3"/>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480" w:type="dxa"/>
            <w:vAlign w:val="bottom"/>
            <w:gridSpan w:val="3"/>
          </w:tcPr>
          <w:p>
            <w:pPr>
              <w:spacing w:after="0"/>
              <w:rPr>
                <w:sz w:val="20"/>
                <w:szCs w:val="20"/>
                <w:color w:val="auto"/>
              </w:rPr>
            </w:pPr>
            <w:r>
              <w:rPr>
                <w:rFonts w:ascii="Arial" w:cs="Arial" w:eastAsia="Arial" w:hAnsi="Arial"/>
                <w:sz w:val="18"/>
                <w:szCs w:val="18"/>
                <w:color w:val="auto"/>
              </w:rPr>
              <w:t>RD&amp;E % Revenue</w:t>
            </w: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4"/>
                <w:szCs w:val="2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(1.9)pts</w:t>
            </w:r>
          </w:p>
        </w:tc>
        <w:tc>
          <w:tcPr>
            <w:tcW w:w="100" w:type="dxa"/>
            <w:vAlign w:val="bottom"/>
          </w:tcPr>
          <w:p>
            <w:pPr>
              <w:spacing w:after="0"/>
              <w:rPr>
                <w:sz w:val="24"/>
                <w:szCs w:val="2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0.5pts</w:t>
            </w:r>
          </w:p>
        </w:tc>
        <w:tc>
          <w:tcPr>
            <w:tcW w:w="12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(0.4)pts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60" w:type="dxa"/>
            <w:vAlign w:val="bottom"/>
            <w:gridSpan w:val="2"/>
            <w:shd w:val="clear" w:color="auto" w:fill="E5E5E5"/>
          </w:tcPr>
          <w:p>
            <w:pPr>
              <w:spacing w:after="0" w:line="243" w:lineRule="exact"/>
              <w:rPr>
                <w:sz w:val="20"/>
                <w:szCs w:val="20"/>
                <w:color w:val="auto"/>
              </w:rPr>
            </w:pPr>
            <w:r>
              <w:rPr>
                <w:rFonts w:ascii="Arial" w:cs="Arial" w:eastAsia="Arial" w:hAnsi="Arial"/>
                <w:sz w:val="18"/>
                <w:szCs w:val="18"/>
                <w:color w:val="auto"/>
              </w:rPr>
              <w:t>R&amp;D Investment by Fuji Xerox</w:t>
            </w:r>
            <w:r>
              <w:rPr>
                <w:rFonts w:ascii="Arial" w:cs="Arial" w:eastAsia="Arial" w:hAnsi="Arial"/>
                <w:sz w:val="22"/>
                <w:szCs w:val="22"/>
                <w:color w:val="auto"/>
                <w:vertAlign w:val="superscript"/>
              </w:rPr>
              <w:t>(2 )</w:t>
            </w:r>
          </w:p>
        </w:tc>
        <w:tc>
          <w:tcPr>
            <w:tcW w:w="204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821</w:t>
            </w:r>
          </w:p>
        </w:tc>
        <w:tc>
          <w:tcPr>
            <w:tcW w:w="320" w:type="dxa"/>
            <w:vAlign w:val="bottom"/>
            <w:shd w:val="clear" w:color="auto" w:fill="E5E5E5"/>
          </w:tcPr>
          <w:p>
            <w:pPr>
              <w:spacing w:after="0"/>
              <w:rPr>
                <w:sz w:val="21"/>
                <w:szCs w:val="21"/>
                <w:color w:val="auto"/>
              </w:rPr>
            </w:pPr>
          </w:p>
        </w:tc>
        <w:tc>
          <w:tcPr>
            <w:tcW w:w="100" w:type="dxa"/>
            <w:vAlign w:val="bottom"/>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796</w:t>
            </w:r>
          </w:p>
        </w:tc>
        <w:tc>
          <w:tcPr>
            <w:tcW w:w="220" w:type="dxa"/>
            <w:vAlign w:val="bottom"/>
            <w:shd w:val="clear" w:color="auto" w:fill="E5E5E5"/>
          </w:tcPr>
          <w:p>
            <w:pPr>
              <w:spacing w:after="0"/>
              <w:rPr>
                <w:sz w:val="21"/>
                <w:szCs w:val="21"/>
                <w:color w:val="auto"/>
              </w:rPr>
            </w:pPr>
          </w:p>
        </w:tc>
        <w:tc>
          <w:tcPr>
            <w:tcW w:w="18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788</w:t>
            </w:r>
          </w:p>
        </w:tc>
        <w:tc>
          <w:tcPr>
            <w:tcW w:w="320" w:type="dxa"/>
            <w:vAlign w:val="bottom"/>
            <w:shd w:val="clear" w:color="auto" w:fill="E5E5E5"/>
          </w:tcPr>
          <w:p>
            <w:pPr>
              <w:spacing w:after="0"/>
              <w:rPr>
                <w:sz w:val="21"/>
                <w:szCs w:val="21"/>
                <w:color w:val="auto"/>
              </w:rPr>
            </w:pPr>
          </w:p>
        </w:tc>
        <w:tc>
          <w:tcPr>
            <w:tcW w:w="100" w:type="dxa"/>
            <w:vAlign w:val="bottom"/>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E5E5E5"/>
          </w:tcPr>
          <w:p>
            <w:pPr>
              <w:jc w:val="right"/>
              <w:ind w:right="200"/>
              <w:spacing w:after="0"/>
              <w:rPr>
                <w:sz w:val="20"/>
                <w:szCs w:val="20"/>
                <w:color w:val="auto"/>
              </w:rPr>
            </w:pPr>
            <w:r>
              <w:rPr>
                <w:rFonts w:ascii="Arial" w:cs="Arial" w:eastAsia="Arial" w:hAnsi="Arial"/>
                <w:sz w:val="18"/>
                <w:szCs w:val="18"/>
                <w:color w:val="auto"/>
              </w:rPr>
              <w:t>8</w:t>
            </w:r>
          </w:p>
        </w:tc>
        <w:tc>
          <w:tcPr>
            <w:tcW w:w="120" w:type="dxa"/>
            <w:vAlign w:val="bottom"/>
            <w:shd w:val="clear" w:color="auto" w:fill="E5E5E5"/>
          </w:tcPr>
          <w:p>
            <w:pPr>
              <w:spacing w:after="0"/>
              <w:rPr>
                <w:sz w:val="21"/>
                <w:szCs w:val="21"/>
                <w:color w:val="auto"/>
              </w:rPr>
            </w:pPr>
          </w:p>
        </w:tc>
        <w:tc>
          <w:tcPr>
            <w:tcW w:w="74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5" w:lineRule="exact"/>
        <w:rPr>
          <w:sz w:val="20"/>
          <w:szCs w:val="20"/>
          <w:color w:val="auto"/>
        </w:rPr>
      </w:pPr>
    </w:p>
    <w:p>
      <w:pPr>
        <w:ind w:left="340" w:hanging="332"/>
        <w:spacing w:after="0"/>
        <w:tabs>
          <w:tab w:leader="none" w:pos="34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Refer to the “Non-GAAP Financial Measures” section for an explanation of the Pro-forma non-GAAP financial measure.</w:t>
      </w:r>
    </w:p>
    <w:p>
      <w:pPr>
        <w:ind w:left="340" w:hanging="332"/>
        <w:spacing w:after="0"/>
        <w:tabs>
          <w:tab w:leader="none" w:pos="34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Increase in Fuji Xerox R&amp;D was primarily due to changes in foreign exchange rates.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 xml:space="preserve">RD&amp;E 2010: </w:t>
      </w:r>
      <w:r>
        <w:rPr>
          <w:rFonts w:ascii="Arial" w:cs="Arial" w:eastAsia="Arial" w:hAnsi="Arial"/>
          <w:sz w:val="18"/>
          <w:szCs w:val="18"/>
          <w:color w:val="000000"/>
        </w:rPr>
        <w:t>The decrease in RD&amp;E spending for 2010 primarily reflects the savings from restructuring and productivity improvements.</w:t>
      </w:r>
    </w:p>
    <w:p>
      <w:pPr>
        <w:spacing w:after="0" w:line="77" w:lineRule="exact"/>
        <w:rPr>
          <w:sz w:val="20"/>
          <w:szCs w:val="20"/>
          <w:color w:val="auto"/>
        </w:rPr>
      </w:pPr>
    </w:p>
    <w:p>
      <w:pPr>
        <w:ind w:right="640"/>
        <w:spacing w:after="0" w:line="264" w:lineRule="auto"/>
        <w:rPr>
          <w:sz w:val="20"/>
          <w:szCs w:val="20"/>
          <w:color w:val="auto"/>
        </w:rPr>
      </w:pPr>
      <w:r>
        <w:rPr>
          <w:rFonts w:ascii="Arial" w:cs="Arial" w:eastAsia="Arial" w:hAnsi="Arial"/>
          <w:sz w:val="18"/>
          <w:szCs w:val="18"/>
          <w:b w:val="1"/>
          <w:bCs w:val="1"/>
          <w:color w:val="auto"/>
        </w:rPr>
        <w:t xml:space="preserve">RD&amp;E 2009: </w:t>
      </w:r>
      <w:r>
        <w:rPr>
          <w:rFonts w:ascii="Arial" w:cs="Arial" w:eastAsia="Arial" w:hAnsi="Arial"/>
          <w:sz w:val="18"/>
          <w:szCs w:val="18"/>
          <w:color w:val="auto"/>
        </w:rPr>
        <w:t>The decrease in RD&amp;E spending for 2009 reflects our restructuring and cost actions which consolidated the development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engineering infrastructures within our Technology segment.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Selling, Administrative and General Expenses (“SAG”)</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60" w:type="dxa"/>
            <w:vAlign w:val="bottom"/>
          </w:tcPr>
          <w:p>
            <w:pPr>
              <w:spacing w:after="0"/>
              <w:rPr>
                <w:sz w:val="21"/>
                <w:szCs w:val="21"/>
                <w:color w:val="auto"/>
              </w:rPr>
            </w:pPr>
          </w:p>
        </w:tc>
        <w:tc>
          <w:tcPr>
            <w:tcW w:w="4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4"/>
                <w:szCs w:val="14"/>
                <w:color w:val="auto"/>
                <w:w w:val="89"/>
              </w:rPr>
              <w:t>Pro-forma</w:t>
            </w:r>
            <w:r>
              <w:rPr>
                <w:rFonts w:ascii="Arial" w:cs="Arial" w:eastAsia="Arial" w:hAnsi="Arial"/>
                <w:sz w:val="22"/>
                <w:szCs w:val="22"/>
                <w:color w:val="auto"/>
                <w:w w:val="89"/>
                <w:vertAlign w:val="superscript"/>
              </w:rPr>
              <w:t>(1)</w:t>
            </w:r>
          </w:p>
        </w:tc>
        <w:tc>
          <w:tcPr>
            <w:tcW w:w="0" w:type="dxa"/>
            <w:vAlign w:val="bottom"/>
          </w:tcPr>
          <w:p>
            <w:pPr>
              <w:spacing w:after="0"/>
              <w:rPr>
                <w:sz w:val="1"/>
                <w:szCs w:val="1"/>
                <w:color w:val="auto"/>
              </w:rPr>
            </w:pPr>
          </w:p>
        </w:tc>
      </w:tr>
      <w:tr>
        <w:trPr>
          <w:trHeight w:val="149"/>
        </w:trPr>
        <w:tc>
          <w:tcPr>
            <w:tcW w:w="512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2"/>
                <w:szCs w:val="12"/>
                <w:color w:val="auto"/>
              </w:rPr>
            </w:pPr>
          </w:p>
        </w:tc>
        <w:tc>
          <w:tcPr>
            <w:tcW w:w="1940" w:type="dxa"/>
            <w:vAlign w:val="bottom"/>
            <w:gridSpan w:val="8"/>
          </w:tcPr>
          <w:p>
            <w:pPr>
              <w:jc w:val="right"/>
              <w:ind w:right="20"/>
              <w:spacing w:after="0" w:line="149" w:lineRule="exact"/>
              <w:rPr>
                <w:sz w:val="20"/>
                <w:szCs w:val="20"/>
                <w:color w:val="auto"/>
              </w:rPr>
            </w:pPr>
            <w:r>
              <w:rPr>
                <w:rFonts w:ascii="Arial" w:cs="Arial" w:eastAsia="Arial" w:hAnsi="Arial"/>
                <w:sz w:val="14"/>
                <w:szCs w:val="14"/>
                <w:color w:val="auto"/>
              </w:rPr>
              <w:t>Year Ended December 31,</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4"/>
          </w:tcPr>
          <w:p>
            <w:pPr>
              <w:jc w:val="right"/>
              <w:ind w:right="40"/>
              <w:spacing w:after="0" w:line="149" w:lineRule="exact"/>
              <w:rPr>
                <w:sz w:val="20"/>
                <w:szCs w:val="20"/>
                <w:color w:val="auto"/>
              </w:rPr>
            </w:pPr>
            <w:r>
              <w:rPr>
                <w:rFonts w:ascii="Arial" w:cs="Arial" w:eastAsia="Arial" w:hAnsi="Arial"/>
                <w:sz w:val="14"/>
                <w:szCs w:val="14"/>
                <w:color w:val="auto"/>
              </w:rPr>
              <w:t>Change</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7"/>
              </w:rPr>
              <w:t>Change</w:t>
            </w:r>
          </w:p>
        </w:tc>
        <w:tc>
          <w:tcPr>
            <w:tcW w:w="0" w:type="dxa"/>
            <w:vAlign w:val="bottom"/>
          </w:tcPr>
          <w:p>
            <w:pPr>
              <w:spacing w:after="0"/>
              <w:rPr>
                <w:sz w:val="1"/>
                <w:szCs w:val="1"/>
                <w:color w:val="auto"/>
              </w:rPr>
            </w:pPr>
          </w:p>
        </w:tc>
      </w:tr>
      <w:tr>
        <w:trPr>
          <w:trHeight w:val="142"/>
        </w:trPr>
        <w:tc>
          <w:tcPr>
            <w:tcW w:w="5120" w:type="dxa"/>
            <w:vAlign w:val="bottom"/>
            <w:gridSpan w:val="2"/>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99"/>
              <w:spacing w:after="0" w:line="142" w:lineRule="exact"/>
              <w:rPr>
                <w:sz w:val="20"/>
                <w:szCs w:val="20"/>
                <w:color w:val="auto"/>
              </w:rPr>
            </w:pPr>
            <w:r>
              <w:rPr>
                <w:rFonts w:ascii="Arial" w:cs="Arial" w:eastAsia="Arial" w:hAnsi="Arial"/>
                <w:sz w:val="14"/>
                <w:szCs w:val="14"/>
                <w:color w:val="auto"/>
              </w:rPr>
              <w:t>2010</w:t>
            </w: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96"/>
              <w:spacing w:after="0" w:line="142" w:lineRule="exact"/>
              <w:rPr>
                <w:sz w:val="20"/>
                <w:szCs w:val="20"/>
                <w:color w:val="auto"/>
              </w:rPr>
            </w:pPr>
            <w:r>
              <w:rPr>
                <w:rFonts w:ascii="Arial" w:cs="Arial" w:eastAsia="Arial" w:hAnsi="Arial"/>
                <w:sz w:val="14"/>
                <w:szCs w:val="14"/>
                <w:color w:val="auto"/>
              </w:rPr>
              <w:t>2009</w:t>
            </w: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color w:val="auto"/>
                <w:w w:val="89"/>
              </w:rPr>
              <w:t>2008</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color w:val="auto"/>
              </w:rPr>
              <w:t>2010</w:t>
            </w: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color w:val="auto"/>
              </w:rPr>
              <w:t>2009</w:t>
            </w: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20" w:type="dxa"/>
            <w:vAlign w:val="bottom"/>
            <w:gridSpan w:val="2"/>
            <w:shd w:val="clear" w:color="auto" w:fill="E5E5E5"/>
          </w:tcPr>
          <w:p>
            <w:pPr>
              <w:spacing w:after="0" w:line="196" w:lineRule="exact"/>
              <w:rPr>
                <w:sz w:val="20"/>
                <w:szCs w:val="20"/>
                <w:color w:val="auto"/>
              </w:rPr>
            </w:pPr>
            <w:r>
              <w:rPr>
                <w:rFonts w:ascii="Arial" w:cs="Arial" w:eastAsia="Arial" w:hAnsi="Arial"/>
                <w:sz w:val="18"/>
                <w:szCs w:val="18"/>
                <w:color w:val="auto"/>
              </w:rPr>
              <w:t>Total SAG</w:t>
            </w:r>
          </w:p>
        </w:tc>
        <w:tc>
          <w:tcPr>
            <w:tcW w:w="14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E5E5E5"/>
          </w:tcPr>
          <w:p>
            <w:pPr>
              <w:jc w:val="right"/>
              <w:ind w:right="220"/>
              <w:spacing w:after="0" w:line="196" w:lineRule="exact"/>
              <w:rPr>
                <w:sz w:val="20"/>
                <w:szCs w:val="20"/>
                <w:color w:val="auto"/>
              </w:rPr>
            </w:pPr>
            <w:r>
              <w:rPr>
                <w:rFonts w:ascii="Arial" w:cs="Arial" w:eastAsia="Arial" w:hAnsi="Arial"/>
                <w:sz w:val="18"/>
                <w:szCs w:val="18"/>
                <w:color w:val="auto"/>
              </w:rPr>
              <w:t>4,594</w:t>
            </w:r>
          </w:p>
        </w:tc>
        <w:tc>
          <w:tcPr>
            <w:tcW w:w="200" w:type="dxa"/>
            <w:vAlign w:val="bottom"/>
            <w:gridSpan w:val="2"/>
            <w:shd w:val="clear" w:color="auto" w:fill="E5E5E5"/>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E5E5E5"/>
          </w:tcPr>
          <w:p>
            <w:pPr>
              <w:jc w:val="right"/>
              <w:ind w:right="220"/>
              <w:spacing w:after="0" w:line="196" w:lineRule="exact"/>
              <w:rPr>
                <w:sz w:val="20"/>
                <w:szCs w:val="20"/>
                <w:color w:val="auto"/>
              </w:rPr>
            </w:pPr>
            <w:r>
              <w:rPr>
                <w:rFonts w:ascii="Arial" w:cs="Arial" w:eastAsia="Arial" w:hAnsi="Arial"/>
                <w:sz w:val="18"/>
                <w:szCs w:val="18"/>
                <w:color w:val="auto"/>
              </w:rPr>
              <w:t>4,149</w:t>
            </w:r>
          </w:p>
        </w:tc>
        <w:tc>
          <w:tcPr>
            <w:tcW w:w="260" w:type="dxa"/>
            <w:vAlign w:val="bottom"/>
            <w:gridSpan w:val="2"/>
            <w:shd w:val="clear" w:color="auto" w:fill="E5E5E5"/>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E5E5E5"/>
          </w:tcPr>
          <w:p>
            <w:pPr>
              <w:jc w:val="right"/>
              <w:ind w:right="240"/>
              <w:spacing w:after="0" w:line="196" w:lineRule="exact"/>
              <w:rPr>
                <w:sz w:val="20"/>
                <w:szCs w:val="20"/>
                <w:color w:val="auto"/>
              </w:rPr>
            </w:pPr>
            <w:r>
              <w:rPr>
                <w:rFonts w:ascii="Arial" w:cs="Arial" w:eastAsia="Arial" w:hAnsi="Arial"/>
                <w:sz w:val="18"/>
                <w:szCs w:val="18"/>
                <w:color w:val="auto"/>
                <w:w w:val="97"/>
              </w:rPr>
              <w:t>4,534</w:t>
            </w:r>
          </w:p>
        </w:tc>
        <w:tc>
          <w:tcPr>
            <w:tcW w:w="180" w:type="dxa"/>
            <w:vAlign w:val="bottom"/>
            <w:gridSpan w:val="2"/>
            <w:shd w:val="clear" w:color="auto" w:fill="E5E5E5"/>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E5E5E5"/>
          </w:tcPr>
          <w:p>
            <w:pPr>
              <w:jc w:val="right"/>
              <w:ind w:right="120"/>
              <w:spacing w:after="0" w:line="196" w:lineRule="exact"/>
              <w:rPr>
                <w:sz w:val="20"/>
                <w:szCs w:val="20"/>
                <w:color w:val="auto"/>
              </w:rPr>
            </w:pPr>
            <w:r>
              <w:rPr>
                <w:rFonts w:ascii="Arial" w:cs="Arial" w:eastAsia="Arial" w:hAnsi="Arial"/>
                <w:sz w:val="18"/>
                <w:szCs w:val="18"/>
                <w:color w:val="auto"/>
              </w:rPr>
              <w:t>445</w:t>
            </w:r>
          </w:p>
        </w:tc>
        <w:tc>
          <w:tcPr>
            <w:tcW w:w="180" w:type="dxa"/>
            <w:vAlign w:val="bottom"/>
            <w:gridSpan w:val="2"/>
            <w:shd w:val="clear" w:color="auto" w:fill="E5E5E5"/>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E5E5E5"/>
          </w:tcPr>
          <w:p>
            <w:pPr>
              <w:jc w:val="right"/>
              <w:ind w:right="140"/>
              <w:spacing w:after="0" w:line="196" w:lineRule="exact"/>
              <w:rPr>
                <w:sz w:val="20"/>
                <w:szCs w:val="20"/>
                <w:color w:val="auto"/>
              </w:rPr>
            </w:pPr>
            <w:r>
              <w:rPr>
                <w:rFonts w:ascii="Arial" w:cs="Arial" w:eastAsia="Arial" w:hAnsi="Arial"/>
                <w:sz w:val="18"/>
                <w:szCs w:val="18"/>
                <w:color w:val="auto"/>
              </w:rPr>
              <w:t>(385)</w:t>
            </w:r>
          </w:p>
        </w:tc>
        <w:tc>
          <w:tcPr>
            <w:tcW w:w="100" w:type="dxa"/>
            <w:vAlign w:val="bottom"/>
            <w:shd w:val="clear" w:color="auto" w:fill="E5E5E5"/>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E5E5E5"/>
          </w:tcPr>
          <w:p>
            <w:pPr>
              <w:jc w:val="right"/>
              <w:ind w:right="40"/>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4"/>
        </w:trPr>
        <w:tc>
          <w:tcPr>
            <w:tcW w:w="5120" w:type="dxa"/>
            <w:vAlign w:val="bottom"/>
            <w:gridSpan w:val="2"/>
          </w:tcPr>
          <w:p>
            <w:pPr>
              <w:spacing w:after="0"/>
              <w:rPr>
                <w:sz w:val="20"/>
                <w:szCs w:val="20"/>
                <w:color w:val="auto"/>
              </w:rPr>
            </w:pPr>
            <w:r>
              <w:rPr>
                <w:rFonts w:ascii="Arial" w:cs="Arial" w:eastAsia="Arial" w:hAnsi="Arial"/>
                <w:sz w:val="18"/>
                <w:szCs w:val="18"/>
                <w:color w:val="auto"/>
              </w:rPr>
              <w:t>SAG as a % of revenue</w:t>
            </w: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21.2%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27.3%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25.7%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(6.1)pts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1.6pts</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(0.9)pts</w:t>
            </w:r>
          </w:p>
        </w:tc>
        <w:tc>
          <w:tcPr>
            <w:tcW w:w="0" w:type="dxa"/>
            <w:vAlign w:val="bottom"/>
          </w:tcPr>
          <w:p>
            <w:pPr>
              <w:spacing w:after="0"/>
              <w:rPr>
                <w:sz w:val="1"/>
                <w:szCs w:val="1"/>
                <w:color w:val="auto"/>
              </w:rPr>
            </w:pPr>
          </w:p>
        </w:tc>
      </w:tr>
      <w:tr>
        <w:trPr>
          <w:trHeight w:val="97"/>
        </w:trPr>
        <w:tc>
          <w:tcPr>
            <w:tcW w:w="660" w:type="dxa"/>
            <w:vAlign w:val="bottom"/>
          </w:tcPr>
          <w:p>
            <w:pPr>
              <w:spacing w:after="0"/>
              <w:rPr>
                <w:sz w:val="8"/>
                <w:szCs w:val="8"/>
                <w:color w:val="auto"/>
              </w:rPr>
            </w:pPr>
          </w:p>
        </w:tc>
        <w:tc>
          <w:tcPr>
            <w:tcW w:w="4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512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Bad Debt Expense</w:t>
            </w:r>
          </w:p>
        </w:tc>
        <w:tc>
          <w:tcPr>
            <w:tcW w:w="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188</w:t>
            </w:r>
          </w:p>
        </w:tc>
        <w:tc>
          <w:tcPr>
            <w:tcW w:w="20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291</w:t>
            </w:r>
          </w:p>
        </w:tc>
        <w:tc>
          <w:tcPr>
            <w:tcW w:w="220" w:type="dxa"/>
            <w:vAlign w:val="bottom"/>
            <w:shd w:val="clear" w:color="auto" w:fill="E5E5E5"/>
          </w:tcPr>
          <w:p>
            <w:pPr>
              <w:spacing w:after="0"/>
              <w:rPr>
                <w:sz w:val="17"/>
                <w:szCs w:val="17"/>
                <w:color w:val="auto"/>
              </w:rPr>
            </w:pPr>
          </w:p>
        </w:tc>
        <w:tc>
          <w:tcPr>
            <w:tcW w:w="26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188</w:t>
            </w:r>
          </w:p>
        </w:tc>
        <w:tc>
          <w:tcPr>
            <w:tcW w:w="240" w:type="dxa"/>
            <w:vAlign w:val="bottom"/>
            <w:shd w:val="clear" w:color="auto" w:fill="E5E5E5"/>
          </w:tcPr>
          <w:p>
            <w:pPr>
              <w:spacing w:after="0"/>
              <w:rPr>
                <w:sz w:val="17"/>
                <w:szCs w:val="17"/>
                <w:color w:val="auto"/>
              </w:rPr>
            </w:pPr>
          </w:p>
        </w:tc>
        <w:tc>
          <w:tcPr>
            <w:tcW w:w="18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(103)</w:t>
            </w:r>
          </w:p>
        </w:tc>
        <w:tc>
          <w:tcPr>
            <w:tcW w:w="18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103</w:t>
            </w:r>
          </w:p>
        </w:tc>
        <w:tc>
          <w:tcPr>
            <w:tcW w:w="200" w:type="dxa"/>
            <w:vAlign w:val="bottom"/>
            <w:shd w:val="clear" w:color="auto" w:fill="E5E5E5"/>
          </w:tcPr>
          <w:p>
            <w:pPr>
              <w:spacing w:after="0"/>
              <w:rPr>
                <w:sz w:val="17"/>
                <w:szCs w:val="17"/>
                <w:color w:val="auto"/>
              </w:rPr>
            </w:pPr>
          </w:p>
        </w:tc>
        <w:tc>
          <w:tcPr>
            <w:tcW w:w="100" w:type="dxa"/>
            <w:vAlign w:val="bottom"/>
            <w:shd w:val="clear" w:color="auto" w:fill="E5E5E5"/>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4"/>
        </w:trPr>
        <w:tc>
          <w:tcPr>
            <w:tcW w:w="5120" w:type="dxa"/>
            <w:vAlign w:val="bottom"/>
            <w:gridSpan w:val="2"/>
          </w:tcPr>
          <w:p>
            <w:pPr>
              <w:spacing w:after="0"/>
              <w:rPr>
                <w:sz w:val="20"/>
                <w:szCs w:val="20"/>
                <w:color w:val="auto"/>
              </w:rPr>
            </w:pPr>
            <w:r>
              <w:rPr>
                <w:rFonts w:ascii="Arial" w:cs="Arial" w:eastAsia="Arial" w:hAnsi="Arial"/>
                <w:sz w:val="18"/>
                <w:szCs w:val="18"/>
                <w:color w:val="auto"/>
              </w:rPr>
              <w:t>Bad Debt as a % of revenue</w:t>
            </w: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(1.0)pts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0.8pts</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(0.5)pts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89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3" w:lineRule="exact"/>
        <w:rPr>
          <w:sz w:val="20"/>
          <w:szCs w:val="20"/>
          <w:color w:val="auto"/>
        </w:rPr>
      </w:pPr>
    </w:p>
    <w:p>
      <w:pPr>
        <w:ind w:left="340" w:hanging="332"/>
        <w:spacing w:after="0"/>
        <w:tabs>
          <w:tab w:leader="none" w:pos="34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Refer to the “Non-GAAP Financial Measures” section for an explanation of the Pro-forma non-GAAP financial measure.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SAG 2010</w:t>
      </w:r>
    </w:p>
    <w:p>
      <w:pPr>
        <w:spacing w:after="0" w:line="18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SAG as a percent of revenue decreased 6.1-percentage points on an actual basis primarily due to the ACS acquisition. ACS, as a typical service based company, had lower SAG as a percent of revenue as compared to a technology based company, which typified Xerox before the acquisition. Since actual comparisons are not meaningful, SAG is primarily discussed on a pro-forma basis, with ACS’s 2009 estimated results from February 6 through December 31 included in our historical 2009 results (See “Non-GAAP Financial Measures” section for additional discussion of this non-GAAP measure).</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4"/>
          <w:szCs w:val="14"/>
          <w:color w:val="4C9F40"/>
        </w:rPr>
        <w:t>Xerox 2010 Annual Report 16</w:t>
      </w:r>
    </w:p>
    <w:p>
      <w:pPr>
        <w:sectPr>
          <w:pgSz w:w="11900" w:h="16838" w:orient="portrait"/>
          <w:cols w:equalWidth="0" w:num="1">
            <w:col w:w="11420"/>
          </w:cols>
          <w:pgMar w:left="240" w:top="404" w:right="239" w:bottom="1440" w:gutter="0" w:footer="0" w:header="0"/>
        </w:sectPr>
      </w:pPr>
    </w:p>
    <w:bookmarkStart w:id="93" w:name="page94"/>
    <w:bookmarkEnd w:id="93"/>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SAG of $4,594 million was $445 million higher than 2009, or $57 million lower on a pro-forma </w:t>
      </w:r>
      <w:r>
        <w:rPr>
          <w:rFonts w:ascii="Arial" w:cs="Arial" w:eastAsia="Arial" w:hAnsi="Arial"/>
          <w:sz w:val="21"/>
          <w:szCs w:val="21"/>
          <w:color w:val="auto"/>
          <w:vertAlign w:val="superscript"/>
        </w:rPr>
        <w:t>(1)</w:t>
      </w:r>
      <w:r>
        <w:rPr>
          <w:rFonts w:ascii="Arial" w:cs="Arial" w:eastAsia="Arial" w:hAnsi="Arial"/>
          <w:sz w:val="17"/>
          <w:szCs w:val="17"/>
          <w:color w:val="auto"/>
        </w:rPr>
        <w:t xml:space="preserve"> basis, including a negligible impact from currency.</w:t>
      </w:r>
    </w:p>
    <w:p>
      <w:pPr>
        <w:spacing w:after="0" w:line="205" w:lineRule="auto"/>
        <w:rPr>
          <w:sz w:val="20"/>
          <w:szCs w:val="20"/>
          <w:color w:val="auto"/>
        </w:rPr>
      </w:pPr>
      <w:r>
        <w:rPr>
          <w:rFonts w:ascii="Arial" w:cs="Arial" w:eastAsia="Arial" w:hAnsi="Arial"/>
          <w:sz w:val="18"/>
          <w:szCs w:val="18"/>
          <w:color w:val="auto"/>
        </w:rPr>
        <w:t>The pro-forma</w:t>
      </w:r>
      <w:r>
        <w:rPr>
          <w:rFonts w:ascii="Arial" w:cs="Arial" w:eastAsia="Arial" w:hAnsi="Arial"/>
          <w:sz w:val="22"/>
          <w:szCs w:val="22"/>
          <w:color w:val="auto"/>
          <w:vertAlign w:val="superscript"/>
        </w:rPr>
        <w:t>(1)</w:t>
      </w:r>
      <w:r>
        <w:rPr>
          <w:rFonts w:ascii="Arial" w:cs="Arial" w:eastAsia="Arial" w:hAnsi="Arial"/>
          <w:sz w:val="18"/>
          <w:szCs w:val="18"/>
          <w:color w:val="auto"/>
        </w:rPr>
        <w:t xml:space="preserve"> SAG decrease reflects the following:</w:t>
      </w:r>
    </w:p>
    <w:p>
      <w:pPr>
        <w:ind w:left="340" w:right="400" w:hanging="332"/>
        <w:spacing w:after="0" w:line="234" w:lineRule="auto"/>
        <w:tabs>
          <w:tab w:leader="none" w:pos="3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$137 million increase in selling expenses, reflecting increased demand generation and brand advertising and higher commissions partially offset by restructuring savings and productivity improvements.</w:t>
      </w:r>
    </w:p>
    <w:p>
      <w:pPr>
        <w:spacing w:after="0" w:line="1" w:lineRule="exact"/>
        <w:rPr>
          <w:rFonts w:ascii="Arial" w:cs="Arial" w:eastAsia="Arial" w:hAnsi="Arial"/>
          <w:sz w:val="18"/>
          <w:szCs w:val="18"/>
          <w:color w:val="auto"/>
        </w:rPr>
      </w:pPr>
    </w:p>
    <w:p>
      <w:pPr>
        <w:ind w:left="340" w:hanging="332"/>
        <w:spacing w:after="0" w:line="234" w:lineRule="auto"/>
        <w:tabs>
          <w:tab w:leader="none" w:pos="3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$86 million decrease in general and administrative expenses, reflecting benefits from restructuring and operational improvements.</w:t>
      </w:r>
    </w:p>
    <w:p>
      <w:pPr>
        <w:ind w:left="340" w:hanging="332"/>
        <w:spacing w:after="0"/>
        <w:tabs>
          <w:tab w:leader="none" w:pos="3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$108 million decrease in bad debt expense, reflecting an improving write-off trend.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SAG 2009</w:t>
      </w:r>
    </w:p>
    <w:p>
      <w:pPr>
        <w:spacing w:after="0" w:line="18" w:lineRule="exact"/>
        <w:rPr>
          <w:sz w:val="20"/>
          <w:szCs w:val="20"/>
          <w:color w:val="auto"/>
        </w:rPr>
      </w:pPr>
    </w:p>
    <w:p>
      <w:pPr>
        <w:ind w:right="260"/>
        <w:spacing w:after="0" w:line="234" w:lineRule="auto"/>
        <w:rPr>
          <w:sz w:val="20"/>
          <w:szCs w:val="20"/>
          <w:color w:val="auto"/>
        </w:rPr>
      </w:pPr>
      <w:r>
        <w:rPr>
          <w:rFonts w:ascii="Arial" w:cs="Arial" w:eastAsia="Arial" w:hAnsi="Arial"/>
          <w:sz w:val="18"/>
          <w:szCs w:val="18"/>
          <w:color w:val="auto"/>
        </w:rPr>
        <w:t>SAG of $4,149 million was $385 million lower than 2008, including a $126 million benefit from currency. The SAG decrease was the result of the following:</w:t>
      </w:r>
    </w:p>
    <w:p>
      <w:pPr>
        <w:spacing w:after="0" w:line="2" w:lineRule="exact"/>
        <w:rPr>
          <w:sz w:val="20"/>
          <w:szCs w:val="20"/>
          <w:color w:val="auto"/>
        </w:rPr>
      </w:pPr>
    </w:p>
    <w:p>
      <w:pPr>
        <w:ind w:left="340" w:right="240" w:hanging="332"/>
        <w:spacing w:after="0" w:line="234" w:lineRule="auto"/>
        <w:tabs>
          <w:tab w:leader="none" w:pos="3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$311 million decrease in selling expenses, reflecting favorable currency; benefits from restructuring, an overall reduction in marketing spend and lower commissions.</w:t>
      </w:r>
    </w:p>
    <w:p>
      <w:pPr>
        <w:spacing w:after="0" w:line="1" w:lineRule="exact"/>
        <w:rPr>
          <w:rFonts w:ascii="Arial" w:cs="Arial" w:eastAsia="Arial" w:hAnsi="Arial"/>
          <w:sz w:val="18"/>
          <w:szCs w:val="18"/>
          <w:color w:val="auto"/>
        </w:rPr>
      </w:pPr>
    </w:p>
    <w:p>
      <w:pPr>
        <w:ind w:left="340" w:right="240" w:hanging="332"/>
        <w:spacing w:after="0" w:line="234" w:lineRule="auto"/>
        <w:tabs>
          <w:tab w:leader="none" w:pos="3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$177 million decrease in general and administrative expenses, reflecting favorable currency and benefits from restructuring and cost actions partially offset by higher compensation accruals.</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$103 million increase in bad debt expense, reflecting increased write-offs in North America and Europe.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Summary Costs and Expenses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key metrics used to assess our performance: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60" w:type="dxa"/>
            <w:vAlign w:val="bottom"/>
          </w:tcPr>
          <w:p>
            <w:pPr>
              <w:spacing w:after="0"/>
              <w:rPr>
                <w:sz w:val="21"/>
                <w:szCs w:val="21"/>
                <w:color w:val="auto"/>
              </w:rPr>
            </w:pPr>
          </w:p>
        </w:tc>
        <w:tc>
          <w:tcPr>
            <w:tcW w:w="5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Pro-forma</w:t>
            </w:r>
            <w:r>
              <w:rPr>
                <w:rFonts w:ascii="Arial" w:cs="Arial" w:eastAsia="Arial" w:hAnsi="Arial"/>
                <w:sz w:val="22"/>
                <w:szCs w:val="22"/>
                <w:color w:val="auto"/>
                <w:w w:val="89"/>
                <w:vertAlign w:val="superscript"/>
              </w:rPr>
              <w:t>(1)</w:t>
            </w:r>
          </w:p>
        </w:tc>
        <w:tc>
          <w:tcPr>
            <w:tcW w:w="0" w:type="dxa"/>
            <w:vAlign w:val="bottom"/>
          </w:tcPr>
          <w:p>
            <w:pPr>
              <w:spacing w:after="0"/>
              <w:rPr>
                <w:sz w:val="1"/>
                <w:szCs w:val="1"/>
                <w:color w:val="auto"/>
              </w:rPr>
            </w:pPr>
          </w:p>
        </w:tc>
      </w:tr>
      <w:tr>
        <w:trPr>
          <w:trHeight w:val="149"/>
        </w:trPr>
        <w:tc>
          <w:tcPr>
            <w:tcW w:w="606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2200" w:type="dxa"/>
            <w:vAlign w:val="bottom"/>
            <w:gridSpan w:val="6"/>
          </w:tcPr>
          <w:p>
            <w:pPr>
              <w:jc w:val="center"/>
              <w:ind w:right="380"/>
              <w:spacing w:after="0" w:line="149" w:lineRule="exact"/>
              <w:rPr>
                <w:sz w:val="20"/>
                <w:szCs w:val="20"/>
                <w:color w:val="auto"/>
              </w:rPr>
            </w:pPr>
            <w:r>
              <w:rPr>
                <w:rFonts w:ascii="Arial" w:cs="Arial" w:eastAsia="Arial" w:hAnsi="Arial"/>
                <w:sz w:val="14"/>
                <w:szCs w:val="14"/>
                <w:color w:val="auto"/>
                <w:w w:val="95"/>
              </w:rPr>
              <w:t>Year Ended December 31,</w:t>
            </w:r>
          </w:p>
        </w:tc>
        <w:tc>
          <w:tcPr>
            <w:tcW w:w="1720" w:type="dxa"/>
            <w:vAlign w:val="bottom"/>
            <w:gridSpan w:val="4"/>
          </w:tcPr>
          <w:p>
            <w:pPr>
              <w:jc w:val="right"/>
              <w:ind w:right="720"/>
              <w:spacing w:after="0" w:line="149" w:lineRule="exact"/>
              <w:rPr>
                <w:sz w:val="20"/>
                <w:szCs w:val="20"/>
                <w:color w:val="auto"/>
              </w:rPr>
            </w:pPr>
            <w:r>
              <w:rPr>
                <w:rFonts w:ascii="Arial" w:cs="Arial" w:eastAsia="Arial" w:hAnsi="Arial"/>
                <w:sz w:val="14"/>
                <w:szCs w:val="14"/>
                <w:color w:val="auto"/>
              </w:rPr>
              <w:t>Change</w:t>
            </w: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7"/>
              </w:rPr>
              <w:t>Change</w:t>
            </w:r>
          </w:p>
        </w:tc>
        <w:tc>
          <w:tcPr>
            <w:tcW w:w="0" w:type="dxa"/>
            <w:vAlign w:val="bottom"/>
          </w:tcPr>
          <w:p>
            <w:pPr>
              <w:spacing w:after="0"/>
              <w:rPr>
                <w:sz w:val="1"/>
                <w:szCs w:val="1"/>
                <w:color w:val="auto"/>
              </w:rPr>
            </w:pPr>
          </w:p>
        </w:tc>
      </w:tr>
      <w:tr>
        <w:trPr>
          <w:trHeight w:val="142"/>
        </w:trPr>
        <w:tc>
          <w:tcPr>
            <w:tcW w:w="6060" w:type="dxa"/>
            <w:vAlign w:val="bottom"/>
            <w:gridSpan w:val="2"/>
            <w:vMerge w:val="continue"/>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2010</w:t>
            </w:r>
          </w:p>
        </w:tc>
        <w:tc>
          <w:tcPr>
            <w:tcW w:w="3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2009</w:t>
            </w:r>
          </w:p>
        </w:tc>
        <w:tc>
          <w:tcPr>
            <w:tcW w:w="3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2008</w:t>
            </w:r>
          </w:p>
        </w:tc>
        <w:tc>
          <w:tcPr>
            <w:tcW w:w="360" w:type="dxa"/>
            <w:vAlign w:val="bottom"/>
          </w:tcPr>
          <w:p>
            <w:pPr>
              <w:spacing w:after="0"/>
              <w:rPr>
                <w:sz w:val="12"/>
                <w:szCs w:val="12"/>
                <w:color w:val="auto"/>
              </w:rPr>
            </w:pPr>
          </w:p>
        </w:tc>
        <w:tc>
          <w:tcPr>
            <w:tcW w:w="660" w:type="dxa"/>
            <w:vAlign w:val="bottom"/>
            <w:tcBorders>
              <w:top w:val="single" w:sz="8" w:color="auto"/>
            </w:tcBorders>
          </w:tcPr>
          <w:p>
            <w:pPr>
              <w:jc w:val="right"/>
              <w:ind w:right="98"/>
              <w:spacing w:after="0" w:line="142" w:lineRule="exact"/>
              <w:rPr>
                <w:sz w:val="20"/>
                <w:szCs w:val="20"/>
                <w:color w:val="auto"/>
              </w:rPr>
            </w:pPr>
            <w:r>
              <w:rPr>
                <w:rFonts w:ascii="Arial" w:cs="Arial" w:eastAsia="Arial" w:hAnsi="Arial"/>
                <w:sz w:val="14"/>
                <w:szCs w:val="14"/>
                <w:color w:val="auto"/>
              </w:rPr>
              <w:t>2010</w:t>
            </w: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96"/>
              <w:spacing w:after="0" w:line="142" w:lineRule="exact"/>
              <w:rPr>
                <w:sz w:val="20"/>
                <w:szCs w:val="20"/>
                <w:color w:val="auto"/>
              </w:rPr>
            </w:pPr>
            <w:r>
              <w:rPr>
                <w:rFonts w:ascii="Arial" w:cs="Arial" w:eastAsia="Arial" w:hAnsi="Arial"/>
                <w:sz w:val="14"/>
                <w:szCs w:val="14"/>
                <w:color w:val="auto"/>
              </w:rPr>
              <w:t>2009</w:t>
            </w:r>
          </w:p>
        </w:tc>
        <w:tc>
          <w:tcPr>
            <w:tcW w:w="200" w:type="dxa"/>
            <w:vAlign w:val="bottom"/>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60" w:type="dxa"/>
            <w:vAlign w:val="bottom"/>
            <w:gridSpan w:val="2"/>
            <w:shd w:val="clear" w:color="auto" w:fill="E5E5E5"/>
          </w:tcPr>
          <w:p>
            <w:pPr>
              <w:spacing w:after="0" w:line="196" w:lineRule="exact"/>
              <w:rPr>
                <w:sz w:val="20"/>
                <w:szCs w:val="20"/>
                <w:color w:val="auto"/>
              </w:rPr>
            </w:pPr>
            <w:r>
              <w:rPr>
                <w:rFonts w:ascii="Arial" w:cs="Arial" w:eastAsia="Arial" w:hAnsi="Arial"/>
                <w:sz w:val="18"/>
                <w:szCs w:val="18"/>
                <w:color w:val="auto"/>
              </w:rPr>
              <w:t>Total Gross Margin</w:t>
            </w:r>
          </w:p>
        </w:tc>
        <w:tc>
          <w:tcPr>
            <w:tcW w:w="720" w:type="dxa"/>
            <w:vAlign w:val="bottom"/>
            <w:gridSpan w:val="2"/>
            <w:shd w:val="clear" w:color="auto" w:fill="E5E5E5"/>
          </w:tcPr>
          <w:p>
            <w:pPr>
              <w:jc w:val="right"/>
              <w:ind w:right="160"/>
              <w:spacing w:after="0" w:line="196" w:lineRule="exact"/>
              <w:rPr>
                <w:sz w:val="20"/>
                <w:szCs w:val="20"/>
                <w:color w:val="auto"/>
              </w:rPr>
            </w:pPr>
            <w:r>
              <w:rPr>
                <w:rFonts w:ascii="Arial" w:cs="Arial" w:eastAsia="Arial" w:hAnsi="Arial"/>
                <w:sz w:val="18"/>
                <w:szCs w:val="18"/>
                <w:color w:val="auto"/>
              </w:rPr>
              <w:t>34.4%</w:t>
            </w:r>
          </w:p>
        </w:tc>
        <w:tc>
          <w:tcPr>
            <w:tcW w:w="700" w:type="dxa"/>
            <w:vAlign w:val="bottom"/>
            <w:gridSpan w:val="2"/>
            <w:shd w:val="clear" w:color="auto" w:fill="E5E5E5"/>
          </w:tcPr>
          <w:p>
            <w:pPr>
              <w:jc w:val="right"/>
              <w:ind w:right="140"/>
              <w:spacing w:after="0" w:line="196" w:lineRule="exact"/>
              <w:rPr>
                <w:sz w:val="20"/>
                <w:szCs w:val="20"/>
                <w:color w:val="auto"/>
              </w:rPr>
            </w:pPr>
            <w:r>
              <w:rPr>
                <w:rFonts w:ascii="Arial" w:cs="Arial" w:eastAsia="Arial" w:hAnsi="Arial"/>
                <w:sz w:val="18"/>
                <w:szCs w:val="18"/>
                <w:color w:val="auto"/>
              </w:rPr>
              <w:t>39.7%</w:t>
            </w:r>
          </w:p>
        </w:tc>
        <w:tc>
          <w:tcPr>
            <w:tcW w:w="780" w:type="dxa"/>
            <w:vAlign w:val="bottom"/>
            <w:gridSpan w:val="2"/>
            <w:shd w:val="clear" w:color="auto" w:fill="E5E5E5"/>
          </w:tcPr>
          <w:p>
            <w:pPr>
              <w:jc w:val="right"/>
              <w:ind w:right="200"/>
              <w:spacing w:after="0" w:line="196" w:lineRule="exact"/>
              <w:rPr>
                <w:sz w:val="20"/>
                <w:szCs w:val="20"/>
                <w:color w:val="auto"/>
              </w:rPr>
            </w:pPr>
            <w:r>
              <w:rPr>
                <w:rFonts w:ascii="Arial" w:cs="Arial" w:eastAsia="Arial" w:hAnsi="Arial"/>
                <w:sz w:val="18"/>
                <w:szCs w:val="18"/>
                <w:color w:val="auto"/>
              </w:rPr>
              <w:t>38.9%</w:t>
            </w:r>
          </w:p>
        </w:tc>
        <w:tc>
          <w:tcPr>
            <w:tcW w:w="860" w:type="dxa"/>
            <w:vAlign w:val="bottom"/>
            <w:gridSpan w:val="2"/>
            <w:shd w:val="clear" w:color="auto" w:fill="E5E5E5"/>
          </w:tcPr>
          <w:p>
            <w:pPr>
              <w:jc w:val="right"/>
              <w:ind w:right="200"/>
              <w:spacing w:after="0" w:line="196" w:lineRule="exact"/>
              <w:rPr>
                <w:sz w:val="20"/>
                <w:szCs w:val="20"/>
                <w:color w:val="auto"/>
              </w:rPr>
            </w:pPr>
            <w:r>
              <w:rPr>
                <w:rFonts w:ascii="Arial" w:cs="Arial" w:eastAsia="Arial" w:hAnsi="Arial"/>
                <w:sz w:val="18"/>
                <w:szCs w:val="18"/>
                <w:color w:val="auto"/>
              </w:rPr>
              <w:t>(5.3)pts</w:t>
            </w:r>
          </w:p>
        </w:tc>
        <w:tc>
          <w:tcPr>
            <w:tcW w:w="860" w:type="dxa"/>
            <w:vAlign w:val="bottom"/>
            <w:gridSpan w:val="2"/>
            <w:shd w:val="clear" w:color="auto" w:fill="E5E5E5"/>
          </w:tcPr>
          <w:p>
            <w:pPr>
              <w:jc w:val="right"/>
              <w:ind w:right="200"/>
              <w:spacing w:after="0" w:line="196" w:lineRule="exact"/>
              <w:rPr>
                <w:sz w:val="20"/>
                <w:szCs w:val="20"/>
                <w:color w:val="auto"/>
              </w:rPr>
            </w:pPr>
            <w:r>
              <w:rPr>
                <w:rFonts w:ascii="Arial" w:cs="Arial" w:eastAsia="Arial" w:hAnsi="Arial"/>
                <w:sz w:val="18"/>
                <w:szCs w:val="18"/>
                <w:color w:val="auto"/>
              </w:rPr>
              <w:t>0.8pts</w:t>
            </w:r>
          </w:p>
        </w:tc>
        <w:tc>
          <w:tcPr>
            <w:tcW w:w="860" w:type="dxa"/>
            <w:vAlign w:val="bottom"/>
            <w:gridSpan w:val="2"/>
            <w:shd w:val="clear" w:color="auto" w:fill="E5E5E5"/>
          </w:tcPr>
          <w:p>
            <w:pPr>
              <w:jc w:val="right"/>
              <w:ind w:right="100"/>
              <w:spacing w:after="0" w:line="196" w:lineRule="exact"/>
              <w:rPr>
                <w:sz w:val="20"/>
                <w:szCs w:val="20"/>
                <w:color w:val="auto"/>
              </w:rPr>
            </w:pPr>
            <w:r>
              <w:rPr>
                <w:rFonts w:ascii="Arial" w:cs="Arial" w:eastAsia="Arial" w:hAnsi="Arial"/>
                <w:sz w:val="18"/>
                <w:szCs w:val="18"/>
                <w:color w:val="auto"/>
              </w:rPr>
              <w:t>(0.2)pts</w:t>
            </w:r>
          </w:p>
        </w:tc>
        <w:tc>
          <w:tcPr>
            <w:tcW w:w="0" w:type="dxa"/>
            <w:vAlign w:val="bottom"/>
          </w:tcPr>
          <w:p>
            <w:pPr>
              <w:spacing w:after="0"/>
              <w:rPr>
                <w:sz w:val="1"/>
                <w:szCs w:val="1"/>
                <w:color w:val="auto"/>
              </w:rPr>
            </w:pP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RD&amp;E % of revenue</w:t>
            </w:r>
          </w:p>
        </w:tc>
        <w:tc>
          <w:tcPr>
            <w:tcW w:w="7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3.6%</w:t>
            </w:r>
          </w:p>
        </w:tc>
        <w:tc>
          <w:tcPr>
            <w:tcW w:w="7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5.5%</w:t>
            </w:r>
          </w:p>
        </w:tc>
        <w:tc>
          <w:tcPr>
            <w:tcW w:w="7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5.0%</w:t>
            </w: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(1.9)pts</w:t>
            </w: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0.5pts</w:t>
            </w: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(0.4)pts</w:t>
            </w:r>
          </w:p>
        </w:tc>
        <w:tc>
          <w:tcPr>
            <w:tcW w:w="0" w:type="dxa"/>
            <w:vAlign w:val="bottom"/>
          </w:tcPr>
          <w:p>
            <w:pPr>
              <w:spacing w:after="0"/>
              <w:rPr>
                <w:sz w:val="1"/>
                <w:szCs w:val="1"/>
                <w:color w:val="auto"/>
              </w:rPr>
            </w:pPr>
          </w:p>
        </w:tc>
      </w:tr>
      <w:tr>
        <w:trPr>
          <w:trHeight w:val="203"/>
        </w:trPr>
        <w:tc>
          <w:tcPr>
            <w:tcW w:w="606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SAG % of revenue</w:t>
            </w:r>
          </w:p>
        </w:tc>
        <w:tc>
          <w:tcPr>
            <w:tcW w:w="72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21.2%</w:t>
            </w:r>
          </w:p>
        </w:tc>
        <w:tc>
          <w:tcPr>
            <w:tcW w:w="70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27.3%</w:t>
            </w:r>
          </w:p>
        </w:tc>
        <w:tc>
          <w:tcPr>
            <w:tcW w:w="78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25.7%</w:t>
            </w:r>
          </w:p>
        </w:tc>
        <w:tc>
          <w:tcPr>
            <w:tcW w:w="86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(6.1)pts</w:t>
            </w:r>
          </w:p>
        </w:tc>
        <w:tc>
          <w:tcPr>
            <w:tcW w:w="86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1.6pts</w:t>
            </w:r>
          </w:p>
        </w:tc>
        <w:tc>
          <w:tcPr>
            <w:tcW w:w="8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(0.9)pts</w:t>
            </w:r>
          </w:p>
        </w:tc>
        <w:tc>
          <w:tcPr>
            <w:tcW w:w="0" w:type="dxa"/>
            <w:vAlign w:val="bottom"/>
          </w:tcPr>
          <w:p>
            <w:pPr>
              <w:spacing w:after="0"/>
              <w:rPr>
                <w:sz w:val="1"/>
                <w:szCs w:val="1"/>
                <w:color w:val="auto"/>
              </w:rPr>
            </w:pPr>
          </w:p>
        </w:tc>
      </w:tr>
      <w:tr>
        <w:trPr>
          <w:trHeight w:val="311"/>
        </w:trPr>
        <w:tc>
          <w:tcPr>
            <w:tcW w:w="6060" w:type="dxa"/>
            <w:vAlign w:val="bottom"/>
            <w:gridSpan w:val="2"/>
          </w:tcPr>
          <w:p>
            <w:pPr>
              <w:spacing w:after="0"/>
              <w:rPr>
                <w:sz w:val="20"/>
                <w:szCs w:val="20"/>
                <w:color w:val="auto"/>
              </w:rPr>
            </w:pPr>
            <w:r>
              <w:rPr>
                <w:rFonts w:ascii="Arial" w:cs="Arial" w:eastAsia="Arial" w:hAnsi="Arial"/>
                <w:sz w:val="18"/>
                <w:szCs w:val="18"/>
                <w:color w:val="auto"/>
              </w:rPr>
              <w:t>Operating Margin</w:t>
            </w:r>
            <w:r>
              <w:rPr>
                <w:rFonts w:ascii="Arial" w:cs="Arial" w:eastAsia="Arial" w:hAnsi="Arial"/>
                <w:sz w:val="22"/>
                <w:szCs w:val="22"/>
                <w:color w:val="auto"/>
                <w:vertAlign w:val="superscript"/>
              </w:rPr>
              <w:t>(1)</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9.6%</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6.8%</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8.4%</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2.8pts</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(1.6)pts</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1.0pts</w:t>
            </w:r>
          </w:p>
        </w:tc>
        <w:tc>
          <w:tcPr>
            <w:tcW w:w="0" w:type="dxa"/>
            <w:vAlign w:val="bottom"/>
          </w:tcPr>
          <w:p>
            <w:pPr>
              <w:spacing w:after="0"/>
              <w:rPr>
                <w:sz w:val="1"/>
                <w:szCs w:val="1"/>
                <w:color w:val="auto"/>
              </w:rPr>
            </w:pPr>
          </w:p>
        </w:tc>
      </w:tr>
      <w:tr>
        <w:trPr>
          <w:trHeight w:val="203"/>
        </w:trPr>
        <w:tc>
          <w:tcPr>
            <w:tcW w:w="606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Pre-tax income (loss) margin</w:t>
            </w:r>
          </w:p>
        </w:tc>
        <w:tc>
          <w:tcPr>
            <w:tcW w:w="72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3.8%</w:t>
            </w:r>
          </w:p>
        </w:tc>
        <w:tc>
          <w:tcPr>
            <w:tcW w:w="70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4.1%</w:t>
            </w:r>
          </w:p>
        </w:tc>
        <w:tc>
          <w:tcPr>
            <w:tcW w:w="78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(0.4)%</w:t>
            </w:r>
          </w:p>
        </w:tc>
        <w:tc>
          <w:tcPr>
            <w:tcW w:w="86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(0.3)pts</w:t>
            </w:r>
          </w:p>
        </w:tc>
        <w:tc>
          <w:tcPr>
            <w:tcW w:w="86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4.5pts</w:t>
            </w:r>
          </w:p>
        </w:tc>
        <w:tc>
          <w:tcPr>
            <w:tcW w:w="8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(2.2)pts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8"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(1)</w:t>
        <w:tab/>
        <w:t>See the “Non-GAAP Measures” section for additional information.</w:t>
      </w:r>
    </w:p>
    <w:p>
      <w:pPr>
        <w:spacing w:after="0" w:line="153"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As previously noted, the acquisition of ACS increased the proportion of revenues from Services. Consistent with Services companies, this portion of our operations has a lower gross margin than our Technology segment, but also has both, lower SAG and R&amp;D as a percent of revenue. Accordingly, in 2010 we began to assess our performance using an operating margin metric, which neutralizes this mix differential. Operating margin is an internal measurement metric and represents gross margin minus RD&amp;E percentage of revenue and SAG percentage of revenue. (Refer to the “Non-GAAP Financial Measures” section for further information and the reconciliation of operating margin to pre-tax income (loss) margin).</w:t>
      </w:r>
    </w:p>
    <w:p>
      <w:pPr>
        <w:spacing w:after="0" w:line="156" w:lineRule="exact"/>
        <w:rPr>
          <w:sz w:val="20"/>
          <w:szCs w:val="20"/>
          <w:color w:val="auto"/>
        </w:rPr>
      </w:pPr>
    </w:p>
    <w:p>
      <w:pPr>
        <w:ind w:right="140"/>
        <w:spacing w:after="0" w:line="224" w:lineRule="auto"/>
        <w:rPr>
          <w:sz w:val="20"/>
          <w:szCs w:val="20"/>
          <w:color w:val="auto"/>
        </w:rPr>
      </w:pPr>
      <w:r>
        <w:rPr>
          <w:rFonts w:ascii="Arial" w:cs="Arial" w:eastAsia="Arial" w:hAnsi="Arial"/>
          <w:sz w:val="18"/>
          <w:szCs w:val="18"/>
          <w:color w:val="auto"/>
        </w:rPr>
        <w:t xml:space="preserve">During 2010, operating margin increased 2.8-percentage points or 1.0-percentage-points on a pro-forma </w:t>
      </w:r>
      <w:r>
        <w:rPr>
          <w:rFonts w:ascii="Arial" w:cs="Arial" w:eastAsia="Arial" w:hAnsi="Arial"/>
          <w:sz w:val="22"/>
          <w:szCs w:val="22"/>
          <w:color w:val="auto"/>
          <w:vertAlign w:val="superscript"/>
        </w:rPr>
        <w:t>(1)</w:t>
      </w:r>
      <w:r>
        <w:rPr>
          <w:rFonts w:ascii="Arial" w:cs="Arial" w:eastAsia="Arial" w:hAnsi="Arial"/>
          <w:sz w:val="18"/>
          <w:szCs w:val="18"/>
          <w:color w:val="auto"/>
        </w:rPr>
        <w:t xml:space="preserve"> basis, as compared to 2009. The improvement reflects strong revenue growth and continued disciplined cost and expense management. During 2009, operating margin decreased 1.6-percentage points largely due to lower revenue as a result of the worldwide recession as well as the negative effects of currency on our product costs, which were only partially offset by savings from prior year restructuring actions.</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4"/>
          <w:szCs w:val="14"/>
          <w:color w:val="4C9F40"/>
        </w:rPr>
        <w:t>Xerox 2010 Annual Report17</w:t>
      </w:r>
    </w:p>
    <w:p>
      <w:pPr>
        <w:sectPr>
          <w:pgSz w:w="11900" w:h="16838" w:orient="portrait"/>
          <w:cols w:equalWidth="0" w:num="1">
            <w:col w:w="11420"/>
          </w:cols>
          <w:pgMar w:left="240" w:top="333" w:right="2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4C9F40"/>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Restructuring and Asset Impairment Charges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2010 Activity</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During 2010 we recorded $483 million of net restructuring and asset impairment charges which included the following:</w:t>
      </w:r>
    </w:p>
    <w:p>
      <w:pPr>
        <w:ind w:left="340" w:right="20" w:hanging="332"/>
        <w:spacing w:after="0" w:line="234" w:lineRule="auto"/>
        <w:tabs>
          <w:tab w:leader="none" w:pos="3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$470 million of severance costs related to headcount reductions of approximately 9,000 employees. The costs associated with these actions applied about equally to North America and Europe, with approximately 20% related to our developing market countries. Approximately 50% of the costs were focused on gross margin improvements, 40% on SAG and 10% on the optimization of RD&amp;E investments and impacted the following functional areas:</w:t>
      </w:r>
    </w:p>
    <w:p>
      <w:pPr>
        <w:spacing w:after="0" w:line="3" w:lineRule="exact"/>
        <w:rPr>
          <w:rFonts w:ascii="Arial" w:cs="Arial" w:eastAsia="Arial" w:hAnsi="Arial"/>
          <w:sz w:val="18"/>
          <w:szCs w:val="18"/>
          <w:color w:val="auto"/>
        </w:rPr>
      </w:pPr>
    </w:p>
    <w:p>
      <w:pPr>
        <w:ind w:left="340"/>
        <w:spacing w:after="0" w:line="234" w:lineRule="auto"/>
        <w:rPr>
          <w:rFonts w:ascii="Arial" w:cs="Arial" w:eastAsia="Arial" w:hAnsi="Arial"/>
          <w:sz w:val="18"/>
          <w:szCs w:val="18"/>
          <w:color w:val="auto"/>
        </w:rPr>
      </w:pPr>
      <w:r>
        <w:rPr>
          <w:rFonts w:ascii="Arial" w:cs="Arial" w:eastAsia="Arial" w:hAnsi="Arial"/>
          <w:sz w:val="18"/>
          <w:szCs w:val="18"/>
          <w:color w:val="auto"/>
        </w:rPr>
        <w:t>–   Services</w:t>
      </w:r>
    </w:p>
    <w:p>
      <w:pPr>
        <w:ind w:left="340"/>
        <w:spacing w:after="0" w:line="234" w:lineRule="auto"/>
        <w:rPr>
          <w:rFonts w:ascii="Arial" w:cs="Arial" w:eastAsia="Arial" w:hAnsi="Arial"/>
          <w:sz w:val="18"/>
          <w:szCs w:val="18"/>
          <w:color w:val="auto"/>
        </w:rPr>
      </w:pPr>
      <w:r>
        <w:rPr>
          <w:rFonts w:ascii="Arial" w:cs="Arial" w:eastAsia="Arial" w:hAnsi="Arial"/>
          <w:sz w:val="18"/>
          <w:szCs w:val="18"/>
          <w:color w:val="auto"/>
        </w:rPr>
        <w:t>–   Supply chain and manufacturing</w:t>
      </w:r>
    </w:p>
    <w:p>
      <w:pPr>
        <w:ind w:left="340"/>
        <w:spacing w:after="0" w:line="234" w:lineRule="auto"/>
        <w:rPr>
          <w:rFonts w:ascii="Arial" w:cs="Arial" w:eastAsia="Arial" w:hAnsi="Arial"/>
          <w:sz w:val="18"/>
          <w:szCs w:val="18"/>
          <w:color w:val="auto"/>
        </w:rPr>
      </w:pPr>
      <w:r>
        <w:rPr>
          <w:rFonts w:ascii="Arial" w:cs="Arial" w:eastAsia="Arial" w:hAnsi="Arial"/>
          <w:sz w:val="18"/>
          <w:szCs w:val="18"/>
          <w:color w:val="auto"/>
        </w:rPr>
        <w:t>–   Back office administration</w:t>
      </w:r>
    </w:p>
    <w:p>
      <w:pPr>
        <w:ind w:left="340"/>
        <w:spacing w:after="0" w:line="234" w:lineRule="auto"/>
        <w:rPr>
          <w:rFonts w:ascii="Arial" w:cs="Arial" w:eastAsia="Arial" w:hAnsi="Arial"/>
          <w:sz w:val="18"/>
          <w:szCs w:val="18"/>
          <w:color w:val="auto"/>
        </w:rPr>
      </w:pPr>
      <w:r>
        <w:rPr>
          <w:rFonts w:ascii="Arial" w:cs="Arial" w:eastAsia="Arial" w:hAnsi="Arial"/>
          <w:sz w:val="18"/>
          <w:szCs w:val="18"/>
          <w:color w:val="auto"/>
        </w:rPr>
        <w:t>–   Development and engineering</w:t>
      </w:r>
    </w:p>
    <w:p>
      <w:pPr>
        <w:ind w:left="340" w:right="220" w:hanging="332"/>
        <w:spacing w:after="0" w:line="234" w:lineRule="auto"/>
        <w:tabs>
          <w:tab w:leader="none" w:pos="3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$28 million for lease termination costs primarily reflecting the continued rationalization and optimization of our worldwide operating locations, including consolidations with ACS.</w:t>
      </w:r>
    </w:p>
    <w:p>
      <w:pPr>
        <w:spacing w:after="0" w:line="1" w:lineRule="exact"/>
        <w:rPr>
          <w:rFonts w:ascii="Arial" w:cs="Arial" w:eastAsia="Arial" w:hAnsi="Arial"/>
          <w:sz w:val="18"/>
          <w:szCs w:val="18"/>
          <w:color w:val="auto"/>
        </w:rPr>
      </w:pPr>
    </w:p>
    <w:p>
      <w:pPr>
        <w:ind w:left="340" w:right="20" w:hanging="332"/>
        <w:spacing w:after="0" w:line="236" w:lineRule="auto"/>
        <w:tabs>
          <w:tab w:leader="none" w:pos="3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$19 million loss associated with the sale of our Venezuelan subsidiary. The loss primarily reflects the write-off our Venezuelan net assets including working capital and long-lived assets. We will continue to sell equipment, parts and supplies to the acquiring company through a distribution arrangement but will no longer have any direct or local operations in Venezuela. The sale of our operations and change in business model follows a decision by management in the fourth quarter 2010 to reduce the Company’s future exposure and risk associated with operating in this unpredictable economy.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above charges were partially offset by $41 million of net reversals for changes in estimated reserves from prior period initiatives.</w:t>
      </w:r>
    </w:p>
    <w:p>
      <w:pPr>
        <w:spacing w:after="0" w:line="158"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We expect 2011 pre-tax savings of approximately $270 million from our 2010 restructuring actions and approximately $475 million of annualized savings once all actions are fully implemented.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2009 Activity</w:t>
      </w:r>
    </w:p>
    <w:p>
      <w:pPr>
        <w:spacing w:after="0" w:line="18"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Restructuring activity was minimal in 2009, and the related charges primarily reflected changes in estimates in severance costs from previously recorded actions.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2008 Activity</w:t>
      </w:r>
    </w:p>
    <w:p>
      <w:pPr>
        <w:spacing w:after="0" w:line="18" w:lineRule="exact"/>
        <w:rPr>
          <w:sz w:val="20"/>
          <w:szCs w:val="20"/>
          <w:color w:val="auto"/>
        </w:rPr>
      </w:pPr>
    </w:p>
    <w:p>
      <w:pPr>
        <w:ind w:right="220"/>
        <w:spacing w:after="0" w:line="234" w:lineRule="auto"/>
        <w:rPr>
          <w:sz w:val="20"/>
          <w:szCs w:val="20"/>
          <w:color w:val="auto"/>
        </w:rPr>
      </w:pPr>
      <w:r>
        <w:rPr>
          <w:rFonts w:ascii="Arial" w:cs="Arial" w:eastAsia="Arial" w:hAnsi="Arial"/>
          <w:sz w:val="18"/>
          <w:szCs w:val="18"/>
          <w:color w:val="auto"/>
        </w:rPr>
        <w:t>During 2008, we recorded $357 million of net restructuring charges predominantly consisting of severance and costs related to the elimination of approximately 4,900 positions primarily in North America and Europe. Focus areas for these actions include the following:</w:t>
      </w:r>
    </w:p>
    <w:p>
      <w:pPr>
        <w:ind w:left="340" w:hanging="332"/>
        <w:spacing w:after="0" w:line="236" w:lineRule="auto"/>
        <w:tabs>
          <w:tab w:leader="none" w:pos="3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Improving efficiency and effectiveness of infrastructure including: marketing, finance, human resources and training;</w:t>
      </w:r>
    </w:p>
    <w:p>
      <w:pPr>
        <w:ind w:left="340" w:hanging="332"/>
        <w:spacing w:after="0" w:line="234" w:lineRule="auto"/>
        <w:tabs>
          <w:tab w:leader="none" w:pos="3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Capturing efficiencies in technical services, managed services and supply chain and manufacturing infrastructure; and</w:t>
      </w:r>
    </w:p>
    <w:p>
      <w:pPr>
        <w:ind w:left="340" w:hanging="332"/>
        <w:spacing w:after="0"/>
        <w:tabs>
          <w:tab w:leader="none" w:pos="3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Optimizing product development and engineering resources.</w:t>
      </w:r>
    </w:p>
    <w:p>
      <w:pPr>
        <w:spacing w:after="0" w:line="158"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In addition, related to these activities, we also recorded lease cancellation and other costs of $19 million and asset impairment charges of $53 million. The lease termination and asset impairment charges primarily related to: (i) the relocation of certain manufacturing operations including the closing of our toner plant in Oklahoma City and the consolidation of our manufacturing operations in Ireland; and (ii) the exit from certain leased and owned facilities as a result of the actions noted above.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Restructuring Summary</w:t>
      </w:r>
    </w:p>
    <w:p>
      <w:pPr>
        <w:spacing w:after="0" w:line="18"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The restructuring reserve balance as of December 31, 2010, for all programs was $323 million, of which approximately $309 million is expected to be spent over the next twelve months. Refer to Note 9 – Restructuring and Asset Impairment Charges in the Consolidated Financial Statements for additional information regarding our restructuring programs.</w:t>
      </w:r>
    </w:p>
    <w:p>
      <w:pPr>
        <w:spacing w:after="0" w:line="137" w:lineRule="exact"/>
        <w:rPr>
          <w:sz w:val="20"/>
          <w:szCs w:val="20"/>
          <w:color w:val="auto"/>
        </w:rPr>
      </w:pPr>
    </w:p>
    <w:p>
      <w:pPr>
        <w:jc w:val="right"/>
        <w:spacing w:after="0"/>
        <w:rPr>
          <w:sz w:val="20"/>
          <w:szCs w:val="20"/>
          <w:color w:val="auto"/>
        </w:rPr>
      </w:pPr>
      <w:r>
        <w:rPr>
          <w:rFonts w:ascii="Arial" w:cs="Arial" w:eastAsia="Arial" w:hAnsi="Arial"/>
          <w:sz w:val="14"/>
          <w:szCs w:val="14"/>
          <w:color w:val="4C9F40"/>
        </w:rPr>
        <w:t>Xerox 2010 Annual Report 18</w:t>
      </w:r>
    </w:p>
    <w:p>
      <w:pPr>
        <w:sectPr>
          <w:pgSz w:w="11900" w:h="16838" w:orient="portrait"/>
          <w:cols w:equalWidth="0" w:num="1">
            <w:col w:w="11420"/>
          </w:cols>
          <w:pgMar w:left="240" w:top="404" w:right="2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4C9F40"/>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Acquisition-Related Costs</w:t>
      </w:r>
    </w:p>
    <w:p>
      <w:pPr>
        <w:spacing w:after="0" w:line="180"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Costs of $77 million were incurred during 2010 in connection with our acquisition of ACS. These costs include $53 million of transaction costs, which represent external costs directly related to completing the acquisition of ACS and primarily include expenditures for investment banking, legal, accounting and other similar services. Legal costs include costs associated with the ACS shareholders litigation which was settled in 2010. The remainder of the acquisition-related costs represents external incremental costs directly related to the integration of ACS and Xerox. These costs include expenditures for consulting, systems integration, corporate communication services and the consolidation of facilities as well as the expense associated with the performance shares that were granted to ACS management in connection with existing change-in-control agreements.</w:t>
      </w:r>
    </w:p>
    <w:p>
      <w:pPr>
        <w:spacing w:after="0" w:line="15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Costs of $72 million were incurred during 2009, in connection with our acquisition of ACS. $58 million of the costs relate to the write-off of fees associated with the Bridge Loan Facility commitment which was terminated as a result of securing permanent financing to fund the acquisition. The remainder of the costs represents transaction costs such as banking, legal and accounting fees, as well as some pre-integration costs such as external consulting services.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Amortization of Intangible Assets</w:t>
      </w:r>
    </w:p>
    <w:p>
      <w:pPr>
        <w:spacing w:after="0" w:line="180"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During 2010, we recorded $312 million for the amortization of intangibles assets, which was $252 million higher than 2009. The increase primarily reflects the amortization of intangibles associated with our acquisition of ACS. Refer to Note 3 – Acquisitions in the Consolidated Financial Statements for additional information regarding the ACS acquisition.</w:t>
      </w:r>
    </w:p>
    <w:p>
      <w:pPr>
        <w:spacing w:after="0" w:line="154"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Amortization of intangibles was $60 million in 2009 which was an increase of $6 million over 2008 primarily as a result of the full-year amortization of the assets acquired as part of our acquisitions in 2008.</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Worldwide Employment</w:t>
      </w:r>
    </w:p>
    <w:p>
      <w:pPr>
        <w:spacing w:after="0" w:line="180"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Worldwide employment of 136,500 as of December 31, 2010 increased approximately 83,000 from December 31, 2009, primarily due to the additional headcount related to the ACS acquisition partially offset by restructuring reductions. Worldwide employment was approximately 53,600 and 57,100 at December 31, 2009 and 2008, respectively.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Other Expenses, Net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Other expenses, net for the three years ended December 31, 2010 were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gridSpan w:val="3"/>
          </w:tcPr>
          <w:p>
            <w:pPr>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4"/>
                <w:szCs w:val="14"/>
                <w:color w:val="auto"/>
              </w:rPr>
            </w:pPr>
          </w:p>
        </w:tc>
        <w:tc>
          <w:tcPr>
            <w:tcW w:w="580" w:type="dxa"/>
            <w:vAlign w:val="bottom"/>
          </w:tcPr>
          <w:p>
            <w:pPr>
              <w:jc w:val="right"/>
              <w:ind w:right="134"/>
              <w:spacing w:after="0"/>
              <w:rPr>
                <w:sz w:val="20"/>
                <w:szCs w:val="20"/>
                <w:color w:val="auto"/>
              </w:rPr>
            </w:pPr>
            <w:r>
              <w:rPr>
                <w:rFonts w:ascii="Arial" w:cs="Arial" w:eastAsia="Arial" w:hAnsi="Arial"/>
                <w:sz w:val="14"/>
                <w:szCs w:val="14"/>
                <w:color w:val="auto"/>
              </w:rPr>
              <w:t>2010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134"/>
              <w:spacing w:after="0"/>
              <w:rPr>
                <w:sz w:val="20"/>
                <w:szCs w:val="20"/>
                <w:color w:val="auto"/>
              </w:rPr>
            </w:pPr>
            <w:r>
              <w:rPr>
                <w:rFonts w:ascii="Arial" w:cs="Arial" w:eastAsia="Arial" w:hAnsi="Arial"/>
                <w:sz w:val="14"/>
                <w:szCs w:val="14"/>
                <w:color w:val="auto"/>
              </w:rPr>
              <w:t>2009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154"/>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20" w:type="dxa"/>
            <w:vAlign w:val="bottom"/>
            <w:gridSpan w:val="2"/>
            <w:shd w:val="clear" w:color="auto" w:fill="E5E5E5"/>
          </w:tcPr>
          <w:p>
            <w:pPr>
              <w:spacing w:after="0" w:line="196" w:lineRule="exact"/>
              <w:rPr>
                <w:sz w:val="20"/>
                <w:szCs w:val="20"/>
                <w:color w:val="auto"/>
              </w:rPr>
            </w:pPr>
            <w:r>
              <w:rPr>
                <w:rFonts w:ascii="Arial" w:cs="Arial" w:eastAsia="Arial" w:hAnsi="Arial"/>
                <w:sz w:val="18"/>
                <w:szCs w:val="18"/>
                <w:color w:val="auto"/>
              </w:rPr>
              <w:t>Non-financing interest expense</w:t>
            </w:r>
          </w:p>
        </w:tc>
        <w:tc>
          <w:tcPr>
            <w:tcW w:w="160" w:type="dxa"/>
            <w:vAlign w:val="bottom"/>
            <w:shd w:val="clear" w:color="auto" w:fill="E5E5E5"/>
          </w:tcPr>
          <w:p>
            <w:pPr>
              <w:jc w:val="right"/>
              <w:ind w:right="3"/>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E5E5E5"/>
          </w:tcPr>
          <w:p>
            <w:pPr>
              <w:jc w:val="right"/>
              <w:ind w:right="220"/>
              <w:spacing w:after="0" w:line="196" w:lineRule="exact"/>
              <w:rPr>
                <w:sz w:val="20"/>
                <w:szCs w:val="20"/>
                <w:color w:val="auto"/>
              </w:rPr>
            </w:pPr>
            <w:r>
              <w:rPr>
                <w:rFonts w:ascii="Arial" w:cs="Arial" w:eastAsia="Arial" w:hAnsi="Arial"/>
                <w:sz w:val="18"/>
                <w:szCs w:val="18"/>
                <w:color w:val="auto"/>
              </w:rPr>
              <w:t>346</w:t>
            </w:r>
          </w:p>
        </w:tc>
        <w:tc>
          <w:tcPr>
            <w:tcW w:w="16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rPr>
              <w:t>256</w:t>
            </w:r>
          </w:p>
        </w:tc>
        <w:tc>
          <w:tcPr>
            <w:tcW w:w="140" w:type="dxa"/>
            <w:vAlign w:val="bottom"/>
            <w:shd w:val="clear" w:color="auto" w:fill="E5E5E5"/>
          </w:tcPr>
          <w:p>
            <w:pPr>
              <w:spacing w:after="0"/>
              <w:rPr>
                <w:sz w:val="17"/>
                <w:szCs w:val="17"/>
                <w:color w:val="auto"/>
              </w:rPr>
            </w:pPr>
          </w:p>
        </w:tc>
        <w:tc>
          <w:tcPr>
            <w:tcW w:w="240" w:type="dxa"/>
            <w:vAlign w:val="bottom"/>
            <w:gridSpan w:val="2"/>
            <w:shd w:val="clear" w:color="auto" w:fill="E5E5E5"/>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E5E5E5"/>
          </w:tcPr>
          <w:p>
            <w:pPr>
              <w:jc w:val="right"/>
              <w:ind w:right="100"/>
              <w:spacing w:after="0" w:line="196" w:lineRule="exact"/>
              <w:rPr>
                <w:sz w:val="20"/>
                <w:szCs w:val="20"/>
                <w:color w:val="auto"/>
              </w:rPr>
            </w:pPr>
            <w:r>
              <w:rPr>
                <w:rFonts w:ascii="Arial" w:cs="Arial" w:eastAsia="Arial" w:hAnsi="Arial"/>
                <w:sz w:val="18"/>
                <w:szCs w:val="18"/>
                <w:color w:val="auto"/>
              </w:rPr>
              <w:t>262</w:t>
            </w:r>
          </w:p>
        </w:tc>
      </w:tr>
      <w:tr>
        <w:trPr>
          <w:trHeight w:val="203"/>
        </w:trPr>
        <w:tc>
          <w:tcPr>
            <w:tcW w:w="8040" w:type="dxa"/>
            <w:vAlign w:val="bottom"/>
            <w:gridSpan w:val="3"/>
          </w:tcPr>
          <w:p>
            <w:pPr>
              <w:spacing w:after="0" w:line="202" w:lineRule="exact"/>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17"/>
                <w:szCs w:val="17"/>
                <w:color w:val="auto"/>
              </w:rPr>
            </w:pPr>
          </w:p>
        </w:tc>
        <w:tc>
          <w:tcPr>
            <w:tcW w:w="8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(19)</w:t>
            </w:r>
          </w:p>
        </w:tc>
        <w:tc>
          <w:tcPr>
            <w:tcW w:w="160" w:type="dxa"/>
            <w:vAlign w:val="bottom"/>
          </w:tcPr>
          <w:p>
            <w:pPr>
              <w:spacing w:after="0"/>
              <w:rPr>
                <w:sz w:val="17"/>
                <w:szCs w:val="17"/>
                <w:color w:val="auto"/>
              </w:rPr>
            </w:pPr>
          </w:p>
        </w:tc>
        <w:tc>
          <w:tcPr>
            <w:tcW w:w="7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(35)</w:t>
            </w:r>
          </w:p>
        </w:tc>
      </w:tr>
      <w:tr>
        <w:trPr>
          <w:trHeight w:val="203"/>
        </w:trPr>
        <w:tc>
          <w:tcPr>
            <w:tcW w:w="20" w:type="dxa"/>
            <w:vAlign w:val="bottom"/>
          </w:tcPr>
          <w:p>
            <w:pPr>
              <w:spacing w:after="0"/>
              <w:rPr>
                <w:sz w:val="17"/>
                <w:szCs w:val="17"/>
                <w:color w:val="auto"/>
              </w:rPr>
            </w:pPr>
          </w:p>
        </w:tc>
        <w:tc>
          <w:tcPr>
            <w:tcW w:w="802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Gain on sales of businesses and assets</w:t>
            </w:r>
          </w:p>
        </w:tc>
        <w:tc>
          <w:tcPr>
            <w:tcW w:w="160" w:type="dxa"/>
            <w:vAlign w:val="bottom"/>
            <w:shd w:val="clear" w:color="auto" w:fill="E5E5E5"/>
          </w:tcPr>
          <w:p>
            <w:pPr>
              <w:spacing w:after="0"/>
              <w:rPr>
                <w:sz w:val="17"/>
                <w:szCs w:val="17"/>
                <w:color w:val="auto"/>
              </w:rPr>
            </w:pPr>
          </w:p>
        </w:tc>
        <w:tc>
          <w:tcPr>
            <w:tcW w:w="80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(18)</w:t>
            </w:r>
          </w:p>
        </w:tc>
        <w:tc>
          <w:tcPr>
            <w:tcW w:w="160" w:type="dxa"/>
            <w:vAlign w:val="bottom"/>
            <w:shd w:val="clear" w:color="auto" w:fill="E5E5E5"/>
          </w:tcPr>
          <w:p>
            <w:pPr>
              <w:spacing w:after="0"/>
              <w:rPr>
                <w:sz w:val="17"/>
                <w:szCs w:val="17"/>
                <w:color w:val="auto"/>
              </w:rPr>
            </w:pPr>
          </w:p>
        </w:tc>
        <w:tc>
          <w:tcPr>
            <w:tcW w:w="74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(16)</w:t>
            </w:r>
          </w:p>
        </w:tc>
        <w:tc>
          <w:tcPr>
            <w:tcW w:w="8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70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(21)</w:t>
            </w:r>
          </w:p>
        </w:tc>
      </w:tr>
      <w:tr>
        <w:trPr>
          <w:trHeight w:val="203"/>
        </w:trPr>
        <w:tc>
          <w:tcPr>
            <w:tcW w:w="8040" w:type="dxa"/>
            <w:vAlign w:val="bottom"/>
            <w:gridSpan w:val="3"/>
          </w:tcPr>
          <w:p>
            <w:pPr>
              <w:spacing w:after="0" w:line="202" w:lineRule="exact"/>
              <w:rPr>
                <w:sz w:val="20"/>
                <w:szCs w:val="20"/>
                <w:color w:val="auto"/>
              </w:rPr>
            </w:pPr>
            <w:r>
              <w:rPr>
                <w:rFonts w:ascii="Arial" w:cs="Arial" w:eastAsia="Arial" w:hAnsi="Arial"/>
                <w:sz w:val="18"/>
                <w:szCs w:val="18"/>
                <w:color w:val="auto"/>
              </w:rPr>
              <w:t>Currency losses, net</w:t>
            </w:r>
          </w:p>
        </w:tc>
        <w:tc>
          <w:tcPr>
            <w:tcW w:w="1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34</w:t>
            </w:r>
          </w:p>
        </w:tc>
      </w:tr>
      <w:tr>
        <w:trPr>
          <w:trHeight w:val="203"/>
        </w:trPr>
        <w:tc>
          <w:tcPr>
            <w:tcW w:w="20" w:type="dxa"/>
            <w:vAlign w:val="bottom"/>
          </w:tcPr>
          <w:p>
            <w:pPr>
              <w:spacing w:after="0"/>
              <w:rPr>
                <w:sz w:val="17"/>
                <w:szCs w:val="17"/>
                <w:color w:val="auto"/>
              </w:rPr>
            </w:pPr>
          </w:p>
        </w:tc>
        <w:tc>
          <w:tcPr>
            <w:tcW w:w="802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ACS shareholders litigation settlement</w:t>
            </w:r>
          </w:p>
        </w:tc>
        <w:tc>
          <w:tcPr>
            <w:tcW w:w="160" w:type="dxa"/>
            <w:vAlign w:val="bottom"/>
            <w:shd w:val="clear" w:color="auto" w:fill="E5E5E5"/>
          </w:tcPr>
          <w:p>
            <w:pPr>
              <w:spacing w:after="0"/>
              <w:rPr>
                <w:sz w:val="17"/>
                <w:szCs w:val="17"/>
                <w:color w:val="auto"/>
              </w:rPr>
            </w:pPr>
          </w:p>
        </w:tc>
        <w:tc>
          <w:tcPr>
            <w:tcW w:w="5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36</w:t>
            </w:r>
          </w:p>
        </w:tc>
        <w:tc>
          <w:tcPr>
            <w:tcW w:w="2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74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7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8040" w:type="dxa"/>
            <w:vAlign w:val="bottom"/>
            <w:gridSpan w:val="3"/>
          </w:tcPr>
          <w:p>
            <w:pPr>
              <w:spacing w:after="0" w:line="202" w:lineRule="exact"/>
              <w:rPr>
                <w:sz w:val="20"/>
                <w:szCs w:val="20"/>
                <w:color w:val="auto"/>
              </w:rPr>
            </w:pPr>
            <w:r>
              <w:rPr>
                <w:rFonts w:ascii="Arial" w:cs="Arial" w:eastAsia="Arial" w:hAnsi="Arial"/>
                <w:sz w:val="18"/>
                <w:szCs w:val="18"/>
                <w:color w:val="auto"/>
              </w:rPr>
              <w:t>Litigation matters</w:t>
            </w:r>
          </w:p>
        </w:tc>
        <w:tc>
          <w:tcPr>
            <w:tcW w:w="160" w:type="dxa"/>
            <w:vAlign w:val="bottom"/>
          </w:tcPr>
          <w:p>
            <w:pPr>
              <w:spacing w:after="0"/>
              <w:rPr>
                <w:sz w:val="17"/>
                <w:szCs w:val="17"/>
                <w:color w:val="auto"/>
              </w:rPr>
            </w:pPr>
          </w:p>
        </w:tc>
        <w:tc>
          <w:tcPr>
            <w:tcW w:w="8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w:t>
            </w:r>
          </w:p>
        </w:tc>
        <w:tc>
          <w:tcPr>
            <w:tcW w:w="160" w:type="dxa"/>
            <w:vAlign w:val="bottom"/>
          </w:tcPr>
          <w:p>
            <w:pPr>
              <w:spacing w:after="0"/>
              <w:rPr>
                <w:sz w:val="17"/>
                <w:szCs w:val="17"/>
                <w:color w:val="auto"/>
              </w:rPr>
            </w:pPr>
          </w:p>
        </w:tc>
        <w:tc>
          <w:tcPr>
            <w:tcW w:w="7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781</w:t>
            </w:r>
          </w:p>
        </w:tc>
      </w:tr>
      <w:tr>
        <w:trPr>
          <w:trHeight w:val="203"/>
        </w:trPr>
        <w:tc>
          <w:tcPr>
            <w:tcW w:w="20" w:type="dxa"/>
            <w:vAlign w:val="bottom"/>
          </w:tcPr>
          <w:p>
            <w:pPr>
              <w:spacing w:after="0"/>
              <w:rPr>
                <w:sz w:val="17"/>
                <w:szCs w:val="17"/>
                <w:color w:val="auto"/>
              </w:rPr>
            </w:pPr>
          </w:p>
        </w:tc>
        <w:tc>
          <w:tcPr>
            <w:tcW w:w="802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Loss on early extinguishment of debt</w:t>
            </w:r>
          </w:p>
        </w:tc>
        <w:tc>
          <w:tcPr>
            <w:tcW w:w="160" w:type="dxa"/>
            <w:vAlign w:val="bottom"/>
            <w:shd w:val="clear" w:color="auto" w:fill="E5E5E5"/>
          </w:tcPr>
          <w:p>
            <w:pPr>
              <w:spacing w:after="0"/>
              <w:rPr>
                <w:sz w:val="17"/>
                <w:szCs w:val="17"/>
                <w:color w:val="auto"/>
              </w:rPr>
            </w:pPr>
          </w:p>
        </w:tc>
        <w:tc>
          <w:tcPr>
            <w:tcW w:w="5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15</w:t>
            </w:r>
          </w:p>
        </w:tc>
        <w:tc>
          <w:tcPr>
            <w:tcW w:w="2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74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7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10"/>
        </w:trPr>
        <w:tc>
          <w:tcPr>
            <w:tcW w:w="8040" w:type="dxa"/>
            <w:vAlign w:val="bottom"/>
            <w:gridSpan w:val="3"/>
          </w:tcPr>
          <w:p>
            <w:pPr>
              <w:spacing w:after="0" w:line="202" w:lineRule="exact"/>
              <w:rPr>
                <w:sz w:val="20"/>
                <w:szCs w:val="20"/>
                <w:color w:val="auto"/>
              </w:rPr>
            </w:pPr>
            <w:r>
              <w:rPr>
                <w:rFonts w:ascii="Arial" w:cs="Arial" w:eastAsia="Arial" w:hAnsi="Arial"/>
                <w:sz w:val="18"/>
                <w:szCs w:val="18"/>
                <w:color w:val="auto"/>
              </w:rPr>
              <w:t>All Other expenses, net</w:t>
            </w: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802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Total Other Expenses, Net</w:t>
            </w:r>
          </w:p>
        </w:tc>
        <w:tc>
          <w:tcPr>
            <w:tcW w:w="160" w:type="dxa"/>
            <w:vAlign w:val="bottom"/>
            <w:shd w:val="clear" w:color="auto" w:fill="E5E5E5"/>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389</w:t>
            </w:r>
          </w:p>
        </w:tc>
        <w:tc>
          <w:tcPr>
            <w:tcW w:w="220" w:type="dxa"/>
            <w:vAlign w:val="bottom"/>
            <w:shd w:val="clear" w:color="auto" w:fill="E5E5E5"/>
          </w:tcPr>
          <w:p>
            <w:pPr>
              <w:spacing w:after="0"/>
              <w:rPr>
                <w:sz w:val="17"/>
                <w:szCs w:val="17"/>
                <w:color w:val="auto"/>
              </w:rPr>
            </w:pPr>
          </w:p>
        </w:tc>
        <w:tc>
          <w:tcPr>
            <w:tcW w:w="1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285</w:t>
            </w:r>
          </w:p>
        </w:tc>
        <w:tc>
          <w:tcPr>
            <w:tcW w:w="24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1,033</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jc w:val="right"/>
        <w:spacing w:after="0"/>
        <w:rPr>
          <w:sz w:val="20"/>
          <w:szCs w:val="20"/>
          <w:color w:val="auto"/>
        </w:rPr>
      </w:pPr>
      <w:r>
        <w:rPr>
          <w:rFonts w:ascii="Arial" w:cs="Arial" w:eastAsia="Arial" w:hAnsi="Arial"/>
          <w:sz w:val="14"/>
          <w:szCs w:val="14"/>
          <w:color w:val="4C9F40"/>
        </w:rPr>
        <w:t>Xerox 2010 Annual Report 19</w:t>
      </w:r>
    </w:p>
    <w:p>
      <w:pPr>
        <w:sectPr>
          <w:pgSz w:w="11900" w:h="16838" w:orient="portrait"/>
          <w:cols w:equalWidth="0" w:num="1">
            <w:col w:w="11420"/>
          </w:cols>
          <w:pgMar w:left="240" w:top="404" w:right="239" w:bottom="1440" w:gutter="0" w:footer="0" w:header="0"/>
        </w:sectPr>
      </w:pPr>
    </w:p>
    <w:bookmarkStart w:id="96" w:name="page97"/>
    <w:bookmarkEnd w:id="96"/>
    <w:p>
      <w:pPr>
        <w:ind w:right="40"/>
        <w:spacing w:after="0" w:line="249" w:lineRule="auto"/>
        <w:rPr>
          <w:sz w:val="20"/>
          <w:szCs w:val="20"/>
          <w:color w:val="auto"/>
        </w:rPr>
      </w:pPr>
      <w:r>
        <w:rPr>
          <w:rFonts w:ascii="Arial" w:cs="Arial" w:eastAsia="Arial" w:hAnsi="Arial"/>
          <w:sz w:val="18"/>
          <w:szCs w:val="18"/>
          <w:b w:val="1"/>
          <w:bCs w:val="1"/>
          <w:color w:val="4C9F40"/>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Non-financing interest expense: </w:t>
      </w:r>
      <w:r>
        <w:rPr>
          <w:rFonts w:ascii="Arial" w:cs="Arial" w:eastAsia="Arial" w:hAnsi="Arial"/>
          <w:sz w:val="18"/>
          <w:szCs w:val="18"/>
          <w:color w:val="000000"/>
        </w:rPr>
        <w:t>2010 non-financing interest expense of $346 million increased $90 million from 2009 due to higher average</w:t>
      </w:r>
      <w:r>
        <w:rPr>
          <w:rFonts w:ascii="Arial" w:cs="Arial" w:eastAsia="Arial" w:hAnsi="Arial"/>
          <w:sz w:val="18"/>
          <w:szCs w:val="18"/>
          <w:b w:val="1"/>
          <w:bCs w:val="1"/>
          <w:color w:val="4C9F40"/>
        </w:rPr>
        <w:t xml:space="preserve"> </w:t>
      </w:r>
      <w:r>
        <w:rPr>
          <w:rFonts w:ascii="Arial" w:cs="Arial" w:eastAsia="Arial" w:hAnsi="Arial"/>
          <w:sz w:val="18"/>
          <w:szCs w:val="18"/>
          <w:color w:val="000000"/>
        </w:rPr>
        <w:t>debt balances, primarily resulting from the funding of the ACS acquisition, partially offset by the early extinguishment of certain debt instruments as well as the scheduled repayments of other debt.</w:t>
      </w:r>
    </w:p>
    <w:p>
      <w:pPr>
        <w:spacing w:after="0" w:line="148"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In 2009 non-financing interest expense decreased compared to 2008, as interest expense associated with our $2.0 billion Senior Note offering for the funding of the ACS acquisition was more than offset by lower interest rates on the remaining debt.</w:t>
      </w:r>
    </w:p>
    <w:p>
      <w:pPr>
        <w:spacing w:after="0" w:line="13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color w:val="4C9F40"/>
        </w:rPr>
        <w:t xml:space="preserve">Interest income: </w:t>
      </w:r>
      <w:r>
        <w:rPr>
          <w:rFonts w:ascii="Arial" w:cs="Arial" w:eastAsia="Arial" w:hAnsi="Arial"/>
          <w:sz w:val="18"/>
          <w:szCs w:val="18"/>
          <w:color w:val="000000"/>
        </w:rPr>
        <w:t>Interest income is derived primarily from our invested cash and cash equivalent balances. The decline in interest income in 2010</w:t>
      </w:r>
      <w:r>
        <w:rPr>
          <w:rFonts w:ascii="Arial" w:cs="Arial" w:eastAsia="Arial" w:hAnsi="Arial"/>
          <w:sz w:val="18"/>
          <w:szCs w:val="18"/>
          <w:b w:val="1"/>
          <w:bCs w:val="1"/>
          <w:color w:val="4C9F40"/>
        </w:rPr>
        <w:t xml:space="preserve"> </w:t>
      </w:r>
      <w:r>
        <w:rPr>
          <w:rFonts w:ascii="Arial" w:cs="Arial" w:eastAsia="Arial" w:hAnsi="Arial"/>
          <w:sz w:val="18"/>
          <w:szCs w:val="18"/>
          <w:color w:val="000000"/>
        </w:rPr>
        <w:t>and 2009 was primarily due to lower average cash balances and rates of return.</w:t>
      </w:r>
    </w:p>
    <w:p>
      <w:pPr>
        <w:spacing w:after="0" w:line="112"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b w:val="1"/>
          <w:bCs w:val="1"/>
          <w:color w:val="4C9F40"/>
        </w:rPr>
        <w:t xml:space="preserve">Gain on sales of businesses and assets: </w:t>
      </w:r>
      <w:r>
        <w:rPr>
          <w:rFonts w:ascii="Arial" w:cs="Arial" w:eastAsia="Arial" w:hAnsi="Arial"/>
          <w:sz w:val="18"/>
          <w:szCs w:val="18"/>
          <w:color w:val="000000"/>
        </w:rPr>
        <w:t>Gains on sales of business and assets primarily consisted of the sales of certain surplus facilities in</w:t>
      </w:r>
      <w:r>
        <w:rPr>
          <w:rFonts w:ascii="Arial" w:cs="Arial" w:eastAsia="Arial" w:hAnsi="Arial"/>
          <w:sz w:val="18"/>
          <w:szCs w:val="18"/>
          <w:b w:val="1"/>
          <w:bCs w:val="1"/>
          <w:color w:val="4C9F40"/>
        </w:rPr>
        <w:t xml:space="preserve"> </w:t>
      </w:r>
      <w:r>
        <w:rPr>
          <w:rFonts w:ascii="Arial" w:cs="Arial" w:eastAsia="Arial" w:hAnsi="Arial"/>
          <w:sz w:val="18"/>
          <w:szCs w:val="18"/>
          <w:color w:val="000000"/>
        </w:rPr>
        <w:t>Latin America.</w:t>
      </w:r>
    </w:p>
    <w:p>
      <w:pPr>
        <w:spacing w:after="0" w:line="112" w:lineRule="exact"/>
        <w:rPr>
          <w:sz w:val="20"/>
          <w:szCs w:val="20"/>
          <w:color w:val="auto"/>
        </w:rPr>
      </w:pPr>
    </w:p>
    <w:p>
      <w:pPr>
        <w:spacing w:after="0" w:line="244" w:lineRule="auto"/>
        <w:rPr>
          <w:sz w:val="20"/>
          <w:szCs w:val="20"/>
          <w:color w:val="auto"/>
        </w:rPr>
      </w:pPr>
      <w:r>
        <w:rPr>
          <w:rFonts w:ascii="Arial" w:cs="Arial" w:eastAsia="Arial" w:hAnsi="Arial"/>
          <w:sz w:val="18"/>
          <w:szCs w:val="18"/>
          <w:b w:val="1"/>
          <w:bCs w:val="1"/>
          <w:color w:val="4C9F40"/>
        </w:rPr>
        <w:t xml:space="preserve">Currency losses, net: </w:t>
      </w:r>
      <w:r>
        <w:rPr>
          <w:rFonts w:ascii="Arial" w:cs="Arial" w:eastAsia="Arial" w:hAnsi="Arial"/>
          <w:sz w:val="18"/>
          <w:szCs w:val="18"/>
          <w:color w:val="000000"/>
        </w:rPr>
        <w:t>Currency losses primarily result from the re-measurement of foreign currency-denominated assets and liabilities, the cost of</w:t>
      </w:r>
      <w:r>
        <w:rPr>
          <w:rFonts w:ascii="Arial" w:cs="Arial" w:eastAsia="Arial" w:hAnsi="Arial"/>
          <w:sz w:val="18"/>
          <w:szCs w:val="18"/>
          <w:b w:val="1"/>
          <w:bCs w:val="1"/>
          <w:color w:val="4C9F40"/>
        </w:rPr>
        <w:t xml:space="preserve"> </w:t>
      </w:r>
      <w:r>
        <w:rPr>
          <w:rFonts w:ascii="Arial" w:cs="Arial" w:eastAsia="Arial" w:hAnsi="Arial"/>
          <w:sz w:val="18"/>
          <w:szCs w:val="18"/>
          <w:color w:val="000000"/>
        </w:rPr>
        <w:t>hedging foreign currency-denominated assets and liabilities, the mark-to-market of foreign exchange contracts utilized to hedge those foreign currency-denominated assets and liabilities and the mark-to-market impact of hedges of anticipated transactions, primarily future inventory purchases, for those that we do not apply cash flow hedge accounting treatment.</w:t>
      </w:r>
    </w:p>
    <w:p>
      <w:pPr>
        <w:spacing w:after="0" w:line="153"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The 2010 net currency losses were primarily due to the currency devaluation in Venezuela. In January 2010, Venezuela announced a devaluation of the Bolivar to an official rate of 4.30 Bolivars to the U.S. Dollar for a majority of our products. As a result of this devaluation, we recorded a currency loss of $21 million in the first quarter of 2010 for the re-measurement of our net Bolivar-denominated monetary assets. This loss was partially offset by a cumulative translation gain of $6 million that was recognized upon the repatriation of cash and liquidation of a foreign subsidiary.</w:t>
      </w:r>
    </w:p>
    <w:p>
      <w:pPr>
        <w:spacing w:after="0" w:line="157"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The 2009 net currency losses were primarily due to the significant movement in exchange rates among the U.S. Dollar, Euro and Yen in the first quarter of 2009, as well as the increased cost of hedging, particularly in developing markets.</w:t>
      </w:r>
    </w:p>
    <w:p>
      <w:pPr>
        <w:spacing w:after="0" w:line="155" w:lineRule="exact"/>
        <w:rPr>
          <w:sz w:val="20"/>
          <w:szCs w:val="20"/>
          <w:color w:val="auto"/>
        </w:rPr>
      </w:pPr>
    </w:p>
    <w:p>
      <w:pPr>
        <w:jc w:val="both"/>
        <w:ind w:right="340"/>
        <w:spacing w:after="0" w:line="281" w:lineRule="auto"/>
        <w:rPr>
          <w:sz w:val="20"/>
          <w:szCs w:val="20"/>
          <w:color w:val="auto"/>
        </w:rPr>
      </w:pPr>
      <w:r>
        <w:rPr>
          <w:rFonts w:ascii="Arial" w:cs="Arial" w:eastAsia="Arial" w:hAnsi="Arial"/>
          <w:sz w:val="16"/>
          <w:szCs w:val="16"/>
          <w:color w:val="auto"/>
        </w:rPr>
        <w:t>The 2008 currency losses were primarily due to net re-measurement losses associated with our Yen-denominated payables, foreign currency-denominated assets and liabilities in our developing markets and the cost of hedging. The currency losses on Yen-denominated payables were largely limited to the first quarter 2008 as a result of the significant and rapid weakening of the U.S. Dollar and Euro versus the Yen.</w:t>
      </w:r>
    </w:p>
    <w:p>
      <w:pPr>
        <w:spacing w:after="0" w:line="102" w:lineRule="exact"/>
        <w:rPr>
          <w:sz w:val="20"/>
          <w:szCs w:val="20"/>
          <w:color w:val="auto"/>
        </w:rPr>
      </w:pPr>
    </w:p>
    <w:p>
      <w:pPr>
        <w:jc w:val="both"/>
        <w:ind w:right="40"/>
        <w:spacing w:after="0" w:line="249" w:lineRule="auto"/>
        <w:rPr>
          <w:sz w:val="20"/>
          <w:szCs w:val="20"/>
          <w:color w:val="auto"/>
        </w:rPr>
      </w:pPr>
      <w:r>
        <w:rPr>
          <w:rFonts w:ascii="Arial" w:cs="Arial" w:eastAsia="Arial" w:hAnsi="Arial"/>
          <w:sz w:val="18"/>
          <w:szCs w:val="18"/>
          <w:b w:val="1"/>
          <w:bCs w:val="1"/>
          <w:color w:val="4C9F40"/>
        </w:rPr>
        <w:t xml:space="preserve">ACS Shareholders’ Litigation Settlement: </w:t>
      </w:r>
      <w:r>
        <w:rPr>
          <w:rFonts w:ascii="Arial" w:cs="Arial" w:eastAsia="Arial" w:hAnsi="Arial"/>
          <w:sz w:val="18"/>
          <w:szCs w:val="18"/>
          <w:color w:val="000000"/>
        </w:rPr>
        <w:t>Represents litigation expense of $36 million for the settlement of claims by ACS shareholders arising</w:t>
      </w:r>
      <w:r>
        <w:rPr>
          <w:rFonts w:ascii="Arial" w:cs="Arial" w:eastAsia="Arial" w:hAnsi="Arial"/>
          <w:sz w:val="18"/>
          <w:szCs w:val="18"/>
          <w:b w:val="1"/>
          <w:bCs w:val="1"/>
          <w:color w:val="4C9F40"/>
        </w:rPr>
        <w:t xml:space="preserve"> </w:t>
      </w:r>
      <w:r>
        <w:rPr>
          <w:rFonts w:ascii="Arial" w:cs="Arial" w:eastAsia="Arial" w:hAnsi="Arial"/>
          <w:sz w:val="18"/>
          <w:szCs w:val="18"/>
          <w:color w:val="000000"/>
        </w:rPr>
        <w:t>from our acquisition of ACS. The total settlement for all defendants was approximately $69 million, with Xerox paying approximately $36 million net of insurance proceeds.</w:t>
      </w:r>
    </w:p>
    <w:p>
      <w:pPr>
        <w:spacing w:after="0" w:line="126"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b w:val="1"/>
          <w:bCs w:val="1"/>
          <w:color w:val="4C9F40"/>
        </w:rPr>
        <w:t xml:space="preserve">Litigation matters: </w:t>
      </w:r>
      <w:r>
        <w:rPr>
          <w:rFonts w:ascii="Arial" w:cs="Arial" w:eastAsia="Arial" w:hAnsi="Arial"/>
          <w:sz w:val="18"/>
          <w:szCs w:val="18"/>
          <w:color w:val="000000"/>
        </w:rPr>
        <w:t>The 2010 and 2009 amounts for litigation matters primarily relate to changes in estimated probable losses for various legal</w:t>
      </w:r>
      <w:r>
        <w:rPr>
          <w:rFonts w:ascii="Arial" w:cs="Arial" w:eastAsia="Arial" w:hAnsi="Arial"/>
          <w:sz w:val="18"/>
          <w:szCs w:val="18"/>
          <w:b w:val="1"/>
          <w:bCs w:val="1"/>
          <w:color w:val="4C9F40"/>
        </w:rPr>
        <w:t xml:space="preserve"> </w:t>
      </w:r>
      <w:r>
        <w:rPr>
          <w:rFonts w:ascii="Arial" w:cs="Arial" w:eastAsia="Arial" w:hAnsi="Arial"/>
          <w:sz w:val="18"/>
          <w:szCs w:val="18"/>
          <w:color w:val="000000"/>
        </w:rPr>
        <w:t>matters.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In 2008 legal matters consisted of the following:</w:t>
      </w:r>
    </w:p>
    <w:p>
      <w:pPr>
        <w:spacing w:after="0" w:line="59" w:lineRule="exact"/>
        <w:rPr>
          <w:sz w:val="20"/>
          <w:szCs w:val="20"/>
          <w:color w:val="auto"/>
        </w:rPr>
      </w:pPr>
    </w:p>
    <w:p>
      <w:pPr>
        <w:ind w:left="340" w:right="140" w:hanging="332"/>
        <w:spacing w:after="0" w:line="245" w:lineRule="auto"/>
        <w:tabs>
          <w:tab w:leader="none" w:pos="3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$721 million reflecting provisions for the $670 million court approved settlement of </w:t>
      </w:r>
      <w:r>
        <w:rPr>
          <w:rFonts w:ascii="Arial" w:cs="Arial" w:eastAsia="Arial" w:hAnsi="Arial"/>
          <w:sz w:val="18"/>
          <w:szCs w:val="18"/>
          <w:i w:val="1"/>
          <w:iCs w:val="1"/>
          <w:color w:val="auto"/>
        </w:rPr>
        <w:t>Carlson v. Xerox Corporation</w:t>
      </w:r>
      <w:r>
        <w:rPr>
          <w:rFonts w:ascii="Arial" w:cs="Arial" w:eastAsia="Arial" w:hAnsi="Arial"/>
          <w:sz w:val="18"/>
          <w:szCs w:val="18"/>
          <w:color w:val="auto"/>
        </w:rPr>
        <w:t xml:space="preserve"> and other pending securities-related cases, net of insurance recoveries.</w:t>
      </w:r>
    </w:p>
    <w:p>
      <w:pPr>
        <w:jc w:val="both"/>
        <w:ind w:left="340" w:right="140" w:hanging="332"/>
        <w:spacing w:after="0" w:line="234" w:lineRule="auto"/>
        <w:tabs>
          <w:tab w:leader="none" w:pos="3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$36 million for probable losses on Brazilian labor-related contingencies. Following an assessment of the most recent trend in the outcomes of these matters, we reassessed the probable estimated loss and, as a result, recorded an additional reserve of $36 million in the fourth quarter of 2008.</w:t>
      </w:r>
    </w:p>
    <w:p>
      <w:pPr>
        <w:spacing w:after="0" w:line="2" w:lineRule="exact"/>
        <w:rPr>
          <w:rFonts w:ascii="Arial" w:cs="Arial" w:eastAsia="Arial" w:hAnsi="Arial"/>
          <w:sz w:val="18"/>
          <w:szCs w:val="18"/>
          <w:color w:val="auto"/>
        </w:rPr>
      </w:pPr>
    </w:p>
    <w:p>
      <w:pPr>
        <w:ind w:left="340" w:hanging="332"/>
        <w:spacing w:after="0"/>
        <w:tabs>
          <w:tab w:leader="none" w:pos="3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$24 million associated with probable losses from various other legal matters.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17 – Contingencies in the Consolidated Financial Statements for additional information regarding litigation against the Company.</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4"/>
          <w:szCs w:val="14"/>
          <w:color w:val="4C9F40"/>
        </w:rPr>
        <w:t>Xerox 2010 Annual Report 20</w:t>
      </w:r>
    </w:p>
    <w:p>
      <w:pPr>
        <w:sectPr>
          <w:pgSz w:w="11900" w:h="16838" w:orient="portrait"/>
          <w:cols w:equalWidth="0" w:num="1">
            <w:col w:w="11420"/>
          </w:cols>
          <w:pgMar w:left="240" w:top="323" w:right="239" w:bottom="1440" w:gutter="0" w:footer="0" w:header="0"/>
        </w:sectPr>
      </w:pPr>
    </w:p>
    <w:bookmarkStart w:id="97" w:name="page98"/>
    <w:bookmarkEnd w:id="97"/>
    <w:p>
      <w:pPr>
        <w:spacing w:after="0"/>
        <w:rPr>
          <w:sz w:val="20"/>
          <w:szCs w:val="20"/>
          <w:color w:val="auto"/>
        </w:rPr>
      </w:pPr>
      <w:r>
        <w:rPr>
          <w:rFonts w:ascii="Arial" w:cs="Arial" w:eastAsia="Arial" w:hAnsi="Arial"/>
          <w:sz w:val="16"/>
          <w:szCs w:val="16"/>
          <w:b w:val="1"/>
          <w:bCs w:val="1"/>
          <w:color w:val="4C9F40"/>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All other expenses, net: </w:t>
      </w:r>
      <w:r>
        <w:rPr>
          <w:rFonts w:ascii="Arial" w:cs="Arial" w:eastAsia="Arial" w:hAnsi="Arial"/>
          <w:sz w:val="16"/>
          <w:szCs w:val="16"/>
          <w:color w:val="000000"/>
        </w:rPr>
        <w:t>All Other expenses in 2010 decreased primarily due to lower interest expense on the Brazil tax and labor contingencies.</w:t>
      </w:r>
    </w:p>
    <w:p>
      <w:pPr>
        <w:spacing w:after="0" w:line="203" w:lineRule="exact"/>
        <w:rPr>
          <w:sz w:val="20"/>
          <w:szCs w:val="20"/>
          <w:color w:val="auto"/>
        </w:rPr>
      </w:pPr>
    </w:p>
    <w:p>
      <w:pPr>
        <w:ind w:right="440"/>
        <w:spacing w:after="0" w:line="239" w:lineRule="auto"/>
        <w:rPr>
          <w:sz w:val="20"/>
          <w:szCs w:val="20"/>
          <w:color w:val="auto"/>
        </w:rPr>
      </w:pPr>
      <w:r>
        <w:rPr>
          <w:rFonts w:ascii="Arial" w:cs="Arial" w:eastAsia="Arial" w:hAnsi="Arial"/>
          <w:sz w:val="18"/>
          <w:szCs w:val="18"/>
          <w:color w:val="auto"/>
        </w:rPr>
        <w:t>All Other expenses, net in 2009 were $19 million higher than 2008, primarily due to fees associated with the sale of receivables, as well as an increase in interest expense related to Brazil tax and labor contingencies.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Income Taxes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8"/>
          </w:tcPr>
          <w:p>
            <w:pPr>
              <w:jc w:val="center"/>
              <w:ind w:right="420"/>
              <w:spacing w:after="0"/>
              <w:rPr>
                <w:sz w:val="20"/>
                <w:szCs w:val="20"/>
                <w:color w:val="auto"/>
              </w:rPr>
            </w:pPr>
            <w:r>
              <w:rPr>
                <w:rFonts w:ascii="Arial" w:cs="Arial" w:eastAsia="Arial" w:hAnsi="Arial"/>
                <w:sz w:val="14"/>
                <w:szCs w:val="14"/>
                <w:color w:val="auto"/>
                <w:w w:val="95"/>
              </w:rPr>
              <w:t>Year Ended December 31,</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2"/>
          </w:tcPr>
          <w:p>
            <w:pPr>
              <w:jc w:val="right"/>
              <w:ind w:right="94"/>
              <w:spacing w:after="0" w:line="142" w:lineRule="exact"/>
              <w:rPr>
                <w:sz w:val="20"/>
                <w:szCs w:val="20"/>
                <w:color w:val="auto"/>
              </w:rPr>
            </w:pPr>
            <w:r>
              <w:rPr>
                <w:rFonts w:ascii="Arial" w:cs="Arial" w:eastAsia="Arial" w:hAnsi="Arial"/>
                <w:sz w:val="14"/>
                <w:szCs w:val="14"/>
                <w:color w:val="auto"/>
              </w:rPr>
              <w:t>2010</w:t>
            </w: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6"/>
              </w:rPr>
              <w:t>2009</w:t>
            </w: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2"/>
          </w:tcPr>
          <w:p>
            <w:pPr>
              <w:jc w:val="right"/>
              <w:ind w:right="74"/>
              <w:spacing w:after="0" w:line="142" w:lineRule="exact"/>
              <w:rPr>
                <w:sz w:val="20"/>
                <w:szCs w:val="20"/>
                <w:color w:val="auto"/>
              </w:rPr>
            </w:pPr>
            <w:r>
              <w:rPr>
                <w:rFonts w:ascii="Arial" w:cs="Arial" w:eastAsia="Arial" w:hAnsi="Arial"/>
                <w:sz w:val="14"/>
                <w:szCs w:val="14"/>
                <w:color w:val="auto"/>
              </w:rPr>
              <w:t>2008</w:t>
            </w: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3"/>
          </w:tcPr>
          <w:p>
            <w:pPr>
              <w:ind w:left="40"/>
              <w:spacing w:after="0" w:line="141" w:lineRule="exact"/>
              <w:rPr>
                <w:sz w:val="20"/>
                <w:szCs w:val="20"/>
                <w:color w:val="auto"/>
              </w:rPr>
            </w:pPr>
            <w:r>
              <w:rPr>
                <w:rFonts w:ascii="Arial" w:cs="Arial" w:eastAsia="Arial" w:hAnsi="Arial"/>
                <w:sz w:val="14"/>
                <w:szCs w:val="14"/>
                <w:color w:val="auto"/>
              </w:rPr>
              <w:t>Income</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3"/>
          </w:tcPr>
          <w:p>
            <w:pPr>
              <w:jc w:val="center"/>
              <w:ind w:right="180"/>
              <w:spacing w:after="0" w:line="141" w:lineRule="exact"/>
              <w:rPr>
                <w:sz w:val="20"/>
                <w:szCs w:val="20"/>
                <w:color w:val="auto"/>
              </w:rPr>
            </w:pPr>
            <w:r>
              <w:rPr>
                <w:rFonts w:ascii="Arial" w:cs="Arial" w:eastAsia="Arial" w:hAnsi="Arial"/>
                <w:sz w:val="14"/>
                <w:szCs w:val="14"/>
                <w:color w:val="auto"/>
                <w:w w:val="95"/>
              </w:rPr>
              <w:t>Income</w:t>
            </w: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3"/>
          </w:tcPr>
          <w:p>
            <w:pPr>
              <w:jc w:val="right"/>
              <w:ind w:right="220"/>
              <w:spacing w:after="0" w:line="141" w:lineRule="exact"/>
              <w:rPr>
                <w:sz w:val="20"/>
                <w:szCs w:val="20"/>
                <w:color w:val="auto"/>
              </w:rPr>
            </w:pPr>
            <w:r>
              <w:rPr>
                <w:rFonts w:ascii="Arial" w:cs="Arial" w:eastAsia="Arial" w:hAnsi="Arial"/>
                <w:sz w:val="14"/>
                <w:szCs w:val="14"/>
                <w:color w:val="auto"/>
              </w:rPr>
              <w:t>Income</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84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Pre-Tax</w:t>
            </w:r>
          </w:p>
        </w:tc>
        <w:tc>
          <w:tcPr>
            <w:tcW w:w="120" w:type="dxa"/>
            <w:vAlign w:val="bottom"/>
          </w:tcPr>
          <w:p>
            <w:pPr>
              <w:spacing w:after="0"/>
              <w:rPr>
                <w:sz w:val="12"/>
                <w:szCs w:val="12"/>
                <w:color w:val="auto"/>
              </w:rPr>
            </w:pPr>
          </w:p>
        </w:tc>
        <w:tc>
          <w:tcPr>
            <w:tcW w:w="5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4"/>
              </w:rPr>
              <w:t>Tax</w:t>
            </w:r>
          </w:p>
        </w:tc>
        <w:tc>
          <w:tcPr>
            <w:tcW w:w="760" w:type="dxa"/>
            <w:vAlign w:val="bottom"/>
            <w:gridSpan w:val="2"/>
          </w:tcPr>
          <w:p>
            <w:pPr>
              <w:spacing w:after="0" w:line="149" w:lineRule="exact"/>
              <w:rPr>
                <w:sz w:val="20"/>
                <w:szCs w:val="20"/>
                <w:color w:val="auto"/>
              </w:rPr>
            </w:pPr>
            <w:r>
              <w:rPr>
                <w:rFonts w:ascii="Arial" w:cs="Arial" w:eastAsia="Arial" w:hAnsi="Arial"/>
                <w:sz w:val="14"/>
                <w:szCs w:val="14"/>
                <w:color w:val="auto"/>
              </w:rPr>
              <w:t>Effective</w:t>
            </w:r>
          </w:p>
        </w:tc>
        <w:tc>
          <w:tcPr>
            <w:tcW w:w="60" w:type="dxa"/>
            <w:vAlign w:val="bottom"/>
          </w:tcPr>
          <w:p>
            <w:pPr>
              <w:spacing w:after="0"/>
              <w:rPr>
                <w:sz w:val="12"/>
                <w:szCs w:val="12"/>
                <w:color w:val="auto"/>
              </w:rPr>
            </w:pPr>
          </w:p>
        </w:tc>
        <w:tc>
          <w:tcPr>
            <w:tcW w:w="6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Pre-Tax</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4"/>
              </w:rPr>
              <w:t>Tax</w:t>
            </w:r>
          </w:p>
        </w:tc>
        <w:tc>
          <w:tcPr>
            <w:tcW w:w="820" w:type="dxa"/>
            <w:vAlign w:val="bottom"/>
            <w:gridSpan w:val="2"/>
          </w:tcPr>
          <w:p>
            <w:pPr>
              <w:spacing w:after="0" w:line="149" w:lineRule="exact"/>
              <w:rPr>
                <w:sz w:val="20"/>
                <w:szCs w:val="20"/>
                <w:color w:val="auto"/>
              </w:rPr>
            </w:pPr>
            <w:r>
              <w:rPr>
                <w:rFonts w:ascii="Arial" w:cs="Arial" w:eastAsia="Arial" w:hAnsi="Arial"/>
                <w:sz w:val="14"/>
                <w:szCs w:val="14"/>
                <w:color w:val="auto"/>
              </w:rPr>
              <w:t>Effective</w:t>
            </w:r>
          </w:p>
        </w:tc>
        <w:tc>
          <w:tcPr>
            <w:tcW w:w="82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Pre-Tax</w:t>
            </w:r>
          </w:p>
        </w:tc>
        <w:tc>
          <w:tcPr>
            <w:tcW w:w="120" w:type="dxa"/>
            <w:vAlign w:val="bottom"/>
          </w:tcPr>
          <w:p>
            <w:pPr>
              <w:spacing w:after="0"/>
              <w:rPr>
                <w:sz w:val="12"/>
                <w:szCs w:val="12"/>
                <w:color w:val="auto"/>
              </w:rPr>
            </w:pPr>
          </w:p>
        </w:tc>
        <w:tc>
          <w:tcPr>
            <w:tcW w:w="5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4"/>
              </w:rPr>
              <w:t>Tax</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6"/>
              </w:rPr>
              <w:t>Effective</w:t>
            </w:r>
          </w:p>
        </w:tc>
        <w:tc>
          <w:tcPr>
            <w:tcW w:w="0" w:type="dxa"/>
            <w:vAlign w:val="bottom"/>
          </w:tcPr>
          <w:p>
            <w:pPr>
              <w:spacing w:after="0"/>
              <w:rPr>
                <w:sz w:val="1"/>
                <w:szCs w:val="1"/>
                <w:color w:val="auto"/>
              </w:rPr>
            </w:pPr>
          </w:p>
        </w:tc>
      </w:tr>
      <w:tr>
        <w:trPr>
          <w:trHeight w:val="149"/>
        </w:trPr>
        <w:tc>
          <w:tcPr>
            <w:tcW w:w="4580" w:type="dxa"/>
            <w:vAlign w:val="bottom"/>
            <w:gridSpan w:val="4"/>
          </w:tcPr>
          <w:p>
            <w:pPr>
              <w:spacing w:after="0" w:line="149" w:lineRule="exact"/>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12"/>
                <w:szCs w:val="12"/>
                <w:color w:val="auto"/>
              </w:rPr>
            </w:pPr>
          </w:p>
        </w:tc>
        <w:tc>
          <w:tcPr>
            <w:tcW w:w="740" w:type="dxa"/>
            <w:vAlign w:val="bottom"/>
            <w:gridSpan w:val="2"/>
          </w:tcPr>
          <w:p>
            <w:pPr>
              <w:spacing w:after="0" w:line="149" w:lineRule="exact"/>
              <w:rPr>
                <w:sz w:val="20"/>
                <w:szCs w:val="20"/>
                <w:color w:val="auto"/>
              </w:rPr>
            </w:pPr>
            <w:r>
              <w:rPr>
                <w:rFonts w:ascii="Arial" w:cs="Arial" w:eastAsia="Arial" w:hAnsi="Arial"/>
                <w:sz w:val="14"/>
                <w:szCs w:val="14"/>
                <w:color w:val="auto"/>
              </w:rPr>
              <w:t>Income</w:t>
            </w:r>
          </w:p>
        </w:tc>
        <w:tc>
          <w:tcPr>
            <w:tcW w:w="700" w:type="dxa"/>
            <w:vAlign w:val="bottom"/>
            <w:gridSpan w:val="3"/>
          </w:tcPr>
          <w:p>
            <w:pPr>
              <w:spacing w:after="0" w:line="149" w:lineRule="exact"/>
              <w:rPr>
                <w:sz w:val="20"/>
                <w:szCs w:val="20"/>
                <w:color w:val="auto"/>
              </w:rPr>
            </w:pPr>
            <w:r>
              <w:rPr>
                <w:rFonts w:ascii="Arial" w:cs="Arial" w:eastAsia="Arial" w:hAnsi="Arial"/>
                <w:sz w:val="14"/>
                <w:szCs w:val="14"/>
                <w:color w:val="auto"/>
              </w:rPr>
              <w:t>Expense</w:t>
            </w:r>
          </w:p>
        </w:tc>
        <w:tc>
          <w:tcPr>
            <w:tcW w:w="760" w:type="dxa"/>
            <w:vAlign w:val="bottom"/>
            <w:gridSpan w:val="2"/>
          </w:tcPr>
          <w:p>
            <w:pPr>
              <w:spacing w:after="0" w:line="149" w:lineRule="exact"/>
              <w:rPr>
                <w:sz w:val="20"/>
                <w:szCs w:val="20"/>
                <w:color w:val="auto"/>
              </w:rPr>
            </w:pPr>
            <w:r>
              <w:rPr>
                <w:rFonts w:ascii="Arial" w:cs="Arial" w:eastAsia="Arial" w:hAnsi="Arial"/>
                <w:sz w:val="14"/>
                <w:szCs w:val="14"/>
                <w:color w:val="auto"/>
              </w:rPr>
              <w:t>Tax Rate</w:t>
            </w:r>
          </w:p>
        </w:tc>
        <w:tc>
          <w:tcPr>
            <w:tcW w:w="60" w:type="dxa"/>
            <w:vAlign w:val="bottom"/>
          </w:tcPr>
          <w:p>
            <w:pPr>
              <w:spacing w:after="0"/>
              <w:rPr>
                <w:sz w:val="12"/>
                <w:szCs w:val="12"/>
                <w:color w:val="auto"/>
              </w:rPr>
            </w:pPr>
          </w:p>
        </w:tc>
        <w:tc>
          <w:tcPr>
            <w:tcW w:w="6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Income</w:t>
            </w:r>
          </w:p>
        </w:tc>
        <w:tc>
          <w:tcPr>
            <w:tcW w:w="60" w:type="dxa"/>
            <w:vAlign w:val="bottom"/>
          </w:tcPr>
          <w:p>
            <w:pPr>
              <w:spacing w:after="0"/>
              <w:rPr>
                <w:sz w:val="12"/>
                <w:szCs w:val="12"/>
                <w:color w:val="auto"/>
              </w:rPr>
            </w:pPr>
          </w:p>
        </w:tc>
        <w:tc>
          <w:tcPr>
            <w:tcW w:w="70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w w:val="95"/>
              </w:rPr>
              <w:t>Expense</w:t>
            </w:r>
          </w:p>
        </w:tc>
        <w:tc>
          <w:tcPr>
            <w:tcW w:w="820" w:type="dxa"/>
            <w:vAlign w:val="bottom"/>
            <w:gridSpan w:val="2"/>
          </w:tcPr>
          <w:p>
            <w:pPr>
              <w:spacing w:after="0" w:line="149" w:lineRule="exact"/>
              <w:rPr>
                <w:sz w:val="20"/>
                <w:szCs w:val="20"/>
                <w:color w:val="auto"/>
              </w:rPr>
            </w:pPr>
            <w:r>
              <w:rPr>
                <w:rFonts w:ascii="Arial" w:cs="Arial" w:eastAsia="Arial" w:hAnsi="Arial"/>
                <w:sz w:val="14"/>
                <w:szCs w:val="14"/>
                <w:color w:val="auto"/>
              </w:rPr>
              <w:t>Tax Rate</w:t>
            </w:r>
          </w:p>
        </w:tc>
        <w:tc>
          <w:tcPr>
            <w:tcW w:w="10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1"/>
              </w:rPr>
              <w:t>Income</w:t>
            </w:r>
          </w:p>
        </w:tc>
        <w:tc>
          <w:tcPr>
            <w:tcW w:w="700" w:type="dxa"/>
            <w:vAlign w:val="bottom"/>
            <w:gridSpan w:val="3"/>
          </w:tcPr>
          <w:p>
            <w:pPr>
              <w:spacing w:after="0" w:line="149" w:lineRule="exact"/>
              <w:rPr>
                <w:sz w:val="20"/>
                <w:szCs w:val="20"/>
                <w:color w:val="auto"/>
              </w:rPr>
            </w:pPr>
            <w:r>
              <w:rPr>
                <w:rFonts w:ascii="Arial" w:cs="Arial" w:eastAsia="Arial" w:hAnsi="Arial"/>
                <w:sz w:val="14"/>
                <w:szCs w:val="14"/>
                <w:color w:val="auto"/>
              </w:rPr>
              <w:t>Expense</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1"/>
              </w:rPr>
              <w:t>Tax Rate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560" w:type="dxa"/>
            <w:vAlign w:val="bottom"/>
            <w:gridSpan w:val="3"/>
            <w:shd w:val="clear" w:color="auto" w:fill="E5E5E5"/>
          </w:tcPr>
          <w:p>
            <w:pPr>
              <w:spacing w:after="0" w:line="196" w:lineRule="exact"/>
              <w:rPr>
                <w:sz w:val="20"/>
                <w:szCs w:val="20"/>
                <w:color w:val="auto"/>
              </w:rPr>
            </w:pPr>
            <w:r>
              <w:rPr>
                <w:rFonts w:ascii="Arial" w:cs="Arial" w:eastAsia="Arial" w:hAnsi="Arial"/>
                <w:sz w:val="18"/>
                <w:szCs w:val="18"/>
                <w:b w:val="1"/>
                <w:bCs w:val="1"/>
                <w:color w:val="auto"/>
              </w:rPr>
              <w:t>Reported</w:t>
            </w:r>
          </w:p>
        </w:tc>
        <w:tc>
          <w:tcPr>
            <w:tcW w:w="10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rPr>
              <w:t>815</w:t>
            </w:r>
          </w:p>
        </w:tc>
        <w:tc>
          <w:tcPr>
            <w:tcW w:w="18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line="196" w:lineRule="exact"/>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E5E5E5"/>
          </w:tcPr>
          <w:p>
            <w:pPr>
              <w:jc w:val="right"/>
              <w:ind w:right="180"/>
              <w:spacing w:after="0" w:line="196" w:lineRule="exact"/>
              <w:rPr>
                <w:sz w:val="20"/>
                <w:szCs w:val="20"/>
                <w:color w:val="auto"/>
              </w:rPr>
            </w:pPr>
            <w:r>
              <w:rPr>
                <w:rFonts w:ascii="Arial" w:cs="Arial" w:eastAsia="Arial" w:hAnsi="Arial"/>
                <w:sz w:val="18"/>
                <w:szCs w:val="18"/>
                <w:color w:val="auto"/>
              </w:rPr>
              <w:t>256</w:t>
            </w:r>
          </w:p>
        </w:tc>
        <w:tc>
          <w:tcPr>
            <w:tcW w:w="760" w:type="dxa"/>
            <w:vAlign w:val="bottom"/>
            <w:gridSpan w:val="2"/>
            <w:shd w:val="clear" w:color="auto" w:fill="E5E5E5"/>
          </w:tcPr>
          <w:p>
            <w:pPr>
              <w:jc w:val="right"/>
              <w:ind w:right="80"/>
              <w:spacing w:after="0" w:line="196" w:lineRule="exact"/>
              <w:rPr>
                <w:sz w:val="20"/>
                <w:szCs w:val="20"/>
                <w:color w:val="auto"/>
              </w:rPr>
            </w:pPr>
            <w:r>
              <w:rPr>
                <w:rFonts w:ascii="Arial" w:cs="Arial" w:eastAsia="Arial" w:hAnsi="Arial"/>
                <w:sz w:val="18"/>
                <w:szCs w:val="18"/>
                <w:color w:val="auto"/>
              </w:rPr>
              <w:t>31.4%</w:t>
            </w:r>
          </w:p>
        </w:tc>
        <w:tc>
          <w:tcPr>
            <w:tcW w:w="180" w:type="dxa"/>
            <w:vAlign w:val="bottom"/>
            <w:gridSpan w:val="2"/>
            <w:shd w:val="clear" w:color="auto" w:fill="E5E5E5"/>
          </w:tcPr>
          <w:p>
            <w:pPr>
              <w:ind w:left="60"/>
              <w:spacing w:after="0" w:line="196" w:lineRule="exact"/>
              <w:rPr>
                <w:sz w:val="20"/>
                <w:szCs w:val="20"/>
                <w:color w:val="auto"/>
              </w:rPr>
            </w:pPr>
            <w:r>
              <w:rPr>
                <w:rFonts w:ascii="Arial" w:cs="Arial" w:eastAsia="Arial" w:hAnsi="Arial"/>
                <w:sz w:val="18"/>
                <w:szCs w:val="18"/>
                <w:color w:val="auto"/>
                <w:w w:val="99"/>
              </w:rPr>
              <w:t>$</w:t>
            </w:r>
          </w:p>
        </w:tc>
        <w:tc>
          <w:tcPr>
            <w:tcW w:w="38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rPr>
              <w:t>627</w:t>
            </w:r>
          </w:p>
        </w:tc>
        <w:tc>
          <w:tcPr>
            <w:tcW w:w="120" w:type="dxa"/>
            <w:vAlign w:val="bottom"/>
            <w:shd w:val="clear" w:color="auto" w:fill="E5E5E5"/>
          </w:tcPr>
          <w:p>
            <w:pPr>
              <w:spacing w:after="0"/>
              <w:rPr>
                <w:sz w:val="17"/>
                <w:szCs w:val="17"/>
                <w:color w:val="auto"/>
              </w:rPr>
            </w:pPr>
          </w:p>
        </w:tc>
        <w:tc>
          <w:tcPr>
            <w:tcW w:w="160" w:type="dxa"/>
            <w:vAlign w:val="bottom"/>
            <w:gridSpan w:val="2"/>
            <w:shd w:val="clear" w:color="auto" w:fill="E5E5E5"/>
          </w:tcPr>
          <w:p>
            <w:pPr>
              <w:jc w:val="right"/>
              <w:spacing w:after="0" w:line="196" w:lineRule="exact"/>
              <w:rPr>
                <w:sz w:val="20"/>
                <w:szCs w:val="20"/>
                <w:color w:val="auto"/>
              </w:rPr>
            </w:pPr>
            <w:r>
              <w:rPr>
                <w:rFonts w:ascii="Arial" w:cs="Arial" w:eastAsia="Arial" w:hAnsi="Arial"/>
                <w:sz w:val="18"/>
                <w:szCs w:val="18"/>
                <w:color w:val="auto"/>
              </w:rPr>
              <w:t>$</w:t>
            </w:r>
          </w:p>
        </w:tc>
        <w:tc>
          <w:tcPr>
            <w:tcW w:w="600" w:type="dxa"/>
            <w:vAlign w:val="bottom"/>
            <w:gridSpan w:val="2"/>
            <w:shd w:val="clear" w:color="auto" w:fill="E5E5E5"/>
          </w:tcPr>
          <w:p>
            <w:pPr>
              <w:jc w:val="right"/>
              <w:ind w:right="180"/>
              <w:spacing w:after="0" w:line="196" w:lineRule="exact"/>
              <w:rPr>
                <w:sz w:val="20"/>
                <w:szCs w:val="20"/>
                <w:color w:val="auto"/>
              </w:rPr>
            </w:pPr>
            <w:r>
              <w:rPr>
                <w:rFonts w:ascii="Arial" w:cs="Arial" w:eastAsia="Arial" w:hAnsi="Arial"/>
                <w:sz w:val="18"/>
                <w:szCs w:val="18"/>
                <w:color w:val="auto"/>
              </w:rPr>
              <w:t>152</w:t>
            </w:r>
          </w:p>
        </w:tc>
        <w:tc>
          <w:tcPr>
            <w:tcW w:w="820" w:type="dxa"/>
            <w:vAlign w:val="bottom"/>
            <w:gridSpan w:val="2"/>
            <w:shd w:val="clear" w:color="auto" w:fill="E5E5E5"/>
          </w:tcPr>
          <w:p>
            <w:pPr>
              <w:jc w:val="right"/>
              <w:ind w:right="120"/>
              <w:spacing w:after="0" w:line="196" w:lineRule="exact"/>
              <w:rPr>
                <w:sz w:val="20"/>
                <w:szCs w:val="20"/>
                <w:color w:val="auto"/>
              </w:rPr>
            </w:pPr>
            <w:r>
              <w:rPr>
                <w:rFonts w:ascii="Arial" w:cs="Arial" w:eastAsia="Arial" w:hAnsi="Arial"/>
                <w:sz w:val="18"/>
                <w:szCs w:val="18"/>
                <w:color w:val="auto"/>
              </w:rPr>
              <w:t>24.2%</w:t>
            </w:r>
          </w:p>
        </w:tc>
        <w:tc>
          <w:tcPr>
            <w:tcW w:w="10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E5E5E5"/>
          </w:tcPr>
          <w:p>
            <w:pPr>
              <w:jc w:val="right"/>
              <w:ind w:right="120"/>
              <w:spacing w:after="0" w:line="196" w:lineRule="exact"/>
              <w:rPr>
                <w:sz w:val="20"/>
                <w:szCs w:val="20"/>
                <w:color w:val="auto"/>
              </w:rPr>
            </w:pPr>
            <w:r>
              <w:rPr>
                <w:rFonts w:ascii="Arial" w:cs="Arial" w:eastAsia="Arial" w:hAnsi="Arial"/>
                <w:sz w:val="18"/>
                <w:szCs w:val="18"/>
                <w:color w:val="auto"/>
              </w:rPr>
              <w:t>(79)</w:t>
            </w:r>
          </w:p>
        </w:tc>
        <w:tc>
          <w:tcPr>
            <w:tcW w:w="120" w:type="dxa"/>
            <w:vAlign w:val="bottom"/>
            <w:shd w:val="clear" w:color="auto" w:fill="E5E5E5"/>
          </w:tcPr>
          <w:p>
            <w:pPr>
              <w:spacing w:after="0" w:line="196" w:lineRule="exact"/>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E5E5E5"/>
          </w:tcPr>
          <w:p>
            <w:pPr>
              <w:jc w:val="right"/>
              <w:ind w:right="120"/>
              <w:spacing w:after="0" w:line="196" w:lineRule="exact"/>
              <w:rPr>
                <w:sz w:val="20"/>
                <w:szCs w:val="20"/>
                <w:color w:val="auto"/>
              </w:rPr>
            </w:pPr>
            <w:r>
              <w:rPr>
                <w:rFonts w:ascii="Arial" w:cs="Arial" w:eastAsia="Arial" w:hAnsi="Arial"/>
                <w:sz w:val="18"/>
                <w:szCs w:val="18"/>
                <w:color w:val="auto"/>
              </w:rPr>
              <w:t>(231)</w:t>
            </w:r>
          </w:p>
        </w:tc>
        <w:tc>
          <w:tcPr>
            <w:tcW w:w="760" w:type="dxa"/>
            <w:vAlign w:val="bottom"/>
            <w:gridSpan w:val="2"/>
            <w:shd w:val="clear" w:color="auto" w:fill="E5E5E5"/>
          </w:tcPr>
          <w:p>
            <w:pPr>
              <w:jc w:val="right"/>
              <w:ind w:right="60"/>
              <w:spacing w:after="0" w:line="196" w:lineRule="exact"/>
              <w:rPr>
                <w:sz w:val="20"/>
                <w:szCs w:val="20"/>
                <w:color w:val="auto"/>
              </w:rPr>
            </w:pPr>
            <w:r>
              <w:rPr>
                <w:rFonts w:ascii="Arial" w:cs="Arial" w:eastAsia="Arial" w:hAnsi="Arial"/>
                <w:sz w:val="18"/>
                <w:szCs w:val="18"/>
                <w:color w:val="auto"/>
              </w:rPr>
              <w:t>292.4%</w:t>
            </w:r>
          </w:p>
        </w:tc>
        <w:tc>
          <w:tcPr>
            <w:tcW w:w="0" w:type="dxa"/>
            <w:vAlign w:val="bottom"/>
          </w:tcPr>
          <w:p>
            <w:pPr>
              <w:spacing w:after="0"/>
              <w:rPr>
                <w:sz w:val="1"/>
                <w:szCs w:val="1"/>
                <w:color w:val="auto"/>
              </w:rPr>
            </w:pPr>
          </w:p>
        </w:tc>
      </w:tr>
      <w:tr>
        <w:trPr>
          <w:trHeight w:val="176"/>
        </w:trPr>
        <w:tc>
          <w:tcPr>
            <w:tcW w:w="4580" w:type="dxa"/>
            <w:vAlign w:val="bottom"/>
            <w:gridSpan w:val="4"/>
          </w:tcPr>
          <w:p>
            <w:pPr>
              <w:spacing w:after="0" w:line="176" w:lineRule="exact"/>
              <w:rPr>
                <w:sz w:val="20"/>
                <w:szCs w:val="20"/>
                <w:color w:val="auto"/>
              </w:rPr>
            </w:pPr>
            <w:r>
              <w:rPr>
                <w:rFonts w:ascii="Arial" w:cs="Arial" w:eastAsia="Arial" w:hAnsi="Arial"/>
                <w:sz w:val="18"/>
                <w:szCs w:val="18"/>
                <w:color w:val="auto"/>
              </w:rPr>
              <w:t>Adjustments:</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4560" w:type="dxa"/>
            <w:vAlign w:val="bottom"/>
            <w:gridSpan w:val="3"/>
            <w:shd w:val="clear" w:color="auto" w:fill="E5E5E5"/>
          </w:tcPr>
          <w:p>
            <w:pPr>
              <w:spacing w:after="0" w:line="243" w:lineRule="exact"/>
              <w:rPr>
                <w:sz w:val="20"/>
                <w:szCs w:val="20"/>
                <w:color w:val="auto"/>
              </w:rPr>
            </w:pPr>
            <w:r>
              <w:rPr>
                <w:rFonts w:ascii="Arial" w:cs="Arial" w:eastAsia="Arial" w:hAnsi="Arial"/>
                <w:sz w:val="18"/>
                <w:szCs w:val="18"/>
                <w:color w:val="auto"/>
              </w:rPr>
              <w:t>Xerox restructuring charge</w:t>
            </w:r>
            <w:r>
              <w:rPr>
                <w:rFonts w:ascii="Arial" w:cs="Arial" w:eastAsia="Arial" w:hAnsi="Arial"/>
                <w:sz w:val="22"/>
                <w:szCs w:val="22"/>
                <w:color w:val="auto"/>
                <w:vertAlign w:val="superscript"/>
              </w:rPr>
              <w:t>(1 )</w:t>
            </w:r>
          </w:p>
        </w:tc>
        <w:tc>
          <w:tcPr>
            <w:tcW w:w="100" w:type="dxa"/>
            <w:vAlign w:val="bottom"/>
            <w:shd w:val="clear" w:color="auto" w:fill="E5E5E5"/>
          </w:tcPr>
          <w:p>
            <w:pPr>
              <w:spacing w:after="0"/>
              <w:rPr>
                <w:sz w:val="21"/>
                <w:szCs w:val="21"/>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483</w:t>
            </w:r>
          </w:p>
        </w:tc>
        <w:tc>
          <w:tcPr>
            <w:tcW w:w="180" w:type="dxa"/>
            <w:vAlign w:val="bottom"/>
            <w:shd w:val="clear" w:color="auto" w:fill="E5E5E5"/>
          </w:tcPr>
          <w:p>
            <w:pPr>
              <w:spacing w:after="0"/>
              <w:rPr>
                <w:sz w:val="21"/>
                <w:szCs w:val="21"/>
                <w:color w:val="auto"/>
              </w:rPr>
            </w:pPr>
          </w:p>
        </w:tc>
        <w:tc>
          <w:tcPr>
            <w:tcW w:w="120" w:type="dxa"/>
            <w:vAlign w:val="bottom"/>
            <w:shd w:val="clear" w:color="auto" w:fill="E5E5E5"/>
          </w:tcPr>
          <w:p>
            <w:pPr>
              <w:spacing w:after="0"/>
              <w:rPr>
                <w:sz w:val="21"/>
                <w:szCs w:val="21"/>
                <w:color w:val="auto"/>
              </w:rPr>
            </w:pPr>
          </w:p>
        </w:tc>
        <w:tc>
          <w:tcPr>
            <w:tcW w:w="4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166</w:t>
            </w:r>
          </w:p>
        </w:tc>
        <w:tc>
          <w:tcPr>
            <w:tcW w:w="180" w:type="dxa"/>
            <w:vAlign w:val="bottom"/>
            <w:shd w:val="clear" w:color="auto" w:fill="E5E5E5"/>
          </w:tcPr>
          <w:p>
            <w:pPr>
              <w:spacing w:after="0"/>
              <w:rPr>
                <w:sz w:val="21"/>
                <w:szCs w:val="21"/>
                <w:color w:val="auto"/>
              </w:rPr>
            </w:pPr>
          </w:p>
        </w:tc>
        <w:tc>
          <w:tcPr>
            <w:tcW w:w="540" w:type="dxa"/>
            <w:vAlign w:val="bottom"/>
            <w:shd w:val="clear" w:color="auto" w:fill="E5E5E5"/>
          </w:tcPr>
          <w:p>
            <w:pPr>
              <w:spacing w:after="0"/>
              <w:rPr>
                <w:sz w:val="21"/>
                <w:szCs w:val="21"/>
                <w:color w:val="auto"/>
              </w:rPr>
            </w:pPr>
          </w:p>
        </w:tc>
        <w:tc>
          <w:tcPr>
            <w:tcW w:w="220" w:type="dxa"/>
            <w:vAlign w:val="bottom"/>
            <w:shd w:val="clear" w:color="auto" w:fill="E5E5E5"/>
          </w:tcPr>
          <w:p>
            <w:pPr>
              <w:spacing w:after="0"/>
              <w:rPr>
                <w:sz w:val="21"/>
                <w:szCs w:val="21"/>
                <w:color w:val="auto"/>
              </w:rPr>
            </w:pPr>
          </w:p>
        </w:tc>
        <w:tc>
          <w:tcPr>
            <w:tcW w:w="60" w:type="dxa"/>
            <w:vAlign w:val="bottom"/>
            <w:shd w:val="clear" w:color="auto" w:fill="E5E5E5"/>
          </w:tcPr>
          <w:p>
            <w:pPr>
              <w:spacing w:after="0"/>
              <w:rPr>
                <w:sz w:val="21"/>
                <w:szCs w:val="21"/>
                <w:color w:val="auto"/>
              </w:rPr>
            </w:pPr>
          </w:p>
        </w:tc>
        <w:tc>
          <w:tcPr>
            <w:tcW w:w="120" w:type="dxa"/>
            <w:vAlign w:val="bottom"/>
            <w:shd w:val="clear" w:color="auto" w:fill="E5E5E5"/>
          </w:tcPr>
          <w:p>
            <w:pPr>
              <w:spacing w:after="0"/>
              <w:rPr>
                <w:sz w:val="21"/>
                <w:szCs w:val="21"/>
                <w:color w:val="auto"/>
              </w:rPr>
            </w:pPr>
          </w:p>
        </w:tc>
        <w:tc>
          <w:tcPr>
            <w:tcW w:w="50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(8)</w:t>
            </w:r>
          </w:p>
        </w:tc>
        <w:tc>
          <w:tcPr>
            <w:tcW w:w="60" w:type="dxa"/>
            <w:vAlign w:val="bottom"/>
            <w:shd w:val="clear" w:color="auto" w:fill="E5E5E5"/>
          </w:tcPr>
          <w:p>
            <w:pPr>
              <w:spacing w:after="0"/>
              <w:rPr>
                <w:sz w:val="21"/>
                <w:szCs w:val="21"/>
                <w:color w:val="auto"/>
              </w:rPr>
            </w:pPr>
          </w:p>
        </w:tc>
        <w:tc>
          <w:tcPr>
            <w:tcW w:w="100" w:type="dxa"/>
            <w:vAlign w:val="bottom"/>
            <w:shd w:val="clear" w:color="auto" w:fill="E5E5E5"/>
          </w:tcPr>
          <w:p>
            <w:pPr>
              <w:spacing w:after="0"/>
              <w:rPr>
                <w:sz w:val="21"/>
                <w:szCs w:val="21"/>
                <w:color w:val="auto"/>
              </w:rPr>
            </w:pPr>
          </w:p>
        </w:tc>
        <w:tc>
          <w:tcPr>
            <w:tcW w:w="60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(3)</w:t>
            </w:r>
          </w:p>
        </w:tc>
        <w:tc>
          <w:tcPr>
            <w:tcW w:w="540" w:type="dxa"/>
            <w:vAlign w:val="bottom"/>
            <w:shd w:val="clear" w:color="auto" w:fill="E5E5E5"/>
          </w:tcPr>
          <w:p>
            <w:pPr>
              <w:spacing w:after="0"/>
              <w:rPr>
                <w:sz w:val="21"/>
                <w:szCs w:val="21"/>
                <w:color w:val="auto"/>
              </w:rPr>
            </w:pPr>
          </w:p>
        </w:tc>
        <w:tc>
          <w:tcPr>
            <w:tcW w:w="280" w:type="dxa"/>
            <w:vAlign w:val="bottom"/>
            <w:shd w:val="clear" w:color="auto" w:fill="E5E5E5"/>
          </w:tcPr>
          <w:p>
            <w:pPr>
              <w:spacing w:after="0"/>
              <w:rPr>
                <w:sz w:val="21"/>
                <w:szCs w:val="21"/>
                <w:color w:val="auto"/>
              </w:rPr>
            </w:pPr>
          </w:p>
        </w:tc>
        <w:tc>
          <w:tcPr>
            <w:tcW w:w="100" w:type="dxa"/>
            <w:vAlign w:val="bottom"/>
            <w:shd w:val="clear" w:color="auto" w:fill="E5E5E5"/>
          </w:tcPr>
          <w:p>
            <w:pPr>
              <w:spacing w:after="0"/>
              <w:rPr>
                <w:sz w:val="21"/>
                <w:szCs w:val="21"/>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426</w:t>
            </w:r>
          </w:p>
        </w:tc>
        <w:tc>
          <w:tcPr>
            <w:tcW w:w="180" w:type="dxa"/>
            <w:vAlign w:val="bottom"/>
            <w:shd w:val="clear" w:color="auto" w:fill="E5E5E5"/>
          </w:tcPr>
          <w:p>
            <w:pPr>
              <w:spacing w:after="0"/>
              <w:rPr>
                <w:sz w:val="21"/>
                <w:szCs w:val="21"/>
                <w:color w:val="auto"/>
              </w:rPr>
            </w:pPr>
          </w:p>
        </w:tc>
        <w:tc>
          <w:tcPr>
            <w:tcW w:w="120" w:type="dxa"/>
            <w:vAlign w:val="bottom"/>
            <w:shd w:val="clear" w:color="auto" w:fill="E5E5E5"/>
          </w:tcPr>
          <w:p>
            <w:pPr>
              <w:spacing w:after="0"/>
              <w:rPr>
                <w:sz w:val="21"/>
                <w:szCs w:val="21"/>
                <w:color w:val="auto"/>
              </w:rPr>
            </w:pPr>
          </w:p>
        </w:tc>
        <w:tc>
          <w:tcPr>
            <w:tcW w:w="4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134</w:t>
            </w:r>
          </w:p>
        </w:tc>
        <w:tc>
          <w:tcPr>
            <w:tcW w:w="180" w:type="dxa"/>
            <w:vAlign w:val="bottom"/>
            <w:shd w:val="clear" w:color="auto" w:fill="E5E5E5"/>
          </w:tcPr>
          <w:p>
            <w:pPr>
              <w:spacing w:after="0"/>
              <w:rPr>
                <w:sz w:val="21"/>
                <w:szCs w:val="21"/>
                <w:color w:val="auto"/>
              </w:rPr>
            </w:pPr>
          </w:p>
        </w:tc>
        <w:tc>
          <w:tcPr>
            <w:tcW w:w="540" w:type="dxa"/>
            <w:vAlign w:val="bottom"/>
            <w:shd w:val="clear" w:color="auto" w:fill="E5E5E5"/>
          </w:tcPr>
          <w:p>
            <w:pPr>
              <w:spacing w:after="0"/>
              <w:rPr>
                <w:sz w:val="21"/>
                <w:szCs w:val="21"/>
                <w:color w:val="auto"/>
              </w:rPr>
            </w:pPr>
          </w:p>
        </w:tc>
        <w:tc>
          <w:tcPr>
            <w:tcW w:w="220" w:type="dxa"/>
            <w:vAlign w:val="bottom"/>
            <w:shd w:val="clear" w:color="auto" w:fill="E5E5E5"/>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580" w:type="dxa"/>
            <w:vAlign w:val="bottom"/>
            <w:gridSpan w:val="4"/>
          </w:tcPr>
          <w:p>
            <w:pPr>
              <w:spacing w:after="0" w:line="202" w:lineRule="exact"/>
              <w:rPr>
                <w:sz w:val="20"/>
                <w:szCs w:val="20"/>
                <w:color w:val="auto"/>
              </w:rPr>
            </w:pPr>
            <w:r>
              <w:rPr>
                <w:rFonts w:ascii="Arial" w:cs="Arial" w:eastAsia="Arial" w:hAnsi="Arial"/>
                <w:sz w:val="18"/>
                <w:szCs w:val="18"/>
                <w:color w:val="auto"/>
              </w:rPr>
              <w:t>Acquisition-related costs</w:t>
            </w: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77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23</w:t>
            </w: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5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gridSpan w:val="3"/>
            <w:shd w:val="clear" w:color="auto" w:fill="E5E5E5"/>
          </w:tcPr>
          <w:p>
            <w:pPr>
              <w:spacing w:after="0" w:line="202" w:lineRule="exact"/>
              <w:rPr>
                <w:sz w:val="20"/>
                <w:szCs w:val="20"/>
                <w:color w:val="auto"/>
              </w:rPr>
            </w:pPr>
            <w:r>
              <w:rPr>
                <w:rFonts w:ascii="Arial" w:cs="Arial" w:eastAsia="Arial" w:hAnsi="Arial"/>
                <w:sz w:val="18"/>
                <w:szCs w:val="18"/>
                <w:color w:val="auto"/>
              </w:rPr>
              <w:t>Amortization of intangible assets</w:t>
            </w:r>
          </w:p>
        </w:tc>
        <w:tc>
          <w:tcPr>
            <w:tcW w:w="100" w:type="dxa"/>
            <w:vAlign w:val="bottom"/>
            <w:shd w:val="clear" w:color="auto" w:fill="E5E5E5"/>
          </w:tcPr>
          <w:p>
            <w:pPr>
              <w:spacing w:after="0"/>
              <w:rPr>
                <w:sz w:val="17"/>
                <w:szCs w:val="17"/>
                <w:color w:val="auto"/>
              </w:rPr>
            </w:pPr>
          </w:p>
        </w:tc>
        <w:tc>
          <w:tcPr>
            <w:tcW w:w="5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312</w:t>
            </w:r>
          </w:p>
        </w:tc>
        <w:tc>
          <w:tcPr>
            <w:tcW w:w="18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4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118</w:t>
            </w:r>
          </w:p>
        </w:tc>
        <w:tc>
          <w:tcPr>
            <w:tcW w:w="180" w:type="dxa"/>
            <w:vAlign w:val="bottom"/>
            <w:shd w:val="clear" w:color="auto" w:fill="E5E5E5"/>
          </w:tcPr>
          <w:p>
            <w:pPr>
              <w:spacing w:after="0"/>
              <w:rPr>
                <w:sz w:val="17"/>
                <w:szCs w:val="17"/>
                <w:color w:val="auto"/>
              </w:rPr>
            </w:pPr>
          </w:p>
        </w:tc>
        <w:tc>
          <w:tcPr>
            <w:tcW w:w="54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50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60</w:t>
            </w:r>
          </w:p>
        </w:tc>
        <w:tc>
          <w:tcPr>
            <w:tcW w:w="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60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22</w:t>
            </w:r>
          </w:p>
        </w:tc>
        <w:tc>
          <w:tcPr>
            <w:tcW w:w="54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5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54</w:t>
            </w:r>
          </w:p>
        </w:tc>
        <w:tc>
          <w:tcPr>
            <w:tcW w:w="18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58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19</w:t>
            </w:r>
          </w:p>
        </w:tc>
        <w:tc>
          <w:tcPr>
            <w:tcW w:w="54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gridSpan w:val="4"/>
          </w:tcPr>
          <w:p>
            <w:pPr>
              <w:spacing w:after="0" w:line="202" w:lineRule="exact"/>
              <w:rPr>
                <w:sz w:val="20"/>
                <w:szCs w:val="20"/>
                <w:color w:val="auto"/>
              </w:rPr>
            </w:pPr>
            <w:r>
              <w:rPr>
                <w:rFonts w:ascii="Arial" w:cs="Arial" w:eastAsia="Arial" w:hAnsi="Arial"/>
                <w:sz w:val="18"/>
                <w:szCs w:val="18"/>
                <w:color w:val="auto"/>
              </w:rPr>
              <w:t>Venezuela devaluation costs</w:t>
            </w: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5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gridSpan w:val="3"/>
            <w:shd w:val="clear" w:color="auto" w:fill="E5E5E5"/>
          </w:tcPr>
          <w:p>
            <w:pPr>
              <w:spacing w:after="0" w:line="202" w:lineRule="exact"/>
              <w:rPr>
                <w:sz w:val="20"/>
                <w:szCs w:val="20"/>
                <w:color w:val="auto"/>
              </w:rPr>
            </w:pPr>
            <w:r>
              <w:rPr>
                <w:rFonts w:ascii="Arial" w:cs="Arial" w:eastAsia="Arial" w:hAnsi="Arial"/>
                <w:sz w:val="18"/>
                <w:szCs w:val="18"/>
                <w:color w:val="auto"/>
              </w:rPr>
              <w:t>Medicare subsidy tax law change</w:t>
            </w:r>
          </w:p>
        </w:tc>
        <w:tc>
          <w:tcPr>
            <w:tcW w:w="100" w:type="dxa"/>
            <w:vAlign w:val="bottom"/>
            <w:shd w:val="clear" w:color="auto" w:fill="E5E5E5"/>
          </w:tcPr>
          <w:p>
            <w:pPr>
              <w:spacing w:after="0"/>
              <w:rPr>
                <w:sz w:val="17"/>
                <w:szCs w:val="17"/>
                <w:color w:val="auto"/>
              </w:rPr>
            </w:pPr>
          </w:p>
        </w:tc>
        <w:tc>
          <w:tcPr>
            <w:tcW w:w="74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E5E5E5"/>
          </w:tcPr>
          <w:p>
            <w:pPr>
              <w:spacing w:after="0"/>
              <w:rPr>
                <w:sz w:val="17"/>
                <w:szCs w:val="17"/>
                <w:color w:val="auto"/>
              </w:rPr>
            </w:pPr>
          </w:p>
        </w:tc>
        <w:tc>
          <w:tcPr>
            <w:tcW w:w="5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(16)</w:t>
            </w:r>
          </w:p>
        </w:tc>
        <w:tc>
          <w:tcPr>
            <w:tcW w:w="54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50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60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72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E5E5E5"/>
          </w:tcPr>
          <w:p>
            <w:pPr>
              <w:spacing w:after="0"/>
              <w:rPr>
                <w:sz w:val="17"/>
                <w:szCs w:val="17"/>
                <w:color w:val="auto"/>
              </w:rPr>
            </w:pPr>
          </w:p>
        </w:tc>
        <w:tc>
          <w:tcPr>
            <w:tcW w:w="58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gridSpan w:val="4"/>
          </w:tcPr>
          <w:p>
            <w:pPr>
              <w:spacing w:after="0" w:line="202" w:lineRule="exact"/>
              <w:rPr>
                <w:sz w:val="20"/>
                <w:szCs w:val="20"/>
                <w:color w:val="auto"/>
              </w:rPr>
            </w:pPr>
            <w:r>
              <w:rPr>
                <w:rFonts w:ascii="Arial" w:cs="Arial" w:eastAsia="Arial" w:hAnsi="Arial"/>
                <w:sz w:val="18"/>
                <w:szCs w:val="18"/>
                <w:color w:val="auto"/>
              </w:rPr>
              <w:t>Equipment write-off</w:t>
            </w:r>
          </w:p>
        </w:tc>
        <w:tc>
          <w:tcPr>
            <w:tcW w:w="100" w:type="dxa"/>
            <w:vAlign w:val="bottom"/>
          </w:tcPr>
          <w:p>
            <w:pPr>
              <w:spacing w:after="0"/>
              <w:rPr>
                <w:sz w:val="17"/>
                <w:szCs w:val="17"/>
                <w:color w:val="auto"/>
              </w:rPr>
            </w:pPr>
          </w:p>
        </w:tc>
        <w:tc>
          <w:tcPr>
            <w:tcW w:w="7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5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39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15</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gridSpan w:val="3"/>
            <w:shd w:val="clear" w:color="auto" w:fill="E5E5E5"/>
          </w:tcPr>
          <w:p>
            <w:pPr>
              <w:spacing w:after="0" w:line="202" w:lineRule="exact"/>
              <w:rPr>
                <w:sz w:val="20"/>
                <w:szCs w:val="20"/>
                <w:color w:val="auto"/>
              </w:rPr>
            </w:pPr>
            <w:r>
              <w:rPr>
                <w:rFonts w:ascii="Arial" w:cs="Arial" w:eastAsia="Arial" w:hAnsi="Arial"/>
                <w:sz w:val="18"/>
                <w:szCs w:val="18"/>
                <w:color w:val="auto"/>
              </w:rPr>
              <w:t>Provision for securities litigation</w:t>
            </w:r>
          </w:p>
        </w:tc>
        <w:tc>
          <w:tcPr>
            <w:tcW w:w="100" w:type="dxa"/>
            <w:vAlign w:val="bottom"/>
            <w:shd w:val="clear" w:color="auto" w:fill="E5E5E5"/>
          </w:tcPr>
          <w:p>
            <w:pPr>
              <w:spacing w:after="0"/>
              <w:rPr>
                <w:sz w:val="17"/>
                <w:szCs w:val="17"/>
                <w:color w:val="auto"/>
              </w:rPr>
            </w:pPr>
          </w:p>
        </w:tc>
        <w:tc>
          <w:tcPr>
            <w:tcW w:w="74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E5E5E5"/>
          </w:tcPr>
          <w:p>
            <w:pPr>
              <w:spacing w:after="0"/>
              <w:rPr>
                <w:sz w:val="17"/>
                <w:szCs w:val="17"/>
                <w:color w:val="auto"/>
              </w:rPr>
            </w:pPr>
          </w:p>
        </w:tc>
        <w:tc>
          <w:tcPr>
            <w:tcW w:w="58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50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60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5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774</w:t>
            </w:r>
          </w:p>
        </w:tc>
        <w:tc>
          <w:tcPr>
            <w:tcW w:w="18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4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283</w:t>
            </w:r>
          </w:p>
        </w:tc>
        <w:tc>
          <w:tcPr>
            <w:tcW w:w="180" w:type="dxa"/>
            <w:vAlign w:val="bottom"/>
            <w:shd w:val="clear" w:color="auto" w:fill="E5E5E5"/>
          </w:tcPr>
          <w:p>
            <w:pPr>
              <w:spacing w:after="0"/>
              <w:rPr>
                <w:sz w:val="17"/>
                <w:szCs w:val="17"/>
                <w:color w:val="auto"/>
              </w:rPr>
            </w:pPr>
          </w:p>
        </w:tc>
        <w:tc>
          <w:tcPr>
            <w:tcW w:w="54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gridSpan w:val="4"/>
          </w:tcPr>
          <w:p>
            <w:pPr>
              <w:spacing w:after="0" w:line="202" w:lineRule="exact"/>
              <w:rPr>
                <w:sz w:val="20"/>
                <w:szCs w:val="20"/>
                <w:color w:val="auto"/>
              </w:rPr>
            </w:pPr>
            <w:r>
              <w:rPr>
                <w:rFonts w:ascii="Arial" w:cs="Arial" w:eastAsia="Arial" w:hAnsi="Arial"/>
                <w:sz w:val="18"/>
                <w:szCs w:val="18"/>
                <w:color w:val="auto"/>
              </w:rPr>
              <w:t>ACS shareholders’ litigation settlement</w:t>
            </w: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36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5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gridSpan w:val="3"/>
            <w:shd w:val="clear" w:color="auto" w:fill="E5E5E5"/>
          </w:tcPr>
          <w:p>
            <w:pPr>
              <w:spacing w:after="0" w:line="202" w:lineRule="exact"/>
              <w:rPr>
                <w:sz w:val="20"/>
                <w:szCs w:val="20"/>
                <w:color w:val="auto"/>
              </w:rPr>
            </w:pPr>
            <w:r>
              <w:rPr>
                <w:rFonts w:ascii="Arial" w:cs="Arial" w:eastAsia="Arial" w:hAnsi="Arial"/>
                <w:sz w:val="18"/>
                <w:szCs w:val="18"/>
                <w:color w:val="auto"/>
              </w:rPr>
              <w:t>Loss on early extinguishment of debt</w:t>
            </w:r>
          </w:p>
        </w:tc>
        <w:tc>
          <w:tcPr>
            <w:tcW w:w="100" w:type="dxa"/>
            <w:vAlign w:val="bottom"/>
            <w:shd w:val="clear" w:color="auto" w:fill="E5E5E5"/>
          </w:tcPr>
          <w:p>
            <w:pPr>
              <w:spacing w:after="0"/>
              <w:rPr>
                <w:sz w:val="17"/>
                <w:szCs w:val="17"/>
                <w:color w:val="auto"/>
              </w:rPr>
            </w:pPr>
          </w:p>
        </w:tc>
        <w:tc>
          <w:tcPr>
            <w:tcW w:w="5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15</w:t>
            </w:r>
          </w:p>
        </w:tc>
        <w:tc>
          <w:tcPr>
            <w:tcW w:w="18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4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5</w:t>
            </w:r>
          </w:p>
        </w:tc>
        <w:tc>
          <w:tcPr>
            <w:tcW w:w="180" w:type="dxa"/>
            <w:vAlign w:val="bottom"/>
            <w:shd w:val="clear" w:color="auto" w:fill="E5E5E5"/>
          </w:tcPr>
          <w:p>
            <w:pPr>
              <w:spacing w:after="0"/>
              <w:rPr>
                <w:sz w:val="17"/>
                <w:szCs w:val="17"/>
                <w:color w:val="auto"/>
              </w:rPr>
            </w:pPr>
          </w:p>
        </w:tc>
        <w:tc>
          <w:tcPr>
            <w:tcW w:w="54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3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4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7"/>
                <w:szCs w:val="17"/>
                <w:color w:val="auto"/>
              </w:rPr>
            </w:pPr>
          </w:p>
        </w:tc>
        <w:tc>
          <w:tcPr>
            <w:tcW w:w="54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72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E5E5E5"/>
          </w:tcPr>
          <w:p>
            <w:pPr>
              <w:spacing w:after="0"/>
              <w:rPr>
                <w:sz w:val="17"/>
                <w:szCs w:val="17"/>
                <w:color w:val="auto"/>
              </w:rPr>
            </w:pPr>
          </w:p>
        </w:tc>
        <w:tc>
          <w:tcPr>
            <w:tcW w:w="58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41</w:t>
            </w:r>
          </w:p>
        </w:tc>
        <w:tc>
          <w:tcPr>
            <w:tcW w:w="54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80" w:type="dxa"/>
            <w:vAlign w:val="bottom"/>
            <w:gridSpan w:val="4"/>
            <w:vMerge w:val="restart"/>
          </w:tcPr>
          <w:p>
            <w:pPr>
              <w:spacing w:after="0" w:line="229" w:lineRule="exact"/>
              <w:rPr>
                <w:sz w:val="20"/>
                <w:szCs w:val="20"/>
                <w:color w:val="auto"/>
              </w:rPr>
            </w:pPr>
            <w:r>
              <w:rPr>
                <w:rFonts w:ascii="Arial" w:cs="Arial" w:eastAsia="Arial" w:hAnsi="Arial"/>
                <w:sz w:val="18"/>
                <w:szCs w:val="18"/>
                <w:b w:val="1"/>
                <w:bCs w:val="1"/>
                <w:color w:val="auto"/>
              </w:rPr>
              <w:t>Adjusted</w:t>
            </w:r>
            <w:r>
              <w:rPr>
                <w:rFonts w:ascii="Arial" w:cs="Arial" w:eastAsia="Arial" w:hAnsi="Arial"/>
                <w:sz w:val="22"/>
                <w:szCs w:val="22"/>
                <w:b w:val="1"/>
                <w:bCs w:val="1"/>
                <w:color w:val="auto"/>
                <w:vertAlign w:val="superscript"/>
              </w:rPr>
              <w:t>(2)</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gridSpan w:val="4"/>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1,759</w:t>
            </w:r>
          </w:p>
        </w:tc>
        <w:tc>
          <w:tcPr>
            <w:tcW w:w="1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548</w:t>
            </w:r>
          </w:p>
        </w:tc>
        <w:tc>
          <w:tcPr>
            <w:tcW w:w="1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31.2%</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751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194</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25.8%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1,214</w:t>
            </w:r>
          </w:p>
        </w:tc>
        <w:tc>
          <w:tcPr>
            <w:tcW w:w="1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261</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0" w:lineRule="exact"/>
        <w:rPr>
          <w:sz w:val="20"/>
          <w:szCs w:val="20"/>
          <w:color w:val="auto"/>
        </w:rPr>
      </w:pPr>
    </w:p>
    <w:p>
      <w:pPr>
        <w:ind w:right="140"/>
        <w:spacing w:after="0" w:line="221" w:lineRule="auto"/>
        <w:rPr>
          <w:sz w:val="20"/>
          <w:szCs w:val="20"/>
          <w:color w:val="auto"/>
        </w:rPr>
      </w:pPr>
      <w:r>
        <w:rPr>
          <w:rFonts w:ascii="Arial" w:cs="Arial" w:eastAsia="Arial" w:hAnsi="Arial"/>
          <w:sz w:val="18"/>
          <w:szCs w:val="18"/>
          <w:color w:val="auto"/>
        </w:rPr>
        <w:t>The 2010 effective tax rate was 31.4%, or 31.2%</w:t>
      </w:r>
      <w:r>
        <w:rPr>
          <w:rFonts w:ascii="Arial" w:cs="Arial" w:eastAsia="Arial" w:hAnsi="Arial"/>
          <w:sz w:val="22"/>
          <w:szCs w:val="22"/>
          <w:color w:val="auto"/>
          <w:vertAlign w:val="superscript"/>
        </w:rPr>
        <w:t>(2)</w:t>
      </w:r>
      <w:r>
        <w:rPr>
          <w:rFonts w:ascii="Arial" w:cs="Arial" w:eastAsia="Arial" w:hAnsi="Arial"/>
          <w:sz w:val="18"/>
          <w:szCs w:val="18"/>
          <w:color w:val="auto"/>
        </w:rPr>
        <w:t xml:space="preserve"> on an adjusted basis, which was lower than the U.S. statutory rate primarily due to the geographical mix of income before taxes and the related effective tax rates in those jurisdictions as well as the U.S. tax impacts on certain foreign income and tax law changes.</w:t>
      </w:r>
    </w:p>
    <w:p>
      <w:pPr>
        <w:spacing w:after="0" w:line="156" w:lineRule="exact"/>
        <w:rPr>
          <w:sz w:val="20"/>
          <w:szCs w:val="20"/>
          <w:color w:val="auto"/>
        </w:rPr>
      </w:pPr>
    </w:p>
    <w:p>
      <w:pPr>
        <w:jc w:val="both"/>
        <w:ind w:right="280"/>
        <w:spacing w:after="0" w:line="221" w:lineRule="auto"/>
        <w:rPr>
          <w:sz w:val="20"/>
          <w:szCs w:val="20"/>
          <w:color w:val="auto"/>
        </w:rPr>
      </w:pPr>
      <w:r>
        <w:rPr>
          <w:rFonts w:ascii="Arial" w:cs="Arial" w:eastAsia="Arial" w:hAnsi="Arial"/>
          <w:sz w:val="18"/>
          <w:szCs w:val="18"/>
          <w:color w:val="auto"/>
        </w:rPr>
        <w:t>The 2009 effective tax rate was 24.2%, or 25.8%</w:t>
      </w:r>
      <w:r>
        <w:rPr>
          <w:rFonts w:ascii="Arial" w:cs="Arial" w:eastAsia="Arial" w:hAnsi="Arial"/>
          <w:sz w:val="22"/>
          <w:szCs w:val="22"/>
          <w:color w:val="auto"/>
          <w:vertAlign w:val="superscript"/>
        </w:rPr>
        <w:t>(2)</w:t>
      </w:r>
      <w:r>
        <w:rPr>
          <w:rFonts w:ascii="Arial" w:cs="Arial" w:eastAsia="Arial" w:hAnsi="Arial"/>
          <w:sz w:val="18"/>
          <w:szCs w:val="18"/>
          <w:color w:val="auto"/>
        </w:rPr>
        <w:t xml:space="preserve"> on an adjusted basis, which was lower than the U.S. statutory tax rate primarily reflecting the benefit to taxes from the geographical mix of income before taxes and the related effective tax rates in those jurisdictions and the settlement of certain previously unrecognized tax benefits partially offset by a reduction in the utilization of foreign tax credits.</w:t>
      </w:r>
    </w:p>
    <w:p>
      <w:pPr>
        <w:spacing w:after="0" w:line="156" w:lineRule="exact"/>
        <w:rPr>
          <w:sz w:val="20"/>
          <w:szCs w:val="20"/>
          <w:color w:val="auto"/>
        </w:rPr>
      </w:pPr>
    </w:p>
    <w:p>
      <w:pPr>
        <w:jc w:val="both"/>
        <w:ind w:right="160"/>
        <w:spacing w:after="0" w:line="221" w:lineRule="auto"/>
        <w:rPr>
          <w:sz w:val="20"/>
          <w:szCs w:val="20"/>
          <w:color w:val="auto"/>
        </w:rPr>
      </w:pPr>
      <w:r>
        <w:rPr>
          <w:rFonts w:ascii="Arial" w:cs="Arial" w:eastAsia="Arial" w:hAnsi="Arial"/>
          <w:sz w:val="18"/>
          <w:szCs w:val="18"/>
          <w:color w:val="auto"/>
        </w:rPr>
        <w:t>The 2008 effective tax rate was 292.4%, or 21.5%</w:t>
      </w:r>
      <w:r>
        <w:rPr>
          <w:rFonts w:ascii="Arial" w:cs="Arial" w:eastAsia="Arial" w:hAnsi="Arial"/>
          <w:sz w:val="22"/>
          <w:szCs w:val="22"/>
          <w:color w:val="auto"/>
          <w:vertAlign w:val="superscript"/>
        </w:rPr>
        <w:t>(2)</w:t>
      </w:r>
      <w:r>
        <w:rPr>
          <w:rFonts w:ascii="Arial" w:cs="Arial" w:eastAsia="Arial" w:hAnsi="Arial"/>
          <w:sz w:val="18"/>
          <w:szCs w:val="18"/>
          <w:color w:val="auto"/>
        </w:rPr>
        <w:t xml:space="preserve"> on an adjusted basis, which was lower than the U.S. statutory tax rate primarily reflecting the benefit to taxes from the geographical mix of income before taxes and the related effective tax rates in those jurisdictions, the utilization of foreign tax credits and tax law changes.</w:t>
      </w:r>
    </w:p>
    <w:p>
      <w:pPr>
        <w:spacing w:after="0" w:line="156"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Our effective tax rate will change based on nonrecurring events as well as recurring factors including the geographical mix of income before taxes and the related effective tax rates in those jurisdictions and the U.S. tax impacts on certain foreign income. In addition, our effective tax rate will change based on discrete or other nonrecurring events (such as audit settlements) that may not be predictable. We anticipate that our effective tax rate for 2011 will be approximately 31%, excluding the effects of any discrete events.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16 – Income and Other Taxes in the Consolidated Financial Statements for additional information.</w:t>
      </w:r>
    </w:p>
    <w:p>
      <w:pPr>
        <w:spacing w:after="0" w:line="140" w:lineRule="exact"/>
        <w:rPr>
          <w:sz w:val="20"/>
          <w:szCs w:val="20"/>
          <w:color w:val="auto"/>
        </w:rPr>
      </w:pPr>
    </w:p>
    <w:p>
      <w:pPr>
        <w:ind w:left="9600"/>
        <w:spacing w:after="0"/>
        <w:rPr>
          <w:sz w:val="20"/>
          <w:szCs w:val="20"/>
          <w:color w:val="auto"/>
        </w:rPr>
      </w:pPr>
      <w:r>
        <w:rPr>
          <w:rFonts w:ascii="Arial" w:cs="Arial" w:eastAsia="Arial" w:hAnsi="Arial"/>
          <w:sz w:val="12"/>
          <w:szCs w:val="12"/>
          <w:color w:val="4C9F40"/>
        </w:rPr>
        <w:t>Xerox 2010 Annual Report 21</w:t>
      </w:r>
    </w:p>
    <w:p>
      <w:pPr>
        <w:sectPr>
          <w:pgSz w:w="11900" w:h="16838" w:orient="portrait"/>
          <w:cols w:equalWidth="0" w:num="1">
            <w:col w:w="11420"/>
          </w:cols>
          <w:pgMar w:left="240" w:top="323" w:right="239" w:bottom="1440" w:gutter="0" w:footer="0" w:header="0"/>
        </w:sectPr>
      </w:pPr>
    </w:p>
    <w:bookmarkStart w:id="98" w:name="page99"/>
    <w:bookmarkEnd w:id="98"/>
    <w:p>
      <w:pPr>
        <w:ind w:left="340" w:hanging="332"/>
        <w:spacing w:after="0"/>
        <w:tabs>
          <w:tab w:leader="none" w:pos="340" w:val="left"/>
        </w:tabs>
        <w:numPr>
          <w:ilvl w:val="0"/>
          <w:numId w:val="116"/>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251460</wp:posOffset>
            </wp:positionV>
            <wp:extent cx="7289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80" cy="8890"/>
                    </a:xfrm>
                    <a:prstGeom prst="rect">
                      <a:avLst/>
                    </a:prstGeom>
                    <a:noFill/>
                  </pic:spPr>
                </pic:pic>
              </a:graphicData>
            </a:graphic>
          </wp:anchor>
        </w:drawing>
        <w:t>Income tax benefit from restructuring in 2010 includes a $19 million benefit from the sale of our Venezuelan operations.</w:t>
      </w:r>
    </w:p>
    <w:p>
      <w:pPr>
        <w:ind w:left="340" w:hanging="332"/>
        <w:spacing w:after="0"/>
        <w:tabs>
          <w:tab w:leader="none" w:pos="34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See the “Non-GAAP Measures” section for additional information.</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Equity in Net Income of Unconsolidated Affiliates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2140" w:type="dxa"/>
            <w:vAlign w:val="bottom"/>
          </w:tcPr>
          <w:p>
            <w:pPr>
              <w:spacing w:after="0"/>
              <w:rPr>
                <w:sz w:val="14"/>
                <w:szCs w:val="14"/>
                <w:color w:val="auto"/>
              </w:rPr>
            </w:pPr>
          </w:p>
        </w:tc>
        <w:tc>
          <w:tcPr>
            <w:tcW w:w="2140" w:type="dxa"/>
            <w:vAlign w:val="bottom"/>
            <w:gridSpan w:val="6"/>
          </w:tcPr>
          <w:p>
            <w:pPr>
              <w:ind w:left="220"/>
              <w:spacing w:after="0"/>
              <w:rPr>
                <w:sz w:val="20"/>
                <w:szCs w:val="20"/>
                <w:color w:val="auto"/>
              </w:rPr>
            </w:pPr>
            <w:r>
              <w:rPr>
                <w:rFonts w:ascii="Arial" w:cs="Arial" w:eastAsia="Arial" w:hAnsi="Arial"/>
                <w:sz w:val="14"/>
                <w:szCs w:val="14"/>
                <w:color w:val="auto"/>
              </w:rPr>
              <w:t>Year Ended December 31,</w:t>
            </w:r>
          </w:p>
        </w:tc>
        <w:tc>
          <w:tcPr>
            <w:tcW w:w="0" w:type="dxa"/>
            <w:vAlign w:val="bottom"/>
          </w:tcPr>
          <w:p>
            <w:pPr>
              <w:spacing w:after="0"/>
              <w:rPr>
                <w:sz w:val="1"/>
                <w:szCs w:val="1"/>
                <w:color w:val="auto"/>
              </w:rPr>
            </w:pPr>
          </w:p>
        </w:tc>
      </w:tr>
      <w:tr>
        <w:trPr>
          <w:trHeight w:val="142"/>
        </w:trPr>
        <w:tc>
          <w:tcPr>
            <w:tcW w:w="6220" w:type="dxa"/>
            <w:vAlign w:val="bottom"/>
            <w:gridSpan w:val="2"/>
            <w:vMerge w:val="continue"/>
          </w:tcPr>
          <w:p>
            <w:pPr>
              <w:spacing w:after="0"/>
              <w:rPr>
                <w:sz w:val="12"/>
                <w:szCs w:val="12"/>
                <w:color w:val="auto"/>
              </w:rPr>
            </w:pPr>
          </w:p>
        </w:tc>
        <w:tc>
          <w:tcPr>
            <w:tcW w:w="2140" w:type="dxa"/>
            <w:vAlign w:val="bottom"/>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2010</w:t>
            </w:r>
          </w:p>
        </w:tc>
        <w:tc>
          <w:tcPr>
            <w:tcW w:w="780" w:type="dxa"/>
            <w:vAlign w:val="bottom"/>
            <w:tcBorders>
              <w:top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color w:val="auto"/>
              </w:rPr>
              <w:t>2009</w:t>
            </w:r>
          </w:p>
        </w:tc>
        <w:tc>
          <w:tcPr>
            <w:tcW w:w="920" w:type="dxa"/>
            <w:vAlign w:val="bottom"/>
            <w:tcBorders>
              <w:top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20" w:type="dxa"/>
            <w:vAlign w:val="bottom"/>
            <w:gridSpan w:val="2"/>
            <w:shd w:val="clear" w:color="auto" w:fill="E5E5E5"/>
          </w:tcPr>
          <w:p>
            <w:pPr>
              <w:spacing w:after="0" w:line="196" w:lineRule="exact"/>
              <w:rPr>
                <w:sz w:val="20"/>
                <w:szCs w:val="20"/>
                <w:color w:val="auto"/>
              </w:rPr>
            </w:pPr>
            <w:r>
              <w:rPr>
                <w:rFonts w:ascii="Arial" w:cs="Arial" w:eastAsia="Arial" w:hAnsi="Arial"/>
                <w:sz w:val="18"/>
                <w:szCs w:val="18"/>
                <w:color w:val="auto"/>
              </w:rPr>
              <w:t>Total equity in net income of unconsolidated affiliates</w:t>
            </w:r>
          </w:p>
        </w:tc>
        <w:tc>
          <w:tcPr>
            <w:tcW w:w="2480" w:type="dxa"/>
            <w:vAlign w:val="bottom"/>
            <w:gridSpan w:val="2"/>
            <w:shd w:val="clear" w:color="auto" w:fill="E5E5E5"/>
          </w:tcPr>
          <w:p>
            <w:pPr>
              <w:jc w:val="right"/>
              <w:spacing w:after="0" w:line="196" w:lineRule="exact"/>
              <w:rPr>
                <w:sz w:val="20"/>
                <w:szCs w:val="20"/>
                <w:color w:val="auto"/>
              </w:rPr>
            </w:pPr>
            <w:r>
              <w:rPr>
                <w:rFonts w:ascii="Arial" w:cs="Arial" w:eastAsia="Arial" w:hAnsi="Arial"/>
                <w:sz w:val="18"/>
                <w:szCs w:val="18"/>
                <w:color w:val="auto"/>
              </w:rPr>
              <w:t>$ 78</w:t>
            </w:r>
          </w:p>
        </w:tc>
        <w:tc>
          <w:tcPr>
            <w:tcW w:w="780" w:type="dxa"/>
            <w:vAlign w:val="bottom"/>
            <w:gridSpan w:val="2"/>
            <w:shd w:val="clear" w:color="auto" w:fill="E5E5E5"/>
          </w:tcPr>
          <w:p>
            <w:pPr>
              <w:jc w:val="right"/>
              <w:spacing w:after="0" w:line="196" w:lineRule="exact"/>
              <w:rPr>
                <w:sz w:val="20"/>
                <w:szCs w:val="20"/>
                <w:color w:val="auto"/>
              </w:rPr>
            </w:pPr>
            <w:r>
              <w:rPr>
                <w:rFonts w:ascii="Arial" w:cs="Arial" w:eastAsia="Arial" w:hAnsi="Arial"/>
                <w:sz w:val="18"/>
                <w:szCs w:val="18"/>
                <w:color w:val="auto"/>
              </w:rPr>
              <w:t>$ 41</w:t>
            </w:r>
          </w:p>
        </w:tc>
        <w:tc>
          <w:tcPr>
            <w:tcW w:w="1020" w:type="dxa"/>
            <w:vAlign w:val="bottom"/>
            <w:gridSpan w:val="3"/>
            <w:shd w:val="clear" w:color="auto" w:fill="E5E5E5"/>
          </w:tcPr>
          <w:p>
            <w:pPr>
              <w:jc w:val="right"/>
              <w:ind w:right="100"/>
              <w:spacing w:after="0" w:line="196" w:lineRule="exact"/>
              <w:rPr>
                <w:sz w:val="20"/>
                <w:szCs w:val="20"/>
                <w:color w:val="auto"/>
              </w:rPr>
            </w:pPr>
            <w:r>
              <w:rPr>
                <w:rFonts w:ascii="Arial" w:cs="Arial" w:eastAsia="Arial" w:hAnsi="Arial"/>
                <w:sz w:val="18"/>
                <w:szCs w:val="18"/>
                <w:color w:val="auto"/>
              </w:rPr>
              <w:t>$ 113</w:t>
            </w:r>
          </w:p>
        </w:tc>
        <w:tc>
          <w:tcPr>
            <w:tcW w:w="0" w:type="dxa"/>
            <w:vAlign w:val="bottom"/>
          </w:tcPr>
          <w:p>
            <w:pPr>
              <w:spacing w:after="0"/>
              <w:rPr>
                <w:sz w:val="1"/>
                <w:szCs w:val="1"/>
                <w:color w:val="auto"/>
              </w:rPr>
            </w:pPr>
          </w:p>
        </w:tc>
      </w:tr>
      <w:tr>
        <w:trPr>
          <w:trHeight w:val="293"/>
        </w:trPr>
        <w:tc>
          <w:tcPr>
            <w:tcW w:w="6220" w:type="dxa"/>
            <w:vAlign w:val="bottom"/>
            <w:gridSpan w:val="2"/>
          </w:tcPr>
          <w:p>
            <w:pPr>
              <w:spacing w:after="0"/>
              <w:rPr>
                <w:sz w:val="20"/>
                <w:szCs w:val="20"/>
                <w:color w:val="auto"/>
              </w:rPr>
            </w:pPr>
            <w:r>
              <w:rPr>
                <w:rFonts w:ascii="Arial" w:cs="Arial" w:eastAsia="Arial" w:hAnsi="Arial"/>
                <w:sz w:val="18"/>
                <w:szCs w:val="18"/>
                <w:color w:val="auto"/>
              </w:rPr>
              <w:t>Fuji Xerox after-tax restructuring costs</w:t>
            </w:r>
            <w:r>
              <w:rPr>
                <w:rFonts w:ascii="Arial" w:cs="Arial" w:eastAsia="Arial" w:hAnsi="Arial"/>
                <w:sz w:val="22"/>
                <w:szCs w:val="22"/>
                <w:color w:val="auto"/>
                <w:vertAlign w:val="superscript"/>
              </w:rPr>
              <w:t>(1)</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289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4" w:lineRule="exact"/>
        <w:rPr>
          <w:sz w:val="20"/>
          <w:szCs w:val="20"/>
          <w:color w:val="auto"/>
        </w:rPr>
      </w:pPr>
    </w:p>
    <w:p>
      <w:pPr>
        <w:ind w:left="340" w:hanging="332"/>
        <w:spacing w:after="0"/>
        <w:tabs>
          <w:tab w:leader="none" w:pos="34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Represents our 25% share of Fuji Xerox after-tax restructuring costs. Amounts are included in Total equity in net income of unconsolidated affiliates.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Equity in net income of unconsolidated affiliates primarily reflects our 25% share in Fuji Xerox.</w:t>
      </w:r>
    </w:p>
    <w:p>
      <w:pPr>
        <w:spacing w:after="0" w:line="158" w:lineRule="exact"/>
        <w:rPr>
          <w:sz w:val="20"/>
          <w:szCs w:val="20"/>
          <w:color w:val="auto"/>
        </w:rPr>
      </w:pPr>
    </w:p>
    <w:p>
      <w:pPr>
        <w:ind w:right="500"/>
        <w:spacing w:after="0" w:line="239" w:lineRule="auto"/>
        <w:rPr>
          <w:sz w:val="20"/>
          <w:szCs w:val="20"/>
          <w:color w:val="auto"/>
        </w:rPr>
      </w:pPr>
      <w:r>
        <w:rPr>
          <w:rFonts w:ascii="Arial" w:cs="Arial" w:eastAsia="Arial" w:hAnsi="Arial"/>
          <w:sz w:val="18"/>
          <w:szCs w:val="18"/>
          <w:color w:val="auto"/>
        </w:rPr>
        <w:t>The 2010 increase of $37 million from 2009 was primarily due to an increase in Fuji Xerox’s net income, which was primarily driven by higher revenue and cost improvements, as well as lower restructuring costs.</w:t>
      </w:r>
    </w:p>
    <w:p>
      <w:pPr>
        <w:spacing w:after="0" w:line="155"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The 2009 decrease of $72 million from 2008 was primarily due to Fuji Xerox’s lower net income, which was negatively impacted by the weakness in the worldwide economy, as well as $46 million related to our share of Fuji Xerox after-tax restructuring costs.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Recent Accounting Pronouncements</w:t>
      </w:r>
    </w:p>
    <w:p>
      <w:pPr>
        <w:spacing w:after="0" w:line="180" w:lineRule="exact"/>
        <w:rPr>
          <w:sz w:val="20"/>
          <w:szCs w:val="20"/>
          <w:color w:val="auto"/>
        </w:rPr>
      </w:pPr>
    </w:p>
    <w:p>
      <w:pPr>
        <w:ind w:right="480"/>
        <w:spacing w:after="0" w:line="239" w:lineRule="auto"/>
        <w:rPr>
          <w:sz w:val="20"/>
          <w:szCs w:val="20"/>
          <w:color w:val="auto"/>
        </w:rPr>
      </w:pPr>
      <w:r>
        <w:rPr>
          <w:rFonts w:ascii="Arial" w:cs="Arial" w:eastAsia="Arial" w:hAnsi="Arial"/>
          <w:sz w:val="18"/>
          <w:szCs w:val="18"/>
          <w:color w:val="auto"/>
        </w:rPr>
        <w:t>Refer to Note 1 – Summary of Significant Accounting Policies in the Consolidated Financial Statements for a description of recent accounting pronouncements including the respective dates of adoption and the effects on results of operations and financial condition.</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4C9F40"/>
        </w:rPr>
        <w:t>Capital Resources and Liquidity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Cash Flow Analysis</w:t>
      </w:r>
    </w:p>
    <w:p>
      <w:pPr>
        <w:spacing w:after="0" w:line="180" w:lineRule="exact"/>
        <w:rPr>
          <w:sz w:val="20"/>
          <w:szCs w:val="20"/>
          <w:color w:val="auto"/>
        </w:rPr>
      </w:pPr>
    </w:p>
    <w:p>
      <w:pPr>
        <w:ind w:right="480"/>
        <w:spacing w:after="0" w:line="239" w:lineRule="auto"/>
        <w:rPr>
          <w:sz w:val="20"/>
          <w:szCs w:val="20"/>
          <w:color w:val="auto"/>
        </w:rPr>
      </w:pPr>
      <w:r>
        <w:rPr>
          <w:rFonts w:ascii="Arial" w:cs="Arial" w:eastAsia="Arial" w:hAnsi="Arial"/>
          <w:sz w:val="18"/>
          <w:szCs w:val="18"/>
          <w:color w:val="auto"/>
        </w:rPr>
        <w:t>The following summarizes our cash flows for the three years ended December 31, 2010, as reported in our Consolidated Statements of Cash Flows in the accompanying Consolidated Financial Statements: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gridSpan w:val="3"/>
            <w:vMerge w:val="restart"/>
          </w:tcPr>
          <w:p>
            <w:pPr>
              <w:spacing w:after="0"/>
              <w:rPr>
                <w:sz w:val="20"/>
                <w:szCs w:val="20"/>
                <w:color w:val="auto"/>
              </w:rPr>
            </w:pPr>
            <w:r>
              <w:rPr>
                <w:rFonts w:ascii="Arial" w:cs="Arial" w:eastAsia="Arial" w:hAnsi="Arial"/>
                <w:sz w:val="14"/>
                <w:szCs w:val="14"/>
                <w:color w:val="auto"/>
              </w:rPr>
              <w:t>(in millions)</w:t>
            </w:r>
          </w:p>
        </w:tc>
        <w:tc>
          <w:tcPr>
            <w:tcW w:w="1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8"/>
          </w:tcPr>
          <w:p>
            <w:pPr>
              <w:jc w:val="right"/>
              <w:ind w:right="20"/>
              <w:spacing w:after="0"/>
              <w:rPr>
                <w:sz w:val="20"/>
                <w:szCs w:val="20"/>
                <w:color w:val="auto"/>
              </w:rPr>
            </w:pPr>
            <w:r>
              <w:rPr>
                <w:rFonts w:ascii="Arial" w:cs="Arial" w:eastAsia="Arial" w:hAnsi="Arial"/>
                <w:sz w:val="14"/>
                <w:szCs w:val="14"/>
                <w:color w:val="auto"/>
              </w:rPr>
              <w:t>Year Ended December 31,</w:t>
            </w:r>
          </w:p>
        </w:tc>
        <w:tc>
          <w:tcPr>
            <w:tcW w:w="5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color w:val="auto"/>
              </w:rPr>
              <w:t>Change</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117"/>
              <w:spacing w:after="0" w:line="142" w:lineRule="exact"/>
              <w:rPr>
                <w:sz w:val="20"/>
                <w:szCs w:val="20"/>
                <w:color w:val="auto"/>
              </w:rPr>
            </w:pPr>
            <w:r>
              <w:rPr>
                <w:rFonts w:ascii="Arial" w:cs="Arial" w:eastAsia="Arial" w:hAnsi="Arial"/>
                <w:sz w:val="14"/>
                <w:szCs w:val="14"/>
                <w:color w:val="auto"/>
              </w:rPr>
              <w:t>2010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ind w:right="75"/>
              <w:spacing w:after="0" w:line="142" w:lineRule="exact"/>
              <w:rPr>
                <w:sz w:val="20"/>
                <w:szCs w:val="20"/>
                <w:color w:val="auto"/>
              </w:rPr>
            </w:pPr>
            <w:r>
              <w:rPr>
                <w:rFonts w:ascii="Arial" w:cs="Arial" w:eastAsia="Arial" w:hAnsi="Arial"/>
                <w:sz w:val="14"/>
                <w:szCs w:val="14"/>
                <w:color w:val="auto"/>
              </w:rPr>
              <w:t>2009</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ind w:right="95"/>
              <w:spacing w:after="0" w:line="142" w:lineRule="exact"/>
              <w:rPr>
                <w:sz w:val="20"/>
                <w:szCs w:val="20"/>
                <w:color w:val="auto"/>
              </w:rPr>
            </w:pPr>
            <w:r>
              <w:rPr>
                <w:rFonts w:ascii="Arial" w:cs="Arial" w:eastAsia="Arial" w:hAnsi="Arial"/>
                <w:sz w:val="14"/>
                <w:szCs w:val="14"/>
                <w:color w:val="auto"/>
                <w:w w:val="96"/>
              </w:rPr>
              <w:t>2008</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17"/>
              <w:spacing w:after="0" w:line="142" w:lineRule="exact"/>
              <w:rPr>
                <w:sz w:val="20"/>
                <w:szCs w:val="20"/>
                <w:color w:val="auto"/>
              </w:rPr>
            </w:pPr>
            <w:r>
              <w:rPr>
                <w:rFonts w:ascii="Arial" w:cs="Arial" w:eastAsia="Arial" w:hAnsi="Arial"/>
                <w:sz w:val="14"/>
                <w:szCs w:val="14"/>
                <w:color w:val="auto"/>
              </w:rPr>
              <w:t>2010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95"/>
              <w:spacing w:after="0" w:line="142" w:lineRule="exact"/>
              <w:rPr>
                <w:sz w:val="20"/>
                <w:szCs w:val="20"/>
                <w:color w:val="auto"/>
              </w:rPr>
            </w:pPr>
            <w:r>
              <w:rPr>
                <w:rFonts w:ascii="Arial" w:cs="Arial" w:eastAsia="Arial" w:hAnsi="Arial"/>
                <w:sz w:val="14"/>
                <w:szCs w:val="14"/>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720" w:type="dxa"/>
            <w:vAlign w:val="bottom"/>
            <w:gridSpan w:val="2"/>
            <w:shd w:val="clear" w:color="auto" w:fill="E5E5E5"/>
          </w:tcPr>
          <w:p>
            <w:pPr>
              <w:spacing w:after="0" w:line="196" w:lineRule="exact"/>
              <w:rPr>
                <w:sz w:val="20"/>
                <w:szCs w:val="20"/>
                <w:color w:val="auto"/>
              </w:rPr>
            </w:pPr>
            <w:r>
              <w:rPr>
                <w:rFonts w:ascii="Arial" w:cs="Arial" w:eastAsia="Arial" w:hAnsi="Arial"/>
                <w:sz w:val="18"/>
                <w:szCs w:val="18"/>
                <w:color w:val="auto"/>
              </w:rPr>
              <w:t>Net cash provided by operating activities</w:t>
            </w:r>
          </w:p>
        </w:tc>
        <w:tc>
          <w:tcPr>
            <w:tcW w:w="16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rPr>
              <w:t>2,726</w:t>
            </w:r>
          </w:p>
        </w:tc>
        <w:tc>
          <w:tcPr>
            <w:tcW w:w="180" w:type="dxa"/>
            <w:vAlign w:val="bottom"/>
            <w:shd w:val="clear" w:color="auto" w:fill="E5E5E5"/>
          </w:tcPr>
          <w:p>
            <w:pPr>
              <w:spacing w:after="0"/>
              <w:rPr>
                <w:sz w:val="17"/>
                <w:szCs w:val="17"/>
                <w:color w:val="auto"/>
              </w:rPr>
            </w:pPr>
          </w:p>
        </w:tc>
        <w:tc>
          <w:tcPr>
            <w:tcW w:w="260" w:type="dxa"/>
            <w:vAlign w:val="bottom"/>
            <w:gridSpan w:val="2"/>
            <w:shd w:val="clear" w:color="auto" w:fill="E5E5E5"/>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E5E5E5"/>
          </w:tcPr>
          <w:p>
            <w:pPr>
              <w:jc w:val="right"/>
              <w:ind w:right="180"/>
              <w:spacing w:after="0" w:line="196" w:lineRule="exact"/>
              <w:rPr>
                <w:sz w:val="20"/>
                <w:szCs w:val="20"/>
                <w:color w:val="auto"/>
              </w:rPr>
            </w:pPr>
            <w:r>
              <w:rPr>
                <w:rFonts w:ascii="Arial" w:cs="Arial" w:eastAsia="Arial" w:hAnsi="Arial"/>
                <w:sz w:val="18"/>
                <w:szCs w:val="18"/>
                <w:color w:val="auto"/>
              </w:rPr>
              <w:t>2,208</w:t>
            </w:r>
          </w:p>
        </w:tc>
        <w:tc>
          <w:tcPr>
            <w:tcW w:w="280" w:type="dxa"/>
            <w:vAlign w:val="bottom"/>
            <w:gridSpan w:val="2"/>
            <w:shd w:val="clear" w:color="auto" w:fill="E5E5E5"/>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rPr>
              <w:t>939</w:t>
            </w:r>
          </w:p>
        </w:tc>
        <w:tc>
          <w:tcPr>
            <w:tcW w:w="300" w:type="dxa"/>
            <w:vAlign w:val="bottom"/>
            <w:shd w:val="clear" w:color="auto" w:fill="E5E5E5"/>
          </w:tcPr>
          <w:p>
            <w:pPr>
              <w:spacing w:after="0"/>
              <w:rPr>
                <w:sz w:val="17"/>
                <w:szCs w:val="17"/>
                <w:color w:val="auto"/>
              </w:rPr>
            </w:pPr>
          </w:p>
        </w:tc>
        <w:tc>
          <w:tcPr>
            <w:tcW w:w="140" w:type="dxa"/>
            <w:vAlign w:val="bottom"/>
            <w:shd w:val="clear" w:color="auto" w:fill="E5E5E5"/>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E5E5E5"/>
          </w:tcPr>
          <w:p>
            <w:pPr>
              <w:jc w:val="right"/>
              <w:ind w:right="180"/>
              <w:spacing w:after="0" w:line="196" w:lineRule="exact"/>
              <w:rPr>
                <w:sz w:val="20"/>
                <w:szCs w:val="20"/>
                <w:color w:val="auto"/>
              </w:rPr>
            </w:pPr>
            <w:r>
              <w:rPr>
                <w:rFonts w:ascii="Arial" w:cs="Arial" w:eastAsia="Arial" w:hAnsi="Arial"/>
                <w:sz w:val="18"/>
                <w:szCs w:val="18"/>
                <w:color w:val="auto"/>
              </w:rPr>
              <w:t>518</w:t>
            </w:r>
          </w:p>
        </w:tc>
        <w:tc>
          <w:tcPr>
            <w:tcW w:w="260" w:type="dxa"/>
            <w:vAlign w:val="bottom"/>
            <w:gridSpan w:val="2"/>
            <w:shd w:val="clear" w:color="auto" w:fill="E5E5E5"/>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rPr>
              <w:t>1,269</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3"/>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16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(2,178)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(343)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(441)</w:t>
            </w:r>
          </w:p>
        </w:tc>
        <w:tc>
          <w:tcPr>
            <w:tcW w:w="14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(1,835)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Net cash (used in) provided by financing activities</w:t>
            </w:r>
          </w:p>
        </w:tc>
        <w:tc>
          <w:tcPr>
            <w:tcW w:w="160" w:type="dxa"/>
            <w:vAlign w:val="bottom"/>
            <w:shd w:val="clear" w:color="auto" w:fill="E5E5E5"/>
          </w:tcPr>
          <w:p>
            <w:pPr>
              <w:spacing w:after="0"/>
              <w:rPr>
                <w:sz w:val="17"/>
                <w:szCs w:val="17"/>
                <w:color w:val="auto"/>
              </w:rPr>
            </w:pPr>
          </w:p>
        </w:tc>
        <w:tc>
          <w:tcPr>
            <w:tcW w:w="74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(3,116)</w:t>
            </w:r>
          </w:p>
        </w:tc>
        <w:tc>
          <w:tcPr>
            <w:tcW w:w="1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5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692</w:t>
            </w:r>
          </w:p>
        </w:tc>
        <w:tc>
          <w:tcPr>
            <w:tcW w:w="18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0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color w:val="auto"/>
              </w:rPr>
              <w:t>(311)</w:t>
            </w:r>
          </w:p>
        </w:tc>
        <w:tc>
          <w:tcPr>
            <w:tcW w:w="140" w:type="dxa"/>
            <w:vAlign w:val="bottom"/>
            <w:shd w:val="clear" w:color="auto" w:fill="E5E5E5"/>
          </w:tcPr>
          <w:p>
            <w:pPr>
              <w:spacing w:after="0"/>
              <w:rPr>
                <w:sz w:val="17"/>
                <w:szCs w:val="17"/>
                <w:color w:val="auto"/>
              </w:rPr>
            </w:pPr>
          </w:p>
        </w:tc>
        <w:tc>
          <w:tcPr>
            <w:tcW w:w="74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(3,808)</w:t>
            </w:r>
          </w:p>
        </w:tc>
        <w:tc>
          <w:tcPr>
            <w:tcW w:w="1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5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1,003</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3"/>
          </w:tcPr>
          <w:p>
            <w:pPr>
              <w:spacing w:after="0" w:line="202" w:lineRule="exact"/>
              <w:rPr>
                <w:sz w:val="20"/>
                <w:szCs w:val="20"/>
                <w:color w:val="auto"/>
              </w:rPr>
            </w:pPr>
            <w:r>
              <w:rPr>
                <w:rFonts w:ascii="Arial" w:cs="Arial" w:eastAsia="Arial" w:hAnsi="Arial"/>
                <w:sz w:val="18"/>
                <w:szCs w:val="18"/>
                <w:color w:val="auto"/>
              </w:rPr>
              <w:t>Effect of exchange rate changes on cash and cash equivalents</w:t>
            </w:r>
          </w:p>
        </w:tc>
        <w:tc>
          <w:tcPr>
            <w:tcW w:w="16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(57)</w:t>
            </w:r>
          </w:p>
        </w:tc>
        <w:tc>
          <w:tcPr>
            <w:tcW w:w="14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(Decrease) increase in cash and cash equivalents</w:t>
            </w:r>
          </w:p>
        </w:tc>
        <w:tc>
          <w:tcPr>
            <w:tcW w:w="160" w:type="dxa"/>
            <w:vAlign w:val="bottom"/>
            <w:shd w:val="clear" w:color="auto" w:fill="E5E5E5"/>
          </w:tcPr>
          <w:p>
            <w:pPr>
              <w:spacing w:after="0"/>
              <w:rPr>
                <w:sz w:val="17"/>
                <w:szCs w:val="17"/>
                <w:color w:val="auto"/>
              </w:rPr>
            </w:pPr>
          </w:p>
        </w:tc>
        <w:tc>
          <w:tcPr>
            <w:tcW w:w="74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(2,588)</w:t>
            </w:r>
          </w:p>
        </w:tc>
        <w:tc>
          <w:tcPr>
            <w:tcW w:w="1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5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2,570</w:t>
            </w:r>
          </w:p>
        </w:tc>
        <w:tc>
          <w:tcPr>
            <w:tcW w:w="18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5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130</w:t>
            </w:r>
          </w:p>
        </w:tc>
        <w:tc>
          <w:tcPr>
            <w:tcW w:w="30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74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(5,158)</w:t>
            </w:r>
          </w:p>
        </w:tc>
        <w:tc>
          <w:tcPr>
            <w:tcW w:w="1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5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2,440</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740" w:type="dxa"/>
            <w:vAlign w:val="bottom"/>
            <w:gridSpan w:val="3"/>
          </w:tcPr>
          <w:p>
            <w:pPr>
              <w:spacing w:after="0" w:line="202" w:lineRule="exact"/>
              <w:rPr>
                <w:sz w:val="20"/>
                <w:szCs w:val="20"/>
                <w:color w:val="auto"/>
              </w:rPr>
            </w:pPr>
            <w:r>
              <w:rPr>
                <w:rFonts w:ascii="Arial" w:cs="Arial" w:eastAsia="Arial" w:hAnsi="Arial"/>
                <w:sz w:val="18"/>
                <w:szCs w:val="18"/>
                <w:color w:val="auto"/>
              </w:rPr>
              <w:t>Cash and cash equivalents at beginning of year</w:t>
            </w: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3,799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1,229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1,099</w:t>
            </w:r>
          </w:p>
        </w:tc>
        <w:tc>
          <w:tcPr>
            <w:tcW w:w="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2,570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Cash and Cash Equivalents at End of Year</w:t>
            </w:r>
          </w:p>
        </w:tc>
        <w:tc>
          <w:tcPr>
            <w:tcW w:w="1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1,211</w:t>
            </w:r>
          </w:p>
        </w:tc>
        <w:tc>
          <w:tcPr>
            <w:tcW w:w="180" w:type="dxa"/>
            <w:vAlign w:val="bottom"/>
            <w:shd w:val="clear" w:color="auto" w:fill="E5E5E5"/>
          </w:tcPr>
          <w:p>
            <w:pPr>
              <w:spacing w:after="0"/>
              <w:rPr>
                <w:sz w:val="17"/>
                <w:szCs w:val="17"/>
                <w:color w:val="auto"/>
              </w:rPr>
            </w:pPr>
          </w:p>
        </w:tc>
        <w:tc>
          <w:tcPr>
            <w:tcW w:w="26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3,799</w:t>
            </w:r>
          </w:p>
        </w:tc>
        <w:tc>
          <w:tcPr>
            <w:tcW w:w="180" w:type="dxa"/>
            <w:vAlign w:val="bottom"/>
            <w:shd w:val="clear" w:color="auto" w:fill="E5E5E5"/>
          </w:tcPr>
          <w:p>
            <w:pPr>
              <w:spacing w:after="0"/>
              <w:rPr>
                <w:sz w:val="17"/>
                <w:szCs w:val="17"/>
                <w:color w:val="auto"/>
              </w:rPr>
            </w:pPr>
          </w:p>
        </w:tc>
        <w:tc>
          <w:tcPr>
            <w:tcW w:w="28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E5E5E5"/>
          </w:tcPr>
          <w:p>
            <w:pPr>
              <w:jc w:val="right"/>
              <w:ind w:right="300"/>
              <w:spacing w:after="0" w:line="202" w:lineRule="exact"/>
              <w:rPr>
                <w:sz w:val="20"/>
                <w:szCs w:val="20"/>
                <w:color w:val="auto"/>
              </w:rPr>
            </w:pPr>
            <w:r>
              <w:rPr>
                <w:rFonts w:ascii="Arial" w:cs="Arial" w:eastAsia="Arial" w:hAnsi="Arial"/>
                <w:sz w:val="18"/>
                <w:szCs w:val="18"/>
                <w:color w:val="auto"/>
              </w:rPr>
              <w:t>1,229</w:t>
            </w:r>
          </w:p>
        </w:tc>
        <w:tc>
          <w:tcPr>
            <w:tcW w:w="140" w:type="dxa"/>
            <w:vAlign w:val="bottom"/>
            <w:shd w:val="clear" w:color="auto" w:fill="E5E5E5"/>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(2,588)</w:t>
            </w:r>
          </w:p>
        </w:tc>
        <w:tc>
          <w:tcPr>
            <w:tcW w:w="26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2,570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right"/>
        <w:spacing w:after="0"/>
        <w:rPr>
          <w:sz w:val="20"/>
          <w:szCs w:val="20"/>
          <w:color w:val="auto"/>
        </w:rPr>
      </w:pPr>
      <w:r>
        <w:rPr>
          <w:rFonts w:ascii="Arial" w:cs="Arial" w:eastAsia="Arial" w:hAnsi="Arial"/>
          <w:sz w:val="14"/>
          <w:szCs w:val="14"/>
          <w:color w:val="4C9F40"/>
        </w:rPr>
        <w:t>Xerox 2010 Annual Report 22</w:t>
      </w:r>
    </w:p>
    <w:p>
      <w:pPr>
        <w:sectPr>
          <w:pgSz w:w="11900" w:h="16838" w:orient="portrait"/>
          <w:cols w:equalWidth="0" w:num="1">
            <w:col w:w="11420"/>
          </w:cols>
          <w:pgMar w:left="240" w:top="423" w:right="2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4C9F40"/>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Cash Flows from Operating Activities</w:t>
      </w:r>
    </w:p>
    <w:p>
      <w:pPr>
        <w:spacing w:after="0" w:line="18" w:lineRule="exact"/>
        <w:rPr>
          <w:sz w:val="20"/>
          <w:szCs w:val="20"/>
          <w:color w:val="auto"/>
        </w:rPr>
      </w:pPr>
    </w:p>
    <w:p>
      <w:pPr>
        <w:ind w:right="120"/>
        <w:spacing w:after="0" w:line="234" w:lineRule="auto"/>
        <w:rPr>
          <w:sz w:val="20"/>
          <w:szCs w:val="20"/>
          <w:color w:val="auto"/>
        </w:rPr>
      </w:pPr>
      <w:r>
        <w:rPr>
          <w:rFonts w:ascii="Arial" w:cs="Arial" w:eastAsia="Arial" w:hAnsi="Arial"/>
          <w:sz w:val="18"/>
          <w:szCs w:val="18"/>
          <w:color w:val="auto"/>
        </w:rPr>
        <w:t>Net cash provided by operating activities was $2,726 million for the year ended December 31, 2010 and includes $113 million of cash outflows for acquisition related expenditures. The $518 million increase in cash from 2009 was primarily due to the following:</w:t>
      </w:r>
    </w:p>
    <w:p>
      <w:pPr>
        <w:spacing w:after="0" w:line="2" w:lineRule="exact"/>
        <w:rPr>
          <w:sz w:val="20"/>
          <w:szCs w:val="20"/>
          <w:color w:val="auto"/>
        </w:rPr>
      </w:pPr>
    </w:p>
    <w:p>
      <w:pPr>
        <w:ind w:left="340" w:right="360" w:hanging="332"/>
        <w:spacing w:after="0" w:line="234" w:lineRule="auto"/>
        <w:tabs>
          <w:tab w:leader="none" w:pos="3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$1,173 million increase in pre-tax income before depreciation and amortization, stock-based compensation, litigation, restructuring and the Venezuelan currency devaluation.</w:t>
      </w:r>
    </w:p>
    <w:p>
      <w:pPr>
        <w:spacing w:after="0" w:line="1" w:lineRule="exact"/>
        <w:rPr>
          <w:rFonts w:ascii="Arial" w:cs="Arial" w:eastAsia="Arial" w:hAnsi="Arial"/>
          <w:sz w:val="18"/>
          <w:szCs w:val="18"/>
          <w:color w:val="auto"/>
        </w:rPr>
      </w:pPr>
    </w:p>
    <w:p>
      <w:pPr>
        <w:ind w:left="340" w:right="500" w:hanging="332"/>
        <w:spacing w:after="0" w:line="234" w:lineRule="auto"/>
        <w:tabs>
          <w:tab w:leader="none" w:pos="3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$458 million increase due to higher accounts payable and accrued compensation primarily related to higher inventory purchases and the timing of accounts payable payments as well as increased compensation, benefit and other accruals.</w:t>
      </w:r>
    </w:p>
    <w:p>
      <w:pPr>
        <w:spacing w:after="0" w:line="1" w:lineRule="exact"/>
        <w:rPr>
          <w:rFonts w:ascii="Arial" w:cs="Arial" w:eastAsia="Arial" w:hAnsi="Arial"/>
          <w:sz w:val="18"/>
          <w:szCs w:val="18"/>
          <w:color w:val="auto"/>
        </w:rPr>
      </w:pPr>
    </w:p>
    <w:p>
      <w:pPr>
        <w:ind w:left="340" w:hanging="332"/>
        <w:spacing w:after="0" w:line="234" w:lineRule="auto"/>
        <w:tabs>
          <w:tab w:leader="none" w:pos="3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$141 million increase primarily from the early termination of certain interest rate swaps.</w:t>
      </w:r>
    </w:p>
    <w:p>
      <w:pPr>
        <w:ind w:left="340" w:hanging="332"/>
        <w:spacing w:after="0" w:line="234" w:lineRule="auto"/>
        <w:tabs>
          <w:tab w:leader="none" w:pos="3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$57 million increase due to lower restructuring payments.</w:t>
      </w:r>
    </w:p>
    <w:p>
      <w:pPr>
        <w:ind w:left="340" w:hanging="332"/>
        <w:spacing w:after="0" w:line="234" w:lineRule="auto"/>
        <w:tabs>
          <w:tab w:leader="none" w:pos="3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$470 million decrease as a result of higher inventory levels reflecting increased activity.</w:t>
      </w:r>
    </w:p>
    <w:p>
      <w:pPr>
        <w:ind w:left="340" w:right="80" w:hanging="332"/>
        <w:spacing w:after="0" w:line="234" w:lineRule="auto"/>
        <w:tabs>
          <w:tab w:leader="none" w:pos="3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$367 million decrease due to an increase in accounts receivable, net of collections of deferred proceeds from the sale of receivables, primarily as a result of higher revenues and a lower impact from receivable sales.</w:t>
      </w:r>
    </w:p>
    <w:p>
      <w:pPr>
        <w:spacing w:after="0" w:line="1" w:lineRule="exact"/>
        <w:rPr>
          <w:rFonts w:ascii="Arial" w:cs="Arial" w:eastAsia="Arial" w:hAnsi="Arial"/>
          <w:sz w:val="18"/>
          <w:szCs w:val="18"/>
          <w:color w:val="auto"/>
        </w:rPr>
      </w:pPr>
    </w:p>
    <w:p>
      <w:pPr>
        <w:ind w:left="340" w:hanging="332"/>
        <w:spacing w:after="0" w:line="234" w:lineRule="auto"/>
        <w:tabs>
          <w:tab w:leader="none" w:pos="3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$216 million decrease as a result of up-front costs and other customer related spending associated with our services contracts.</w:t>
      </w:r>
    </w:p>
    <w:p>
      <w:pPr>
        <w:ind w:left="340" w:right="360" w:hanging="332"/>
        <w:spacing w:after="0" w:line="234" w:lineRule="auto"/>
        <w:tabs>
          <w:tab w:leader="none" w:pos="3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$140 million decrease due to higher finance receivables of $119 million and equipment on operating leases of $21 million both reflective of increased equipment placements.</w:t>
      </w:r>
    </w:p>
    <w:p>
      <w:pPr>
        <w:spacing w:after="0" w:line="1" w:lineRule="exact"/>
        <w:rPr>
          <w:rFonts w:ascii="Arial" w:cs="Arial" w:eastAsia="Arial" w:hAnsi="Arial"/>
          <w:sz w:val="18"/>
          <w:szCs w:val="18"/>
          <w:color w:val="auto"/>
        </w:rPr>
      </w:pPr>
    </w:p>
    <w:p>
      <w:pPr>
        <w:ind w:left="340" w:right="80" w:hanging="332"/>
        <w:spacing w:after="0" w:line="239" w:lineRule="auto"/>
        <w:tabs>
          <w:tab w:leader="none" w:pos="3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$115 million decrease primarily due to higher contributions to our U.S. pension plans. No contributions were made in 2009 to our U.S. pension plans due to the availability of prior years’ credit balances.</w:t>
      </w:r>
    </w:p>
    <w:p>
      <w:pPr>
        <w:spacing w:after="0" w:line="155"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Net cash provided by operating activities was $2,208 million for the year ended December 31, 2009. The $1,269 million increase in cash from 2008 was primarily due to the following:</w:t>
      </w:r>
    </w:p>
    <w:p>
      <w:pPr>
        <w:ind w:left="340" w:hanging="332"/>
        <w:spacing w:after="0" w:line="236" w:lineRule="auto"/>
        <w:tabs>
          <w:tab w:leader="none" w:pos="3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$587 million increase due to the absence of payments for securities-related litigation settlements.</w:t>
      </w:r>
    </w:p>
    <w:p>
      <w:pPr>
        <w:ind w:left="340" w:hanging="332"/>
        <w:spacing w:after="0" w:line="234" w:lineRule="auto"/>
        <w:tabs>
          <w:tab w:leader="none" w:pos="3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$433 million increase as a result of lower inventory levels reflecting aggressive supply chain actions in light of lower sales volume.</w:t>
      </w:r>
    </w:p>
    <w:p>
      <w:pPr>
        <w:ind w:left="340" w:right="40" w:hanging="332"/>
        <w:spacing w:after="0" w:line="234" w:lineRule="auto"/>
        <w:tabs>
          <w:tab w:leader="none" w:pos="3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$410 million increase from accounts receivables reflecting the benefits from sales of accounts receivables, lower revenue and strong collection effectiveness.</w:t>
      </w:r>
    </w:p>
    <w:p>
      <w:pPr>
        <w:spacing w:after="0" w:line="1" w:lineRule="exact"/>
        <w:rPr>
          <w:rFonts w:ascii="Arial" w:cs="Arial" w:eastAsia="Arial" w:hAnsi="Arial"/>
          <w:sz w:val="18"/>
          <w:szCs w:val="18"/>
          <w:color w:val="auto"/>
        </w:rPr>
      </w:pPr>
    </w:p>
    <w:p>
      <w:pPr>
        <w:ind w:left="340" w:right="240" w:hanging="332"/>
        <w:spacing w:after="0" w:line="234" w:lineRule="auto"/>
        <w:tabs>
          <w:tab w:leader="none" w:pos="3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$177 million increase due to lower contributions to our defined pension benefit plans. The lower contributions are primarily in the U.S., as no contributions were required due to the availability of prior years’ credit balances.</w:t>
      </w:r>
    </w:p>
    <w:p>
      <w:pPr>
        <w:spacing w:after="0" w:line="1" w:lineRule="exact"/>
        <w:rPr>
          <w:rFonts w:ascii="Arial" w:cs="Arial" w:eastAsia="Arial" w:hAnsi="Arial"/>
          <w:sz w:val="18"/>
          <w:szCs w:val="18"/>
          <w:color w:val="auto"/>
        </w:rPr>
      </w:pPr>
    </w:p>
    <w:p>
      <w:pPr>
        <w:ind w:left="340" w:hanging="332"/>
        <w:spacing w:after="0" w:line="234" w:lineRule="auto"/>
        <w:tabs>
          <w:tab w:leader="none" w:pos="3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$116 million increase due to lower net tax payments.</w:t>
      </w:r>
    </w:p>
    <w:p>
      <w:pPr>
        <w:ind w:left="340" w:hanging="332"/>
        <w:spacing w:after="0" w:line="234" w:lineRule="auto"/>
        <w:tabs>
          <w:tab w:leader="none" w:pos="3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$84 million increase due to higher net run-off of finance receivables.</w:t>
      </w:r>
    </w:p>
    <w:p>
      <w:pPr>
        <w:ind w:left="340" w:hanging="332"/>
        <w:spacing w:after="0" w:line="234" w:lineRule="auto"/>
        <w:tabs>
          <w:tab w:leader="none" w:pos="3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$64 million increase due to lower placements of equipment on operating leases, reflecting lower install activity.</w:t>
      </w:r>
    </w:p>
    <w:p>
      <w:pPr>
        <w:ind w:left="340" w:hanging="332"/>
        <w:spacing w:after="0" w:line="234" w:lineRule="auto"/>
        <w:tabs>
          <w:tab w:leader="none" w:pos="3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$440 million decrease in pre-tax income before litigation, restructuring and acquisition costs.</w:t>
      </w:r>
    </w:p>
    <w:p>
      <w:pPr>
        <w:ind w:left="340" w:hanging="332"/>
        <w:spacing w:after="0" w:line="234" w:lineRule="auto"/>
        <w:tabs>
          <w:tab w:leader="none" w:pos="3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$139 million decrease due to higher restructuring payments related to prior years’ actions.</w:t>
      </w:r>
    </w:p>
    <w:p>
      <w:pPr>
        <w:ind w:left="340" w:right="680" w:hanging="332"/>
        <w:spacing w:after="0" w:line="239" w:lineRule="auto"/>
        <w:tabs>
          <w:tab w:leader="none" w:pos="3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$54 million decrease due to lower accounts payable and accrued compensation, primarily related to lower purchases and the timing of payments to suppliers.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Cash Flows from Investing Activities</w:t>
      </w:r>
    </w:p>
    <w:p>
      <w:pPr>
        <w:spacing w:after="0" w:line="18"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Net cash used in investing activities was $2,178 million for the year ended December 31, 2010. The $1,835 million increase in the use of cash from 2009 was primarily due to the following:</w:t>
      </w:r>
    </w:p>
    <w:p>
      <w:pPr>
        <w:spacing w:after="0" w:line="2" w:lineRule="exact"/>
        <w:rPr>
          <w:sz w:val="20"/>
          <w:szCs w:val="20"/>
          <w:color w:val="auto"/>
        </w:rPr>
      </w:pPr>
    </w:p>
    <w:p>
      <w:pPr>
        <w:ind w:left="340" w:right="140" w:hanging="332"/>
        <w:spacing w:after="0" w:line="234" w:lineRule="auto"/>
        <w:tabs>
          <w:tab w:leader="none" w:pos="3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$1,571 million increase primarily due to the acquisitions of ACS for $1,495 million, EHRO for $125 million, TMS Health for $48 million, IBS for $29 million, Georgia for $21 million and Spur for $12 million.</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$326 million increase due to higher capital expenditures (including internal use software) primarily as a result of the inclusion of ACS in 2010.</w:t>
      </w:r>
    </w:p>
    <w:p>
      <w:pPr>
        <w:spacing w:after="0" w:line="18" w:lineRule="exact"/>
        <w:rPr>
          <w:rFonts w:ascii="Arial" w:cs="Arial" w:eastAsia="Arial" w:hAnsi="Arial"/>
          <w:sz w:val="16"/>
          <w:szCs w:val="16"/>
          <w:color w:val="auto"/>
        </w:rPr>
      </w:pPr>
    </w:p>
    <w:p>
      <w:pPr>
        <w:ind w:left="340" w:hanging="332"/>
        <w:spacing w:after="0"/>
        <w:tabs>
          <w:tab w:leader="none" w:pos="3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$35 million decrease due to higher cash proceeds from asset sales.</w:t>
      </w:r>
    </w:p>
    <w:p>
      <w:pPr>
        <w:spacing w:after="0" w:line="158" w:lineRule="exact"/>
        <w:rPr>
          <w:sz w:val="20"/>
          <w:szCs w:val="20"/>
          <w:color w:val="auto"/>
        </w:rPr>
      </w:pPr>
    </w:p>
    <w:p>
      <w:pPr>
        <w:ind w:right="340"/>
        <w:spacing w:after="0" w:line="234" w:lineRule="auto"/>
        <w:rPr>
          <w:sz w:val="20"/>
          <w:szCs w:val="20"/>
          <w:color w:val="auto"/>
        </w:rPr>
      </w:pPr>
      <w:r>
        <w:rPr>
          <w:rFonts w:ascii="Arial" w:cs="Arial" w:eastAsia="Arial" w:hAnsi="Arial"/>
          <w:sz w:val="18"/>
          <w:szCs w:val="18"/>
          <w:color w:val="auto"/>
        </w:rPr>
        <w:t>Net cash used in investing activities was $343 million for the year ended December 31, 2009. The $98 million decrease in the use of cash from 2008 was primarily due to the following:</w:t>
      </w:r>
    </w:p>
    <w:p>
      <w:pPr>
        <w:ind w:left="340" w:hanging="332"/>
        <w:spacing w:after="0" w:line="236" w:lineRule="auto"/>
        <w:tabs>
          <w:tab w:leader="none" w:pos="3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$142 million decrease due to lower capital expenditures (including internal use software), reflecting very stringent spending controls.</w:t>
      </w:r>
    </w:p>
    <w:p>
      <w:pPr>
        <w:ind w:left="340" w:hanging="332"/>
        <w:spacing w:after="0"/>
        <w:tabs>
          <w:tab w:leader="none" w:pos="3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$21 million increase due to lower cash proceeds from asset sales.</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4"/>
          <w:szCs w:val="14"/>
          <w:color w:val="4C9F40"/>
        </w:rPr>
        <w:t>Xerox 2010 Annual Report 23</w:t>
      </w:r>
    </w:p>
    <w:p>
      <w:pPr>
        <w:sectPr>
          <w:pgSz w:w="11900" w:h="16838" w:orient="portrait"/>
          <w:cols w:equalWidth="0" w:num="1">
            <w:col w:w="11420"/>
          </w:cols>
          <w:pgMar w:left="240" w:top="404" w:right="2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4C9F40"/>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Cash Flows from Financing Activities</w:t>
      </w:r>
    </w:p>
    <w:p>
      <w:pPr>
        <w:spacing w:after="0" w:line="18" w:lineRule="exact"/>
        <w:rPr>
          <w:sz w:val="20"/>
          <w:szCs w:val="20"/>
          <w:color w:val="auto"/>
        </w:rPr>
      </w:pPr>
    </w:p>
    <w:p>
      <w:pPr>
        <w:ind w:right="320"/>
        <w:spacing w:after="0" w:line="234" w:lineRule="auto"/>
        <w:rPr>
          <w:sz w:val="20"/>
          <w:szCs w:val="20"/>
          <w:color w:val="auto"/>
        </w:rPr>
      </w:pPr>
      <w:r>
        <w:rPr>
          <w:rFonts w:ascii="Arial" w:cs="Arial" w:eastAsia="Arial" w:hAnsi="Arial"/>
          <w:sz w:val="18"/>
          <w:szCs w:val="18"/>
          <w:color w:val="auto"/>
        </w:rPr>
        <w:t>Net cash used in financing activities was $3,116 million for the year ended December 31, 2010. The $3,808 million decrease in cash from 2009 was primarily due to the following:</w:t>
      </w:r>
    </w:p>
    <w:p>
      <w:pPr>
        <w:spacing w:after="0" w:line="2" w:lineRule="exact"/>
        <w:rPr>
          <w:sz w:val="20"/>
          <w:szCs w:val="20"/>
          <w:color w:val="auto"/>
        </w:rPr>
      </w:pPr>
    </w:p>
    <w:p>
      <w:pPr>
        <w:ind w:left="340" w:right="40" w:hanging="332"/>
        <w:spacing w:after="0" w:line="234" w:lineRule="auto"/>
        <w:tabs>
          <w:tab w:leader="none" w:pos="3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$3,980 million decrease due to net debt activity. 2010 includes the repayments of $1,733 million of ACS’s debt on the acquisition date, $950 million of Senior Notes, $550 million early redemption of the 2013 Senior Notes, net payments of $110 million on other debt and $14 million of debt issuance costs for the bridge loan facility commitment, which was terminated in 2009. These payments were offset by net proceeds of $300 million from Commercial Paper issued under a program we initiated during the fourth quarter 2010. 2009 reflects the repayment of $1,029 million for Senior Notes due in 2009, net payments of $448 million for Zero Coupon Notes, net payments of $246 million on the Credit Facility, net payments of $35 million primarily for foreign short-term borrowings and $44 million of debt issuance costs for the Bridge Loan Facility commitment which was terminated. These payments were partially offset by net proceeds of $2,725 million from the issuance of Senior Notes in May and December 2009.</w:t>
      </w:r>
    </w:p>
    <w:p>
      <w:pPr>
        <w:spacing w:after="0" w:line="6" w:lineRule="exact"/>
        <w:rPr>
          <w:rFonts w:ascii="Arial" w:cs="Arial" w:eastAsia="Arial" w:hAnsi="Arial"/>
          <w:sz w:val="18"/>
          <w:szCs w:val="18"/>
          <w:color w:val="auto"/>
        </w:rPr>
      </w:pPr>
    </w:p>
    <w:p>
      <w:pPr>
        <w:ind w:left="340" w:hanging="332"/>
        <w:spacing w:after="0" w:line="234" w:lineRule="auto"/>
        <w:tabs>
          <w:tab w:leader="none" w:pos="3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$66 million decrease, reflecting dividends on an increased number of outstanding shares as a result of the acquisition of ACS.</w:t>
      </w:r>
    </w:p>
    <w:p>
      <w:pPr>
        <w:ind w:left="340" w:right="240" w:hanging="332"/>
        <w:spacing w:after="0" w:line="234" w:lineRule="auto"/>
        <w:tabs>
          <w:tab w:leader="none" w:pos="3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$182 million increase due to proceeds from the issuance of common stock primarily as a result of the exercise of stock options issued under the former ACS plans as well as the exercise of stock options from several expiring grants.</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$58 million increase from lower net repayments on secured debt.</w:t>
      </w:r>
    </w:p>
    <w:p>
      <w:pPr>
        <w:spacing w:after="0" w:line="158" w:lineRule="exact"/>
        <w:rPr>
          <w:sz w:val="20"/>
          <w:szCs w:val="20"/>
          <w:color w:val="auto"/>
        </w:rPr>
      </w:pPr>
    </w:p>
    <w:p>
      <w:pPr>
        <w:ind w:right="200"/>
        <w:spacing w:after="0" w:line="234" w:lineRule="auto"/>
        <w:rPr>
          <w:sz w:val="20"/>
          <w:szCs w:val="20"/>
          <w:color w:val="auto"/>
        </w:rPr>
      </w:pPr>
      <w:r>
        <w:rPr>
          <w:rFonts w:ascii="Arial" w:cs="Arial" w:eastAsia="Arial" w:hAnsi="Arial"/>
          <w:sz w:val="18"/>
          <w:szCs w:val="18"/>
          <w:color w:val="auto"/>
        </w:rPr>
        <w:t>Net cash provided by financing activities was $692 million for the year ended December 31, 2009. The $1,003 million increase in cash from 2008 was primarily due to the following:</w:t>
      </w:r>
    </w:p>
    <w:p>
      <w:pPr>
        <w:ind w:left="340" w:hanging="332"/>
        <w:spacing w:after="0" w:line="236" w:lineRule="auto"/>
        <w:tabs>
          <w:tab w:leader="none" w:pos="3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$812 million increase because no purchases were made under our share repurchase program in 2009.</w:t>
      </w:r>
    </w:p>
    <w:p>
      <w:pPr>
        <w:ind w:left="340" w:hanging="332"/>
        <w:spacing w:after="0" w:line="234" w:lineRule="auto"/>
        <w:tabs>
          <w:tab w:leader="none" w:pos="3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$170 million increase from lower net repayments on secured debt.</w:t>
      </w:r>
    </w:p>
    <w:p>
      <w:pPr>
        <w:ind w:left="340" w:hanging="332"/>
        <w:spacing w:after="0" w:line="234" w:lineRule="auto"/>
        <w:tabs>
          <w:tab w:leader="none" w:pos="3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$21 million increase due to lower share repurchases related to employee withholding taxes on stock-based compensation vesting.</w:t>
      </w:r>
    </w:p>
    <w:p>
      <w:pPr>
        <w:ind w:left="340" w:right="80" w:hanging="332"/>
        <w:spacing w:after="0" w:line="236" w:lineRule="auto"/>
        <w:tabs>
          <w:tab w:leader="none" w:pos="3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$3 million decrease due to lower net debt proceeds. 2009 reflects the repayment of $1,029 million for Senior Notes due in 2009, net payments of $448 million for Zero Coupon Notes, net payments of $246 million on the Credit Facility, net payments of $35 million primarily for foreign short-term borrowings and $44 million of debt issuance costs for the Bridge Loan Facility commitment which was terminated. These payments were partially offset by net proceeds of $2,725 million from the issuance of Senior Notes in May and December 2009. 2008 reflects the issuance of $1.4 billion in Senior Notes, $250 million in Zero Coupon Notes and net payments of $354 million on the Credit Facility and $370 million on other debt.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ACS Acquisition</w:t>
      </w:r>
    </w:p>
    <w:p>
      <w:pPr>
        <w:spacing w:after="0" w:line="180"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On February 5, 2010 we acquired all of the outstanding equity of ACS in a cash-and-stock transaction valued at approximately $6.2 billion, net of cash acquired. The consideration transferred to acquire ACS was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4"/>
                <w:szCs w:val="14"/>
                <w:color w:val="auto"/>
                <w:w w:val="94"/>
              </w:rPr>
              <w:t>February 5,</w:t>
            </w: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(in millions)</w:t>
            </w: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ind w:right="116"/>
              <w:spacing w:after="0" w:line="149" w:lineRule="exact"/>
              <w:rPr>
                <w:sz w:val="20"/>
                <w:szCs w:val="20"/>
                <w:color w:val="auto"/>
              </w:rPr>
            </w:pPr>
            <w:r>
              <w:rPr>
                <w:rFonts w:ascii="Arial" w:cs="Arial" w:eastAsia="Arial" w:hAnsi="Arial"/>
                <w:sz w:val="14"/>
                <w:szCs w:val="14"/>
                <w:color w:val="auto"/>
              </w:rPr>
              <w:t>2010</w:t>
            </w:r>
          </w:p>
        </w:tc>
        <w:tc>
          <w:tcPr>
            <w:tcW w:w="120" w:type="dxa"/>
            <w:vAlign w:val="bottom"/>
          </w:tcPr>
          <w:p>
            <w:pPr>
              <w:spacing w:after="0"/>
              <w:rPr>
                <w:sz w:val="12"/>
                <w:szCs w:val="12"/>
                <w:color w:val="auto"/>
              </w:rPr>
            </w:pPr>
          </w:p>
        </w:tc>
      </w:tr>
      <w:tr>
        <w:trPr>
          <w:trHeight w:val="61"/>
        </w:trPr>
        <w:tc>
          <w:tcPr>
            <w:tcW w:w="20" w:type="dxa"/>
            <w:vAlign w:val="bottom"/>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40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Xerox common stock issued</w:t>
            </w:r>
          </w:p>
        </w:tc>
        <w:tc>
          <w:tcPr>
            <w:tcW w:w="150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4,149</w:t>
            </w:r>
          </w:p>
        </w:tc>
      </w:tr>
      <w:tr>
        <w:trPr>
          <w:trHeight w:val="203"/>
        </w:trPr>
        <w:tc>
          <w:tcPr>
            <w:tcW w:w="4700" w:type="dxa"/>
            <w:vAlign w:val="bottom"/>
            <w:gridSpan w:val="3"/>
          </w:tcPr>
          <w:p>
            <w:pPr>
              <w:spacing w:after="0" w:line="202" w:lineRule="exact"/>
              <w:rPr>
                <w:sz w:val="20"/>
                <w:szCs w:val="20"/>
                <w:color w:val="auto"/>
              </w:rPr>
            </w:pPr>
            <w:r>
              <w:rPr>
                <w:rFonts w:ascii="Arial" w:cs="Arial" w:eastAsia="Arial" w:hAnsi="Arial"/>
                <w:sz w:val="18"/>
                <w:szCs w:val="18"/>
                <w:color w:val="auto"/>
              </w:rPr>
              <w:t>Cash consideration, net of cash acquired</w:t>
            </w: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1,495</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Value of exchanged stock options</w:t>
            </w:r>
          </w:p>
        </w:tc>
        <w:tc>
          <w:tcPr>
            <w:tcW w:w="134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66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168</w:t>
            </w:r>
          </w:p>
        </w:tc>
      </w:tr>
      <w:tr>
        <w:trPr>
          <w:trHeight w:val="210"/>
        </w:trPr>
        <w:tc>
          <w:tcPr>
            <w:tcW w:w="4700" w:type="dxa"/>
            <w:vAlign w:val="bottom"/>
            <w:gridSpan w:val="3"/>
          </w:tcPr>
          <w:p>
            <w:pPr>
              <w:spacing w:after="0" w:line="202" w:lineRule="exact"/>
              <w:rPr>
                <w:sz w:val="20"/>
                <w:szCs w:val="20"/>
                <w:color w:val="auto"/>
              </w:rPr>
            </w:pPr>
            <w:r>
              <w:rPr>
                <w:rFonts w:ascii="Arial" w:cs="Arial" w:eastAsia="Arial" w:hAnsi="Arial"/>
                <w:sz w:val="18"/>
                <w:szCs w:val="18"/>
                <w:color w:val="auto"/>
              </w:rPr>
              <w:t>Series A convertible preferred stock</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349</w:t>
            </w:r>
          </w:p>
        </w:tc>
      </w:tr>
      <w:tr>
        <w:trPr>
          <w:trHeight w:val="203"/>
        </w:trPr>
        <w:tc>
          <w:tcPr>
            <w:tcW w:w="20" w:type="dxa"/>
            <w:vAlign w:val="bottom"/>
          </w:tcPr>
          <w:p>
            <w:pPr>
              <w:spacing w:after="0"/>
              <w:rPr>
                <w:sz w:val="17"/>
                <w:szCs w:val="17"/>
                <w:color w:val="auto"/>
              </w:rPr>
            </w:pPr>
          </w:p>
        </w:tc>
        <w:tc>
          <w:tcPr>
            <w:tcW w:w="468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Net Consideration – Cash and Non-cash</w:t>
            </w:r>
          </w:p>
        </w:tc>
        <w:tc>
          <w:tcPr>
            <w:tcW w:w="1340" w:type="dxa"/>
            <w:vAlign w:val="bottom"/>
            <w:shd w:val="clear" w:color="auto" w:fill="E5E5E5"/>
          </w:tcPr>
          <w:p>
            <w:pPr>
              <w:spacing w:after="0"/>
              <w:rPr>
                <w:sz w:val="17"/>
                <w:szCs w:val="17"/>
                <w:color w:val="auto"/>
              </w:rPr>
            </w:pPr>
          </w:p>
        </w:tc>
        <w:tc>
          <w:tcPr>
            <w:tcW w:w="160" w:type="dxa"/>
            <w:vAlign w:val="bottom"/>
            <w:tcBorders>
              <w:top w:val="single" w:sz="8" w:color="auto"/>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6,161</w:t>
            </w:r>
          </w:p>
        </w:tc>
        <w:tc>
          <w:tcPr>
            <w:tcW w:w="120" w:type="dxa"/>
            <w:vAlign w:val="bottom"/>
            <w:shd w:val="clear" w:color="auto" w:fill="E5E5E5"/>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In addition, we also repaid $1.7 billion of ACS’s debt at acquisition and assumed an additional $0.6 billion.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Refer to Note 3 – Acquisitions, in the Consolidated Financial Statements for additional information regarding the ACS acquisition.</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4"/>
          <w:szCs w:val="14"/>
          <w:color w:val="4C9F40"/>
        </w:rPr>
        <w:t>Xerox 2010 Annual Report 24</w:t>
      </w:r>
    </w:p>
    <w:p>
      <w:pPr>
        <w:sectPr>
          <w:pgSz w:w="11900" w:h="16838" w:orient="portrait"/>
          <w:cols w:equalWidth="0" w:num="1">
            <w:col w:w="11420"/>
          </w:cols>
          <w:pgMar w:left="240" w:top="323" w:right="2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4C9F40"/>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Financing Activities, Credit Facility and Capital Markets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Customer Financing Activities</w:t>
      </w:r>
    </w:p>
    <w:p>
      <w:pPr>
        <w:spacing w:after="0" w:line="18"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We provide lease equipment financing to the majority of our customers primarily in our Technology segment. Our lease contracts permit customers to pay for equipment over time rather than at the date of installation. Our investment in these contracts is reflected in Total finance assets, net. We currently fund our customer financing activity through cash generated from operations, cash on hand, borrowings under bank credit facilities and proceeds from capital markets offerings.</w:t>
      </w:r>
    </w:p>
    <w:p>
      <w:pPr>
        <w:spacing w:after="0" w:line="155"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We have arrangements in certain international countries and domestically through GIS, where third-party financial institutions independently provide lease financing, on a non-recourse basis to Xerox, directly to our customers. In these arrangements, we sell and transfer title of the equipment to these financial institutions. Generally, we have no continuing ownership rights in the equipment subsequent to its sale; therefore, the unrelated third-party finance receivable and debt are not included in our Consolidated Financial Statements.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our investment in lease contracts as of December 31:</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gridSpan w:val="3"/>
          </w:tcPr>
          <w:p>
            <w:pPr>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14"/>
                <w:szCs w:val="14"/>
                <w:color w:val="auto"/>
              </w:rPr>
            </w:pPr>
          </w:p>
        </w:tc>
        <w:tc>
          <w:tcPr>
            <w:tcW w:w="520" w:type="dxa"/>
            <w:vAlign w:val="bottom"/>
          </w:tcPr>
          <w:p>
            <w:pPr>
              <w:jc w:val="right"/>
              <w:ind w:right="97"/>
              <w:spacing w:after="0"/>
              <w:rPr>
                <w:sz w:val="20"/>
                <w:szCs w:val="20"/>
                <w:color w:val="auto"/>
              </w:rPr>
            </w:pPr>
            <w:r>
              <w:rPr>
                <w:rFonts w:ascii="Arial" w:cs="Arial" w:eastAsia="Arial" w:hAnsi="Arial"/>
                <w:sz w:val="14"/>
                <w:szCs w:val="14"/>
                <w:color w:val="auto"/>
              </w:rPr>
              <w:t>2010</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97"/>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560" w:type="dxa"/>
            <w:vAlign w:val="bottom"/>
            <w:gridSpan w:val="2"/>
            <w:shd w:val="clear" w:color="auto" w:fill="E5E5E5"/>
          </w:tcPr>
          <w:p>
            <w:pPr>
              <w:spacing w:after="0" w:line="197" w:lineRule="exact"/>
              <w:rPr>
                <w:sz w:val="20"/>
                <w:szCs w:val="20"/>
                <w:color w:val="auto"/>
              </w:rPr>
            </w:pPr>
            <w:r>
              <w:rPr>
                <w:rFonts w:ascii="Arial" w:cs="Arial" w:eastAsia="Arial" w:hAnsi="Arial"/>
                <w:sz w:val="18"/>
                <w:szCs w:val="18"/>
                <w:color w:val="auto"/>
              </w:rPr>
              <w:t xml:space="preserve">Total Finance receivables, net </w:t>
            </w:r>
            <w:r>
              <w:rPr>
                <w:rFonts w:ascii="Arial" w:cs="Arial" w:eastAsia="Arial" w:hAnsi="Arial"/>
                <w:sz w:val="22"/>
                <w:szCs w:val="22"/>
                <w:color w:val="auto"/>
                <w:vertAlign w:val="superscript"/>
              </w:rPr>
              <w:t>(1)</w:t>
            </w:r>
          </w:p>
        </w:tc>
        <w:tc>
          <w:tcPr>
            <w:tcW w:w="120" w:type="dxa"/>
            <w:vAlign w:val="bottom"/>
            <w:shd w:val="clear" w:color="auto" w:fill="E5E5E5"/>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rPr>
              <w:t>6,620</w:t>
            </w:r>
          </w:p>
        </w:tc>
        <w:tc>
          <w:tcPr>
            <w:tcW w:w="580" w:type="dxa"/>
            <w:vAlign w:val="bottom"/>
            <w:gridSpan w:val="2"/>
            <w:shd w:val="clear" w:color="auto" w:fill="E5E5E5"/>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E5E5E5"/>
          </w:tcPr>
          <w:p>
            <w:pPr>
              <w:jc w:val="right"/>
              <w:ind w:right="100"/>
              <w:spacing w:after="0" w:line="196" w:lineRule="exact"/>
              <w:rPr>
                <w:sz w:val="20"/>
                <w:szCs w:val="20"/>
                <w:color w:val="auto"/>
              </w:rPr>
            </w:pPr>
            <w:r>
              <w:rPr>
                <w:rFonts w:ascii="Arial" w:cs="Arial" w:eastAsia="Arial" w:hAnsi="Arial"/>
                <w:sz w:val="18"/>
                <w:szCs w:val="18"/>
                <w:color w:val="auto"/>
              </w:rPr>
              <w:t>7,027</w:t>
            </w:r>
          </w:p>
        </w:tc>
      </w:tr>
      <w:tr>
        <w:trPr>
          <w:trHeight w:val="210"/>
        </w:trPr>
        <w:tc>
          <w:tcPr>
            <w:tcW w:w="5580" w:type="dxa"/>
            <w:vAlign w:val="bottom"/>
            <w:gridSpan w:val="3"/>
          </w:tcPr>
          <w:p>
            <w:pPr>
              <w:spacing w:after="0" w:line="202" w:lineRule="exact"/>
              <w:rPr>
                <w:sz w:val="20"/>
                <w:szCs w:val="20"/>
                <w:color w:val="auto"/>
              </w:rPr>
            </w:pPr>
            <w:r>
              <w:rPr>
                <w:rFonts w:ascii="Arial" w:cs="Arial" w:eastAsia="Arial" w:hAnsi="Arial"/>
                <w:sz w:val="18"/>
                <w:szCs w:val="18"/>
                <w:color w:val="auto"/>
              </w:rPr>
              <w:t>Equipment on operating leases, net</w:t>
            </w: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530</w:t>
            </w:r>
          </w:p>
        </w:tc>
        <w:tc>
          <w:tcPr>
            <w:tcW w:w="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551</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56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Total Finance Assets, net</w:t>
            </w:r>
          </w:p>
        </w:tc>
        <w:tc>
          <w:tcPr>
            <w:tcW w:w="120" w:type="dxa"/>
            <w:vAlign w:val="bottom"/>
            <w:shd w:val="clear" w:color="auto" w:fill="E5E5E5"/>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7,150</w:t>
            </w:r>
          </w:p>
        </w:tc>
        <w:tc>
          <w:tcPr>
            <w:tcW w:w="58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7,578</w:t>
            </w:r>
          </w:p>
        </w:tc>
        <w:tc>
          <w:tcPr>
            <w:tcW w:w="100" w:type="dxa"/>
            <w:vAlign w:val="bottom"/>
            <w:shd w:val="clear" w:color="auto" w:fill="E5E5E5"/>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1" w:lineRule="exact"/>
        <w:rPr>
          <w:sz w:val="20"/>
          <w:szCs w:val="20"/>
          <w:color w:val="auto"/>
        </w:rPr>
      </w:pPr>
    </w:p>
    <w:p>
      <w:pPr>
        <w:ind w:left="340" w:right="40" w:hanging="332"/>
        <w:spacing w:after="0" w:line="231" w:lineRule="auto"/>
        <w:tabs>
          <w:tab w:leader="none" w:pos="34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Includes (i) billed portion of finance receivables, net, (ii) finance receivables, net and (iii) finance receivables due after one year, net as included in the Consolidated Balance Sheets as of December 31, 2010 and 2009.</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$134 million of the $428 million decrease in Total finance assets, net is due to currency.</w:t>
      </w:r>
    </w:p>
    <w:p>
      <w:pPr>
        <w:spacing w:after="0" w:line="158"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We maintain a certain level of debt, referred to as financing debt, in order to support our investment in our lease contracts. We maintain an assumed 7:1 leverage ratio of debt to equity as compared to our finance assets for this financing aspect of our business. Based on this leverage, the following represents the breakdown of Total debt between financing debt and core debt as of December 31:</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gridSpan w:val="4"/>
          </w:tcPr>
          <w:p>
            <w:pPr>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4"/>
                <w:szCs w:val="14"/>
                <w:color w:val="auto"/>
              </w:rPr>
            </w:pPr>
          </w:p>
        </w:tc>
        <w:tc>
          <w:tcPr>
            <w:tcW w:w="500" w:type="dxa"/>
            <w:vAlign w:val="bottom"/>
          </w:tcPr>
          <w:p>
            <w:pPr>
              <w:jc w:val="right"/>
              <w:ind w:right="77"/>
              <w:spacing w:after="0"/>
              <w:rPr>
                <w:sz w:val="20"/>
                <w:szCs w:val="20"/>
                <w:color w:val="auto"/>
              </w:rPr>
            </w:pPr>
            <w:r>
              <w:rPr>
                <w:rFonts w:ascii="Arial" w:cs="Arial" w:eastAsia="Arial" w:hAnsi="Arial"/>
                <w:sz w:val="14"/>
                <w:szCs w:val="14"/>
                <w:color w:val="auto"/>
              </w:rPr>
              <w:t>2010</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97"/>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80" w:type="dxa"/>
            <w:vAlign w:val="bottom"/>
            <w:gridSpan w:val="3"/>
            <w:shd w:val="clear" w:color="auto" w:fill="E5E5E5"/>
          </w:tcPr>
          <w:p>
            <w:pPr>
              <w:spacing w:after="0" w:line="197" w:lineRule="exact"/>
              <w:rPr>
                <w:sz w:val="20"/>
                <w:szCs w:val="20"/>
                <w:color w:val="auto"/>
              </w:rPr>
            </w:pPr>
            <w:r>
              <w:rPr>
                <w:rFonts w:ascii="Arial" w:cs="Arial" w:eastAsia="Arial" w:hAnsi="Arial"/>
                <w:sz w:val="18"/>
                <w:szCs w:val="18"/>
                <w:color w:val="auto"/>
              </w:rPr>
              <w:t xml:space="preserve">Financing debt </w:t>
            </w:r>
            <w:r>
              <w:rPr>
                <w:rFonts w:ascii="Arial" w:cs="Arial" w:eastAsia="Arial" w:hAnsi="Arial"/>
                <w:sz w:val="22"/>
                <w:szCs w:val="22"/>
                <w:color w:val="auto"/>
                <w:vertAlign w:val="superscript"/>
              </w:rPr>
              <w:t>(1)</w:t>
            </w:r>
          </w:p>
        </w:tc>
        <w:tc>
          <w:tcPr>
            <w:tcW w:w="14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E5E5E5"/>
          </w:tcPr>
          <w:p>
            <w:pPr>
              <w:jc w:val="right"/>
              <w:ind w:right="460"/>
              <w:spacing w:after="0" w:line="196" w:lineRule="exact"/>
              <w:rPr>
                <w:sz w:val="20"/>
                <w:szCs w:val="20"/>
                <w:color w:val="auto"/>
              </w:rPr>
            </w:pPr>
            <w:r>
              <w:rPr>
                <w:rFonts w:ascii="Arial" w:cs="Arial" w:eastAsia="Arial" w:hAnsi="Arial"/>
                <w:sz w:val="18"/>
                <w:szCs w:val="18"/>
                <w:color w:val="auto"/>
              </w:rPr>
              <w:t>6,256</w:t>
            </w:r>
          </w:p>
        </w:tc>
        <w:tc>
          <w:tcPr>
            <w:tcW w:w="14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E5E5E5"/>
          </w:tcPr>
          <w:p>
            <w:pPr>
              <w:jc w:val="right"/>
              <w:ind w:right="100"/>
              <w:spacing w:after="0" w:line="196" w:lineRule="exact"/>
              <w:rPr>
                <w:sz w:val="20"/>
                <w:szCs w:val="20"/>
                <w:color w:val="auto"/>
              </w:rPr>
            </w:pPr>
            <w:r>
              <w:rPr>
                <w:rFonts w:ascii="Arial" w:cs="Arial" w:eastAsia="Arial" w:hAnsi="Arial"/>
                <w:sz w:val="18"/>
                <w:szCs w:val="18"/>
                <w:color w:val="auto"/>
              </w:rPr>
              <w:t>6,631</w:t>
            </w:r>
          </w:p>
        </w:tc>
      </w:tr>
      <w:tr>
        <w:trPr>
          <w:trHeight w:val="210"/>
        </w:trPr>
        <w:tc>
          <w:tcPr>
            <w:tcW w:w="5900" w:type="dxa"/>
            <w:vAlign w:val="bottom"/>
            <w:gridSpan w:val="4"/>
          </w:tcPr>
          <w:p>
            <w:pPr>
              <w:spacing w:after="0" w:line="202" w:lineRule="exact"/>
              <w:rPr>
                <w:sz w:val="20"/>
                <w:szCs w:val="20"/>
                <w:color w:val="auto"/>
              </w:rPr>
            </w:pPr>
            <w:r>
              <w:rPr>
                <w:rFonts w:ascii="Arial" w:cs="Arial" w:eastAsia="Arial" w:hAnsi="Arial"/>
                <w:sz w:val="18"/>
                <w:szCs w:val="18"/>
                <w:color w:val="auto"/>
              </w:rPr>
              <w:t>Core debt</w:t>
            </w: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2,351</w:t>
            </w:r>
          </w:p>
        </w:tc>
        <w:tc>
          <w:tcPr>
            <w:tcW w:w="4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2,633</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880" w:type="dxa"/>
            <w:vAlign w:val="bottom"/>
            <w:gridSpan w:val="3"/>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Total Debt</w:t>
            </w:r>
          </w:p>
        </w:tc>
        <w:tc>
          <w:tcPr>
            <w:tcW w:w="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8,607</w:t>
            </w:r>
          </w:p>
        </w:tc>
        <w:tc>
          <w:tcPr>
            <w:tcW w:w="460" w:type="dxa"/>
            <w:vAlign w:val="bottom"/>
            <w:shd w:val="clear" w:color="auto" w:fill="E5E5E5"/>
          </w:tcPr>
          <w:p>
            <w:pPr>
              <w:spacing w:after="0"/>
              <w:rPr>
                <w:sz w:val="17"/>
                <w:szCs w:val="17"/>
                <w:color w:val="auto"/>
              </w:rPr>
            </w:pPr>
          </w:p>
        </w:tc>
        <w:tc>
          <w:tcPr>
            <w:tcW w:w="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9,264</w:t>
            </w: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4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r>
    </w:tbl>
    <w:p>
      <w:pPr>
        <w:spacing w:after="0" w:line="26" w:lineRule="exact"/>
        <w:rPr>
          <w:sz w:val="20"/>
          <w:szCs w:val="20"/>
          <w:color w:val="auto"/>
        </w:rPr>
      </w:pPr>
    </w:p>
    <w:p>
      <w:pPr>
        <w:ind w:left="340" w:right="320" w:hanging="332"/>
        <w:spacing w:after="0" w:line="231" w:lineRule="auto"/>
        <w:tabs>
          <w:tab w:leader="none" w:pos="34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Financing debt includes $5,793 million and $6,149 million as of December 2010 and 2009, respectively, of debt associated with Total finance receivables, net and is the basis for our calculation of “equipment financing interest” expense. The remainder of the financing debt is associated with Equipment on operating leases.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our debt as of December 31:</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6"/>
              </w:rPr>
              <w:t>(in millions)</w:t>
            </w:r>
          </w:p>
        </w:tc>
        <w:tc>
          <w:tcPr>
            <w:tcW w:w="59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rPr>
              <w:t>2010</w:t>
            </w: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r>
      <w:tr>
        <w:trPr>
          <w:trHeight w:val="196"/>
        </w:trPr>
        <w:tc>
          <w:tcPr>
            <w:tcW w:w="6620" w:type="dxa"/>
            <w:vAlign w:val="bottom"/>
            <w:gridSpan w:val="2"/>
            <w:shd w:val="clear" w:color="auto" w:fill="E5E5E5"/>
          </w:tcPr>
          <w:p>
            <w:pPr>
              <w:spacing w:after="0" w:line="196" w:lineRule="exact"/>
              <w:rPr>
                <w:sz w:val="20"/>
                <w:szCs w:val="20"/>
                <w:color w:val="auto"/>
              </w:rPr>
            </w:pPr>
            <w:r>
              <w:rPr>
                <w:rFonts w:ascii="Arial" w:cs="Arial" w:eastAsia="Arial" w:hAnsi="Arial"/>
                <w:sz w:val="18"/>
                <w:szCs w:val="18"/>
                <w:color w:val="auto"/>
              </w:rPr>
              <w:t>Principal debt balance</w:t>
            </w:r>
            <w:r>
              <w:rPr>
                <w:rFonts w:ascii="Arial" w:cs="Arial" w:eastAsia="Arial" w:hAnsi="Arial"/>
                <w:sz w:val="11"/>
                <w:szCs w:val="11"/>
                <w:color w:val="auto"/>
              </w:rPr>
              <w:t>(1)</w:t>
            </w:r>
          </w:p>
        </w:tc>
        <w:tc>
          <w:tcPr>
            <w:tcW w:w="16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rPr>
              <w:t>8,380</w:t>
            </w:r>
          </w:p>
        </w:tc>
        <w:tc>
          <w:tcPr>
            <w:tcW w:w="580" w:type="dxa"/>
            <w:vAlign w:val="bottom"/>
            <w:shd w:val="clear" w:color="auto" w:fill="E5E5E5"/>
          </w:tcPr>
          <w:p>
            <w:pPr>
              <w:spacing w:after="0"/>
              <w:rPr>
                <w:sz w:val="17"/>
                <w:szCs w:val="17"/>
                <w:color w:val="auto"/>
              </w:rPr>
            </w:pPr>
          </w:p>
        </w:tc>
        <w:tc>
          <w:tcPr>
            <w:tcW w:w="14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E5E5E5"/>
          </w:tcPr>
          <w:p>
            <w:pPr>
              <w:jc w:val="right"/>
              <w:ind w:right="100"/>
              <w:spacing w:after="0" w:line="196" w:lineRule="exact"/>
              <w:rPr>
                <w:sz w:val="20"/>
                <w:szCs w:val="20"/>
                <w:color w:val="auto"/>
              </w:rPr>
            </w:pPr>
            <w:r>
              <w:rPr>
                <w:rFonts w:ascii="Arial" w:cs="Arial" w:eastAsia="Arial" w:hAnsi="Arial"/>
                <w:sz w:val="18"/>
                <w:szCs w:val="18"/>
                <w:color w:val="auto"/>
              </w:rPr>
              <w:t>9,122</w:t>
            </w:r>
          </w:p>
        </w:tc>
      </w:tr>
      <w:tr>
        <w:trPr>
          <w:trHeight w:val="203"/>
        </w:trPr>
        <w:tc>
          <w:tcPr>
            <w:tcW w:w="6620" w:type="dxa"/>
            <w:vAlign w:val="bottom"/>
            <w:gridSpan w:val="2"/>
          </w:tcPr>
          <w:p>
            <w:pPr>
              <w:spacing w:after="0" w:line="202" w:lineRule="exact"/>
              <w:rPr>
                <w:sz w:val="20"/>
                <w:szCs w:val="20"/>
                <w:color w:val="auto"/>
              </w:rPr>
            </w:pPr>
            <w:r>
              <w:rPr>
                <w:rFonts w:ascii="Arial" w:cs="Arial" w:eastAsia="Arial" w:hAnsi="Arial"/>
                <w:sz w:val="18"/>
                <w:szCs w:val="18"/>
                <w:color w:val="auto"/>
              </w:rPr>
              <w:t>Net unamortized discount</w:t>
            </w:r>
          </w:p>
        </w:tc>
        <w:tc>
          <w:tcPr>
            <w:tcW w:w="160" w:type="dxa"/>
            <w:vAlign w:val="bottom"/>
          </w:tcPr>
          <w:p>
            <w:pPr>
              <w:spacing w:after="0"/>
              <w:rPr>
                <w:sz w:val="17"/>
                <w:szCs w:val="17"/>
                <w:color w:val="auto"/>
              </w:rPr>
            </w:pPr>
          </w:p>
        </w:tc>
        <w:tc>
          <w:tcPr>
            <w:tcW w:w="114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(1)</w:t>
            </w:r>
          </w:p>
        </w:tc>
        <w:tc>
          <w:tcPr>
            <w:tcW w:w="14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w:t>
            </w:r>
          </w:p>
        </w:tc>
      </w:tr>
      <w:tr>
        <w:trPr>
          <w:trHeight w:val="203"/>
        </w:trPr>
        <w:tc>
          <w:tcPr>
            <w:tcW w:w="662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Fair value adjustments</w:t>
            </w:r>
          </w:p>
        </w:tc>
        <w:tc>
          <w:tcPr>
            <w:tcW w:w="160" w:type="dxa"/>
            <w:vAlign w:val="bottom"/>
            <w:shd w:val="clear" w:color="auto" w:fill="E5E5E5"/>
          </w:tcPr>
          <w:p>
            <w:pPr>
              <w:spacing w:after="0"/>
              <w:rPr>
                <w:sz w:val="17"/>
                <w:szCs w:val="17"/>
                <w:color w:val="auto"/>
              </w:rPr>
            </w:pPr>
          </w:p>
        </w:tc>
        <w:tc>
          <w:tcPr>
            <w:tcW w:w="5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228</w:t>
            </w:r>
          </w:p>
        </w:tc>
        <w:tc>
          <w:tcPr>
            <w:tcW w:w="5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6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153</w:t>
            </w:r>
          </w:p>
        </w:tc>
      </w:tr>
      <w:tr>
        <w:trPr>
          <w:trHeight w:val="210"/>
        </w:trPr>
        <w:tc>
          <w:tcPr>
            <w:tcW w:w="6620" w:type="dxa"/>
            <w:vAlign w:val="bottom"/>
            <w:gridSpan w:val="2"/>
          </w:tcPr>
          <w:p>
            <w:pPr>
              <w:spacing w:after="0"/>
              <w:rPr>
                <w:sz w:val="20"/>
                <w:szCs w:val="20"/>
                <w:color w:val="auto"/>
              </w:rPr>
            </w:pPr>
            <w:r>
              <w:rPr>
                <w:rFonts w:ascii="Arial" w:cs="Arial" w:eastAsia="Arial" w:hAnsi="Arial"/>
                <w:sz w:val="18"/>
                <w:szCs w:val="18"/>
                <w:b w:val="1"/>
                <w:bCs w:val="1"/>
                <w:color w:val="auto"/>
              </w:rPr>
              <w:t>Total Debt</w:t>
            </w:r>
          </w:p>
        </w:tc>
        <w:tc>
          <w:tcPr>
            <w:tcW w:w="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8,607</w:t>
            </w:r>
          </w:p>
        </w:tc>
        <w:tc>
          <w:tcPr>
            <w:tcW w:w="5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9,264</w:t>
            </w:r>
          </w:p>
        </w:tc>
        <w:tc>
          <w:tcPr>
            <w:tcW w:w="100" w:type="dxa"/>
            <w:vAlign w:val="bottom"/>
          </w:tcPr>
          <w:p>
            <w:pPr>
              <w:spacing w:after="0"/>
              <w:rPr>
                <w:sz w:val="18"/>
                <w:szCs w:val="18"/>
                <w:color w:val="auto"/>
              </w:rPr>
            </w:pPr>
          </w:p>
        </w:tc>
      </w:tr>
      <w:tr>
        <w:trPr>
          <w:trHeight w:val="243"/>
        </w:trPr>
        <w:tc>
          <w:tcPr>
            <w:tcW w:w="662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Less: Current maturities and short-term debt</w:t>
            </w:r>
            <w:r>
              <w:rPr>
                <w:rFonts w:ascii="Arial" w:cs="Arial" w:eastAsia="Arial" w:hAnsi="Arial"/>
                <w:sz w:val="11"/>
                <w:szCs w:val="11"/>
                <w:color w:val="auto"/>
              </w:rPr>
              <w:t>(1 )</w:t>
            </w:r>
          </w:p>
        </w:tc>
        <w:tc>
          <w:tcPr>
            <w:tcW w:w="160" w:type="dxa"/>
            <w:vAlign w:val="bottom"/>
            <w:shd w:val="clear" w:color="auto" w:fill="E5E5E5"/>
          </w:tcPr>
          <w:p>
            <w:pPr>
              <w:spacing w:after="0"/>
              <w:rPr>
                <w:sz w:val="21"/>
                <w:szCs w:val="21"/>
                <w:color w:val="auto"/>
              </w:rPr>
            </w:pPr>
          </w:p>
        </w:tc>
        <w:tc>
          <w:tcPr>
            <w:tcW w:w="1140" w:type="dxa"/>
            <w:vAlign w:val="bottom"/>
            <w:gridSpan w:val="2"/>
            <w:shd w:val="clear" w:color="auto" w:fill="E5E5E5"/>
          </w:tcPr>
          <w:p>
            <w:pPr>
              <w:jc w:val="right"/>
              <w:ind w:right="520"/>
              <w:spacing w:after="0"/>
              <w:rPr>
                <w:sz w:val="20"/>
                <w:szCs w:val="20"/>
                <w:color w:val="auto"/>
              </w:rPr>
            </w:pPr>
            <w:r>
              <w:rPr>
                <w:rFonts w:ascii="Arial" w:cs="Arial" w:eastAsia="Arial" w:hAnsi="Arial"/>
                <w:sz w:val="18"/>
                <w:szCs w:val="18"/>
                <w:color w:val="auto"/>
              </w:rPr>
              <w:t>(1,370)</w:t>
            </w:r>
          </w:p>
        </w:tc>
        <w:tc>
          <w:tcPr>
            <w:tcW w:w="140" w:type="dxa"/>
            <w:vAlign w:val="bottom"/>
            <w:shd w:val="clear" w:color="auto" w:fill="E5E5E5"/>
          </w:tcPr>
          <w:p>
            <w:pPr>
              <w:spacing w:after="0"/>
              <w:rPr>
                <w:sz w:val="21"/>
                <w:szCs w:val="21"/>
                <w:color w:val="auto"/>
              </w:rPr>
            </w:pPr>
          </w:p>
        </w:tc>
        <w:tc>
          <w:tcPr>
            <w:tcW w:w="62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(988)</w:t>
            </w:r>
          </w:p>
        </w:tc>
      </w:tr>
      <w:tr>
        <w:trPr>
          <w:trHeight w:val="210"/>
        </w:trPr>
        <w:tc>
          <w:tcPr>
            <w:tcW w:w="6620" w:type="dxa"/>
            <w:vAlign w:val="bottom"/>
            <w:gridSpan w:val="2"/>
          </w:tcPr>
          <w:p>
            <w:pPr>
              <w:spacing w:after="0"/>
              <w:rPr>
                <w:sz w:val="20"/>
                <w:szCs w:val="20"/>
                <w:color w:val="auto"/>
              </w:rPr>
            </w:pPr>
            <w:r>
              <w:rPr>
                <w:rFonts w:ascii="Arial" w:cs="Arial" w:eastAsia="Arial" w:hAnsi="Arial"/>
                <w:sz w:val="18"/>
                <w:szCs w:val="18"/>
                <w:b w:val="1"/>
                <w:bCs w:val="1"/>
                <w:color w:val="auto"/>
              </w:rPr>
              <w:t>Total Long-term Debt</w:t>
            </w:r>
            <w:r>
              <w:rPr>
                <w:rFonts w:ascii="Arial" w:cs="Arial" w:eastAsia="Arial" w:hAnsi="Arial"/>
                <w:sz w:val="11"/>
                <w:szCs w:val="11"/>
                <w:b w:val="1"/>
                <w:bCs w:val="1"/>
                <w:color w:val="auto"/>
              </w:rPr>
              <w:t>(1)</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7,237</w:t>
            </w:r>
          </w:p>
        </w:tc>
        <w:tc>
          <w:tcPr>
            <w:tcW w:w="5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8,276</w:t>
            </w:r>
          </w:p>
        </w:tc>
        <w:tc>
          <w:tcPr>
            <w:tcW w:w="100" w:type="dxa"/>
            <w:vAlign w:val="bottom"/>
          </w:tcPr>
          <w:p>
            <w:pPr>
              <w:spacing w:after="0"/>
              <w:rPr>
                <w:sz w:val="18"/>
                <w:szCs w:val="18"/>
                <w:color w:val="auto"/>
              </w:rPr>
            </w:pPr>
          </w:p>
        </w:tc>
      </w:tr>
      <w:tr>
        <w:trPr>
          <w:trHeight w:val="20"/>
        </w:trPr>
        <w:tc>
          <w:tcPr>
            <w:tcW w:w="70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1"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(1)</w:t>
        <w:tab/>
        <w:t>December 31, 2010 includes Commercial Paper of $300 million.</w:t>
      </w:r>
    </w:p>
    <w:p>
      <w:pPr>
        <w:spacing w:after="0" w:line="136" w:lineRule="exact"/>
        <w:rPr>
          <w:sz w:val="20"/>
          <w:szCs w:val="20"/>
          <w:color w:val="auto"/>
        </w:rPr>
      </w:pPr>
    </w:p>
    <w:p>
      <w:pPr>
        <w:jc w:val="right"/>
        <w:spacing w:after="0"/>
        <w:rPr>
          <w:sz w:val="20"/>
          <w:szCs w:val="20"/>
          <w:color w:val="auto"/>
        </w:rPr>
      </w:pPr>
      <w:r>
        <w:rPr>
          <w:rFonts w:ascii="Arial" w:cs="Arial" w:eastAsia="Arial" w:hAnsi="Arial"/>
          <w:sz w:val="14"/>
          <w:szCs w:val="14"/>
          <w:color w:val="4C9F40"/>
        </w:rPr>
        <w:t>Xerox 2010 Annual Report 25</w:t>
      </w:r>
    </w:p>
    <w:p>
      <w:pPr>
        <w:sectPr>
          <w:pgSz w:w="11900" w:h="16838" w:orient="portrait"/>
          <w:cols w:equalWidth="0" w:num="1">
            <w:col w:w="11420"/>
          </w:cols>
          <w:pgMar w:left="240" w:top="323" w:right="2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4C9F40"/>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Sales of Accounts Receivable</w:t>
      </w:r>
    </w:p>
    <w:p>
      <w:pPr>
        <w:spacing w:after="0" w:line="1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have facilities in the U.S., Canada and several countries in Europe that enable us to sell to third-parties, on an on-going basis, certain accounts receivable without recourse. The accounts receivables sold are generally short-term trade receivables with payment due dates of less than 60 days. Accounts receivable sales were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2340" w:type="dxa"/>
            <w:vAlign w:val="bottom"/>
          </w:tcPr>
          <w:p>
            <w:pPr>
              <w:spacing w:after="0"/>
              <w:rPr>
                <w:sz w:val="14"/>
                <w:szCs w:val="14"/>
                <w:color w:val="auto"/>
              </w:rPr>
            </w:pPr>
          </w:p>
        </w:tc>
        <w:tc>
          <w:tcPr>
            <w:tcW w:w="2300" w:type="dxa"/>
            <w:vAlign w:val="bottom"/>
            <w:gridSpan w:val="8"/>
          </w:tcPr>
          <w:p>
            <w:pPr>
              <w:ind w:left="300"/>
              <w:spacing w:after="0"/>
              <w:rPr>
                <w:sz w:val="20"/>
                <w:szCs w:val="20"/>
                <w:color w:val="auto"/>
              </w:rPr>
            </w:pPr>
            <w:r>
              <w:rPr>
                <w:rFonts w:ascii="Arial" w:cs="Arial" w:eastAsia="Arial" w:hAnsi="Arial"/>
                <w:sz w:val="14"/>
                <w:szCs w:val="14"/>
                <w:color w:val="auto"/>
              </w:rPr>
              <w:t>Year Ended December 31,</w:t>
            </w:r>
          </w:p>
        </w:tc>
        <w:tc>
          <w:tcPr>
            <w:tcW w:w="0" w:type="dxa"/>
            <w:vAlign w:val="bottom"/>
          </w:tcPr>
          <w:p>
            <w:pPr>
              <w:spacing w:after="0"/>
              <w:rPr>
                <w:sz w:val="1"/>
                <w:szCs w:val="1"/>
                <w:color w:val="auto"/>
              </w:rPr>
            </w:pPr>
          </w:p>
        </w:tc>
      </w:tr>
      <w:tr>
        <w:trPr>
          <w:trHeight w:val="142"/>
        </w:trPr>
        <w:tc>
          <w:tcPr>
            <w:tcW w:w="5860" w:type="dxa"/>
            <w:vAlign w:val="bottom"/>
            <w:gridSpan w:val="2"/>
            <w:vMerge w:val="continue"/>
          </w:tcPr>
          <w:p>
            <w:pPr>
              <w:spacing w:after="0"/>
              <w:rPr>
                <w:sz w:val="12"/>
                <w:szCs w:val="12"/>
                <w:color w:val="auto"/>
              </w:rPr>
            </w:pPr>
          </w:p>
        </w:tc>
        <w:tc>
          <w:tcPr>
            <w:tcW w:w="2340" w:type="dxa"/>
            <w:vAlign w:val="bottom"/>
          </w:tcPr>
          <w:p>
            <w:pPr>
              <w:spacing w:after="0"/>
              <w:rPr>
                <w:sz w:val="12"/>
                <w:szCs w:val="12"/>
                <w:color w:val="auto"/>
              </w:rPr>
            </w:pPr>
          </w:p>
        </w:tc>
        <w:tc>
          <w:tcPr>
            <w:tcW w:w="64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2010</w:t>
            </w: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92"/>
              <w:spacing w:after="0" w:line="142" w:lineRule="exact"/>
              <w:rPr>
                <w:sz w:val="20"/>
                <w:szCs w:val="20"/>
                <w:color w:val="auto"/>
              </w:rPr>
            </w:pPr>
            <w:r>
              <w:rPr>
                <w:rFonts w:ascii="Arial" w:cs="Arial" w:eastAsia="Arial" w:hAnsi="Arial"/>
                <w:sz w:val="14"/>
                <w:szCs w:val="14"/>
                <w:color w:val="auto"/>
              </w:rPr>
              <w:t>2009</w:t>
            </w: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660" w:type="dxa"/>
            <w:vAlign w:val="bottom"/>
            <w:tcBorders>
              <w:top w:val="single" w:sz="8" w:color="auto"/>
            </w:tcBorders>
          </w:tcPr>
          <w:p>
            <w:pPr>
              <w:spacing w:after="0"/>
              <w:rPr>
                <w:sz w:val="5"/>
                <w:szCs w:val="5"/>
                <w:color w:val="auto"/>
              </w:rPr>
            </w:pPr>
          </w:p>
        </w:tc>
        <w:tc>
          <w:tcPr>
            <w:tcW w:w="5200" w:type="dxa"/>
            <w:vAlign w:val="bottom"/>
          </w:tcPr>
          <w:p>
            <w:pPr>
              <w:spacing w:after="0"/>
              <w:rPr>
                <w:sz w:val="5"/>
                <w:szCs w:val="5"/>
                <w:color w:val="auto"/>
              </w:rPr>
            </w:pPr>
          </w:p>
        </w:tc>
        <w:tc>
          <w:tcPr>
            <w:tcW w:w="2340" w:type="dxa"/>
            <w:vAlign w:val="bottom"/>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86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Accounts receivable sales</w:t>
            </w:r>
          </w:p>
        </w:tc>
        <w:tc>
          <w:tcPr>
            <w:tcW w:w="3080" w:type="dxa"/>
            <w:vAlign w:val="bottom"/>
            <w:gridSpan w:val="3"/>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$ 2,374</w:t>
            </w:r>
          </w:p>
        </w:tc>
        <w:tc>
          <w:tcPr>
            <w:tcW w:w="860" w:type="dxa"/>
            <w:vAlign w:val="bottom"/>
            <w:gridSpan w:val="3"/>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$ 1,566</w:t>
            </w:r>
          </w:p>
        </w:tc>
        <w:tc>
          <w:tcPr>
            <w:tcW w:w="700" w:type="dxa"/>
            <w:vAlign w:val="bottom"/>
            <w:gridSpan w:val="3"/>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$ 717</w:t>
            </w:r>
          </w:p>
        </w:tc>
        <w:tc>
          <w:tcPr>
            <w:tcW w:w="0" w:type="dxa"/>
            <w:vAlign w:val="bottom"/>
          </w:tcPr>
          <w:p>
            <w:pPr>
              <w:spacing w:after="0"/>
              <w:rPr>
                <w:sz w:val="1"/>
                <w:szCs w:val="1"/>
                <w:color w:val="auto"/>
              </w:rPr>
            </w:pPr>
          </w:p>
        </w:tc>
      </w:tr>
      <w:tr>
        <w:trPr>
          <w:trHeight w:val="203"/>
        </w:trPr>
        <w:tc>
          <w:tcPr>
            <w:tcW w:w="5860" w:type="dxa"/>
            <w:vAlign w:val="bottom"/>
            <w:gridSpan w:val="2"/>
          </w:tcPr>
          <w:p>
            <w:pPr>
              <w:spacing w:after="0" w:line="202" w:lineRule="exact"/>
              <w:rPr>
                <w:sz w:val="20"/>
                <w:szCs w:val="20"/>
                <w:color w:val="auto"/>
              </w:rPr>
            </w:pPr>
            <w:r>
              <w:rPr>
                <w:rFonts w:ascii="Arial" w:cs="Arial" w:eastAsia="Arial" w:hAnsi="Arial"/>
                <w:sz w:val="18"/>
                <w:szCs w:val="18"/>
                <w:color w:val="auto"/>
              </w:rPr>
              <w:t>Deferred proceeds</w:t>
            </w:r>
          </w:p>
        </w:tc>
        <w:tc>
          <w:tcPr>
            <w:tcW w:w="2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307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6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86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Fees associated with sales</w:t>
            </w:r>
          </w:p>
        </w:tc>
        <w:tc>
          <w:tcPr>
            <w:tcW w:w="298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15</w:t>
            </w:r>
          </w:p>
        </w:tc>
        <w:tc>
          <w:tcPr>
            <w:tcW w:w="100" w:type="dxa"/>
            <w:vAlign w:val="bottom"/>
            <w:shd w:val="clear" w:color="auto" w:fill="E5E5E5"/>
          </w:tcPr>
          <w:p>
            <w:pPr>
              <w:spacing w:after="0"/>
              <w:rPr>
                <w:sz w:val="17"/>
                <w:szCs w:val="17"/>
                <w:color w:val="auto"/>
              </w:rPr>
            </w:pPr>
          </w:p>
        </w:tc>
        <w:tc>
          <w:tcPr>
            <w:tcW w:w="860" w:type="dxa"/>
            <w:vAlign w:val="bottom"/>
            <w:gridSpan w:val="3"/>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13</w:t>
            </w:r>
          </w:p>
        </w:tc>
        <w:tc>
          <w:tcPr>
            <w:tcW w:w="700" w:type="dxa"/>
            <w:vAlign w:val="bottom"/>
            <w:gridSpan w:val="3"/>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93"/>
        </w:trPr>
        <w:tc>
          <w:tcPr>
            <w:tcW w:w="5860" w:type="dxa"/>
            <w:vAlign w:val="bottom"/>
            <w:gridSpan w:val="2"/>
          </w:tcPr>
          <w:p>
            <w:pPr>
              <w:spacing w:after="0"/>
              <w:rPr>
                <w:sz w:val="20"/>
                <w:szCs w:val="20"/>
                <w:color w:val="auto"/>
              </w:rPr>
            </w:pPr>
            <w:r>
              <w:rPr>
                <w:rFonts w:ascii="Arial" w:cs="Arial" w:eastAsia="Arial" w:hAnsi="Arial"/>
                <w:sz w:val="18"/>
                <w:szCs w:val="18"/>
                <w:color w:val="auto"/>
              </w:rPr>
              <w:t>Estimated increase on operating cash flows</w:t>
            </w:r>
            <w:r>
              <w:rPr>
                <w:rFonts w:ascii="Arial" w:cs="Arial" w:eastAsia="Arial" w:hAnsi="Arial"/>
                <w:sz w:val="22"/>
                <w:szCs w:val="22"/>
                <w:color w:val="auto"/>
                <w:vertAlign w:val="superscript"/>
              </w:rPr>
              <w:t>(1)</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4"/>
                <w:szCs w:val="24"/>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89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8" w:lineRule="exact"/>
        <w:rPr>
          <w:sz w:val="20"/>
          <w:szCs w:val="20"/>
          <w:color w:val="auto"/>
        </w:rPr>
      </w:pPr>
    </w:p>
    <w:p>
      <w:pPr>
        <w:ind w:left="340" w:right="120" w:hanging="332"/>
        <w:spacing w:after="0" w:line="231" w:lineRule="auto"/>
        <w:tabs>
          <w:tab w:leader="none" w:pos="34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Represents the difference between current and prior year fourth quarter accounts receivable sales adjusted for the effects of: (i) the deferred proceeds, (ii) collections prior to the end of the year and (iii) currency.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Refer to Note 4 – Receivables, Net in the Consolidated Financial Statements for additional information.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Financial Instruments</w:t>
      </w:r>
    </w:p>
    <w:p>
      <w:pPr>
        <w:spacing w:after="0" w:line="18" w:lineRule="exact"/>
        <w:rPr>
          <w:sz w:val="20"/>
          <w:szCs w:val="20"/>
          <w:color w:val="auto"/>
        </w:rPr>
      </w:pPr>
    </w:p>
    <w:p>
      <w:pPr>
        <w:ind w:right="460"/>
        <w:spacing w:after="0" w:line="239" w:lineRule="auto"/>
        <w:rPr>
          <w:sz w:val="20"/>
          <w:szCs w:val="20"/>
          <w:color w:val="auto"/>
        </w:rPr>
      </w:pPr>
      <w:r>
        <w:rPr>
          <w:rFonts w:ascii="Arial" w:cs="Arial" w:eastAsia="Arial" w:hAnsi="Arial"/>
          <w:sz w:val="18"/>
          <w:szCs w:val="18"/>
          <w:color w:val="auto"/>
        </w:rPr>
        <w:t>Refer to Note 13 – Financial Instruments in the Consolidated Financial Statements for additional information regarding our derivative financial instruments.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Share Repurchase Programs</w:t>
      </w:r>
    </w:p>
    <w:p>
      <w:pPr>
        <w:spacing w:after="0" w:line="18"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Refer to Note 19 – Shareholders’ Equity – “Treasury Stock” in the Consolidated Financial Statements for additional information regarding our share repurchase programs.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Dividends</w:t>
      </w:r>
    </w:p>
    <w:p>
      <w:pPr>
        <w:spacing w:after="0" w:line="18" w:lineRule="exact"/>
        <w:rPr>
          <w:sz w:val="20"/>
          <w:szCs w:val="20"/>
          <w:color w:val="auto"/>
        </w:rPr>
      </w:pPr>
    </w:p>
    <w:p>
      <w:pPr>
        <w:ind w:right="540"/>
        <w:spacing w:after="0" w:line="239" w:lineRule="auto"/>
        <w:rPr>
          <w:sz w:val="20"/>
          <w:szCs w:val="20"/>
          <w:color w:val="auto"/>
        </w:rPr>
      </w:pPr>
      <w:r>
        <w:rPr>
          <w:rFonts w:ascii="Arial" w:cs="Arial" w:eastAsia="Arial" w:hAnsi="Arial"/>
          <w:sz w:val="18"/>
          <w:szCs w:val="18"/>
          <w:color w:val="auto"/>
        </w:rPr>
        <w:t>The Board of Directors declared aggregate dividends of $243 million and $152 million on common stock in 2010 and 2009, respectively. The increase in 2010 is primarily due to the common stock issued in connection with the ACS acquisition.</w:t>
      </w:r>
    </w:p>
    <w:p>
      <w:pPr>
        <w:spacing w:after="0" w:line="155" w:lineRule="exact"/>
        <w:rPr>
          <w:sz w:val="20"/>
          <w:szCs w:val="20"/>
          <w:color w:val="auto"/>
        </w:rPr>
      </w:pPr>
    </w:p>
    <w:p>
      <w:pPr>
        <w:ind w:right="400"/>
        <w:spacing w:after="0" w:line="239" w:lineRule="auto"/>
        <w:rPr>
          <w:sz w:val="20"/>
          <w:szCs w:val="20"/>
          <w:color w:val="auto"/>
        </w:rPr>
      </w:pPr>
      <w:r>
        <w:rPr>
          <w:rFonts w:ascii="Arial" w:cs="Arial" w:eastAsia="Arial" w:hAnsi="Arial"/>
          <w:sz w:val="18"/>
          <w:szCs w:val="18"/>
          <w:color w:val="auto"/>
        </w:rPr>
        <w:t>The Board of Directors declared aggregate dividends of $21 million on the Series A Convertible Preferred Stock in 2010. The preferred shares were issued in connection with the acquisition of ACS.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Refer to Note 3 – Acquisitions, in the Consolidated Financial Statements for additional information regarding the ACS acquisition.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Capital Market Activity</w:t>
      </w:r>
    </w:p>
    <w:p>
      <w:pPr>
        <w:spacing w:after="0" w:line="18" w:lineRule="exact"/>
        <w:rPr>
          <w:sz w:val="20"/>
          <w:szCs w:val="20"/>
          <w:color w:val="auto"/>
        </w:rPr>
      </w:pPr>
    </w:p>
    <w:p>
      <w:pPr>
        <w:ind w:right="400"/>
        <w:spacing w:after="0" w:line="239" w:lineRule="auto"/>
        <w:rPr>
          <w:sz w:val="20"/>
          <w:szCs w:val="20"/>
          <w:color w:val="auto"/>
        </w:rPr>
      </w:pPr>
      <w:r>
        <w:rPr>
          <w:rFonts w:ascii="Arial" w:cs="Arial" w:eastAsia="Arial" w:hAnsi="Arial"/>
          <w:sz w:val="18"/>
          <w:szCs w:val="18"/>
          <w:color w:val="auto"/>
        </w:rPr>
        <w:t>In 2010, we redeemed our $550 million 7.625% Senior Notes due in 2013. We incurred a loss on extinguishment of approximately $15 million, representing the call premium of approximately $7 million, as well as the write-off of unamortized debt costs of $8 million.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11 – Debt in the Consolidated Financial Statements for additional information regarding 2010 Debt activity.</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4"/>
          <w:szCs w:val="14"/>
          <w:color w:val="4C9F40"/>
        </w:rPr>
        <w:t>Xerox 2010 Annual Report 26</w:t>
      </w:r>
    </w:p>
    <w:p>
      <w:pPr>
        <w:sectPr>
          <w:pgSz w:w="11900" w:h="16838" w:orient="portrait"/>
          <w:cols w:equalWidth="0" w:num="1">
            <w:col w:w="11420"/>
          </w:cols>
          <w:pgMar w:left="240" w:top="323" w:right="2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4C9F40"/>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Liquidity and Financial Flexibility</w:t>
      </w:r>
    </w:p>
    <w:p>
      <w:pPr>
        <w:spacing w:after="0" w:line="180" w:lineRule="exact"/>
        <w:rPr>
          <w:sz w:val="20"/>
          <w:szCs w:val="20"/>
          <w:color w:val="auto"/>
        </w:rPr>
      </w:pPr>
    </w:p>
    <w:p>
      <w:pPr>
        <w:jc w:val="both"/>
        <w:ind w:right="260"/>
        <w:spacing w:after="0" w:line="238" w:lineRule="auto"/>
        <w:rPr>
          <w:sz w:val="20"/>
          <w:szCs w:val="20"/>
          <w:color w:val="auto"/>
        </w:rPr>
      </w:pPr>
      <w:r>
        <w:rPr>
          <w:rFonts w:ascii="Arial" w:cs="Arial" w:eastAsia="Arial" w:hAnsi="Arial"/>
          <w:sz w:val="18"/>
          <w:szCs w:val="18"/>
          <w:color w:val="auto"/>
        </w:rPr>
        <w:t>We manage our worldwide liquidity using internal cash management practices, which are subject to (1) the statutes, regulations and practices of each of the local jurisdictions in which we operate, (2) the legal requirements of the agreements to which we are a party and (3) the policies and cooperation of the financial institutions we utilize to maintain and provide cash management services.</w:t>
      </w:r>
    </w:p>
    <w:p>
      <w:pPr>
        <w:spacing w:after="0" w:line="15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Our liquidity is a function of our ability to successfully generate cash flows from a combination of efficient operations and access to capital markets. Our ability to maintain positive liquidity going forward depends on our ability to continue to generate cash from operations and access to financial markets, both of which are subject to general economic, financial, competitive, legislative, regulatory and other market factors that are beyond our control.</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discussion of our liquidity position as of December 31, 2010:</w:t>
      </w:r>
    </w:p>
    <w:p>
      <w:pPr>
        <w:spacing w:after="0" w:line="198" w:lineRule="exact"/>
        <w:rPr>
          <w:sz w:val="20"/>
          <w:szCs w:val="20"/>
          <w:color w:val="auto"/>
        </w:rPr>
      </w:pPr>
    </w:p>
    <w:p>
      <w:pPr>
        <w:ind w:left="340" w:right="360" w:hanging="332"/>
        <w:spacing w:after="0" w:line="234" w:lineRule="auto"/>
        <w:tabs>
          <w:tab w:leader="none" w:pos="3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Total cash and cash equivalents was $1.2 billion and there were no outstanding borrowings or letters of credit under our $2 billion Credit Facility. The Credit Facility provides backup for our Commercial Paper (“CP”) borrowings which amounted to $300 million at December 31, 2010.</w:t>
      </w:r>
    </w:p>
    <w:p>
      <w:pPr>
        <w:spacing w:after="0" w:line="2" w:lineRule="exact"/>
        <w:rPr>
          <w:rFonts w:ascii="Arial" w:cs="Arial" w:eastAsia="Arial" w:hAnsi="Arial"/>
          <w:sz w:val="18"/>
          <w:szCs w:val="18"/>
          <w:color w:val="auto"/>
        </w:rPr>
      </w:pPr>
    </w:p>
    <w:p>
      <w:pPr>
        <w:ind w:left="340" w:right="220" w:hanging="332"/>
        <w:spacing w:after="0" w:line="234" w:lineRule="auto"/>
        <w:tabs>
          <w:tab w:leader="none" w:pos="3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In October 2010, Xerox’s Board of Directors authorized the company to issue Commercial Paper (“CP”), a liquidity vehicle that the Company has not used for several years. Aggregate CP and Credit Facility borrowings may not exceed $2 billion outstanding at any time. Under the company's private placement CP program as of December 31, 2010, we could issue CP up to a maximum amount of $1 billion. In February 2011 this amount was increased to $2 billion to be consistent with the Board authorization.</w:t>
      </w:r>
    </w:p>
    <w:p>
      <w:pPr>
        <w:spacing w:after="0" w:line="3" w:lineRule="exact"/>
        <w:rPr>
          <w:rFonts w:ascii="Arial" w:cs="Arial" w:eastAsia="Arial" w:hAnsi="Arial"/>
          <w:sz w:val="18"/>
          <w:szCs w:val="18"/>
          <w:color w:val="auto"/>
        </w:rPr>
      </w:pPr>
    </w:p>
    <w:p>
      <w:pPr>
        <w:ind w:left="340" w:right="440" w:hanging="332"/>
        <w:spacing w:after="0" w:line="264" w:lineRule="auto"/>
        <w:tabs>
          <w:tab w:leader="none" w:pos="34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Over the past three years we have consistently delivered strong cash flow from operations, driven by the strength of our annuity-based revenue model. Cash flows from operations were $2,726 million, $2,208 million and $939 million for the years ended December 31, 2010, 2009 and 2008, respectively. Cash flows from operations in 2008 included $615 million in net payments for securities litigation.</w:t>
      </w:r>
    </w:p>
    <w:p>
      <w:pPr>
        <w:ind w:left="340" w:right="80" w:hanging="332"/>
        <w:spacing w:after="0" w:line="239" w:lineRule="auto"/>
        <w:tabs>
          <w:tab w:leader="none" w:pos="3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Our principal debt maturities are in line with historical and projected cash flows and are spread over the next ten years as follows and includes $300 million of Commercial Paper in 2011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580" w:type="dxa"/>
            <w:vAlign w:val="bottom"/>
            <w:gridSpan w:val="2"/>
          </w:tcPr>
          <w:p>
            <w:pPr>
              <w:spacing w:after="0"/>
              <w:rPr>
                <w:sz w:val="20"/>
                <w:szCs w:val="20"/>
                <w:color w:val="auto"/>
              </w:rPr>
            </w:pPr>
            <w:r>
              <w:rPr>
                <w:rFonts w:ascii="Arial" w:cs="Arial" w:eastAsia="Arial" w:hAnsi="Arial"/>
                <w:sz w:val="18"/>
                <w:szCs w:val="18"/>
                <w:color w:val="auto"/>
              </w:rPr>
              <w:t>Year</w:t>
            </w:r>
          </w:p>
        </w:tc>
        <w:tc>
          <w:tcPr>
            <w:tcW w:w="240" w:type="dxa"/>
            <w:vAlign w:val="bottom"/>
          </w:tcPr>
          <w:p>
            <w:pPr>
              <w:spacing w:after="0"/>
              <w:rPr>
                <w:sz w:val="18"/>
                <w:szCs w:val="18"/>
                <w:color w:val="auto"/>
              </w:rPr>
            </w:pPr>
          </w:p>
        </w:tc>
        <w:tc>
          <w:tcPr>
            <w:tcW w:w="760" w:type="dxa"/>
            <w:vAlign w:val="bottom"/>
            <w:gridSpan w:val="3"/>
          </w:tcPr>
          <w:p>
            <w:pPr>
              <w:ind w:left="20"/>
              <w:spacing w:after="0"/>
              <w:rPr>
                <w:sz w:val="20"/>
                <w:szCs w:val="20"/>
                <w:color w:val="auto"/>
              </w:rPr>
            </w:pPr>
            <w:r>
              <w:rPr>
                <w:rFonts w:ascii="Arial" w:cs="Arial" w:eastAsia="Arial" w:hAnsi="Arial"/>
                <w:sz w:val="18"/>
                <w:szCs w:val="18"/>
                <w:color w:val="auto"/>
              </w:rPr>
              <w:t>Amount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560" w:type="dxa"/>
            <w:vAlign w:val="bottom"/>
            <w:shd w:val="clear" w:color="auto" w:fill="E5E5E5"/>
          </w:tcPr>
          <w:p>
            <w:pPr>
              <w:spacing w:after="0" w:line="196" w:lineRule="exact"/>
              <w:rPr>
                <w:sz w:val="20"/>
                <w:szCs w:val="20"/>
                <w:color w:val="auto"/>
              </w:rPr>
            </w:pPr>
            <w:r>
              <w:rPr>
                <w:rFonts w:ascii="Arial" w:cs="Arial" w:eastAsia="Arial" w:hAnsi="Arial"/>
                <w:sz w:val="18"/>
                <w:szCs w:val="18"/>
                <w:color w:val="auto"/>
              </w:rPr>
              <w:t>2011</w:t>
            </w:r>
          </w:p>
        </w:tc>
        <w:tc>
          <w:tcPr>
            <w:tcW w:w="380" w:type="dxa"/>
            <w:vAlign w:val="bottom"/>
            <w:gridSpan w:val="2"/>
            <w:shd w:val="clear" w:color="auto" w:fill="E5E5E5"/>
          </w:tcPr>
          <w:p>
            <w:pPr>
              <w:ind w:left="240"/>
              <w:spacing w:after="0" w:line="196"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E5E5E5"/>
          </w:tcPr>
          <w:p>
            <w:pPr>
              <w:jc w:val="right"/>
              <w:ind w:right="120"/>
              <w:spacing w:after="0" w:line="196" w:lineRule="exact"/>
              <w:rPr>
                <w:sz w:val="20"/>
                <w:szCs w:val="20"/>
                <w:color w:val="auto"/>
              </w:rPr>
            </w:pPr>
            <w:r>
              <w:rPr>
                <w:rFonts w:ascii="Arial" w:cs="Arial" w:eastAsia="Arial" w:hAnsi="Arial"/>
                <w:sz w:val="18"/>
                <w:szCs w:val="18"/>
                <w:color w:val="auto"/>
              </w:rPr>
              <w:t>1,370</w:t>
            </w:r>
          </w:p>
        </w:tc>
        <w:tc>
          <w:tcPr>
            <w:tcW w:w="0" w:type="dxa"/>
            <w:vAlign w:val="bottom"/>
          </w:tcPr>
          <w:p>
            <w:pPr>
              <w:spacing w:after="0"/>
              <w:rPr>
                <w:sz w:val="1"/>
                <w:szCs w:val="1"/>
                <w:color w:val="auto"/>
              </w:rPr>
            </w:pPr>
          </w:p>
        </w:tc>
      </w:tr>
      <w:tr>
        <w:trPr>
          <w:trHeight w:val="203"/>
        </w:trPr>
        <w:tc>
          <w:tcPr>
            <w:tcW w:w="3580" w:type="dxa"/>
            <w:vAlign w:val="bottom"/>
            <w:gridSpan w:val="2"/>
          </w:tcPr>
          <w:p>
            <w:pPr>
              <w:spacing w:after="0" w:line="202" w:lineRule="exact"/>
              <w:rPr>
                <w:sz w:val="20"/>
                <w:szCs w:val="20"/>
                <w:color w:val="auto"/>
              </w:rPr>
            </w:pPr>
            <w:r>
              <w:rPr>
                <w:rFonts w:ascii="Arial" w:cs="Arial" w:eastAsia="Arial" w:hAnsi="Arial"/>
                <w:sz w:val="18"/>
                <w:szCs w:val="18"/>
                <w:color w:val="auto"/>
              </w:rPr>
              <w:t>2012</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1,126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2013</w:t>
            </w:r>
          </w:p>
        </w:tc>
        <w:tc>
          <w:tcPr>
            <w:tcW w:w="24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6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03"/>
        </w:trPr>
        <w:tc>
          <w:tcPr>
            <w:tcW w:w="3580" w:type="dxa"/>
            <w:vAlign w:val="bottom"/>
            <w:gridSpan w:val="2"/>
          </w:tcPr>
          <w:p>
            <w:pPr>
              <w:spacing w:after="0" w:line="202" w:lineRule="exact"/>
              <w:rPr>
                <w:sz w:val="20"/>
                <w:szCs w:val="20"/>
                <w:color w:val="auto"/>
              </w:rPr>
            </w:pPr>
            <w:r>
              <w:rPr>
                <w:rFonts w:ascii="Arial" w:cs="Arial" w:eastAsia="Arial" w:hAnsi="Arial"/>
                <w:sz w:val="18"/>
                <w:szCs w:val="18"/>
                <w:color w:val="auto"/>
              </w:rPr>
              <w:t>2014</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2015</w:t>
            </w:r>
          </w:p>
        </w:tc>
        <w:tc>
          <w:tcPr>
            <w:tcW w:w="24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5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1,251</w:t>
            </w:r>
          </w:p>
        </w:tc>
        <w:tc>
          <w:tcPr>
            <w:tcW w:w="12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gridSpan w:val="2"/>
          </w:tcPr>
          <w:p>
            <w:pPr>
              <w:spacing w:after="0" w:line="202" w:lineRule="exact"/>
              <w:rPr>
                <w:sz w:val="20"/>
                <w:szCs w:val="20"/>
                <w:color w:val="auto"/>
              </w:rPr>
            </w:pPr>
            <w:r>
              <w:rPr>
                <w:rFonts w:ascii="Arial" w:cs="Arial" w:eastAsia="Arial" w:hAnsi="Arial"/>
                <w:sz w:val="18"/>
                <w:szCs w:val="18"/>
                <w:color w:val="auto"/>
              </w:rPr>
              <w:t>2016</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2017</w:t>
            </w:r>
          </w:p>
        </w:tc>
        <w:tc>
          <w:tcPr>
            <w:tcW w:w="24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6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03"/>
        </w:trPr>
        <w:tc>
          <w:tcPr>
            <w:tcW w:w="3580" w:type="dxa"/>
            <w:vAlign w:val="bottom"/>
            <w:gridSpan w:val="2"/>
          </w:tcPr>
          <w:p>
            <w:pPr>
              <w:spacing w:after="0" w:line="202" w:lineRule="exact"/>
              <w:rPr>
                <w:sz w:val="20"/>
                <w:szCs w:val="20"/>
                <w:color w:val="auto"/>
              </w:rPr>
            </w:pPr>
            <w:r>
              <w:rPr>
                <w:rFonts w:ascii="Arial" w:cs="Arial" w:eastAsia="Arial" w:hAnsi="Arial"/>
                <w:sz w:val="18"/>
                <w:szCs w:val="18"/>
                <w:color w:val="auto"/>
              </w:rPr>
              <w:t>2018</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1,001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2019</w:t>
            </w:r>
          </w:p>
        </w:tc>
        <w:tc>
          <w:tcPr>
            <w:tcW w:w="24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6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03"/>
        </w:trPr>
        <w:tc>
          <w:tcPr>
            <w:tcW w:w="3580" w:type="dxa"/>
            <w:vAlign w:val="bottom"/>
            <w:gridSpan w:val="2"/>
          </w:tcPr>
          <w:p>
            <w:pPr>
              <w:spacing w:after="0" w:line="202" w:lineRule="exact"/>
              <w:rPr>
                <w:sz w:val="20"/>
                <w:szCs w:val="20"/>
                <w:color w:val="auto"/>
              </w:rPr>
            </w:pPr>
            <w:r>
              <w:rPr>
                <w:rFonts w:ascii="Arial" w:cs="Arial" w:eastAsia="Arial" w:hAnsi="Arial"/>
                <w:sz w:val="18"/>
                <w:szCs w:val="18"/>
                <w:color w:val="auto"/>
              </w:rPr>
              <w:t>2020 and thereafter</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6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Total Debt</w:t>
            </w:r>
          </w:p>
        </w:tc>
        <w:tc>
          <w:tcPr>
            <w:tcW w:w="380" w:type="dxa"/>
            <w:vAlign w:val="bottom"/>
            <w:gridSpan w:val="2"/>
            <w:shd w:val="clear" w:color="auto" w:fill="E5E5E5"/>
          </w:tcPr>
          <w:p>
            <w:pPr>
              <w:ind w:left="240"/>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8,380</w:t>
            </w:r>
          </w:p>
        </w:tc>
        <w:tc>
          <w:tcPr>
            <w:tcW w:w="12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Loan Covenants and Compliance</w:t>
      </w:r>
    </w:p>
    <w:p>
      <w:pPr>
        <w:spacing w:after="0" w:line="18"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At December 31, 2010, we were in full compliance with the covenants and other provisions of our Credit Facility and Senior Notes. We have the right to prepay outstanding loans or to terminate the Credit Facility without penalty. Failure to comply with material provisions or covenants of the Credit Facility and Senior Notes could have a material adverse effect on our liquidity and operations and our ability to continue to fund our customers’ purchase of Xerox equipment.</w:t>
      </w:r>
    </w:p>
    <w:p>
      <w:pPr>
        <w:spacing w:after="0" w:line="137" w:lineRule="exact"/>
        <w:rPr>
          <w:sz w:val="20"/>
          <w:szCs w:val="20"/>
          <w:color w:val="auto"/>
        </w:rPr>
      </w:pPr>
    </w:p>
    <w:p>
      <w:pPr>
        <w:jc w:val="right"/>
        <w:spacing w:after="0"/>
        <w:rPr>
          <w:sz w:val="20"/>
          <w:szCs w:val="20"/>
          <w:color w:val="auto"/>
        </w:rPr>
      </w:pPr>
      <w:r>
        <w:rPr>
          <w:rFonts w:ascii="Arial" w:cs="Arial" w:eastAsia="Arial" w:hAnsi="Arial"/>
          <w:sz w:val="14"/>
          <w:szCs w:val="14"/>
          <w:color w:val="4C9F40"/>
        </w:rPr>
        <w:t>Xerox 2010 Annual Report 27</w:t>
      </w:r>
    </w:p>
    <w:p>
      <w:pPr>
        <w:sectPr>
          <w:pgSz w:w="11900" w:h="16838" w:orient="portrait"/>
          <w:cols w:equalWidth="0" w:num="1">
            <w:col w:w="11420"/>
          </w:cols>
          <w:pgMar w:left="240" w:top="323" w:right="2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Refer to Note 11 – Debt in the Consolidated Financial Statements for additional information regarding debt arrangements.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Contractual Cash Obligations and Other Commercial Commitments and Contingencies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2010, we had the following contractual cash obligations and other commercial commitments and contingencies: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gridSpan w:val="3"/>
          </w:tcPr>
          <w:p>
            <w:pPr>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14"/>
                <w:szCs w:val="14"/>
                <w:color w:val="auto"/>
              </w:rPr>
            </w:pPr>
          </w:p>
        </w:tc>
        <w:tc>
          <w:tcPr>
            <w:tcW w:w="520" w:type="dxa"/>
            <w:vAlign w:val="bottom"/>
          </w:tcPr>
          <w:p>
            <w:pPr>
              <w:jc w:val="right"/>
              <w:ind w:right="94"/>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ind w:right="94"/>
              <w:spacing w:after="0"/>
              <w:rPr>
                <w:sz w:val="20"/>
                <w:szCs w:val="20"/>
                <w:color w:val="auto"/>
              </w:rPr>
            </w:pPr>
            <w:r>
              <w:rPr>
                <w:rFonts w:ascii="Arial" w:cs="Arial" w:eastAsia="Arial" w:hAnsi="Arial"/>
                <w:sz w:val="14"/>
                <w:szCs w:val="14"/>
                <w:color w:val="auto"/>
                <w:w w:val="96"/>
              </w:rPr>
              <w:t>2012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14"/>
              <w:spacing w:after="0"/>
              <w:rPr>
                <w:sz w:val="20"/>
                <w:szCs w:val="20"/>
                <w:color w:val="auto"/>
              </w:rPr>
            </w:pPr>
            <w:r>
              <w:rPr>
                <w:rFonts w:ascii="Arial" w:cs="Arial" w:eastAsia="Arial" w:hAnsi="Arial"/>
                <w:sz w:val="14"/>
                <w:szCs w:val="14"/>
                <w:color w:val="auto"/>
                <w:w w:val="89"/>
              </w:rPr>
              <w:t>2013</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ind w:right="94"/>
              <w:spacing w:after="0"/>
              <w:rPr>
                <w:sz w:val="20"/>
                <w:szCs w:val="20"/>
                <w:color w:val="auto"/>
              </w:rPr>
            </w:pPr>
            <w:r>
              <w:rPr>
                <w:rFonts w:ascii="Arial" w:cs="Arial" w:eastAsia="Arial" w:hAnsi="Arial"/>
                <w:sz w:val="14"/>
                <w:szCs w:val="14"/>
                <w:color w:val="auto"/>
                <w:w w:val="96"/>
              </w:rPr>
              <w:t>2014</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color w:val="auto"/>
              </w:rPr>
              <w:t>2015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color w:val="auto"/>
              </w:rPr>
              <w:t>Thereafter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480" w:type="dxa"/>
            <w:vAlign w:val="bottom"/>
            <w:gridSpan w:val="2"/>
            <w:shd w:val="clear" w:color="auto" w:fill="E5E5E5"/>
          </w:tcPr>
          <w:p>
            <w:pPr>
              <w:spacing w:after="0" w:line="197" w:lineRule="exact"/>
              <w:rPr>
                <w:sz w:val="20"/>
                <w:szCs w:val="20"/>
                <w:color w:val="auto"/>
              </w:rPr>
            </w:pPr>
            <w:r>
              <w:rPr>
                <w:rFonts w:ascii="Arial" w:cs="Arial" w:eastAsia="Arial" w:hAnsi="Arial"/>
                <w:sz w:val="18"/>
                <w:szCs w:val="18"/>
                <w:color w:val="auto"/>
              </w:rPr>
              <w:t xml:space="preserve">Total debt, including capital lease obligations </w:t>
            </w:r>
            <w:r>
              <w:rPr>
                <w:rFonts w:ascii="Arial" w:cs="Arial" w:eastAsia="Arial" w:hAnsi="Arial"/>
                <w:sz w:val="22"/>
                <w:szCs w:val="22"/>
                <w:color w:val="auto"/>
                <w:vertAlign w:val="superscript"/>
              </w:rPr>
              <w:t>(1)</w:t>
            </w:r>
          </w:p>
        </w:tc>
        <w:tc>
          <w:tcPr>
            <w:tcW w:w="120" w:type="dxa"/>
            <w:vAlign w:val="bottom"/>
            <w:shd w:val="clear" w:color="auto" w:fill="E5E5E5"/>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rPr>
              <w:t>1,370</w:t>
            </w:r>
          </w:p>
        </w:tc>
        <w:tc>
          <w:tcPr>
            <w:tcW w:w="100" w:type="dxa"/>
            <w:vAlign w:val="bottom"/>
            <w:shd w:val="clear" w:color="auto" w:fill="E5E5E5"/>
          </w:tcPr>
          <w:p>
            <w:pPr>
              <w:spacing w:after="0"/>
              <w:rPr>
                <w:sz w:val="17"/>
                <w:szCs w:val="17"/>
                <w:color w:val="auto"/>
              </w:rPr>
            </w:pPr>
          </w:p>
        </w:tc>
        <w:tc>
          <w:tcPr>
            <w:tcW w:w="260" w:type="dxa"/>
            <w:vAlign w:val="bottom"/>
            <w:gridSpan w:val="2"/>
            <w:shd w:val="clear" w:color="auto" w:fill="E5E5E5"/>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rPr>
              <w:t>1,126</w:t>
            </w:r>
          </w:p>
        </w:tc>
        <w:tc>
          <w:tcPr>
            <w:tcW w:w="120" w:type="dxa"/>
            <w:vAlign w:val="bottom"/>
            <w:shd w:val="clear" w:color="auto" w:fill="E5E5E5"/>
          </w:tcPr>
          <w:p>
            <w:pPr>
              <w:spacing w:after="0"/>
              <w:rPr>
                <w:sz w:val="17"/>
                <w:szCs w:val="17"/>
                <w:color w:val="auto"/>
              </w:rPr>
            </w:pPr>
          </w:p>
        </w:tc>
        <w:tc>
          <w:tcPr>
            <w:tcW w:w="200" w:type="dxa"/>
            <w:vAlign w:val="bottom"/>
            <w:gridSpan w:val="2"/>
            <w:shd w:val="clear" w:color="auto" w:fill="E5E5E5"/>
          </w:tcPr>
          <w:p>
            <w:pPr>
              <w:jc w:val="right"/>
              <w:spacing w:after="0" w:line="196" w:lineRule="exact"/>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rPr>
              <w:t>412</w:t>
            </w:r>
          </w:p>
        </w:tc>
        <w:tc>
          <w:tcPr>
            <w:tcW w:w="220" w:type="dxa"/>
            <w:vAlign w:val="bottom"/>
            <w:shd w:val="clear" w:color="auto" w:fill="E5E5E5"/>
          </w:tcPr>
          <w:p>
            <w:pPr>
              <w:spacing w:after="0"/>
              <w:rPr>
                <w:sz w:val="17"/>
                <w:szCs w:val="17"/>
                <w:color w:val="auto"/>
              </w:rPr>
            </w:pPr>
          </w:p>
        </w:tc>
        <w:tc>
          <w:tcPr>
            <w:tcW w:w="14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rPr>
              <w:t>771</w:t>
            </w:r>
          </w:p>
        </w:tc>
        <w:tc>
          <w:tcPr>
            <w:tcW w:w="220" w:type="dxa"/>
            <w:vAlign w:val="bottom"/>
            <w:shd w:val="clear" w:color="auto" w:fill="E5E5E5"/>
          </w:tcPr>
          <w:p>
            <w:pPr>
              <w:spacing w:after="0"/>
              <w:rPr>
                <w:sz w:val="17"/>
                <w:szCs w:val="17"/>
                <w:color w:val="auto"/>
              </w:rPr>
            </w:pPr>
          </w:p>
        </w:tc>
        <w:tc>
          <w:tcPr>
            <w:tcW w:w="14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E5E5E5"/>
          </w:tcPr>
          <w:p>
            <w:pPr>
              <w:jc w:val="right"/>
              <w:ind w:right="120"/>
              <w:spacing w:after="0" w:line="196" w:lineRule="exact"/>
              <w:rPr>
                <w:sz w:val="20"/>
                <w:szCs w:val="20"/>
                <w:color w:val="auto"/>
              </w:rPr>
            </w:pPr>
            <w:r>
              <w:rPr>
                <w:rFonts w:ascii="Arial" w:cs="Arial" w:eastAsia="Arial" w:hAnsi="Arial"/>
                <w:sz w:val="18"/>
                <w:szCs w:val="18"/>
                <w:color w:val="auto"/>
              </w:rPr>
              <w:t>1,251</w:t>
            </w:r>
          </w:p>
        </w:tc>
        <w:tc>
          <w:tcPr>
            <w:tcW w:w="260" w:type="dxa"/>
            <w:vAlign w:val="bottom"/>
            <w:gridSpan w:val="2"/>
            <w:shd w:val="clear" w:color="auto" w:fill="E5E5E5"/>
          </w:tcPr>
          <w:p>
            <w:pPr>
              <w:ind w:left="100"/>
              <w:spacing w:after="0" w:line="196" w:lineRule="exact"/>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rPr>
              <w:t>3,450</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gridSpan w:val="3"/>
          </w:tcPr>
          <w:p>
            <w:pPr>
              <w:spacing w:after="0" w:line="203" w:lineRule="exact"/>
              <w:rPr>
                <w:sz w:val="20"/>
                <w:szCs w:val="20"/>
                <w:color w:val="auto"/>
              </w:rPr>
            </w:pPr>
            <w:r>
              <w:rPr>
                <w:rFonts w:ascii="Arial" w:cs="Arial" w:eastAsia="Arial" w:hAnsi="Arial"/>
                <w:sz w:val="18"/>
                <w:szCs w:val="18"/>
                <w:color w:val="auto"/>
              </w:rPr>
              <w:t xml:space="preserve">Minimum operating lease commitments </w:t>
            </w:r>
            <w:r>
              <w:rPr>
                <w:rFonts w:ascii="Arial" w:cs="Arial" w:eastAsia="Arial" w:hAnsi="Arial"/>
                <w:sz w:val="22"/>
                <w:szCs w:val="22"/>
                <w:color w:val="auto"/>
                <w:vertAlign w:val="superscript"/>
              </w:rPr>
              <w:t>(2)</w:t>
            </w:r>
          </w:p>
        </w:tc>
        <w:tc>
          <w:tcPr>
            <w:tcW w:w="12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669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486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337</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171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118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106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gridSpan w:val="2"/>
            <w:shd w:val="clear" w:color="auto" w:fill="E5E5E5"/>
          </w:tcPr>
          <w:p>
            <w:pPr>
              <w:spacing w:after="0" w:line="203" w:lineRule="exact"/>
              <w:rPr>
                <w:sz w:val="20"/>
                <w:szCs w:val="20"/>
                <w:color w:val="auto"/>
              </w:rPr>
            </w:pPr>
            <w:r>
              <w:rPr>
                <w:rFonts w:ascii="Arial" w:cs="Arial" w:eastAsia="Arial" w:hAnsi="Arial"/>
                <w:sz w:val="18"/>
                <w:szCs w:val="18"/>
                <w:color w:val="auto"/>
              </w:rPr>
              <w:t xml:space="preserve">Liability to subsidiary trust issuing preferred securities </w:t>
            </w:r>
            <w:r>
              <w:rPr>
                <w:rFonts w:ascii="Arial" w:cs="Arial" w:eastAsia="Arial" w:hAnsi="Arial"/>
                <w:sz w:val="22"/>
                <w:szCs w:val="22"/>
                <w:color w:val="auto"/>
                <w:vertAlign w:val="superscript"/>
              </w:rPr>
              <w:t>(3)</w:t>
            </w:r>
          </w:p>
        </w:tc>
        <w:tc>
          <w:tcPr>
            <w:tcW w:w="120" w:type="dxa"/>
            <w:vAlign w:val="bottom"/>
            <w:shd w:val="clear" w:color="auto" w:fill="E5E5E5"/>
          </w:tcPr>
          <w:p>
            <w:pPr>
              <w:spacing w:after="0"/>
              <w:rPr>
                <w:sz w:val="17"/>
                <w:szCs w:val="17"/>
                <w:color w:val="auto"/>
              </w:rPr>
            </w:pPr>
          </w:p>
        </w:tc>
        <w:tc>
          <w:tcPr>
            <w:tcW w:w="6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6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62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E5E5E5"/>
          </w:tcPr>
          <w:p>
            <w:pPr>
              <w:spacing w:after="0"/>
              <w:rPr>
                <w:sz w:val="17"/>
                <w:szCs w:val="17"/>
                <w:color w:val="auto"/>
              </w:rPr>
            </w:pPr>
          </w:p>
        </w:tc>
        <w:tc>
          <w:tcPr>
            <w:tcW w:w="72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E5E5E5"/>
          </w:tcPr>
          <w:p>
            <w:pPr>
              <w:spacing w:after="0"/>
              <w:rPr>
                <w:sz w:val="17"/>
                <w:szCs w:val="17"/>
                <w:color w:val="auto"/>
              </w:rPr>
            </w:pPr>
          </w:p>
        </w:tc>
        <w:tc>
          <w:tcPr>
            <w:tcW w:w="6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5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650</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gridSpan w:val="3"/>
          </w:tcPr>
          <w:p>
            <w:pPr>
              <w:spacing w:after="0" w:line="202" w:lineRule="exact"/>
              <w:rPr>
                <w:sz w:val="20"/>
                <w:szCs w:val="20"/>
                <w:color w:val="auto"/>
              </w:rPr>
            </w:pPr>
            <w:r>
              <w:rPr>
                <w:rFonts w:ascii="Arial" w:cs="Arial" w:eastAsia="Arial" w:hAnsi="Arial"/>
                <w:sz w:val="18"/>
                <w:szCs w:val="18"/>
                <w:color w:val="auto"/>
              </w:rPr>
              <w:t>Defined benefit pension plans</w:t>
            </w:r>
          </w:p>
        </w:tc>
        <w:tc>
          <w:tcPr>
            <w:tcW w:w="12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500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7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6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Retiree health payments</w:t>
            </w:r>
          </w:p>
        </w:tc>
        <w:tc>
          <w:tcPr>
            <w:tcW w:w="120" w:type="dxa"/>
            <w:vAlign w:val="bottom"/>
            <w:shd w:val="clear" w:color="auto" w:fill="E5E5E5"/>
          </w:tcPr>
          <w:p>
            <w:pPr>
              <w:spacing w:after="0"/>
              <w:rPr>
                <w:sz w:val="17"/>
                <w:szCs w:val="17"/>
                <w:color w:val="auto"/>
              </w:rPr>
            </w:pPr>
          </w:p>
        </w:tc>
        <w:tc>
          <w:tcPr>
            <w:tcW w:w="5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87</w:t>
            </w:r>
          </w:p>
        </w:tc>
        <w:tc>
          <w:tcPr>
            <w:tcW w:w="1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6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86</w:t>
            </w:r>
          </w:p>
        </w:tc>
        <w:tc>
          <w:tcPr>
            <w:tcW w:w="1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62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85</w:t>
            </w:r>
          </w:p>
        </w:tc>
        <w:tc>
          <w:tcPr>
            <w:tcW w:w="140" w:type="dxa"/>
            <w:vAlign w:val="bottom"/>
            <w:shd w:val="clear" w:color="auto" w:fill="E5E5E5"/>
          </w:tcPr>
          <w:p>
            <w:pPr>
              <w:spacing w:after="0"/>
              <w:rPr>
                <w:sz w:val="17"/>
                <w:szCs w:val="17"/>
                <w:color w:val="auto"/>
              </w:rPr>
            </w:pPr>
          </w:p>
        </w:tc>
        <w:tc>
          <w:tcPr>
            <w:tcW w:w="5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85</w:t>
            </w:r>
          </w:p>
        </w:tc>
        <w:tc>
          <w:tcPr>
            <w:tcW w:w="2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6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84</w:t>
            </w:r>
          </w:p>
        </w:tc>
        <w:tc>
          <w:tcPr>
            <w:tcW w:w="1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5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396</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gridSpan w:val="3"/>
          </w:tcPr>
          <w:p>
            <w:pPr>
              <w:spacing w:after="0" w:line="202" w:lineRule="exact"/>
              <w:rPr>
                <w:sz w:val="20"/>
                <w:szCs w:val="20"/>
                <w:color w:val="auto"/>
              </w:rPr>
            </w:pPr>
            <w:r>
              <w:rPr>
                <w:rFonts w:ascii="Arial" w:cs="Arial" w:eastAsia="Arial" w:hAnsi="Arial"/>
                <w:sz w:val="18"/>
                <w:szCs w:val="18"/>
                <w:color w:val="auto"/>
              </w:rPr>
              <w:t>Estimated Purchase Commitments:</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gridSpan w:val="2"/>
            <w:shd w:val="clear" w:color="auto" w:fill="E5E5E5"/>
          </w:tcPr>
          <w:p>
            <w:pPr>
              <w:ind w:left="200"/>
              <w:spacing w:after="0" w:line="203" w:lineRule="exact"/>
              <w:rPr>
                <w:sz w:val="20"/>
                <w:szCs w:val="20"/>
                <w:color w:val="auto"/>
              </w:rPr>
            </w:pPr>
            <w:r>
              <w:rPr>
                <w:rFonts w:ascii="Arial" w:cs="Arial" w:eastAsia="Arial" w:hAnsi="Arial"/>
                <w:sz w:val="18"/>
                <w:szCs w:val="18"/>
                <w:color w:val="auto"/>
              </w:rPr>
              <w:t xml:space="preserve">Flextronics </w:t>
            </w:r>
            <w:r>
              <w:rPr>
                <w:rFonts w:ascii="Arial" w:cs="Arial" w:eastAsia="Arial" w:hAnsi="Arial"/>
                <w:sz w:val="22"/>
                <w:szCs w:val="22"/>
                <w:color w:val="auto"/>
                <w:vertAlign w:val="superscript"/>
              </w:rPr>
              <w:t>(4)</w:t>
            </w:r>
          </w:p>
        </w:tc>
        <w:tc>
          <w:tcPr>
            <w:tcW w:w="120" w:type="dxa"/>
            <w:vAlign w:val="bottom"/>
            <w:shd w:val="clear" w:color="auto" w:fill="E5E5E5"/>
          </w:tcPr>
          <w:p>
            <w:pPr>
              <w:spacing w:after="0"/>
              <w:rPr>
                <w:sz w:val="17"/>
                <w:szCs w:val="17"/>
                <w:color w:val="auto"/>
              </w:rPr>
            </w:pPr>
          </w:p>
        </w:tc>
        <w:tc>
          <w:tcPr>
            <w:tcW w:w="5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670</w:t>
            </w:r>
          </w:p>
        </w:tc>
        <w:tc>
          <w:tcPr>
            <w:tcW w:w="1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6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62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E5E5E5"/>
          </w:tcPr>
          <w:p>
            <w:pPr>
              <w:spacing w:after="0"/>
              <w:rPr>
                <w:sz w:val="17"/>
                <w:szCs w:val="17"/>
                <w:color w:val="auto"/>
              </w:rPr>
            </w:pPr>
          </w:p>
        </w:tc>
        <w:tc>
          <w:tcPr>
            <w:tcW w:w="72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E5E5E5"/>
          </w:tcPr>
          <w:p>
            <w:pPr>
              <w:spacing w:after="0"/>
              <w:rPr>
                <w:sz w:val="17"/>
                <w:szCs w:val="17"/>
                <w:color w:val="auto"/>
              </w:rPr>
            </w:pPr>
          </w:p>
        </w:tc>
        <w:tc>
          <w:tcPr>
            <w:tcW w:w="6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6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gridSpan w:val="2"/>
          </w:tcPr>
          <w:p>
            <w:pPr>
              <w:ind w:left="200"/>
              <w:spacing w:after="0" w:line="203" w:lineRule="exact"/>
              <w:rPr>
                <w:sz w:val="20"/>
                <w:szCs w:val="20"/>
                <w:color w:val="auto"/>
              </w:rPr>
            </w:pPr>
            <w:r>
              <w:rPr>
                <w:rFonts w:ascii="Arial" w:cs="Arial" w:eastAsia="Arial" w:hAnsi="Arial"/>
                <w:sz w:val="18"/>
                <w:szCs w:val="18"/>
                <w:color w:val="auto"/>
              </w:rPr>
              <w:t xml:space="preserve">Fuji Xerox </w:t>
            </w:r>
            <w:r>
              <w:rPr>
                <w:rFonts w:ascii="Arial" w:cs="Arial" w:eastAsia="Arial" w:hAnsi="Arial"/>
                <w:sz w:val="22"/>
                <w:szCs w:val="22"/>
                <w:color w:val="auto"/>
                <w:vertAlign w:val="superscript"/>
              </w:rPr>
              <w:t>(5)</w:t>
            </w:r>
          </w:p>
        </w:tc>
        <w:tc>
          <w:tcPr>
            <w:tcW w:w="12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2,100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7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6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gridSpan w:val="2"/>
            <w:shd w:val="clear" w:color="auto" w:fill="E5E5E5"/>
          </w:tcPr>
          <w:p>
            <w:pPr>
              <w:ind w:left="200"/>
              <w:spacing w:after="0" w:line="203" w:lineRule="exact"/>
              <w:rPr>
                <w:sz w:val="20"/>
                <w:szCs w:val="20"/>
                <w:color w:val="auto"/>
              </w:rPr>
            </w:pPr>
            <w:r>
              <w:rPr>
                <w:rFonts w:ascii="Arial" w:cs="Arial" w:eastAsia="Arial" w:hAnsi="Arial"/>
                <w:sz w:val="18"/>
                <w:szCs w:val="18"/>
                <w:color w:val="auto"/>
              </w:rPr>
              <w:t xml:space="preserve">HPES Contracts </w:t>
            </w:r>
            <w:r>
              <w:rPr>
                <w:rFonts w:ascii="Arial" w:cs="Arial" w:eastAsia="Arial" w:hAnsi="Arial"/>
                <w:sz w:val="22"/>
                <w:szCs w:val="22"/>
                <w:color w:val="auto"/>
                <w:vertAlign w:val="superscript"/>
              </w:rPr>
              <w:t>(6)</w:t>
            </w:r>
          </w:p>
        </w:tc>
        <w:tc>
          <w:tcPr>
            <w:tcW w:w="120" w:type="dxa"/>
            <w:vAlign w:val="bottom"/>
            <w:shd w:val="clear" w:color="auto" w:fill="E5E5E5"/>
          </w:tcPr>
          <w:p>
            <w:pPr>
              <w:spacing w:after="0"/>
              <w:rPr>
                <w:sz w:val="17"/>
                <w:szCs w:val="17"/>
                <w:color w:val="auto"/>
              </w:rPr>
            </w:pPr>
          </w:p>
        </w:tc>
        <w:tc>
          <w:tcPr>
            <w:tcW w:w="5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69</w:t>
            </w:r>
          </w:p>
        </w:tc>
        <w:tc>
          <w:tcPr>
            <w:tcW w:w="1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6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23</w:t>
            </w:r>
          </w:p>
        </w:tc>
        <w:tc>
          <w:tcPr>
            <w:tcW w:w="1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62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6</w:t>
            </w:r>
          </w:p>
        </w:tc>
        <w:tc>
          <w:tcPr>
            <w:tcW w:w="140" w:type="dxa"/>
            <w:vAlign w:val="bottom"/>
            <w:shd w:val="clear" w:color="auto" w:fill="E5E5E5"/>
          </w:tcPr>
          <w:p>
            <w:pPr>
              <w:spacing w:after="0"/>
              <w:rPr>
                <w:sz w:val="17"/>
                <w:szCs w:val="17"/>
                <w:color w:val="auto"/>
              </w:rPr>
            </w:pPr>
          </w:p>
        </w:tc>
        <w:tc>
          <w:tcPr>
            <w:tcW w:w="72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E5E5E5"/>
          </w:tcPr>
          <w:p>
            <w:pPr>
              <w:spacing w:after="0"/>
              <w:rPr>
                <w:sz w:val="17"/>
                <w:szCs w:val="17"/>
                <w:color w:val="auto"/>
              </w:rPr>
            </w:pPr>
          </w:p>
        </w:tc>
        <w:tc>
          <w:tcPr>
            <w:tcW w:w="6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6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gridSpan w:val="2"/>
          </w:tcPr>
          <w:p>
            <w:pPr>
              <w:ind w:left="200"/>
              <w:spacing w:after="0" w:line="203" w:lineRule="exact"/>
              <w:rPr>
                <w:sz w:val="20"/>
                <w:szCs w:val="20"/>
                <w:color w:val="auto"/>
              </w:rPr>
            </w:pPr>
            <w:r>
              <w:rPr>
                <w:rFonts w:ascii="Arial" w:cs="Arial" w:eastAsia="Arial" w:hAnsi="Arial"/>
                <w:sz w:val="18"/>
                <w:szCs w:val="18"/>
                <w:color w:val="auto"/>
              </w:rPr>
              <w:t>Other IM service contracts</w:t>
            </w:r>
            <w:r>
              <w:rPr>
                <w:rFonts w:ascii="Arial" w:cs="Arial" w:eastAsia="Arial" w:hAnsi="Arial"/>
                <w:sz w:val="22"/>
                <w:szCs w:val="22"/>
                <w:color w:val="auto"/>
                <w:vertAlign w:val="superscript"/>
              </w:rPr>
              <w:t>(7)</w:t>
            </w:r>
          </w:p>
        </w:tc>
        <w:tc>
          <w:tcPr>
            <w:tcW w:w="12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150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140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122</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89</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gridSpan w:val="2"/>
            <w:shd w:val="clear" w:color="auto" w:fill="E5E5E5"/>
          </w:tcPr>
          <w:p>
            <w:pPr>
              <w:ind w:left="200"/>
              <w:spacing w:after="0" w:line="203"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2"/>
                <w:szCs w:val="22"/>
                <w:color w:val="auto"/>
                <w:vertAlign w:val="superscript"/>
              </w:rPr>
              <w:t>(8)</w:t>
            </w:r>
          </w:p>
        </w:tc>
        <w:tc>
          <w:tcPr>
            <w:tcW w:w="120" w:type="dxa"/>
            <w:vAlign w:val="bottom"/>
            <w:shd w:val="clear" w:color="auto" w:fill="E5E5E5"/>
          </w:tcPr>
          <w:p>
            <w:pPr>
              <w:spacing w:after="0"/>
              <w:rPr>
                <w:sz w:val="17"/>
                <w:szCs w:val="17"/>
                <w:color w:val="auto"/>
              </w:rPr>
            </w:pPr>
          </w:p>
        </w:tc>
        <w:tc>
          <w:tcPr>
            <w:tcW w:w="6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7</w:t>
            </w:r>
          </w:p>
        </w:tc>
        <w:tc>
          <w:tcPr>
            <w:tcW w:w="1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6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7</w:t>
            </w:r>
          </w:p>
        </w:tc>
        <w:tc>
          <w:tcPr>
            <w:tcW w:w="1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62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1</w:t>
            </w:r>
          </w:p>
        </w:tc>
        <w:tc>
          <w:tcPr>
            <w:tcW w:w="140" w:type="dxa"/>
            <w:vAlign w:val="bottom"/>
            <w:shd w:val="clear" w:color="auto" w:fill="E5E5E5"/>
          </w:tcPr>
          <w:p>
            <w:pPr>
              <w:spacing w:after="0"/>
              <w:rPr>
                <w:sz w:val="17"/>
                <w:szCs w:val="17"/>
                <w:color w:val="auto"/>
              </w:rPr>
            </w:pPr>
          </w:p>
        </w:tc>
        <w:tc>
          <w:tcPr>
            <w:tcW w:w="72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E5E5E5"/>
          </w:tcPr>
          <w:p>
            <w:pPr>
              <w:spacing w:after="0"/>
              <w:rPr>
                <w:sz w:val="17"/>
                <w:szCs w:val="17"/>
                <w:color w:val="auto"/>
              </w:rPr>
            </w:pPr>
          </w:p>
        </w:tc>
        <w:tc>
          <w:tcPr>
            <w:tcW w:w="6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6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500" w:type="dxa"/>
            <w:vAlign w:val="bottom"/>
            <w:gridSpan w:val="3"/>
          </w:tcPr>
          <w:p>
            <w:pPr>
              <w:spacing w:after="0" w:line="203" w:lineRule="exact"/>
              <w:rPr>
                <w:sz w:val="20"/>
                <w:szCs w:val="20"/>
                <w:color w:val="auto"/>
              </w:rPr>
            </w:pPr>
            <w:r>
              <w:rPr>
                <w:rFonts w:ascii="Arial" w:cs="Arial" w:eastAsia="Arial" w:hAnsi="Arial"/>
                <w:sz w:val="18"/>
                <w:szCs w:val="18"/>
                <w:color w:val="auto"/>
              </w:rPr>
              <w:t>Other Commitments</w:t>
            </w:r>
            <w:r>
              <w:rPr>
                <w:rFonts w:ascii="Arial" w:cs="Arial" w:eastAsia="Arial" w:hAnsi="Arial"/>
                <w:sz w:val="22"/>
                <w:szCs w:val="22"/>
                <w:color w:val="auto"/>
                <w:vertAlign w:val="superscript"/>
              </w:rPr>
              <w:t>(9)</w:t>
            </w: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gridSpan w:val="2"/>
            <w:shd w:val="clear" w:color="auto" w:fill="E5E5E5"/>
          </w:tcPr>
          <w:p>
            <w:pPr>
              <w:ind w:left="200"/>
              <w:spacing w:after="0" w:line="202" w:lineRule="exact"/>
              <w:rPr>
                <w:sz w:val="20"/>
                <w:szCs w:val="20"/>
                <w:color w:val="auto"/>
              </w:rPr>
            </w:pPr>
            <w:r>
              <w:rPr>
                <w:rFonts w:ascii="Arial" w:cs="Arial" w:eastAsia="Arial" w:hAnsi="Arial"/>
                <w:sz w:val="18"/>
                <w:szCs w:val="18"/>
                <w:color w:val="auto"/>
              </w:rPr>
              <w:t>Surety Bonds</w:t>
            </w:r>
          </w:p>
        </w:tc>
        <w:tc>
          <w:tcPr>
            <w:tcW w:w="120" w:type="dxa"/>
            <w:vAlign w:val="bottom"/>
            <w:shd w:val="clear" w:color="auto" w:fill="E5E5E5"/>
          </w:tcPr>
          <w:p>
            <w:pPr>
              <w:spacing w:after="0"/>
              <w:rPr>
                <w:sz w:val="17"/>
                <w:szCs w:val="17"/>
                <w:color w:val="auto"/>
              </w:rPr>
            </w:pPr>
          </w:p>
        </w:tc>
        <w:tc>
          <w:tcPr>
            <w:tcW w:w="5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636</w:t>
            </w:r>
          </w:p>
        </w:tc>
        <w:tc>
          <w:tcPr>
            <w:tcW w:w="1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6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20</w:t>
            </w:r>
          </w:p>
        </w:tc>
        <w:tc>
          <w:tcPr>
            <w:tcW w:w="1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62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7</w:t>
            </w:r>
          </w:p>
        </w:tc>
        <w:tc>
          <w:tcPr>
            <w:tcW w:w="140" w:type="dxa"/>
            <w:vAlign w:val="bottom"/>
            <w:shd w:val="clear" w:color="auto" w:fill="E5E5E5"/>
          </w:tcPr>
          <w:p>
            <w:pPr>
              <w:spacing w:after="0"/>
              <w:rPr>
                <w:sz w:val="17"/>
                <w:szCs w:val="17"/>
                <w:color w:val="auto"/>
              </w:rPr>
            </w:pPr>
          </w:p>
        </w:tc>
        <w:tc>
          <w:tcPr>
            <w:tcW w:w="72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1</w:t>
            </w:r>
          </w:p>
        </w:tc>
        <w:tc>
          <w:tcPr>
            <w:tcW w:w="140" w:type="dxa"/>
            <w:vAlign w:val="bottom"/>
            <w:shd w:val="clear" w:color="auto" w:fill="E5E5E5"/>
          </w:tcPr>
          <w:p>
            <w:pPr>
              <w:spacing w:after="0"/>
              <w:rPr>
                <w:sz w:val="17"/>
                <w:szCs w:val="17"/>
                <w:color w:val="auto"/>
              </w:rPr>
            </w:pPr>
          </w:p>
        </w:tc>
        <w:tc>
          <w:tcPr>
            <w:tcW w:w="6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1</w:t>
            </w:r>
          </w:p>
        </w:tc>
        <w:tc>
          <w:tcPr>
            <w:tcW w:w="1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6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Letters of Credit</w:t>
            </w:r>
          </w:p>
        </w:tc>
        <w:tc>
          <w:tcPr>
            <w:tcW w:w="12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96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7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w:t>
            </w:r>
          </w:p>
        </w:tc>
        <w:tc>
          <w:tcPr>
            <w:tcW w:w="140" w:type="dxa"/>
            <w:vAlign w:val="bottom"/>
          </w:tcPr>
          <w:p>
            <w:pPr>
              <w:spacing w:after="0"/>
              <w:rPr>
                <w:sz w:val="17"/>
                <w:szCs w:val="17"/>
                <w:color w:val="auto"/>
              </w:rPr>
            </w:pPr>
          </w:p>
        </w:tc>
        <w:tc>
          <w:tcPr>
            <w:tcW w:w="6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48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Total</w:t>
            </w:r>
          </w:p>
        </w:tc>
        <w:tc>
          <w:tcPr>
            <w:tcW w:w="120" w:type="dxa"/>
            <w:vAlign w:val="bottom"/>
            <w:shd w:val="clear" w:color="auto" w:fill="E5E5E5"/>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6,354</w:t>
            </w:r>
          </w:p>
        </w:tc>
        <w:tc>
          <w:tcPr>
            <w:tcW w:w="100" w:type="dxa"/>
            <w:vAlign w:val="bottom"/>
            <w:shd w:val="clear" w:color="auto" w:fill="E5E5E5"/>
          </w:tcPr>
          <w:p>
            <w:pPr>
              <w:spacing w:after="0"/>
              <w:rPr>
                <w:sz w:val="17"/>
                <w:szCs w:val="17"/>
                <w:color w:val="auto"/>
              </w:rPr>
            </w:pPr>
          </w:p>
        </w:tc>
        <w:tc>
          <w:tcPr>
            <w:tcW w:w="26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1,903</w:t>
            </w:r>
          </w:p>
        </w:tc>
        <w:tc>
          <w:tcPr>
            <w:tcW w:w="20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970</w:t>
            </w:r>
          </w:p>
        </w:tc>
        <w:tc>
          <w:tcPr>
            <w:tcW w:w="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1,121</w:t>
            </w:r>
          </w:p>
        </w:tc>
        <w:tc>
          <w:tcPr>
            <w:tcW w:w="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1,466</w:t>
            </w:r>
          </w:p>
        </w:tc>
        <w:tc>
          <w:tcPr>
            <w:tcW w:w="260" w:type="dxa"/>
            <w:vAlign w:val="bottom"/>
            <w:gridSpan w:val="2"/>
            <w:shd w:val="clear" w:color="auto" w:fill="E5E5E5"/>
          </w:tcPr>
          <w:p>
            <w:pPr>
              <w:ind w:left="100"/>
              <w:spacing w:after="0" w:line="202" w:lineRule="exact"/>
              <w:rPr>
                <w:sz w:val="20"/>
                <w:szCs w:val="20"/>
                <w:color w:val="auto"/>
              </w:rPr>
            </w:pPr>
            <w:r>
              <w:rPr>
                <w:rFonts w:ascii="Arial" w:cs="Arial" w:eastAsia="Arial" w:hAnsi="Arial"/>
                <w:sz w:val="18"/>
                <w:szCs w:val="18"/>
                <w:color w:val="auto"/>
              </w:rPr>
              <w:t>$</w:t>
            </w:r>
          </w:p>
        </w:tc>
        <w:tc>
          <w:tcPr>
            <w:tcW w:w="6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4,794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1" w:lineRule="exact"/>
        <w:rPr>
          <w:sz w:val="20"/>
          <w:szCs w:val="20"/>
          <w:color w:val="auto"/>
        </w:rPr>
      </w:pPr>
    </w:p>
    <w:p>
      <w:pPr>
        <w:ind w:left="340" w:right="100" w:hanging="332"/>
        <w:spacing w:after="0" w:line="221" w:lineRule="auto"/>
        <w:tabs>
          <w:tab w:leader="none" w:pos="34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Refer to Note 11 - Debt in the Consolidated Financial Statements for additional information and interest payments related to total debt. Amounts above include principal portion only and $300 million of Commercial Paper in 2011.</w:t>
      </w:r>
    </w:p>
    <w:p>
      <w:pPr>
        <w:ind w:left="340" w:hanging="332"/>
        <w:spacing w:after="0" w:line="221" w:lineRule="auto"/>
        <w:tabs>
          <w:tab w:leader="none" w:pos="34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Refer to Note 6 - Land, Buildings and Equipment, Net in the Consolidated Financial Statements for additional information related to minimum operating lease commitments.</w:t>
      </w:r>
    </w:p>
    <w:p>
      <w:pPr>
        <w:ind w:left="340" w:right="280" w:hanging="332"/>
        <w:spacing w:after="0" w:line="221" w:lineRule="auto"/>
        <w:tabs>
          <w:tab w:leader="none" w:pos="34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Refer to Note 12 - Liability to Subsidiary Trust Issuing Preferred Securities in the Consolidated Financial Statements for additional information and interest payments (amounts above include principal portion only).</w:t>
      </w:r>
    </w:p>
    <w:p>
      <w:pPr>
        <w:ind w:left="340" w:right="100" w:hanging="332"/>
        <w:spacing w:after="0" w:line="221" w:lineRule="auto"/>
        <w:tabs>
          <w:tab w:leader="none" w:pos="34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Flextronics: We outsource certain manufacturing activities to Flextronics and are currently in the first of two one-year extensions of the Master Supply Agreement. The term of this agreement is three years, with two additional one year extension periods. The amount included in the table reflects our estimate of purchases over the next year and is not a contractual commitment.</w:t>
      </w:r>
    </w:p>
    <w:p>
      <w:pPr>
        <w:ind w:left="340" w:hanging="332"/>
        <w:spacing w:after="0" w:line="221" w:lineRule="auto"/>
        <w:tabs>
          <w:tab w:leader="none" w:pos="34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Fuji Xerox: The amount included in the table reflects our estimate of purchases over the next year and is not a contractual commitment.</w:t>
      </w:r>
    </w:p>
    <w:p>
      <w:pPr>
        <w:ind w:left="340" w:right="60" w:hanging="332"/>
        <w:spacing w:after="0" w:line="221" w:lineRule="auto"/>
        <w:tabs>
          <w:tab w:leader="none" w:pos="34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HPES contract: We have an information management contract with HP Enterprise Services (“HPES”) legal successor to Electronic Data Systems Corp. through March 2014. Services to be provided under this contract include support for European mainframe system processing, as well as workplace, service desk, voice and data network management. Although the HPES contract runs through March 2014, we may choose to transfer some of the services to internal Xerox providers before the HPES contract ends. There are no minimum payments required under this contract. The amounts disclosed in the table reflect our estimate of minimum payments for the periods shown. We can terminate the contract for convenience by providing sixty day’s prior notice without paying a termination fee. Should we terminate the contract for convenience, we have an option to purchase the assets placed in service under the HPES contract.</w:t>
      </w:r>
    </w:p>
    <w:p>
      <w:pPr>
        <w:spacing w:after="0" w:line="1" w:lineRule="exact"/>
        <w:rPr>
          <w:rFonts w:ascii="Arial" w:cs="Arial" w:eastAsia="Arial" w:hAnsi="Arial"/>
          <w:sz w:val="14"/>
          <w:szCs w:val="14"/>
          <w:color w:val="auto"/>
        </w:rPr>
      </w:pPr>
    </w:p>
    <w:p>
      <w:pPr>
        <w:ind w:left="340" w:right="140" w:hanging="332"/>
        <w:spacing w:after="0" w:line="221" w:lineRule="auto"/>
        <w:tabs>
          <w:tab w:leader="none" w:pos="34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IM (“Information Management”) services: During 2010 and 2009, we terminated certain information management services provided under the HPES contract. Terminated services were either discontinued or we entered into new agreements for similar services with other providers. Services provided under these contracts include mainframe application processing, development and support; and mid-range applications processing and support. The contracts have various terms through 2015. Some of the contracts require minimum payments and require early termination penalties. The amounts disclosed in the table reflect our estimate of minimum payments.</w:t>
      </w:r>
    </w:p>
    <w:p>
      <w:pPr>
        <w:spacing w:after="0" w:line="1" w:lineRule="exact"/>
        <w:rPr>
          <w:rFonts w:ascii="Arial" w:cs="Arial" w:eastAsia="Arial" w:hAnsi="Arial"/>
          <w:sz w:val="14"/>
          <w:szCs w:val="14"/>
          <w:color w:val="auto"/>
        </w:rPr>
      </w:pPr>
    </w:p>
    <w:p>
      <w:pPr>
        <w:ind w:left="340" w:right="320" w:hanging="332"/>
        <w:spacing w:after="0" w:line="221" w:lineRule="auto"/>
        <w:tabs>
          <w:tab w:leader="none" w:pos="34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Other purchase commitments: We enter into other purchase commitments with vendors in the ordinary course of business. Our policy with respect to all purchase commitments is to record losses, if any, when they are probable and reasonably estimable. We currently do not have, nor do we anticipate, material loss contracts.</w:t>
      </w:r>
    </w:p>
    <w:p>
      <w:pPr>
        <w:ind w:left="340" w:right="200" w:hanging="332"/>
        <w:spacing w:after="0" w:line="231" w:lineRule="auto"/>
        <w:tabs>
          <w:tab w:leader="none" w:pos="34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Certain contracts, primarily governmental, require surety bonds or letters of credit as guarantee of performance. Generally these commitments have one year terms which are typically renewed annually. Refer to Note 17—Contingencies in the Consolidated Financial Statements for additional information.</w:t>
      </w:r>
    </w:p>
    <w:p>
      <w:pPr>
        <w:spacing w:after="0" w:line="136" w:lineRule="exact"/>
        <w:rPr>
          <w:sz w:val="20"/>
          <w:szCs w:val="20"/>
          <w:color w:val="auto"/>
        </w:rPr>
      </w:pPr>
    </w:p>
    <w:p>
      <w:pPr>
        <w:ind w:left="9600"/>
        <w:spacing w:after="0"/>
        <w:rPr>
          <w:sz w:val="20"/>
          <w:szCs w:val="20"/>
          <w:color w:val="auto"/>
        </w:rPr>
      </w:pPr>
      <w:r>
        <w:rPr>
          <w:rFonts w:ascii="Arial" w:cs="Arial" w:eastAsia="Arial" w:hAnsi="Arial"/>
          <w:sz w:val="12"/>
          <w:szCs w:val="12"/>
          <w:color w:val="4C9F40"/>
        </w:rPr>
        <w:t>Xerox 2010 Annual Report 28</w:t>
      </w:r>
    </w:p>
    <w:p>
      <w:pPr>
        <w:sectPr>
          <w:pgSz w:w="11900" w:h="16838" w:orient="portrait"/>
          <w:cols w:equalWidth="0" w:num="1">
            <w:col w:w="11420"/>
          </w:cols>
          <w:pgMar w:left="240" w:top="345" w:right="2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4C9F40"/>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Pension and Other Post-retirement Benefit Plans</w:t>
      </w:r>
    </w:p>
    <w:p>
      <w:pPr>
        <w:spacing w:after="0" w:line="18"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We sponsor defined benefit pension plans and retiree health plans that require periodic cash contributions. Our 2010 contributions for these plans were $237 million for our defined benefit pension plans and $92 million for our retiree health plans. In 2011 we expect, based on current actuarial calculations, to make contributions of approximately $500 million to our worldwide defined benefit pension plans and approximately $90 million to our retiree health benefit plans. Contributions to our defined benefit pension plans have increased from the prior year due to a decrease in the discount rate, prior years’ investment performance as well as the requirement in the U.S. to make quarterly contributions for the current plan year. Contributions in subsequent years will depend on a number of factors, including the investment performance of plan assets and discount rates as well as potential legislative and plan changes. We currently expect contributions to our defined benefit pension plans to decline in years subsequent to 2011.</w:t>
      </w:r>
    </w:p>
    <w:p>
      <w:pPr>
        <w:spacing w:after="0" w:line="15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Our retiree health benefit plans are non-funded and are almost entirely related to domestic operations. Cash contributions are made each year to cover medical claims costs incurred during the year. The amounts reported in the above table as retiree health payments represent our estimate of future benefit payments.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Fuji Xerox</w:t>
      </w:r>
    </w:p>
    <w:p>
      <w:pPr>
        <w:spacing w:after="0" w:line="18"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We purchased products, including parts and supplies, from Fuji Xerox totaling $2.1 billion, $1.6 billion and $2.1 billion in 2010, 2009 and 2008, respectively. Our purchase commitments with Fuji Xerox are entered into in the normal course of business and typically have a lead time of three months. Related party transactions with Fuji Xerox are discussed in Note 7 – Investments in Affiliates, at Equity in the Consolidated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Brazil Tax and Labor Contingencies</w:t>
      </w:r>
    </w:p>
    <w:p>
      <w:pPr>
        <w:spacing w:after="0" w:line="18"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Our Brazilian operations are involved in various litigation matters and have received or been the subject of numerous governmental assessments related to indirect and other taxes, as well as disputes associated with former employees and contract labor. The tax matters, which comprise a significant portion of the total contingencies, principally relate to claims for taxes on the internal transfer of inventory, municipal service taxes on rentals and gross revenue taxes. We are disputing these tax matters and intend to vigorously defend our positions. Based on the opinion of legal counsel and current reserves for those matters deemed probable of loss, we do not believe that the ultimate resolution of these matters will materially impact our results of operations, financial position or cash flows. The labor matters principally relate to claims made by former employees and contract labor for the equivalent payment of all social security and other related labor benefits, as well as consequential tax claims, as if they were regular employees. As of December 31, 2010, the total amounts related to the unreserved portion of the tax and labor contingencies, inclusive of any related interest, amounted to approximately $1,274 million, with the increase from the December 31, 2009 balance of $1,225 million primarily related to currency and current year interest indexation partially offset by matters that have been closed. With respect to the unreserved balance of $1,274 million, the majority has been assessed by management as being remote as to the likelihood of ultimately resulting in a loss to the Company. In connection with the above proceedings, customary local regulations may require us to make escrow cash deposits or post other security of up to half of the total amount in dispute. As of December 31, 2010 we had $276 million of escrow cash deposits for matters we are disputing and there are liens on certain Brazilian assets with a net book value of $19 million and additional letters of credit of approximately $160 million. Generally, any escrowed amounts would be refundable and any liens would be removed to the extent the matters are resolved in our favor. We routinely assess these matters as to probability of ultimately incurring a liability against our Brazilian operations and record our best estimate of the ultimate loss in situations where we assess the likelihood of an ultimate loss as probable.</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Other Contingencies and Commitments</w:t>
      </w:r>
    </w:p>
    <w:p>
      <w:pPr>
        <w:spacing w:after="0" w:line="18"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As more fully discussed in Note 17 – Contingencies in the Consolidated Financial Statements, we are involved in a variety of claims, lawsuits, investigations and proceedings concerning securities law, intellectual property law, environmental law, employment law and the Employee Retirement Income Security Act. In addition, guarantees, indemnifications and claims may arise during the ordinary course of business from relationships with suppliers, customers and nonconsolidated affiliates. Nonperformance under a contract including a guarantee, indemnification or claim could trigger an obligation of the Company.</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4"/>
          <w:szCs w:val="14"/>
          <w:color w:val="4C9F40"/>
        </w:rPr>
        <w:t>Xerox 2010 Annual Report 29</w:t>
      </w:r>
    </w:p>
    <w:p>
      <w:pPr>
        <w:sectPr>
          <w:pgSz w:w="11900" w:h="16838" w:orient="portrait"/>
          <w:cols w:equalWidth="0" w:num="1">
            <w:col w:w="11420"/>
          </w:cols>
          <w:pgMar w:left="240" w:top="323" w:right="239" w:bottom="1440" w:gutter="0" w:footer="0" w:header="0"/>
        </w:sectPr>
      </w:pPr>
    </w:p>
    <w:bookmarkStart w:id="106" w:name="page107"/>
    <w:bookmarkEnd w:id="106"/>
    <w:p>
      <w:pPr>
        <w:ind w:right="20"/>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 determine whether an estimated loss from a contingency should be accrued by assessing whether a loss is deemed probable and can be reasonably estimated. Should developments in any of these areas cause a change in our determination as to an unfavorable outcome and result in the need to recognize a material accrual, or should any of these matters result in a final adverse judgment or be settled for significant amounts, they could have a material adverse effect on our results of operations, cash flows and financial position in the period or periods in which such change in determination, judgment or settlement occurs.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Unrecognized Tax Benefits</w:t>
      </w:r>
    </w:p>
    <w:p>
      <w:pPr>
        <w:spacing w:after="0" w:line="18"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As of December 31, 2010, we had $186 million of unrecognized tax benefits. This represents the tax benefits associated with various tax positions taken, or expected to be taken, on domestic and international tax returns that have not been recognized in our financial statements due to uncertainty regarding their resolution. The resolution or settlement of these tax positions with the taxing authorities is at various stages and therefore we are unable to make a reliable estimate of the eventual cash flows by period that may be required to settle these matters. In addition, certain of these matters may not require cash settlement due to the existence of credit and net operating loss carryforwards, as well as other offsets, including the indirect benefit from other taxing jurisdictions that may be available.</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4C9F40"/>
        </w:rPr>
        <w:t>Off-Balance Sheet Arrangements</w:t>
      </w:r>
    </w:p>
    <w:p>
      <w:pPr>
        <w:spacing w:after="0" w:line="188"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Although we rarely utilize off-balance sheet arrangements in our operations, we enter into operating leases in the normal course of business. The nature of these lease arrangements is discussed in Note 6 – Land, Buildings and Equipment, Net in the Consolidated Financial Statements. In addition, we have facilities in the U.S., Canada and several countries in Europe that enable us to sell to third-parties, on an on-going basis, certain accounts receivable without recourse. Refer to Note 4 – Receivables, Net in the Consolidated Financial Statements for further additional information.</w:t>
      </w:r>
    </w:p>
    <w:p>
      <w:pPr>
        <w:spacing w:after="0" w:line="157" w:lineRule="exact"/>
        <w:rPr>
          <w:sz w:val="20"/>
          <w:szCs w:val="20"/>
          <w:color w:val="auto"/>
        </w:rPr>
      </w:pPr>
    </w:p>
    <w:p>
      <w:pPr>
        <w:ind w:right="540"/>
        <w:spacing w:after="0" w:line="239" w:lineRule="auto"/>
        <w:rPr>
          <w:sz w:val="20"/>
          <w:szCs w:val="20"/>
          <w:color w:val="auto"/>
        </w:rPr>
      </w:pPr>
      <w:r>
        <w:rPr>
          <w:rFonts w:ascii="Arial" w:cs="Arial" w:eastAsia="Arial" w:hAnsi="Arial"/>
          <w:sz w:val="18"/>
          <w:szCs w:val="18"/>
          <w:color w:val="auto"/>
        </w:rPr>
        <w:t>See the table above for the Company’s contractual cash obligations and other commercial commitments and Note 17 – Contingencies in the Consolidated Financial Statements for additional information regarding our guarantees, indemnifications and warranty liabilities.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Financial Risk Management</w:t>
      </w:r>
    </w:p>
    <w:p>
      <w:pPr>
        <w:spacing w:after="0" w:line="180"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We are exposed to market risk from foreign currency exchange rates and interest rates, which could affect operating results, financial position and cash flows. We manage our exposure to these market risks through our regular operating and financing activities and, when appropriate, through the use of derivative financial instruments. We utilized derivative financial instruments to hedge economic exposures, as well as reduce earnings and cash flow volatility resulting from shifts in market rates.</w:t>
      </w:r>
    </w:p>
    <w:p>
      <w:pPr>
        <w:spacing w:after="0" w:line="15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Recent market events have not caused us to materially modify or change our financial risk management strategies with respect to our exposures to interest rate and foreign currency risk. Refer to Note 13 – Financial Instruments in the Consolidated Financial Statements for additional discussion on our financial risk management.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Foreign Exchange Risk Management</w:t>
      </w:r>
    </w:p>
    <w:p>
      <w:pPr>
        <w:spacing w:after="0" w:line="180"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Assuming a 10% appreciation or depreciation in foreign currency exchange rates from the quoted foreign currency exchange rates at December 31, 2010, the potential change in the fair value of foreign currency-denominated assets and liabilities in each entity would not be significant because all material currency asset and liability exposures were economically hedged as of December 31, 2010. A 10% appreciation or depreciation of the U.S. Dollar against all currencies from the quoted foreign currency exchange rates at December 31, 2010 would have a $528 million impact on our cumulative translation adjustment portion of equity. The net amount invested in foreign subsidiaries and affiliates, primarily Xerox Limited, Fuji Xerox, Xerox Canada Inc. and Xerox do Brasil, and translated into U.S. Dollars using the year-end exchange rates, was $5.3 billion at December 31, 2010.</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4"/>
          <w:szCs w:val="14"/>
          <w:color w:val="4C9F40"/>
        </w:rPr>
        <w:t>Xerox 2010 Annual Report 30</w:t>
      </w:r>
    </w:p>
    <w:p>
      <w:pPr>
        <w:sectPr>
          <w:pgSz w:w="11900" w:h="16838" w:orient="portrait"/>
          <w:cols w:equalWidth="0" w:num="1">
            <w:col w:w="11420"/>
          </w:cols>
          <w:pgMar w:left="240" w:top="345" w:right="2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4C9F40"/>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Interest Rate Risk Management</w:t>
      </w:r>
    </w:p>
    <w:p>
      <w:pPr>
        <w:spacing w:after="0" w:line="99"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 consolidated weighted-average interest rates related to our total debt and liability to subsidiary trust issuing preferred securities for 2010, 2009 and 2008 approximated 5.8%, 6.1%, and 6.6%, respectively. Interest expense includes the impact of our interest rate derivatives.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Virtually all customer-financing assets earn fixed rates of interest. The interest rates on a significant portion of the Company’s term debt are fixed.</w:t>
      </w:r>
    </w:p>
    <w:p>
      <w:pPr>
        <w:spacing w:after="0" w:line="181"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As of December 31, 2010, $952 million of our total debt carried variable interest rates, including the effect of pay variable interest rate swaps we use to reduce the effective interest rate on our fixed coupon debt.</w:t>
      </w:r>
    </w:p>
    <w:p>
      <w:pPr>
        <w:spacing w:after="0" w:line="155"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The fair market values of our fixed-rate financial instruments are sensitive to changes in interest rates. At December 31, 2010, a 10% change in market interest rates would change the fair values of such financial instruments by approximately $194 million.</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4C9F40"/>
        </w:rPr>
        <w:t>Non-GAAP Financial Measures</w:t>
      </w:r>
    </w:p>
    <w:p>
      <w:pPr>
        <w:spacing w:after="0" w:line="188"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We have reported our financial results in accordance with generally accepted accounting principles (“GAAP”). Additionally, we have discussed our results using non-GAAP measures.</w:t>
      </w:r>
    </w:p>
    <w:p>
      <w:pPr>
        <w:spacing w:after="0" w:line="155"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Management believes that these non-GAAP financial measures provide an additional means of analyzing the current periods’ results against the corresponding prior periods’ results. However, these non-GAAP financial measures should be viewed in addition to, and not as a substitute for, the Company’s reported results prepared in accordance with GAAP. Our non-GAAP financial measures are not meant to be considered in isolation or as a substitute for comparable GAAP measures and should be read only in conjunction with our consolidated financial statements prepared in accordance with GAAP. Our management regularly uses our supplemental non-GAAP financial measures internally to understand, manage and evaluate our business and make operating decisions. These non-GAAP measures are among the primary factors management uses in planning for and forecasting future periods. Compensation of our executives is based in part on the performance of our business based on these non-GAAP measures.</w:t>
      </w:r>
    </w:p>
    <w:p>
      <w:pPr>
        <w:spacing w:after="0" w:line="154" w:lineRule="exact"/>
        <w:rPr>
          <w:sz w:val="20"/>
          <w:szCs w:val="20"/>
          <w:color w:val="auto"/>
        </w:rPr>
      </w:pPr>
    </w:p>
    <w:p>
      <w:pPr>
        <w:ind w:right="960"/>
        <w:spacing w:after="0" w:line="239" w:lineRule="auto"/>
        <w:rPr>
          <w:sz w:val="20"/>
          <w:szCs w:val="20"/>
          <w:color w:val="auto"/>
        </w:rPr>
      </w:pPr>
      <w:r>
        <w:rPr>
          <w:rFonts w:ascii="Arial" w:cs="Arial" w:eastAsia="Arial" w:hAnsi="Arial"/>
          <w:sz w:val="18"/>
          <w:szCs w:val="18"/>
          <w:color w:val="auto"/>
        </w:rPr>
        <w:t>A reconciliation of these non-GAAP financial measures to the most directly comparable financial measures calculated and presented in accordance with GAAP are set forth below.</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Adjusted Earnings Measures</w:t>
      </w:r>
    </w:p>
    <w:p>
      <w:pPr>
        <w:spacing w:after="0" w:line="18"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To better understand the trends in our business and the impact of the ACS acquisition, we believe it is necessary to adjust the following amounts determined in accordance with GAAP to exclude the effects of the certain items as well as their related income tax effects:</w:t>
      </w:r>
    </w:p>
    <w:p>
      <w:pPr>
        <w:spacing w:after="0" w:line="191" w:lineRule="exact"/>
        <w:rPr>
          <w:sz w:val="20"/>
          <w:szCs w:val="20"/>
          <w:color w:val="auto"/>
        </w:rPr>
      </w:pPr>
    </w:p>
    <w:p>
      <w:pPr>
        <w:ind w:left="340" w:hanging="332"/>
        <w:spacing w:after="0"/>
        <w:tabs>
          <w:tab w:leader="none" w:pos="3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Net income and Earnings per share (“EPS”),</w:t>
      </w:r>
    </w:p>
    <w:p>
      <w:pPr>
        <w:ind w:left="340" w:hanging="332"/>
        <w:spacing w:after="0" w:line="234" w:lineRule="auto"/>
        <w:tabs>
          <w:tab w:leader="none" w:pos="3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Pre-tax income(loss) margin, and</w:t>
      </w:r>
    </w:p>
    <w:p>
      <w:pPr>
        <w:ind w:left="340" w:hanging="332"/>
        <w:spacing w:after="0"/>
        <w:tabs>
          <w:tab w:leader="none" w:pos="3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Effective tax rate.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above have been adjusted for the following items:</w:t>
      </w:r>
    </w:p>
    <w:p>
      <w:pPr>
        <w:spacing w:after="0" w:line="176" w:lineRule="exact"/>
        <w:rPr>
          <w:sz w:val="20"/>
          <w:szCs w:val="20"/>
          <w:color w:val="auto"/>
        </w:rPr>
      </w:pPr>
    </w:p>
    <w:p>
      <w:pPr>
        <w:ind w:left="340" w:right="100" w:hanging="332"/>
        <w:spacing w:after="0" w:line="280" w:lineRule="auto"/>
        <w:tabs>
          <w:tab w:leader="none" w:pos="340" w:val="left"/>
        </w:tabs>
        <w:numPr>
          <w:ilvl w:val="0"/>
          <w:numId w:val="130"/>
        </w:numPr>
        <w:rPr>
          <w:rFonts w:ascii="Arial" w:cs="Arial" w:eastAsia="Arial" w:hAnsi="Arial"/>
          <w:sz w:val="16"/>
          <w:szCs w:val="16"/>
          <w:color w:val="auto"/>
        </w:rPr>
      </w:pPr>
      <w:r>
        <w:rPr>
          <w:rFonts w:ascii="Arial" w:cs="Arial" w:eastAsia="Arial" w:hAnsi="Arial"/>
          <w:sz w:val="16"/>
          <w:szCs w:val="16"/>
          <w:b w:val="1"/>
          <w:bCs w:val="1"/>
          <w:color w:val="4C9F40"/>
        </w:rPr>
        <w:t xml:space="preserve">Restructuring and asset impairment charges (including those incurred by Fuji Xerox): </w:t>
      </w:r>
      <w:r>
        <w:rPr>
          <w:rFonts w:ascii="Arial" w:cs="Arial" w:eastAsia="Arial" w:hAnsi="Arial"/>
          <w:sz w:val="16"/>
          <w:szCs w:val="16"/>
          <w:color w:val="000000"/>
        </w:rPr>
        <w:t>Restructuring and asset impairment charges</w:t>
      </w:r>
      <w:r>
        <w:rPr>
          <w:rFonts w:ascii="Arial" w:cs="Arial" w:eastAsia="Arial" w:hAnsi="Arial"/>
          <w:sz w:val="16"/>
          <w:szCs w:val="16"/>
          <w:b w:val="1"/>
          <w:bCs w:val="1"/>
          <w:color w:val="4C9F40"/>
        </w:rPr>
        <w:t xml:space="preserve"> </w:t>
      </w:r>
      <w:r>
        <w:rPr>
          <w:rFonts w:ascii="Arial" w:cs="Arial" w:eastAsia="Arial" w:hAnsi="Arial"/>
          <w:sz w:val="16"/>
          <w:szCs w:val="16"/>
          <w:color w:val="000000"/>
        </w:rPr>
        <w:t>consist of costs primarily related to severance and benefits for employees terminated pursuant to formal restructuring and workforce reduction plans. We exclude these charges because we believe that these historical costs do not reflect expected future operating expenses and do not contribute to a meaningful evaluation of our current or past operating performance. In addition, such charges are inconsistent in amount and frequency. Such charges are expected to yield future benefits and savings with respect to our operational performance.</w:t>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14"/>
          <w:szCs w:val="14"/>
          <w:color w:val="4C9F40"/>
        </w:rPr>
        <w:t>Xerox 2010 Annual Report 31</w:t>
      </w:r>
    </w:p>
    <w:p>
      <w:pPr>
        <w:sectPr>
          <w:pgSz w:w="11900" w:h="16838" w:orient="portrait"/>
          <w:cols w:equalWidth="0" w:num="1">
            <w:col w:w="11420"/>
          </w:cols>
          <w:pgMar w:left="240" w:top="323" w:right="239" w:bottom="1440" w:gutter="0" w:footer="0" w:header="0"/>
        </w:sectPr>
      </w:pPr>
    </w:p>
    <w:bookmarkStart w:id="108" w:name="page109"/>
    <w:bookmarkEnd w:id="108"/>
    <w:p>
      <w:pPr>
        <w:ind w:left="340" w:right="60" w:hanging="332"/>
        <w:spacing w:after="0" w:line="241" w:lineRule="auto"/>
        <w:tabs>
          <w:tab w:leader="none" w:pos="340" w:val="left"/>
        </w:tabs>
        <w:numPr>
          <w:ilvl w:val="0"/>
          <w:numId w:val="131"/>
        </w:numPr>
        <w:rPr>
          <w:rFonts w:ascii="Arial" w:cs="Arial" w:eastAsia="Arial" w:hAnsi="Arial"/>
          <w:sz w:val="18"/>
          <w:szCs w:val="18"/>
          <w:color w:val="auto"/>
        </w:rPr>
      </w:pPr>
      <w:r>
        <w:rPr>
          <w:rFonts w:ascii="Arial" w:cs="Arial" w:eastAsia="Arial" w:hAnsi="Arial"/>
          <w:sz w:val="18"/>
          <w:szCs w:val="18"/>
          <w:b w:val="1"/>
          <w:bCs w:val="1"/>
          <w:color w:val="4C9F40"/>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Acquisition-related costs: </w:t>
      </w:r>
      <w:r>
        <w:rPr>
          <w:rFonts w:ascii="Arial" w:cs="Arial" w:eastAsia="Arial" w:hAnsi="Arial"/>
          <w:sz w:val="18"/>
          <w:szCs w:val="18"/>
          <w:color w:val="000000"/>
        </w:rPr>
        <w:t>We incurred significant expenses in connection with our acquisition of ACS which we generally would not have</w:t>
      </w:r>
      <w:r>
        <w:rPr>
          <w:rFonts w:ascii="Arial" w:cs="Arial" w:eastAsia="Arial" w:hAnsi="Arial"/>
          <w:sz w:val="18"/>
          <w:szCs w:val="18"/>
          <w:b w:val="1"/>
          <w:bCs w:val="1"/>
          <w:color w:val="4C9F40"/>
        </w:rPr>
        <w:t xml:space="preserve"> </w:t>
      </w:r>
      <w:r>
        <w:rPr>
          <w:rFonts w:ascii="Arial" w:cs="Arial" w:eastAsia="Arial" w:hAnsi="Arial"/>
          <w:sz w:val="18"/>
          <w:szCs w:val="18"/>
          <w:color w:val="000000"/>
        </w:rPr>
        <w:t>otherwise incurred in the periods presented as a part of our continuing operations. Acquisition-related costs include transaction and integration costs, which represent external incremental costs directly related to completing the acquisition and the integration of ACS and Xerox. We believe it is useful for investors to understand the effects of these costs on our total operating expenses.</w:t>
      </w:r>
    </w:p>
    <w:p>
      <w:pPr>
        <w:ind w:left="340" w:right="40" w:hanging="332"/>
        <w:spacing w:after="0" w:line="234" w:lineRule="auto"/>
        <w:tabs>
          <w:tab w:leader="none" w:pos="340" w:val="left"/>
        </w:tabs>
        <w:numPr>
          <w:ilvl w:val="0"/>
          <w:numId w:val="131"/>
        </w:numPr>
        <w:rPr>
          <w:rFonts w:ascii="Arial" w:cs="Arial" w:eastAsia="Arial" w:hAnsi="Arial"/>
          <w:sz w:val="18"/>
          <w:szCs w:val="18"/>
          <w:color w:val="auto"/>
        </w:rPr>
      </w:pPr>
      <w:r>
        <w:rPr>
          <w:rFonts w:ascii="Arial" w:cs="Arial" w:eastAsia="Arial" w:hAnsi="Arial"/>
          <w:sz w:val="18"/>
          <w:szCs w:val="18"/>
          <w:b w:val="1"/>
          <w:bCs w:val="1"/>
          <w:color w:val="4C9F40"/>
        </w:rPr>
        <w:t xml:space="preserve">Amortization of intangible assets: </w:t>
      </w:r>
      <w:r>
        <w:rPr>
          <w:rFonts w:ascii="Arial" w:cs="Arial" w:eastAsia="Arial" w:hAnsi="Arial"/>
          <w:sz w:val="18"/>
          <w:szCs w:val="18"/>
          <w:color w:val="000000"/>
        </w:rPr>
        <w:t>The amortization of intangible assets is driven by our acquisition activity which can vary in size, nature</w:t>
      </w:r>
      <w:r>
        <w:rPr>
          <w:rFonts w:ascii="Arial" w:cs="Arial" w:eastAsia="Arial" w:hAnsi="Arial"/>
          <w:sz w:val="18"/>
          <w:szCs w:val="18"/>
          <w:b w:val="1"/>
          <w:bCs w:val="1"/>
          <w:color w:val="4C9F40"/>
        </w:rPr>
        <w:t xml:space="preserve"> </w:t>
      </w:r>
      <w:r>
        <w:rPr>
          <w:rFonts w:ascii="Arial" w:cs="Arial" w:eastAsia="Arial" w:hAnsi="Arial"/>
          <w:sz w:val="18"/>
          <w:szCs w:val="18"/>
          <w:color w:val="000000"/>
        </w:rPr>
        <w:t>and timing as compared to other companies within our industry and from period to period. Accordingly, due to the incomparability of acquisition activity among companies and from period to period, we believe exclusion of the amortization associated with intangible assets acquired through our acquisitions allows investors to better compare and understand our results. The use of intangible assets contributed to our revenues earned during the periods presented and will contribute to our future period revenues as well. Amortization of intangible assets will recur in future periods.</w:t>
      </w:r>
    </w:p>
    <w:p>
      <w:pPr>
        <w:spacing w:after="0" w:line="4" w:lineRule="exact"/>
        <w:rPr>
          <w:rFonts w:ascii="Arial" w:cs="Arial" w:eastAsia="Arial" w:hAnsi="Arial"/>
          <w:sz w:val="18"/>
          <w:szCs w:val="18"/>
          <w:color w:val="auto"/>
        </w:rPr>
      </w:pPr>
    </w:p>
    <w:p>
      <w:pPr>
        <w:ind w:left="340" w:right="520" w:hanging="332"/>
        <w:spacing w:after="0" w:line="234" w:lineRule="auto"/>
        <w:tabs>
          <w:tab w:leader="none" w:pos="340" w:val="left"/>
        </w:tabs>
        <w:numPr>
          <w:ilvl w:val="0"/>
          <w:numId w:val="131"/>
        </w:numPr>
        <w:rPr>
          <w:rFonts w:ascii="Arial" w:cs="Arial" w:eastAsia="Arial" w:hAnsi="Arial"/>
          <w:sz w:val="18"/>
          <w:szCs w:val="18"/>
          <w:color w:val="auto"/>
        </w:rPr>
      </w:pPr>
      <w:r>
        <w:rPr>
          <w:rFonts w:ascii="Arial" w:cs="Arial" w:eastAsia="Arial" w:hAnsi="Arial"/>
          <w:sz w:val="18"/>
          <w:szCs w:val="18"/>
          <w:b w:val="1"/>
          <w:bCs w:val="1"/>
          <w:color w:val="4C9F40"/>
        </w:rPr>
        <w:t xml:space="preserve">Other discrete, unusual or infrequent costs and expenses: </w:t>
      </w:r>
      <w:r>
        <w:rPr>
          <w:rFonts w:ascii="Arial" w:cs="Arial" w:eastAsia="Arial" w:hAnsi="Arial"/>
          <w:sz w:val="18"/>
          <w:szCs w:val="18"/>
          <w:color w:val="000000"/>
        </w:rPr>
        <w:t>In addition, we have also excluded the following items given the discrete,</w:t>
      </w:r>
      <w:r>
        <w:rPr>
          <w:rFonts w:ascii="Arial" w:cs="Arial" w:eastAsia="Arial" w:hAnsi="Arial"/>
          <w:sz w:val="18"/>
          <w:szCs w:val="18"/>
          <w:b w:val="1"/>
          <w:bCs w:val="1"/>
          <w:color w:val="4C9F40"/>
        </w:rPr>
        <w:t xml:space="preserve"> </w:t>
      </w:r>
      <w:r>
        <w:rPr>
          <w:rFonts w:ascii="Arial" w:cs="Arial" w:eastAsia="Arial" w:hAnsi="Arial"/>
          <w:sz w:val="18"/>
          <w:szCs w:val="18"/>
          <w:color w:val="000000"/>
        </w:rPr>
        <w:t>unusual or infrequent nature of these items on our results of operations:</w:t>
      </w:r>
    </w:p>
    <w:p>
      <w:pPr>
        <w:spacing w:after="0" w:line="1" w:lineRule="exact"/>
        <w:rPr>
          <w:rFonts w:ascii="Arial" w:cs="Arial" w:eastAsia="Arial" w:hAnsi="Arial"/>
          <w:sz w:val="18"/>
          <w:szCs w:val="18"/>
          <w:color w:val="auto"/>
        </w:rPr>
      </w:pPr>
    </w:p>
    <w:p>
      <w:pPr>
        <w:ind w:left="660" w:right="420" w:hanging="324"/>
        <w:spacing w:after="0" w:line="234" w:lineRule="auto"/>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4C9F40"/>
        </w:rPr>
        <w:t>2010</w:t>
      </w:r>
      <w:r>
        <w:rPr>
          <w:rFonts w:ascii="Arial" w:cs="Arial" w:eastAsia="Arial" w:hAnsi="Arial"/>
          <w:sz w:val="18"/>
          <w:szCs w:val="18"/>
          <w:color w:val="auto"/>
        </w:rPr>
        <w:t xml:space="preserve"> (1) loss on early extinguishment of debt; (2) ACS shareholders litigation settlement; (3) Venezuela devaluation and (4) Medicare subsidy tax law change (income tax effect only); and</w:t>
      </w:r>
    </w:p>
    <w:p>
      <w:pPr>
        <w:spacing w:after="0" w:line="1"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4C9F40"/>
        </w:rPr>
        <w:t>2008</w:t>
      </w:r>
      <w:r>
        <w:rPr>
          <w:rFonts w:ascii="Arial" w:cs="Arial" w:eastAsia="Arial" w:hAnsi="Arial"/>
          <w:sz w:val="18"/>
          <w:szCs w:val="18"/>
          <w:color w:val="auto"/>
        </w:rPr>
        <w:t xml:space="preserve"> (1) provision for litigation matters; (2) equipment write-off and (3) settlement of unrecognized tax benefits.</w:t>
      </w:r>
    </w:p>
    <w:p>
      <w:pPr>
        <w:spacing w:after="0" w:line="158"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We believe the exclusion of these items allows investors to better understand and analyze the results for the period as compared to prior periods as well as expected trends in our business.</w:t>
      </w:r>
    </w:p>
    <w:p>
      <w:pPr>
        <w:spacing w:after="0" w:line="155" w:lineRule="exact"/>
        <w:rPr>
          <w:sz w:val="20"/>
          <w:szCs w:val="20"/>
          <w:color w:val="auto"/>
        </w:rPr>
      </w:pPr>
    </w:p>
    <w:p>
      <w:pPr>
        <w:ind w:right="300"/>
        <w:spacing w:after="0" w:line="299" w:lineRule="auto"/>
        <w:rPr>
          <w:sz w:val="20"/>
          <w:szCs w:val="20"/>
          <w:color w:val="auto"/>
        </w:rPr>
      </w:pPr>
      <w:r>
        <w:rPr>
          <w:rFonts w:ascii="Arial" w:cs="Arial" w:eastAsia="Arial" w:hAnsi="Arial"/>
          <w:sz w:val="16"/>
          <w:szCs w:val="16"/>
          <w:color w:val="auto"/>
        </w:rPr>
        <w:t>See “Net Income” and “Income Taxes” sections in the M,D&amp;A for the reconciliation of these Non-GAAP measures for Net Income / Earnings per share and the Effective tax rate, respectively, to the most directly comparable measures calculated and presented in accordance with GAAP.</w:t>
      </w:r>
    </w:p>
    <w:p>
      <w:pPr>
        <w:spacing w:after="0" w:line="109"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The following is a reconciliation of the Non-GAAP measure of Operating margin to Pre-tax income margin, which is the most directly comparable measure calculated and presented in accordance with GAAP.</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color w:val="auto"/>
              </w:rPr>
              <w:t>As Reported</w:t>
            </w:r>
          </w:p>
        </w:tc>
        <w:tc>
          <w:tcPr>
            <w:tcW w:w="1000" w:type="dxa"/>
            <w:vAlign w:val="bottom"/>
            <w:gridSpan w:val="3"/>
          </w:tcPr>
          <w:p>
            <w:pPr>
              <w:spacing w:after="0"/>
              <w:rPr>
                <w:sz w:val="20"/>
                <w:szCs w:val="20"/>
                <w:color w:val="auto"/>
              </w:rPr>
            </w:pPr>
            <w:r>
              <w:rPr>
                <w:rFonts w:ascii="Arial" w:cs="Arial" w:eastAsia="Arial" w:hAnsi="Arial"/>
                <w:sz w:val="14"/>
                <w:szCs w:val="14"/>
                <w:color w:val="auto"/>
              </w:rPr>
              <w:t>As Reported</w:t>
            </w:r>
          </w:p>
        </w:tc>
        <w:tc>
          <w:tcPr>
            <w:tcW w:w="800" w:type="dxa"/>
            <w:vAlign w:val="bottom"/>
            <w:gridSpan w:val="3"/>
          </w:tcPr>
          <w:p>
            <w:pPr>
              <w:spacing w:after="0"/>
              <w:rPr>
                <w:sz w:val="20"/>
                <w:szCs w:val="20"/>
                <w:color w:val="auto"/>
              </w:rPr>
            </w:pPr>
            <w:r>
              <w:rPr>
                <w:rFonts w:ascii="Arial" w:cs="Arial" w:eastAsia="Arial" w:hAnsi="Arial"/>
                <w:sz w:val="14"/>
                <w:szCs w:val="14"/>
                <w:color w:val="auto"/>
              </w:rPr>
              <w:t>Pro-forma</w:t>
            </w:r>
          </w:p>
        </w:tc>
        <w:tc>
          <w:tcPr>
            <w:tcW w:w="6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color w:val="auto"/>
              </w:rPr>
              <w:t>As Reported</w:t>
            </w:r>
          </w:p>
        </w:tc>
        <w:tc>
          <w:tcPr>
            <w:tcW w:w="80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10 vs. 09</w:t>
            </w:r>
          </w:p>
        </w:tc>
        <w:tc>
          <w:tcPr>
            <w:tcW w:w="880" w:type="dxa"/>
            <w:vAlign w:val="bottom"/>
            <w:gridSpan w:val="2"/>
          </w:tcPr>
          <w:p>
            <w:pPr>
              <w:jc w:val="center"/>
              <w:ind w:right="280"/>
              <w:spacing w:after="0"/>
              <w:rPr>
                <w:sz w:val="20"/>
                <w:szCs w:val="20"/>
                <w:color w:val="auto"/>
              </w:rPr>
            </w:pPr>
            <w:r>
              <w:rPr>
                <w:rFonts w:ascii="Arial" w:cs="Arial" w:eastAsia="Arial" w:hAnsi="Arial"/>
                <w:sz w:val="14"/>
                <w:szCs w:val="14"/>
                <w:color w:val="auto"/>
                <w:w w:val="96"/>
              </w:rPr>
              <w:t>Pro-forma</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w w:val="94"/>
              </w:rPr>
              <w:t>09 vs. 08</w:t>
            </w:r>
          </w:p>
        </w:tc>
        <w:tc>
          <w:tcPr>
            <w:tcW w:w="0" w:type="dxa"/>
            <w:vAlign w:val="bottom"/>
          </w:tcPr>
          <w:p>
            <w:pPr>
              <w:spacing w:after="0"/>
              <w:rPr>
                <w:sz w:val="1"/>
                <w:szCs w:val="1"/>
                <w:color w:val="auto"/>
              </w:rPr>
            </w:pPr>
          </w:p>
        </w:tc>
      </w:tr>
      <w:tr>
        <w:trPr>
          <w:trHeight w:val="176"/>
        </w:trPr>
        <w:tc>
          <w:tcPr>
            <w:tcW w:w="5000" w:type="dxa"/>
            <w:vAlign w:val="bottom"/>
            <w:gridSpan w:val="3"/>
          </w:tcPr>
          <w:p>
            <w:pPr>
              <w:spacing w:after="0"/>
              <w:rPr>
                <w:sz w:val="20"/>
                <w:szCs w:val="20"/>
                <w:color w:val="auto"/>
              </w:rPr>
            </w:pPr>
            <w:r>
              <w:rPr>
                <w:rFonts w:ascii="Arial" w:cs="Arial" w:eastAsia="Arial" w:hAnsi="Arial"/>
                <w:sz w:val="14"/>
                <w:szCs w:val="14"/>
                <w:color w:val="auto"/>
              </w:rPr>
              <w:t>(in millions)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152"/>
              <w:spacing w:after="0"/>
              <w:rPr>
                <w:sz w:val="20"/>
                <w:szCs w:val="20"/>
                <w:color w:val="auto"/>
              </w:rPr>
            </w:pPr>
            <w:r>
              <w:rPr>
                <w:rFonts w:ascii="Arial" w:cs="Arial" w:eastAsia="Arial" w:hAnsi="Arial"/>
                <w:sz w:val="14"/>
                <w:szCs w:val="14"/>
                <w:color w:val="auto"/>
              </w:rPr>
              <w:t>2010</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152"/>
              <w:spacing w:after="0"/>
              <w:rPr>
                <w:sz w:val="20"/>
                <w:szCs w:val="20"/>
                <w:color w:val="auto"/>
              </w:rPr>
            </w:pPr>
            <w:r>
              <w:rPr>
                <w:rFonts w:ascii="Arial" w:cs="Arial" w:eastAsia="Arial" w:hAnsi="Arial"/>
                <w:sz w:val="14"/>
                <w:szCs w:val="14"/>
                <w:color w:val="auto"/>
              </w:rPr>
              <w:t>2009</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ind w:right="33"/>
              <w:spacing w:after="0" w:line="176" w:lineRule="exact"/>
              <w:rPr>
                <w:sz w:val="20"/>
                <w:szCs w:val="20"/>
                <w:color w:val="auto"/>
              </w:rPr>
            </w:pPr>
            <w:r>
              <w:rPr>
                <w:rFonts w:ascii="Arial" w:cs="Arial" w:eastAsia="Arial" w:hAnsi="Arial"/>
                <w:sz w:val="13"/>
                <w:szCs w:val="13"/>
                <w:color w:val="auto"/>
                <w:w w:val="92"/>
              </w:rPr>
              <w:t>2009</w:t>
            </w:r>
            <w:r>
              <w:rPr>
                <w:rFonts w:ascii="Arial" w:cs="Arial" w:eastAsia="Arial" w:hAnsi="Arial"/>
                <w:sz w:val="20"/>
                <w:szCs w:val="20"/>
                <w:color w:val="auto"/>
                <w:w w:val="92"/>
                <w:vertAlign w:val="superscript"/>
              </w:rPr>
              <w:t>(1)</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172"/>
              <w:spacing w:after="0"/>
              <w:rPr>
                <w:sz w:val="20"/>
                <w:szCs w:val="20"/>
                <w:color w:val="auto"/>
              </w:rPr>
            </w:pPr>
            <w:r>
              <w:rPr>
                <w:rFonts w:ascii="Arial" w:cs="Arial" w:eastAsia="Arial" w:hAnsi="Arial"/>
                <w:sz w:val="14"/>
                <w:szCs w:val="14"/>
                <w:color w:val="auto"/>
              </w:rPr>
              <w:t>2008</w:t>
            </w:r>
          </w:p>
        </w:tc>
        <w:tc>
          <w:tcPr>
            <w:tcW w:w="280" w:type="dxa"/>
            <w:vAlign w:val="bottom"/>
          </w:tcPr>
          <w:p>
            <w:pPr>
              <w:spacing w:after="0"/>
              <w:rPr>
                <w:sz w:val="15"/>
                <w:szCs w:val="15"/>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Change</w:t>
            </w:r>
          </w:p>
        </w:tc>
        <w:tc>
          <w:tcPr>
            <w:tcW w:w="880" w:type="dxa"/>
            <w:vAlign w:val="bottom"/>
            <w:gridSpan w:val="2"/>
          </w:tcPr>
          <w:p>
            <w:pPr>
              <w:jc w:val="center"/>
              <w:ind w:right="280"/>
              <w:spacing w:after="0"/>
              <w:rPr>
                <w:sz w:val="20"/>
                <w:szCs w:val="20"/>
                <w:color w:val="auto"/>
              </w:rPr>
            </w:pPr>
            <w:r>
              <w:rPr>
                <w:rFonts w:ascii="Arial" w:cs="Arial" w:eastAsia="Arial" w:hAnsi="Arial"/>
                <w:sz w:val="14"/>
                <w:szCs w:val="14"/>
                <w:color w:val="auto"/>
                <w:w w:val="97"/>
              </w:rPr>
              <w:t>Change</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42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80" w:type="dxa"/>
            <w:vAlign w:val="bottom"/>
            <w:gridSpan w:val="2"/>
            <w:shd w:val="clear" w:color="auto" w:fill="E5E5E5"/>
          </w:tcPr>
          <w:p>
            <w:pPr>
              <w:spacing w:after="0" w:line="149" w:lineRule="exact"/>
              <w:rPr>
                <w:sz w:val="20"/>
                <w:szCs w:val="20"/>
                <w:color w:val="auto"/>
              </w:rPr>
            </w:pPr>
            <w:r>
              <w:rPr>
                <w:rFonts w:ascii="Arial" w:cs="Arial" w:eastAsia="Arial" w:hAnsi="Arial"/>
                <w:sz w:val="14"/>
                <w:szCs w:val="14"/>
                <w:color w:val="auto"/>
              </w:rPr>
              <w:t>Total Revenues</w:t>
            </w:r>
          </w:p>
        </w:tc>
        <w:tc>
          <w:tcPr>
            <w:tcW w:w="8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21,633</w:t>
            </w:r>
          </w:p>
        </w:tc>
        <w:tc>
          <w:tcPr>
            <w:tcW w:w="24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15,179</w:t>
            </w:r>
          </w:p>
        </w:tc>
        <w:tc>
          <w:tcPr>
            <w:tcW w:w="240" w:type="dxa"/>
            <w:vAlign w:val="bottom"/>
            <w:shd w:val="clear" w:color="auto" w:fill="E5E5E5"/>
          </w:tcPr>
          <w:p>
            <w:pPr>
              <w:spacing w:after="0"/>
              <w:rPr>
                <w:sz w:val="12"/>
                <w:szCs w:val="12"/>
                <w:color w:val="auto"/>
              </w:rPr>
            </w:pPr>
          </w:p>
        </w:tc>
        <w:tc>
          <w:tcPr>
            <w:tcW w:w="8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21,082</w:t>
            </w:r>
          </w:p>
        </w:tc>
        <w:tc>
          <w:tcPr>
            <w:tcW w:w="180" w:type="dxa"/>
            <w:vAlign w:val="bottom"/>
            <w:shd w:val="clear" w:color="auto" w:fill="E5E5E5"/>
          </w:tcPr>
          <w:p>
            <w:pPr>
              <w:spacing w:after="0"/>
              <w:rPr>
                <w:sz w:val="12"/>
                <w:szCs w:val="12"/>
                <w:color w:val="auto"/>
              </w:rPr>
            </w:pPr>
          </w:p>
        </w:tc>
        <w:tc>
          <w:tcPr>
            <w:tcW w:w="200" w:type="dxa"/>
            <w:vAlign w:val="bottom"/>
            <w:gridSpan w:val="2"/>
            <w:shd w:val="clear" w:color="auto" w:fill="E5E5E5"/>
          </w:tcPr>
          <w:p>
            <w:pPr>
              <w:ind w:left="6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17,608</w:t>
            </w:r>
          </w:p>
        </w:tc>
        <w:tc>
          <w:tcPr>
            <w:tcW w:w="280" w:type="dxa"/>
            <w:vAlign w:val="bottom"/>
            <w:shd w:val="clear" w:color="auto" w:fill="E5E5E5"/>
          </w:tcPr>
          <w:p>
            <w:pPr>
              <w:spacing w:after="0"/>
              <w:rPr>
                <w:sz w:val="12"/>
                <w:szCs w:val="12"/>
                <w:color w:val="auto"/>
              </w:rPr>
            </w:pPr>
          </w:p>
        </w:tc>
        <w:tc>
          <w:tcPr>
            <w:tcW w:w="800" w:type="dxa"/>
            <w:vAlign w:val="bottom"/>
            <w:gridSpan w:val="2"/>
            <w:shd w:val="clear" w:color="auto" w:fill="E5E5E5"/>
          </w:tcPr>
          <w:p>
            <w:pPr>
              <w:jc w:val="right"/>
              <w:ind w:right="140"/>
              <w:spacing w:after="0" w:line="149" w:lineRule="exact"/>
              <w:rPr>
                <w:sz w:val="20"/>
                <w:szCs w:val="20"/>
                <w:color w:val="auto"/>
              </w:rPr>
            </w:pPr>
            <w:r>
              <w:rPr>
                <w:rFonts w:ascii="Arial" w:cs="Arial" w:eastAsia="Arial" w:hAnsi="Arial"/>
                <w:sz w:val="14"/>
                <w:szCs w:val="14"/>
                <w:color w:val="auto"/>
              </w:rPr>
              <w:t>43%</w:t>
            </w:r>
          </w:p>
        </w:tc>
        <w:tc>
          <w:tcPr>
            <w:tcW w:w="880" w:type="dxa"/>
            <w:vAlign w:val="bottom"/>
            <w:gridSpan w:val="2"/>
            <w:shd w:val="clear" w:color="auto" w:fill="E5E5E5"/>
          </w:tcPr>
          <w:p>
            <w:pPr>
              <w:jc w:val="right"/>
              <w:ind w:right="160"/>
              <w:spacing w:after="0" w:line="149" w:lineRule="exact"/>
              <w:rPr>
                <w:sz w:val="20"/>
                <w:szCs w:val="20"/>
                <w:color w:val="auto"/>
              </w:rPr>
            </w:pPr>
            <w:r>
              <w:rPr>
                <w:rFonts w:ascii="Arial" w:cs="Arial" w:eastAsia="Arial" w:hAnsi="Arial"/>
                <w:sz w:val="14"/>
                <w:szCs w:val="14"/>
                <w:color w:val="auto"/>
              </w:rPr>
              <w:t>3%</w:t>
            </w:r>
          </w:p>
        </w:tc>
        <w:tc>
          <w:tcPr>
            <w:tcW w:w="760" w:type="dxa"/>
            <w:vAlign w:val="bottom"/>
            <w:gridSpan w:val="2"/>
            <w:shd w:val="clear" w:color="auto" w:fill="E5E5E5"/>
          </w:tcPr>
          <w:p>
            <w:pPr>
              <w:jc w:val="right"/>
              <w:ind w:right="40"/>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000" w:type="dxa"/>
            <w:vAlign w:val="bottom"/>
            <w:gridSpan w:val="3"/>
          </w:tcPr>
          <w:p>
            <w:pPr>
              <w:spacing w:after="0"/>
              <w:rPr>
                <w:sz w:val="20"/>
                <w:szCs w:val="20"/>
                <w:color w:val="auto"/>
              </w:rPr>
            </w:pPr>
            <w:r>
              <w:rPr>
                <w:rFonts w:ascii="Arial" w:cs="Arial" w:eastAsia="Arial" w:hAnsi="Arial"/>
                <w:sz w:val="14"/>
                <w:szCs w:val="14"/>
                <w:color w:val="auto"/>
              </w:rPr>
              <w:t>Pre-tax Income</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815</w:t>
            </w:r>
          </w:p>
        </w:tc>
        <w:tc>
          <w:tcPr>
            <w:tcW w:w="16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627</w:t>
            </w:r>
          </w:p>
        </w:tc>
        <w:tc>
          <w:tcPr>
            <w:tcW w:w="80" w:type="dxa"/>
            <w:vAlign w:val="bottom"/>
          </w:tcPr>
          <w:p>
            <w:pPr>
              <w:spacing w:after="0"/>
              <w:rPr>
                <w:sz w:val="24"/>
                <w:szCs w:val="2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1,267</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(79)</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30%</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(36)%</w:t>
            </w:r>
          </w:p>
        </w:tc>
        <w:tc>
          <w:tcPr>
            <w:tcW w:w="560" w:type="dxa"/>
            <w:vAlign w:val="bottom"/>
          </w:tcPr>
          <w:p>
            <w:pPr>
              <w:jc w:val="center"/>
              <w:spacing w:after="0"/>
              <w:rPr>
                <w:sz w:val="20"/>
                <w:szCs w:val="20"/>
                <w:color w:val="auto"/>
              </w:rPr>
            </w:pPr>
            <w:r>
              <w:rPr>
                <w:rFonts w:ascii="Arial" w:cs="Arial" w:eastAsia="Arial" w:hAnsi="Arial"/>
                <w:sz w:val="14"/>
                <w:szCs w:val="14"/>
                <w:color w:val="auto"/>
                <w:w w:val="72"/>
              </w:rPr>
              <w:t>*</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760" w:type="dxa"/>
            <w:vAlign w:val="bottom"/>
          </w:tcPr>
          <w:p>
            <w:pPr>
              <w:spacing w:after="0"/>
              <w:rPr>
                <w:sz w:val="8"/>
                <w:szCs w:val="8"/>
                <w:color w:val="auto"/>
              </w:rPr>
            </w:pPr>
          </w:p>
        </w:tc>
        <w:tc>
          <w:tcPr>
            <w:tcW w:w="4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980" w:type="dxa"/>
            <w:vAlign w:val="bottom"/>
            <w:gridSpan w:val="2"/>
            <w:shd w:val="clear" w:color="auto" w:fill="E5E5E5"/>
          </w:tcPr>
          <w:p>
            <w:pPr>
              <w:spacing w:after="0" w:line="135" w:lineRule="exact"/>
              <w:rPr>
                <w:sz w:val="20"/>
                <w:szCs w:val="20"/>
                <w:color w:val="auto"/>
              </w:rPr>
            </w:pPr>
            <w:r>
              <w:rPr>
                <w:rFonts w:ascii="Arial" w:cs="Arial" w:eastAsia="Arial" w:hAnsi="Arial"/>
                <w:sz w:val="14"/>
                <w:szCs w:val="14"/>
                <w:color w:val="auto"/>
              </w:rPr>
              <w:t>Adjustments:</w:t>
            </w:r>
          </w:p>
        </w:tc>
        <w:tc>
          <w:tcPr>
            <w:tcW w:w="80" w:type="dxa"/>
            <w:vAlign w:val="bottom"/>
            <w:shd w:val="clear" w:color="auto" w:fill="E5E5E5"/>
          </w:tcPr>
          <w:p>
            <w:pPr>
              <w:spacing w:after="0"/>
              <w:rPr>
                <w:sz w:val="11"/>
                <w:szCs w:val="11"/>
                <w:color w:val="auto"/>
              </w:rPr>
            </w:pPr>
          </w:p>
        </w:tc>
        <w:tc>
          <w:tcPr>
            <w:tcW w:w="160" w:type="dxa"/>
            <w:vAlign w:val="bottom"/>
            <w:shd w:val="clear" w:color="auto" w:fill="E5E5E5"/>
          </w:tcPr>
          <w:p>
            <w:pPr>
              <w:spacing w:after="0"/>
              <w:rPr>
                <w:sz w:val="11"/>
                <w:szCs w:val="11"/>
                <w:color w:val="auto"/>
              </w:rPr>
            </w:pPr>
          </w:p>
        </w:tc>
        <w:tc>
          <w:tcPr>
            <w:tcW w:w="600" w:type="dxa"/>
            <w:vAlign w:val="bottom"/>
            <w:shd w:val="clear" w:color="auto" w:fill="E5E5E5"/>
          </w:tcPr>
          <w:p>
            <w:pPr>
              <w:spacing w:after="0"/>
              <w:rPr>
                <w:sz w:val="11"/>
                <w:szCs w:val="11"/>
                <w:color w:val="auto"/>
              </w:rPr>
            </w:pPr>
          </w:p>
        </w:tc>
        <w:tc>
          <w:tcPr>
            <w:tcW w:w="240" w:type="dxa"/>
            <w:vAlign w:val="bottom"/>
            <w:shd w:val="clear" w:color="auto" w:fill="E5E5E5"/>
          </w:tcPr>
          <w:p>
            <w:pPr>
              <w:spacing w:after="0"/>
              <w:rPr>
                <w:sz w:val="11"/>
                <w:szCs w:val="11"/>
                <w:color w:val="auto"/>
              </w:rPr>
            </w:pPr>
          </w:p>
        </w:tc>
        <w:tc>
          <w:tcPr>
            <w:tcW w:w="160" w:type="dxa"/>
            <w:vAlign w:val="bottom"/>
            <w:shd w:val="clear" w:color="auto" w:fill="E5E5E5"/>
          </w:tcPr>
          <w:p>
            <w:pPr>
              <w:spacing w:after="0"/>
              <w:rPr>
                <w:sz w:val="11"/>
                <w:szCs w:val="11"/>
                <w:color w:val="auto"/>
              </w:rPr>
            </w:pPr>
          </w:p>
        </w:tc>
        <w:tc>
          <w:tcPr>
            <w:tcW w:w="600" w:type="dxa"/>
            <w:vAlign w:val="bottom"/>
            <w:shd w:val="clear" w:color="auto" w:fill="E5E5E5"/>
          </w:tcPr>
          <w:p>
            <w:pPr>
              <w:spacing w:after="0"/>
              <w:rPr>
                <w:sz w:val="11"/>
                <w:szCs w:val="11"/>
                <w:color w:val="auto"/>
              </w:rPr>
            </w:pPr>
          </w:p>
        </w:tc>
        <w:tc>
          <w:tcPr>
            <w:tcW w:w="240" w:type="dxa"/>
            <w:vAlign w:val="bottom"/>
            <w:shd w:val="clear" w:color="auto" w:fill="E5E5E5"/>
          </w:tcPr>
          <w:p>
            <w:pPr>
              <w:spacing w:after="0"/>
              <w:rPr>
                <w:sz w:val="11"/>
                <w:szCs w:val="11"/>
                <w:color w:val="auto"/>
              </w:rPr>
            </w:pPr>
          </w:p>
        </w:tc>
        <w:tc>
          <w:tcPr>
            <w:tcW w:w="80" w:type="dxa"/>
            <w:vAlign w:val="bottom"/>
            <w:shd w:val="clear" w:color="auto" w:fill="E5E5E5"/>
          </w:tcPr>
          <w:p>
            <w:pPr>
              <w:spacing w:after="0"/>
              <w:rPr>
                <w:sz w:val="11"/>
                <w:szCs w:val="11"/>
                <w:color w:val="auto"/>
              </w:rPr>
            </w:pPr>
          </w:p>
        </w:tc>
        <w:tc>
          <w:tcPr>
            <w:tcW w:w="540" w:type="dxa"/>
            <w:vAlign w:val="bottom"/>
            <w:shd w:val="clear" w:color="auto" w:fill="E5E5E5"/>
          </w:tcPr>
          <w:p>
            <w:pPr>
              <w:spacing w:after="0"/>
              <w:rPr>
                <w:sz w:val="11"/>
                <w:szCs w:val="11"/>
                <w:color w:val="auto"/>
              </w:rPr>
            </w:pPr>
          </w:p>
        </w:tc>
        <w:tc>
          <w:tcPr>
            <w:tcW w:w="180" w:type="dxa"/>
            <w:vAlign w:val="bottom"/>
            <w:shd w:val="clear" w:color="auto" w:fill="E5E5E5"/>
          </w:tcPr>
          <w:p>
            <w:pPr>
              <w:spacing w:after="0"/>
              <w:rPr>
                <w:sz w:val="11"/>
                <w:szCs w:val="11"/>
                <w:color w:val="auto"/>
              </w:rPr>
            </w:pPr>
          </w:p>
        </w:tc>
        <w:tc>
          <w:tcPr>
            <w:tcW w:w="60" w:type="dxa"/>
            <w:vAlign w:val="bottom"/>
            <w:shd w:val="clear" w:color="auto" w:fill="E5E5E5"/>
          </w:tcPr>
          <w:p>
            <w:pPr>
              <w:spacing w:after="0"/>
              <w:rPr>
                <w:sz w:val="11"/>
                <w:szCs w:val="11"/>
                <w:color w:val="auto"/>
              </w:rPr>
            </w:pPr>
          </w:p>
        </w:tc>
        <w:tc>
          <w:tcPr>
            <w:tcW w:w="140" w:type="dxa"/>
            <w:vAlign w:val="bottom"/>
            <w:shd w:val="clear" w:color="auto" w:fill="E5E5E5"/>
          </w:tcPr>
          <w:p>
            <w:pPr>
              <w:spacing w:after="0"/>
              <w:rPr>
                <w:sz w:val="11"/>
                <w:szCs w:val="11"/>
                <w:color w:val="auto"/>
              </w:rPr>
            </w:pPr>
          </w:p>
        </w:tc>
        <w:tc>
          <w:tcPr>
            <w:tcW w:w="620" w:type="dxa"/>
            <w:vAlign w:val="bottom"/>
            <w:shd w:val="clear" w:color="auto" w:fill="E5E5E5"/>
          </w:tcPr>
          <w:p>
            <w:pPr>
              <w:spacing w:after="0"/>
              <w:rPr>
                <w:sz w:val="11"/>
                <w:szCs w:val="11"/>
                <w:color w:val="auto"/>
              </w:rPr>
            </w:pPr>
          </w:p>
        </w:tc>
        <w:tc>
          <w:tcPr>
            <w:tcW w:w="280" w:type="dxa"/>
            <w:vAlign w:val="bottom"/>
            <w:shd w:val="clear" w:color="auto" w:fill="E5E5E5"/>
          </w:tcPr>
          <w:p>
            <w:pPr>
              <w:spacing w:after="0"/>
              <w:rPr>
                <w:sz w:val="11"/>
                <w:szCs w:val="11"/>
                <w:color w:val="auto"/>
              </w:rPr>
            </w:pPr>
          </w:p>
        </w:tc>
        <w:tc>
          <w:tcPr>
            <w:tcW w:w="540" w:type="dxa"/>
            <w:vAlign w:val="bottom"/>
            <w:shd w:val="clear" w:color="auto" w:fill="E5E5E5"/>
          </w:tcPr>
          <w:p>
            <w:pPr>
              <w:spacing w:after="0"/>
              <w:rPr>
                <w:sz w:val="11"/>
                <w:szCs w:val="11"/>
                <w:color w:val="auto"/>
              </w:rPr>
            </w:pPr>
          </w:p>
        </w:tc>
        <w:tc>
          <w:tcPr>
            <w:tcW w:w="260" w:type="dxa"/>
            <w:vAlign w:val="bottom"/>
            <w:shd w:val="clear" w:color="auto" w:fill="E5E5E5"/>
          </w:tcPr>
          <w:p>
            <w:pPr>
              <w:spacing w:after="0"/>
              <w:rPr>
                <w:sz w:val="11"/>
                <w:szCs w:val="11"/>
                <w:color w:val="auto"/>
              </w:rPr>
            </w:pPr>
          </w:p>
        </w:tc>
        <w:tc>
          <w:tcPr>
            <w:tcW w:w="600" w:type="dxa"/>
            <w:vAlign w:val="bottom"/>
            <w:shd w:val="clear" w:color="auto" w:fill="E5E5E5"/>
          </w:tcPr>
          <w:p>
            <w:pPr>
              <w:spacing w:after="0"/>
              <w:rPr>
                <w:sz w:val="11"/>
                <w:szCs w:val="11"/>
                <w:color w:val="auto"/>
              </w:rPr>
            </w:pPr>
          </w:p>
        </w:tc>
        <w:tc>
          <w:tcPr>
            <w:tcW w:w="280" w:type="dxa"/>
            <w:vAlign w:val="bottom"/>
            <w:shd w:val="clear" w:color="auto" w:fill="E5E5E5"/>
          </w:tcPr>
          <w:p>
            <w:pPr>
              <w:spacing w:after="0"/>
              <w:rPr>
                <w:sz w:val="11"/>
                <w:szCs w:val="11"/>
                <w:color w:val="auto"/>
              </w:rPr>
            </w:pPr>
          </w:p>
        </w:tc>
        <w:tc>
          <w:tcPr>
            <w:tcW w:w="560" w:type="dxa"/>
            <w:vAlign w:val="bottom"/>
            <w:shd w:val="clear" w:color="auto" w:fill="E5E5E5"/>
          </w:tcPr>
          <w:p>
            <w:pPr>
              <w:spacing w:after="0"/>
              <w:rPr>
                <w:sz w:val="11"/>
                <w:szCs w:val="11"/>
                <w:color w:val="auto"/>
              </w:rPr>
            </w:pPr>
          </w:p>
        </w:tc>
        <w:tc>
          <w:tcPr>
            <w:tcW w:w="200" w:type="dxa"/>
            <w:vAlign w:val="bottom"/>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20" w:type="dxa"/>
            <w:vAlign w:val="bottom"/>
            <w:shd w:val="clear" w:color="auto" w:fill="E5E5E5"/>
          </w:tcPr>
          <w:p>
            <w:pPr>
              <w:spacing w:after="0" w:line="20" w:lineRule="exact"/>
              <w:rPr>
                <w:sz w:val="1"/>
                <w:szCs w:val="1"/>
                <w:color w:val="auto"/>
              </w:rPr>
            </w:pPr>
          </w:p>
        </w:tc>
        <w:tc>
          <w:tcPr>
            <w:tcW w:w="80" w:type="dxa"/>
            <w:vAlign w:val="bottom"/>
            <w:shd w:val="clear" w:color="auto" w:fill="E5E5E5"/>
          </w:tcPr>
          <w:p>
            <w:pPr>
              <w:spacing w:after="0" w:line="20" w:lineRule="exact"/>
              <w:rPr>
                <w:sz w:val="1"/>
                <w:szCs w:val="1"/>
                <w:color w:val="auto"/>
              </w:rPr>
            </w:pPr>
          </w:p>
        </w:tc>
        <w:tc>
          <w:tcPr>
            <w:tcW w:w="160" w:type="dxa"/>
            <w:vAlign w:val="bottom"/>
            <w:shd w:val="clear" w:color="auto" w:fill="E5E5E5"/>
          </w:tcPr>
          <w:p>
            <w:pPr>
              <w:spacing w:after="0" w:line="20" w:lineRule="exact"/>
              <w:rPr>
                <w:sz w:val="1"/>
                <w:szCs w:val="1"/>
                <w:color w:val="auto"/>
              </w:rPr>
            </w:pPr>
          </w:p>
        </w:tc>
        <w:tc>
          <w:tcPr>
            <w:tcW w:w="600" w:type="dxa"/>
            <w:vAlign w:val="bottom"/>
            <w:shd w:val="clear" w:color="auto" w:fill="E5E5E5"/>
          </w:tcPr>
          <w:p>
            <w:pPr>
              <w:spacing w:after="0" w:line="20" w:lineRule="exact"/>
              <w:rPr>
                <w:sz w:val="1"/>
                <w:szCs w:val="1"/>
                <w:color w:val="auto"/>
              </w:rPr>
            </w:pPr>
          </w:p>
        </w:tc>
        <w:tc>
          <w:tcPr>
            <w:tcW w:w="240" w:type="dxa"/>
            <w:vAlign w:val="bottom"/>
            <w:shd w:val="clear" w:color="auto" w:fill="E5E5E5"/>
          </w:tcPr>
          <w:p>
            <w:pPr>
              <w:spacing w:after="0" w:line="20" w:lineRule="exact"/>
              <w:rPr>
                <w:sz w:val="1"/>
                <w:szCs w:val="1"/>
                <w:color w:val="auto"/>
              </w:rPr>
            </w:pPr>
          </w:p>
        </w:tc>
        <w:tc>
          <w:tcPr>
            <w:tcW w:w="160" w:type="dxa"/>
            <w:vAlign w:val="bottom"/>
            <w:shd w:val="clear" w:color="auto" w:fill="E5E5E5"/>
          </w:tcPr>
          <w:p>
            <w:pPr>
              <w:spacing w:after="0" w:line="20" w:lineRule="exact"/>
              <w:rPr>
                <w:sz w:val="1"/>
                <w:szCs w:val="1"/>
                <w:color w:val="auto"/>
              </w:rPr>
            </w:pPr>
          </w:p>
        </w:tc>
        <w:tc>
          <w:tcPr>
            <w:tcW w:w="600" w:type="dxa"/>
            <w:vAlign w:val="bottom"/>
            <w:shd w:val="clear" w:color="auto" w:fill="E5E5E5"/>
          </w:tcPr>
          <w:p>
            <w:pPr>
              <w:spacing w:after="0" w:line="20" w:lineRule="exact"/>
              <w:rPr>
                <w:sz w:val="1"/>
                <w:szCs w:val="1"/>
                <w:color w:val="auto"/>
              </w:rPr>
            </w:pPr>
          </w:p>
        </w:tc>
        <w:tc>
          <w:tcPr>
            <w:tcW w:w="240" w:type="dxa"/>
            <w:vAlign w:val="bottom"/>
            <w:shd w:val="clear" w:color="auto" w:fill="E5E5E5"/>
          </w:tcPr>
          <w:p>
            <w:pPr>
              <w:spacing w:after="0" w:line="20" w:lineRule="exact"/>
              <w:rPr>
                <w:sz w:val="1"/>
                <w:szCs w:val="1"/>
                <w:color w:val="auto"/>
              </w:rPr>
            </w:pPr>
          </w:p>
        </w:tc>
        <w:tc>
          <w:tcPr>
            <w:tcW w:w="80" w:type="dxa"/>
            <w:vAlign w:val="bottom"/>
            <w:shd w:val="clear" w:color="auto" w:fill="E5E5E5"/>
          </w:tcPr>
          <w:p>
            <w:pPr>
              <w:spacing w:after="0" w:line="20" w:lineRule="exact"/>
              <w:rPr>
                <w:sz w:val="1"/>
                <w:szCs w:val="1"/>
                <w:color w:val="auto"/>
              </w:rPr>
            </w:pPr>
          </w:p>
        </w:tc>
        <w:tc>
          <w:tcPr>
            <w:tcW w:w="540" w:type="dxa"/>
            <w:vAlign w:val="bottom"/>
            <w:shd w:val="clear" w:color="auto" w:fill="E5E5E5"/>
          </w:tcPr>
          <w:p>
            <w:pPr>
              <w:spacing w:after="0" w:line="20" w:lineRule="exact"/>
              <w:rPr>
                <w:sz w:val="1"/>
                <w:szCs w:val="1"/>
                <w:color w:val="auto"/>
              </w:rPr>
            </w:pPr>
          </w:p>
        </w:tc>
        <w:tc>
          <w:tcPr>
            <w:tcW w:w="180" w:type="dxa"/>
            <w:vAlign w:val="bottom"/>
            <w:shd w:val="clear" w:color="auto" w:fill="E5E5E5"/>
          </w:tcPr>
          <w:p>
            <w:pPr>
              <w:spacing w:after="0" w:line="20" w:lineRule="exact"/>
              <w:rPr>
                <w:sz w:val="1"/>
                <w:szCs w:val="1"/>
                <w:color w:val="auto"/>
              </w:rPr>
            </w:pPr>
          </w:p>
        </w:tc>
        <w:tc>
          <w:tcPr>
            <w:tcW w:w="60" w:type="dxa"/>
            <w:vAlign w:val="bottom"/>
            <w:shd w:val="clear" w:color="auto" w:fill="E5E5E5"/>
          </w:tcPr>
          <w:p>
            <w:pPr>
              <w:spacing w:after="0" w:line="20" w:lineRule="exact"/>
              <w:rPr>
                <w:sz w:val="1"/>
                <w:szCs w:val="1"/>
                <w:color w:val="auto"/>
              </w:rPr>
            </w:pPr>
          </w:p>
        </w:tc>
        <w:tc>
          <w:tcPr>
            <w:tcW w:w="140" w:type="dxa"/>
            <w:vAlign w:val="bottom"/>
            <w:shd w:val="clear" w:color="auto" w:fill="E5E5E5"/>
          </w:tcPr>
          <w:p>
            <w:pPr>
              <w:spacing w:after="0" w:line="20" w:lineRule="exact"/>
              <w:rPr>
                <w:sz w:val="1"/>
                <w:szCs w:val="1"/>
                <w:color w:val="auto"/>
              </w:rPr>
            </w:pPr>
          </w:p>
        </w:tc>
        <w:tc>
          <w:tcPr>
            <w:tcW w:w="620" w:type="dxa"/>
            <w:vAlign w:val="bottom"/>
            <w:shd w:val="clear" w:color="auto" w:fill="E5E5E5"/>
          </w:tcPr>
          <w:p>
            <w:pPr>
              <w:spacing w:after="0" w:line="20" w:lineRule="exact"/>
              <w:rPr>
                <w:sz w:val="1"/>
                <w:szCs w:val="1"/>
                <w:color w:val="auto"/>
              </w:rPr>
            </w:pPr>
          </w:p>
        </w:tc>
        <w:tc>
          <w:tcPr>
            <w:tcW w:w="280" w:type="dxa"/>
            <w:vAlign w:val="bottom"/>
            <w:shd w:val="clear" w:color="auto" w:fill="E5E5E5"/>
          </w:tcPr>
          <w:p>
            <w:pPr>
              <w:spacing w:after="0" w:line="20" w:lineRule="exact"/>
              <w:rPr>
                <w:sz w:val="1"/>
                <w:szCs w:val="1"/>
                <w:color w:val="auto"/>
              </w:rPr>
            </w:pPr>
          </w:p>
        </w:tc>
        <w:tc>
          <w:tcPr>
            <w:tcW w:w="540" w:type="dxa"/>
            <w:vAlign w:val="bottom"/>
            <w:shd w:val="clear" w:color="auto" w:fill="E5E5E5"/>
          </w:tcPr>
          <w:p>
            <w:pPr>
              <w:spacing w:after="0" w:line="20" w:lineRule="exact"/>
              <w:rPr>
                <w:sz w:val="1"/>
                <w:szCs w:val="1"/>
                <w:color w:val="auto"/>
              </w:rPr>
            </w:pPr>
          </w:p>
        </w:tc>
        <w:tc>
          <w:tcPr>
            <w:tcW w:w="260" w:type="dxa"/>
            <w:vAlign w:val="bottom"/>
            <w:shd w:val="clear" w:color="auto" w:fill="E5E5E5"/>
          </w:tcPr>
          <w:p>
            <w:pPr>
              <w:spacing w:after="0" w:line="20" w:lineRule="exact"/>
              <w:rPr>
                <w:sz w:val="1"/>
                <w:szCs w:val="1"/>
                <w:color w:val="auto"/>
              </w:rPr>
            </w:pPr>
          </w:p>
        </w:tc>
        <w:tc>
          <w:tcPr>
            <w:tcW w:w="600" w:type="dxa"/>
            <w:vAlign w:val="bottom"/>
            <w:shd w:val="clear" w:color="auto" w:fill="E5E5E5"/>
          </w:tcPr>
          <w:p>
            <w:pPr>
              <w:spacing w:after="0" w:line="20" w:lineRule="exact"/>
              <w:rPr>
                <w:sz w:val="1"/>
                <w:szCs w:val="1"/>
                <w:color w:val="auto"/>
              </w:rPr>
            </w:pPr>
          </w:p>
        </w:tc>
        <w:tc>
          <w:tcPr>
            <w:tcW w:w="280" w:type="dxa"/>
            <w:vAlign w:val="bottom"/>
            <w:shd w:val="clear" w:color="auto" w:fill="E5E5E5"/>
          </w:tcPr>
          <w:p>
            <w:pPr>
              <w:spacing w:after="0" w:line="20" w:lineRule="exact"/>
              <w:rPr>
                <w:sz w:val="1"/>
                <w:szCs w:val="1"/>
                <w:color w:val="auto"/>
              </w:rPr>
            </w:pPr>
          </w:p>
        </w:tc>
        <w:tc>
          <w:tcPr>
            <w:tcW w:w="560" w:type="dxa"/>
            <w:vAlign w:val="bottom"/>
            <w:shd w:val="clear" w:color="auto" w:fill="E5E5E5"/>
          </w:tcPr>
          <w:p>
            <w:pPr>
              <w:spacing w:after="0" w:line="20" w:lineRule="exact"/>
              <w:rPr>
                <w:sz w:val="1"/>
                <w:szCs w:val="1"/>
                <w:color w:val="auto"/>
              </w:rPr>
            </w:pPr>
          </w:p>
        </w:tc>
        <w:tc>
          <w:tcPr>
            <w:tcW w:w="200" w:type="dxa"/>
            <w:vAlign w:val="bottom"/>
            <w:shd w:val="clear" w:color="auto" w:fill="E5E5E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980" w:type="dxa"/>
            <w:vAlign w:val="bottom"/>
            <w:gridSpan w:val="2"/>
          </w:tcPr>
          <w:p>
            <w:pPr>
              <w:spacing w:after="0" w:line="142" w:lineRule="exact"/>
              <w:rPr>
                <w:sz w:val="20"/>
                <w:szCs w:val="20"/>
                <w:color w:val="auto"/>
              </w:rPr>
            </w:pPr>
            <w:r>
              <w:rPr>
                <w:rFonts w:ascii="Arial" w:cs="Arial" w:eastAsia="Arial" w:hAnsi="Arial"/>
                <w:sz w:val="14"/>
                <w:szCs w:val="14"/>
                <w:color w:val="auto"/>
              </w:rPr>
              <w:t>Xerox restructuring charge</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40"/>
              <w:spacing w:after="0" w:line="142" w:lineRule="exact"/>
              <w:rPr>
                <w:sz w:val="20"/>
                <w:szCs w:val="20"/>
                <w:color w:val="auto"/>
              </w:rPr>
            </w:pPr>
            <w:r>
              <w:rPr>
                <w:rFonts w:ascii="Arial" w:cs="Arial" w:eastAsia="Arial" w:hAnsi="Arial"/>
                <w:sz w:val="14"/>
                <w:szCs w:val="14"/>
                <w:color w:val="auto"/>
              </w:rPr>
              <w:t>483</w:t>
            </w:r>
          </w:p>
        </w:tc>
        <w:tc>
          <w:tcPr>
            <w:tcW w:w="160" w:type="dxa"/>
            <w:vAlign w:val="bottom"/>
          </w:tcPr>
          <w:p>
            <w:pPr>
              <w:spacing w:after="0"/>
              <w:rPr>
                <w:sz w:val="12"/>
                <w:szCs w:val="12"/>
                <w:color w:val="auto"/>
              </w:rPr>
            </w:pPr>
          </w:p>
        </w:tc>
        <w:tc>
          <w:tcPr>
            <w:tcW w:w="840" w:type="dxa"/>
            <w:vAlign w:val="bottom"/>
            <w:gridSpan w:val="2"/>
          </w:tcPr>
          <w:p>
            <w:pPr>
              <w:jc w:val="right"/>
              <w:ind w:right="200"/>
              <w:spacing w:after="0" w:line="142" w:lineRule="exact"/>
              <w:rPr>
                <w:sz w:val="20"/>
                <w:szCs w:val="20"/>
                <w:color w:val="auto"/>
              </w:rPr>
            </w:pPr>
            <w:r>
              <w:rPr>
                <w:rFonts w:ascii="Arial" w:cs="Arial" w:eastAsia="Arial" w:hAnsi="Arial"/>
                <w:sz w:val="14"/>
                <w:szCs w:val="14"/>
                <w:color w:val="auto"/>
              </w:rPr>
              <w:t>(8)</w:t>
            </w: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rPr>
              <w:t>(8)</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280"/>
              <w:spacing w:after="0" w:line="142" w:lineRule="exact"/>
              <w:rPr>
                <w:sz w:val="20"/>
                <w:szCs w:val="20"/>
                <w:color w:val="auto"/>
              </w:rPr>
            </w:pPr>
            <w:r>
              <w:rPr>
                <w:rFonts w:ascii="Arial" w:cs="Arial" w:eastAsia="Arial" w:hAnsi="Arial"/>
                <w:sz w:val="14"/>
                <w:szCs w:val="14"/>
                <w:color w:val="auto"/>
              </w:rPr>
              <w:t>429</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gridSpan w:val="2"/>
            <w:shd w:val="clear" w:color="auto" w:fill="E5E5E5"/>
          </w:tcPr>
          <w:p>
            <w:pPr>
              <w:spacing w:after="0" w:line="149" w:lineRule="exact"/>
              <w:rPr>
                <w:sz w:val="20"/>
                <w:szCs w:val="20"/>
                <w:color w:val="auto"/>
              </w:rPr>
            </w:pPr>
            <w:r>
              <w:rPr>
                <w:rFonts w:ascii="Arial" w:cs="Arial" w:eastAsia="Arial" w:hAnsi="Arial"/>
                <w:sz w:val="14"/>
                <w:szCs w:val="14"/>
                <w:color w:val="auto"/>
              </w:rPr>
              <w:t>Acquisition-related costs</w:t>
            </w:r>
          </w:p>
        </w:tc>
        <w:tc>
          <w:tcPr>
            <w:tcW w:w="8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840" w:type="dxa"/>
            <w:vAlign w:val="bottom"/>
            <w:gridSpan w:val="2"/>
            <w:shd w:val="clear" w:color="auto" w:fill="E5E5E5"/>
          </w:tcPr>
          <w:p>
            <w:pPr>
              <w:jc w:val="right"/>
              <w:ind w:right="240"/>
              <w:spacing w:after="0" w:line="149" w:lineRule="exact"/>
              <w:rPr>
                <w:sz w:val="20"/>
                <w:szCs w:val="20"/>
                <w:color w:val="auto"/>
              </w:rPr>
            </w:pPr>
            <w:r>
              <w:rPr>
                <w:rFonts w:ascii="Arial" w:cs="Arial" w:eastAsia="Arial" w:hAnsi="Arial"/>
                <w:sz w:val="14"/>
                <w:szCs w:val="14"/>
                <w:color w:val="auto"/>
              </w:rPr>
              <w:t>77</w:t>
            </w:r>
          </w:p>
        </w:tc>
        <w:tc>
          <w:tcPr>
            <w:tcW w:w="160" w:type="dxa"/>
            <w:vAlign w:val="bottom"/>
            <w:shd w:val="clear" w:color="auto" w:fill="E5E5E5"/>
          </w:tcPr>
          <w:p>
            <w:pPr>
              <w:spacing w:after="0"/>
              <w:rPr>
                <w:sz w:val="12"/>
                <w:szCs w:val="12"/>
                <w:color w:val="auto"/>
              </w:rPr>
            </w:pPr>
          </w:p>
        </w:tc>
        <w:tc>
          <w:tcPr>
            <w:tcW w:w="840" w:type="dxa"/>
            <w:vAlign w:val="bottom"/>
            <w:gridSpan w:val="2"/>
            <w:shd w:val="clear" w:color="auto" w:fill="E5E5E5"/>
          </w:tcPr>
          <w:p>
            <w:pPr>
              <w:jc w:val="right"/>
              <w:ind w:right="240"/>
              <w:spacing w:after="0" w:line="149" w:lineRule="exact"/>
              <w:rPr>
                <w:sz w:val="20"/>
                <w:szCs w:val="20"/>
                <w:color w:val="auto"/>
              </w:rPr>
            </w:pPr>
            <w:r>
              <w:rPr>
                <w:rFonts w:ascii="Arial" w:cs="Arial" w:eastAsia="Arial" w:hAnsi="Arial"/>
                <w:sz w:val="14"/>
                <w:szCs w:val="14"/>
                <w:color w:val="auto"/>
              </w:rPr>
              <w:t>72</w:t>
            </w:r>
          </w:p>
        </w:tc>
        <w:tc>
          <w:tcPr>
            <w:tcW w:w="80" w:type="dxa"/>
            <w:vAlign w:val="bottom"/>
            <w:shd w:val="clear" w:color="auto" w:fill="E5E5E5"/>
          </w:tcPr>
          <w:p>
            <w:pPr>
              <w:spacing w:after="0"/>
              <w:rPr>
                <w:sz w:val="12"/>
                <w:szCs w:val="12"/>
                <w:color w:val="auto"/>
              </w:rPr>
            </w:pPr>
          </w:p>
        </w:tc>
        <w:tc>
          <w:tcPr>
            <w:tcW w:w="720" w:type="dxa"/>
            <w:vAlign w:val="bottom"/>
            <w:gridSpan w:val="2"/>
            <w:shd w:val="clear" w:color="auto" w:fill="E5E5E5"/>
          </w:tcPr>
          <w:p>
            <w:pPr>
              <w:jc w:val="right"/>
              <w:ind w:right="180"/>
              <w:spacing w:after="0" w:line="149" w:lineRule="exact"/>
              <w:rPr>
                <w:sz w:val="20"/>
                <w:szCs w:val="20"/>
                <w:color w:val="auto"/>
              </w:rPr>
            </w:pPr>
            <w:r>
              <w:rPr>
                <w:rFonts w:ascii="Arial" w:cs="Arial" w:eastAsia="Arial" w:hAnsi="Arial"/>
                <w:sz w:val="14"/>
                <w:szCs w:val="14"/>
                <w:color w:val="auto"/>
              </w:rPr>
              <w:t>104</w:t>
            </w:r>
          </w:p>
        </w:tc>
        <w:tc>
          <w:tcPr>
            <w:tcW w:w="6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900" w:type="dxa"/>
            <w:vAlign w:val="bottom"/>
            <w:gridSpan w:val="2"/>
            <w:shd w:val="clear" w:color="auto" w:fill="E5E5E5"/>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E5E5E5"/>
          </w:tcPr>
          <w:p>
            <w:pPr>
              <w:spacing w:after="0"/>
              <w:rPr>
                <w:sz w:val="12"/>
                <w:szCs w:val="12"/>
                <w:color w:val="auto"/>
              </w:rPr>
            </w:pPr>
          </w:p>
        </w:tc>
        <w:tc>
          <w:tcPr>
            <w:tcW w:w="260" w:type="dxa"/>
            <w:vAlign w:val="bottom"/>
            <w:shd w:val="clear" w:color="auto" w:fill="E5E5E5"/>
          </w:tcPr>
          <w:p>
            <w:pPr>
              <w:spacing w:after="0"/>
              <w:rPr>
                <w:sz w:val="12"/>
                <w:szCs w:val="12"/>
                <w:color w:val="auto"/>
              </w:rPr>
            </w:pPr>
          </w:p>
        </w:tc>
        <w:tc>
          <w:tcPr>
            <w:tcW w:w="60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56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gridSpan w:val="2"/>
          </w:tcPr>
          <w:p>
            <w:pPr>
              <w:spacing w:after="0" w:line="149" w:lineRule="exact"/>
              <w:rPr>
                <w:sz w:val="20"/>
                <w:szCs w:val="20"/>
                <w:color w:val="auto"/>
              </w:rPr>
            </w:pPr>
            <w:r>
              <w:rPr>
                <w:rFonts w:ascii="Arial" w:cs="Arial" w:eastAsia="Arial" w:hAnsi="Arial"/>
                <w:sz w:val="14"/>
                <w:szCs w:val="14"/>
                <w:color w:val="auto"/>
              </w:rPr>
              <w:t>Amortization of intangible assets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312</w:t>
            </w:r>
          </w:p>
        </w:tc>
        <w:tc>
          <w:tcPr>
            <w:tcW w:w="16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60</w:t>
            </w: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54</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gridSpan w:val="2"/>
            <w:shd w:val="clear" w:color="auto" w:fill="E5E5E5"/>
          </w:tcPr>
          <w:p>
            <w:pPr>
              <w:spacing w:after="0" w:line="149" w:lineRule="exact"/>
              <w:rPr>
                <w:sz w:val="20"/>
                <w:szCs w:val="20"/>
                <w:color w:val="auto"/>
              </w:rPr>
            </w:pPr>
            <w:r>
              <w:rPr>
                <w:rFonts w:ascii="Arial" w:cs="Arial" w:eastAsia="Arial" w:hAnsi="Arial"/>
                <w:sz w:val="14"/>
                <w:szCs w:val="14"/>
                <w:color w:val="auto"/>
              </w:rPr>
              <w:t>Equipment write-off</w:t>
            </w:r>
          </w:p>
        </w:tc>
        <w:tc>
          <w:tcPr>
            <w:tcW w:w="8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840" w:type="dxa"/>
            <w:vAlign w:val="bottom"/>
            <w:gridSpan w:val="2"/>
            <w:shd w:val="clear" w:color="auto" w:fill="E5E5E5"/>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5E5E5"/>
          </w:tcPr>
          <w:p>
            <w:pPr>
              <w:spacing w:after="0"/>
              <w:rPr>
                <w:sz w:val="12"/>
                <w:szCs w:val="12"/>
                <w:color w:val="auto"/>
              </w:rPr>
            </w:pPr>
          </w:p>
        </w:tc>
        <w:tc>
          <w:tcPr>
            <w:tcW w:w="840" w:type="dxa"/>
            <w:vAlign w:val="bottom"/>
            <w:gridSpan w:val="2"/>
            <w:shd w:val="clear" w:color="auto" w:fill="E5E5E5"/>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5E5E5"/>
          </w:tcPr>
          <w:p>
            <w:pPr>
              <w:spacing w:after="0"/>
              <w:rPr>
                <w:sz w:val="12"/>
                <w:szCs w:val="12"/>
                <w:color w:val="auto"/>
              </w:rPr>
            </w:pPr>
          </w:p>
        </w:tc>
        <w:tc>
          <w:tcPr>
            <w:tcW w:w="720" w:type="dxa"/>
            <w:vAlign w:val="bottom"/>
            <w:gridSpan w:val="2"/>
            <w:shd w:val="clear" w:color="auto" w:fill="E5E5E5"/>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900" w:type="dxa"/>
            <w:vAlign w:val="bottom"/>
            <w:gridSpan w:val="2"/>
            <w:shd w:val="clear" w:color="auto" w:fill="E5E5E5"/>
          </w:tcPr>
          <w:p>
            <w:pPr>
              <w:jc w:val="right"/>
              <w:ind w:right="280"/>
              <w:spacing w:after="0" w:line="149" w:lineRule="exact"/>
              <w:rPr>
                <w:sz w:val="20"/>
                <w:szCs w:val="20"/>
                <w:color w:val="auto"/>
              </w:rPr>
            </w:pPr>
            <w:r>
              <w:rPr>
                <w:rFonts w:ascii="Arial" w:cs="Arial" w:eastAsia="Arial" w:hAnsi="Arial"/>
                <w:sz w:val="14"/>
                <w:szCs w:val="14"/>
                <w:color w:val="auto"/>
              </w:rPr>
              <w:t>39</w:t>
            </w:r>
          </w:p>
        </w:tc>
        <w:tc>
          <w:tcPr>
            <w:tcW w:w="540" w:type="dxa"/>
            <w:vAlign w:val="bottom"/>
            <w:shd w:val="clear" w:color="auto" w:fill="E5E5E5"/>
          </w:tcPr>
          <w:p>
            <w:pPr>
              <w:spacing w:after="0"/>
              <w:rPr>
                <w:sz w:val="12"/>
                <w:szCs w:val="12"/>
                <w:color w:val="auto"/>
              </w:rPr>
            </w:pPr>
          </w:p>
        </w:tc>
        <w:tc>
          <w:tcPr>
            <w:tcW w:w="260" w:type="dxa"/>
            <w:vAlign w:val="bottom"/>
            <w:shd w:val="clear" w:color="auto" w:fill="E5E5E5"/>
          </w:tcPr>
          <w:p>
            <w:pPr>
              <w:spacing w:after="0"/>
              <w:rPr>
                <w:sz w:val="12"/>
                <w:szCs w:val="12"/>
                <w:color w:val="auto"/>
              </w:rPr>
            </w:pPr>
          </w:p>
        </w:tc>
        <w:tc>
          <w:tcPr>
            <w:tcW w:w="60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56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gridSpan w:val="2"/>
          </w:tcPr>
          <w:p>
            <w:pPr>
              <w:spacing w:after="0" w:line="149" w:lineRule="exact"/>
              <w:rPr>
                <w:sz w:val="20"/>
                <w:szCs w:val="20"/>
                <w:color w:val="auto"/>
              </w:rPr>
            </w:pPr>
            <w:r>
              <w:rPr>
                <w:rFonts w:ascii="Arial" w:cs="Arial" w:eastAsia="Arial" w:hAnsi="Arial"/>
                <w:sz w:val="11"/>
                <w:szCs w:val="11"/>
                <w:color w:val="auto"/>
              </w:rPr>
              <w:t>Other expenses, net</w:t>
            </w:r>
            <w:r>
              <w:rPr>
                <w:rFonts w:ascii="Arial" w:cs="Arial" w:eastAsia="Arial" w:hAnsi="Arial"/>
                <w:sz w:val="17"/>
                <w:szCs w:val="17"/>
                <w:color w:val="auto"/>
                <w:vertAlign w:val="superscript"/>
              </w:rPr>
              <w:t>(2)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389</w:t>
            </w:r>
          </w:p>
        </w:tc>
        <w:tc>
          <w:tcPr>
            <w:tcW w:w="16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285</w:t>
            </w: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382</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1,033</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0" w:type="dxa"/>
            <w:vAlign w:val="bottom"/>
          </w:tcPr>
          <w:p>
            <w:pPr>
              <w:spacing w:after="0"/>
              <w:rPr>
                <w:sz w:val="2"/>
                <w:szCs w:val="2"/>
                <w:color w:val="auto"/>
              </w:rPr>
            </w:pPr>
          </w:p>
        </w:tc>
        <w:tc>
          <w:tcPr>
            <w:tcW w:w="4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80" w:type="dxa"/>
            <w:vAlign w:val="bottom"/>
            <w:gridSpan w:val="2"/>
            <w:shd w:val="clear" w:color="auto" w:fill="E5E5E5"/>
          </w:tcPr>
          <w:p>
            <w:pPr>
              <w:spacing w:after="0" w:line="149" w:lineRule="exact"/>
              <w:rPr>
                <w:sz w:val="20"/>
                <w:szCs w:val="20"/>
                <w:color w:val="auto"/>
              </w:rPr>
            </w:pPr>
            <w:r>
              <w:rPr>
                <w:rFonts w:ascii="Arial" w:cs="Arial" w:eastAsia="Arial" w:hAnsi="Arial"/>
                <w:sz w:val="14"/>
                <w:szCs w:val="14"/>
                <w:b w:val="1"/>
                <w:bCs w:val="1"/>
                <w:color w:val="auto"/>
              </w:rPr>
              <w:t>Adjusted Operating Income</w:t>
            </w:r>
          </w:p>
        </w:tc>
        <w:tc>
          <w:tcPr>
            <w:tcW w:w="8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E5E5E5"/>
          </w:tcPr>
          <w:p>
            <w:pPr>
              <w:jc w:val="right"/>
              <w:ind w:right="240"/>
              <w:spacing w:after="0" w:line="149" w:lineRule="exact"/>
              <w:rPr>
                <w:sz w:val="20"/>
                <w:szCs w:val="20"/>
                <w:color w:val="auto"/>
              </w:rPr>
            </w:pPr>
            <w:r>
              <w:rPr>
                <w:rFonts w:ascii="Arial" w:cs="Arial" w:eastAsia="Arial" w:hAnsi="Arial"/>
                <w:sz w:val="14"/>
                <w:szCs w:val="14"/>
                <w:color w:val="auto"/>
              </w:rPr>
              <w:t>2,076</w:t>
            </w:r>
          </w:p>
        </w:tc>
        <w:tc>
          <w:tcPr>
            <w:tcW w:w="16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E5E5E5"/>
          </w:tcPr>
          <w:p>
            <w:pPr>
              <w:jc w:val="right"/>
              <w:ind w:right="240"/>
              <w:spacing w:after="0" w:line="149" w:lineRule="exact"/>
              <w:rPr>
                <w:sz w:val="20"/>
                <w:szCs w:val="20"/>
                <w:color w:val="auto"/>
              </w:rPr>
            </w:pPr>
            <w:r>
              <w:rPr>
                <w:rFonts w:ascii="Arial" w:cs="Arial" w:eastAsia="Arial" w:hAnsi="Arial"/>
                <w:sz w:val="14"/>
                <w:szCs w:val="14"/>
                <w:color w:val="auto"/>
              </w:rPr>
              <w:t>1,036</w:t>
            </w:r>
          </w:p>
        </w:tc>
        <w:tc>
          <w:tcPr>
            <w:tcW w:w="8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E5E5E5"/>
          </w:tcPr>
          <w:p>
            <w:pPr>
              <w:jc w:val="right"/>
              <w:ind w:right="180"/>
              <w:spacing w:after="0" w:line="149" w:lineRule="exact"/>
              <w:rPr>
                <w:sz w:val="20"/>
                <w:szCs w:val="20"/>
                <w:color w:val="auto"/>
              </w:rPr>
            </w:pPr>
            <w:r>
              <w:rPr>
                <w:rFonts w:ascii="Arial" w:cs="Arial" w:eastAsia="Arial" w:hAnsi="Arial"/>
                <w:sz w:val="14"/>
                <w:szCs w:val="14"/>
                <w:color w:val="auto"/>
              </w:rPr>
              <w:t>1,805</w:t>
            </w:r>
          </w:p>
        </w:tc>
        <w:tc>
          <w:tcPr>
            <w:tcW w:w="200" w:type="dxa"/>
            <w:vAlign w:val="bottom"/>
            <w:gridSpan w:val="2"/>
            <w:shd w:val="clear" w:color="auto" w:fill="E5E5E5"/>
          </w:tcPr>
          <w:p>
            <w:pPr>
              <w:ind w:left="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E5E5E5"/>
          </w:tcPr>
          <w:p>
            <w:pPr>
              <w:jc w:val="right"/>
              <w:ind w:right="280"/>
              <w:spacing w:after="0" w:line="149" w:lineRule="exact"/>
              <w:rPr>
                <w:sz w:val="20"/>
                <w:szCs w:val="20"/>
                <w:color w:val="auto"/>
              </w:rPr>
            </w:pPr>
            <w:r>
              <w:rPr>
                <w:rFonts w:ascii="Arial" w:cs="Arial" w:eastAsia="Arial" w:hAnsi="Arial"/>
                <w:sz w:val="14"/>
                <w:szCs w:val="14"/>
                <w:color w:val="auto"/>
              </w:rPr>
              <w:t>1,476</w:t>
            </w:r>
          </w:p>
        </w:tc>
        <w:tc>
          <w:tcPr>
            <w:tcW w:w="800" w:type="dxa"/>
            <w:vAlign w:val="bottom"/>
            <w:gridSpan w:val="2"/>
            <w:shd w:val="clear" w:color="auto" w:fill="E5E5E5"/>
          </w:tcPr>
          <w:p>
            <w:pPr>
              <w:jc w:val="right"/>
              <w:ind w:right="140"/>
              <w:spacing w:after="0" w:line="149" w:lineRule="exact"/>
              <w:rPr>
                <w:sz w:val="20"/>
                <w:szCs w:val="20"/>
                <w:color w:val="auto"/>
              </w:rPr>
            </w:pPr>
            <w:r>
              <w:rPr>
                <w:rFonts w:ascii="Arial" w:cs="Arial" w:eastAsia="Arial" w:hAnsi="Arial"/>
                <w:sz w:val="14"/>
                <w:szCs w:val="14"/>
                <w:color w:val="auto"/>
              </w:rPr>
              <w:t>100%</w:t>
            </w:r>
          </w:p>
        </w:tc>
        <w:tc>
          <w:tcPr>
            <w:tcW w:w="880" w:type="dxa"/>
            <w:vAlign w:val="bottom"/>
            <w:gridSpan w:val="2"/>
            <w:shd w:val="clear" w:color="auto" w:fill="E5E5E5"/>
          </w:tcPr>
          <w:p>
            <w:pPr>
              <w:jc w:val="right"/>
              <w:ind w:right="160"/>
              <w:spacing w:after="0" w:line="149" w:lineRule="exact"/>
              <w:rPr>
                <w:sz w:val="20"/>
                <w:szCs w:val="20"/>
                <w:color w:val="auto"/>
              </w:rPr>
            </w:pPr>
            <w:r>
              <w:rPr>
                <w:rFonts w:ascii="Arial" w:cs="Arial" w:eastAsia="Arial" w:hAnsi="Arial"/>
                <w:sz w:val="14"/>
                <w:szCs w:val="14"/>
                <w:color w:val="auto"/>
              </w:rPr>
              <w:t>15%</w:t>
            </w:r>
          </w:p>
        </w:tc>
        <w:tc>
          <w:tcPr>
            <w:tcW w:w="760" w:type="dxa"/>
            <w:vAlign w:val="bottom"/>
            <w:gridSpan w:val="2"/>
            <w:shd w:val="clear" w:color="auto" w:fill="E5E5E5"/>
          </w:tcPr>
          <w:p>
            <w:pPr>
              <w:jc w:val="right"/>
              <w:ind w:right="40"/>
              <w:spacing w:after="0" w:line="149"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0"/>
        </w:trPr>
        <w:tc>
          <w:tcPr>
            <w:tcW w:w="5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Pre-tax Income (Loss) Margin</w:t>
            </w: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00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3.8%</w:t>
            </w:r>
          </w:p>
        </w:tc>
        <w:tc>
          <w:tcPr>
            <w:tcW w:w="160" w:type="dxa"/>
            <w:vAlign w:val="bottom"/>
          </w:tcPr>
          <w:p>
            <w:pPr>
              <w:spacing w:after="0"/>
              <w:rPr>
                <w:sz w:val="24"/>
                <w:szCs w:val="2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4.1%</w:t>
            </w:r>
          </w:p>
        </w:tc>
        <w:tc>
          <w:tcPr>
            <w:tcW w:w="80" w:type="dxa"/>
            <w:vAlign w:val="bottom"/>
          </w:tcPr>
          <w:p>
            <w:pPr>
              <w:spacing w:after="0"/>
              <w:rPr>
                <w:sz w:val="24"/>
                <w:szCs w:val="2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6.0%</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(0.4)%</w:t>
            </w:r>
          </w:p>
        </w:tc>
        <w:tc>
          <w:tcPr>
            <w:tcW w:w="800" w:type="dxa"/>
            <w:vAlign w:val="bottom"/>
            <w:gridSpan w:val="2"/>
          </w:tcPr>
          <w:p>
            <w:pPr>
              <w:jc w:val="center"/>
              <w:ind w:right="220"/>
              <w:spacing w:after="0"/>
              <w:rPr>
                <w:sz w:val="20"/>
                <w:szCs w:val="20"/>
                <w:color w:val="auto"/>
              </w:rPr>
            </w:pPr>
            <w:r>
              <w:rPr>
                <w:rFonts w:ascii="Arial" w:cs="Arial" w:eastAsia="Arial" w:hAnsi="Arial"/>
                <w:sz w:val="14"/>
                <w:szCs w:val="14"/>
                <w:color w:val="auto"/>
                <w:w w:val="97"/>
              </w:rPr>
              <w:t>(0.3) pts</w:t>
            </w:r>
          </w:p>
        </w:tc>
        <w:tc>
          <w:tcPr>
            <w:tcW w:w="880" w:type="dxa"/>
            <w:vAlign w:val="bottom"/>
            <w:gridSpan w:val="2"/>
          </w:tcPr>
          <w:p>
            <w:pPr>
              <w:jc w:val="center"/>
              <w:ind w:right="260"/>
              <w:spacing w:after="0"/>
              <w:rPr>
                <w:sz w:val="20"/>
                <w:szCs w:val="20"/>
                <w:color w:val="auto"/>
              </w:rPr>
            </w:pPr>
            <w:r>
              <w:rPr>
                <w:rFonts w:ascii="Arial" w:cs="Arial" w:eastAsia="Arial" w:hAnsi="Arial"/>
                <w:sz w:val="14"/>
                <w:szCs w:val="14"/>
                <w:color w:val="auto"/>
                <w:w w:val="97"/>
              </w:rPr>
              <w:t>(2.2) pts</w:t>
            </w:r>
          </w:p>
        </w:tc>
        <w:tc>
          <w:tcPr>
            <w:tcW w:w="760" w:type="dxa"/>
            <w:vAlign w:val="bottom"/>
            <w:gridSpan w:val="2"/>
          </w:tcPr>
          <w:p>
            <w:pPr>
              <w:jc w:val="center"/>
              <w:ind w:right="160"/>
              <w:spacing w:after="0"/>
              <w:rPr>
                <w:sz w:val="20"/>
                <w:szCs w:val="20"/>
                <w:color w:val="auto"/>
              </w:rPr>
            </w:pPr>
            <w:r>
              <w:rPr>
                <w:rFonts w:ascii="Arial" w:cs="Arial" w:eastAsia="Arial" w:hAnsi="Arial"/>
                <w:sz w:val="14"/>
                <w:szCs w:val="14"/>
                <w:color w:val="auto"/>
                <w:w w:val="95"/>
              </w:rPr>
              <w:t>4.5 pts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gridSpan w:val="2"/>
            <w:shd w:val="clear" w:color="auto" w:fill="E5E5E5"/>
          </w:tcPr>
          <w:p>
            <w:pPr>
              <w:spacing w:after="0" w:line="149" w:lineRule="exact"/>
              <w:rPr>
                <w:sz w:val="20"/>
                <w:szCs w:val="20"/>
                <w:color w:val="auto"/>
              </w:rPr>
            </w:pPr>
            <w:r>
              <w:rPr>
                <w:rFonts w:ascii="Arial" w:cs="Arial" w:eastAsia="Arial" w:hAnsi="Arial"/>
                <w:sz w:val="14"/>
                <w:szCs w:val="14"/>
                <w:b w:val="1"/>
                <w:bCs w:val="1"/>
                <w:color w:val="auto"/>
              </w:rPr>
              <w:t>Adjusted Operating Margin</w:t>
            </w:r>
          </w:p>
        </w:tc>
        <w:tc>
          <w:tcPr>
            <w:tcW w:w="8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840" w:type="dxa"/>
            <w:vAlign w:val="bottom"/>
            <w:gridSpan w:val="2"/>
            <w:shd w:val="clear" w:color="auto" w:fill="E5E5E5"/>
          </w:tcPr>
          <w:p>
            <w:pPr>
              <w:jc w:val="right"/>
              <w:ind w:right="120"/>
              <w:spacing w:after="0" w:line="149" w:lineRule="exact"/>
              <w:rPr>
                <w:sz w:val="20"/>
                <w:szCs w:val="20"/>
                <w:color w:val="auto"/>
              </w:rPr>
            </w:pPr>
            <w:r>
              <w:rPr>
                <w:rFonts w:ascii="Arial" w:cs="Arial" w:eastAsia="Arial" w:hAnsi="Arial"/>
                <w:sz w:val="14"/>
                <w:szCs w:val="14"/>
                <w:color w:val="auto"/>
              </w:rPr>
              <w:t>9.6%</w:t>
            </w:r>
          </w:p>
        </w:tc>
        <w:tc>
          <w:tcPr>
            <w:tcW w:w="160" w:type="dxa"/>
            <w:vAlign w:val="bottom"/>
            <w:shd w:val="clear" w:color="auto" w:fill="E5E5E5"/>
          </w:tcPr>
          <w:p>
            <w:pPr>
              <w:spacing w:after="0"/>
              <w:rPr>
                <w:sz w:val="12"/>
                <w:szCs w:val="12"/>
                <w:color w:val="auto"/>
              </w:rPr>
            </w:pPr>
          </w:p>
        </w:tc>
        <w:tc>
          <w:tcPr>
            <w:tcW w:w="840" w:type="dxa"/>
            <w:vAlign w:val="bottom"/>
            <w:gridSpan w:val="2"/>
            <w:shd w:val="clear" w:color="auto" w:fill="E5E5E5"/>
          </w:tcPr>
          <w:p>
            <w:pPr>
              <w:jc w:val="right"/>
              <w:ind w:right="120"/>
              <w:spacing w:after="0" w:line="149" w:lineRule="exact"/>
              <w:rPr>
                <w:sz w:val="20"/>
                <w:szCs w:val="20"/>
                <w:color w:val="auto"/>
              </w:rPr>
            </w:pPr>
            <w:r>
              <w:rPr>
                <w:rFonts w:ascii="Arial" w:cs="Arial" w:eastAsia="Arial" w:hAnsi="Arial"/>
                <w:sz w:val="14"/>
                <w:szCs w:val="14"/>
                <w:color w:val="auto"/>
              </w:rPr>
              <w:t>6.8%</w:t>
            </w:r>
          </w:p>
        </w:tc>
        <w:tc>
          <w:tcPr>
            <w:tcW w:w="80" w:type="dxa"/>
            <w:vAlign w:val="bottom"/>
            <w:shd w:val="clear" w:color="auto" w:fill="E5E5E5"/>
          </w:tcPr>
          <w:p>
            <w:pPr>
              <w:spacing w:after="0"/>
              <w:rPr>
                <w:sz w:val="12"/>
                <w:szCs w:val="12"/>
                <w:color w:val="auto"/>
              </w:rPr>
            </w:pPr>
          </w:p>
        </w:tc>
        <w:tc>
          <w:tcPr>
            <w:tcW w:w="720" w:type="dxa"/>
            <w:vAlign w:val="bottom"/>
            <w:gridSpan w:val="2"/>
            <w:shd w:val="clear" w:color="auto" w:fill="E5E5E5"/>
          </w:tcPr>
          <w:p>
            <w:pPr>
              <w:jc w:val="right"/>
              <w:ind w:right="60"/>
              <w:spacing w:after="0" w:line="149" w:lineRule="exact"/>
              <w:rPr>
                <w:sz w:val="20"/>
                <w:szCs w:val="20"/>
                <w:color w:val="auto"/>
              </w:rPr>
            </w:pPr>
            <w:r>
              <w:rPr>
                <w:rFonts w:ascii="Arial" w:cs="Arial" w:eastAsia="Arial" w:hAnsi="Arial"/>
                <w:sz w:val="14"/>
                <w:szCs w:val="14"/>
                <w:color w:val="auto"/>
              </w:rPr>
              <w:t>8.6%</w:t>
            </w:r>
          </w:p>
        </w:tc>
        <w:tc>
          <w:tcPr>
            <w:tcW w:w="6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900" w:type="dxa"/>
            <w:vAlign w:val="bottom"/>
            <w:gridSpan w:val="2"/>
            <w:shd w:val="clear" w:color="auto" w:fill="E5E5E5"/>
          </w:tcPr>
          <w:p>
            <w:pPr>
              <w:jc w:val="right"/>
              <w:ind w:right="160"/>
              <w:spacing w:after="0" w:line="149" w:lineRule="exact"/>
              <w:rPr>
                <w:sz w:val="20"/>
                <w:szCs w:val="20"/>
                <w:color w:val="auto"/>
              </w:rPr>
            </w:pPr>
            <w:r>
              <w:rPr>
                <w:rFonts w:ascii="Arial" w:cs="Arial" w:eastAsia="Arial" w:hAnsi="Arial"/>
                <w:sz w:val="14"/>
                <w:szCs w:val="14"/>
                <w:color w:val="auto"/>
              </w:rPr>
              <w:t>8.4%</w:t>
            </w:r>
          </w:p>
        </w:tc>
        <w:tc>
          <w:tcPr>
            <w:tcW w:w="800" w:type="dxa"/>
            <w:vAlign w:val="bottom"/>
            <w:gridSpan w:val="2"/>
            <w:shd w:val="clear" w:color="auto" w:fill="E5E5E5"/>
          </w:tcPr>
          <w:p>
            <w:pPr>
              <w:jc w:val="center"/>
              <w:ind w:right="220"/>
              <w:spacing w:after="0" w:line="149" w:lineRule="exact"/>
              <w:rPr>
                <w:sz w:val="20"/>
                <w:szCs w:val="20"/>
                <w:color w:val="auto"/>
              </w:rPr>
            </w:pPr>
            <w:r>
              <w:rPr>
                <w:rFonts w:ascii="Arial" w:cs="Arial" w:eastAsia="Arial" w:hAnsi="Arial"/>
                <w:sz w:val="14"/>
                <w:szCs w:val="14"/>
                <w:color w:val="auto"/>
                <w:w w:val="99"/>
              </w:rPr>
              <w:t>2.8 pts</w:t>
            </w:r>
          </w:p>
        </w:tc>
        <w:tc>
          <w:tcPr>
            <w:tcW w:w="880" w:type="dxa"/>
            <w:vAlign w:val="bottom"/>
            <w:gridSpan w:val="2"/>
            <w:shd w:val="clear" w:color="auto" w:fill="E5E5E5"/>
          </w:tcPr>
          <w:p>
            <w:pPr>
              <w:jc w:val="center"/>
              <w:ind w:right="240"/>
              <w:spacing w:after="0" w:line="149" w:lineRule="exact"/>
              <w:rPr>
                <w:sz w:val="20"/>
                <w:szCs w:val="20"/>
                <w:color w:val="auto"/>
              </w:rPr>
            </w:pPr>
            <w:r>
              <w:rPr>
                <w:rFonts w:ascii="Arial" w:cs="Arial" w:eastAsia="Arial" w:hAnsi="Arial"/>
                <w:sz w:val="14"/>
                <w:szCs w:val="14"/>
                <w:color w:val="auto"/>
                <w:w w:val="95"/>
              </w:rPr>
              <w:t>1.0 pts</w:t>
            </w:r>
          </w:p>
        </w:tc>
        <w:tc>
          <w:tcPr>
            <w:tcW w:w="760" w:type="dxa"/>
            <w:vAlign w:val="bottom"/>
            <w:gridSpan w:val="2"/>
            <w:shd w:val="clear" w:color="auto" w:fill="E5E5E5"/>
          </w:tcPr>
          <w:p>
            <w:pPr>
              <w:jc w:val="center"/>
              <w:ind w:right="160"/>
              <w:spacing w:after="0" w:line="149" w:lineRule="exact"/>
              <w:rPr>
                <w:sz w:val="20"/>
                <w:szCs w:val="20"/>
                <w:color w:val="auto"/>
              </w:rPr>
            </w:pPr>
            <w:r>
              <w:rPr>
                <w:rFonts w:ascii="Arial" w:cs="Arial" w:eastAsia="Arial" w:hAnsi="Arial"/>
                <w:sz w:val="14"/>
                <w:szCs w:val="14"/>
                <w:color w:val="auto"/>
                <w:w w:val="93"/>
              </w:rPr>
              <w:t>(1.6) pts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5" w:lineRule="exact"/>
        <w:rPr>
          <w:sz w:val="20"/>
          <w:szCs w:val="20"/>
          <w:color w:val="auto"/>
        </w:rPr>
      </w:pPr>
    </w:p>
    <w:p>
      <w:pPr>
        <w:ind w:left="340" w:hanging="332"/>
        <w:spacing w:after="0"/>
        <w:tabs>
          <w:tab w:leader="none" w:pos="34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Percent change not meaningful.</w:t>
      </w:r>
    </w:p>
    <w:p>
      <w:pPr>
        <w:ind w:left="340" w:right="160" w:hanging="332"/>
        <w:spacing w:after="0" w:line="221" w:lineRule="auto"/>
        <w:tabs>
          <w:tab w:leader="none" w:pos="340" w:val="left"/>
        </w:tabs>
        <w:numPr>
          <w:ilvl w:val="0"/>
          <w:numId w:val="133"/>
        </w:numPr>
        <w:rPr>
          <w:rFonts w:ascii="Arial" w:cs="Arial" w:eastAsia="Arial" w:hAnsi="Arial"/>
          <w:sz w:val="14"/>
          <w:szCs w:val="14"/>
          <w:color w:val="auto"/>
        </w:rPr>
      </w:pPr>
      <w:r>
        <w:rPr>
          <w:rFonts w:ascii="Arial" w:cs="Arial" w:eastAsia="Arial" w:hAnsi="Arial"/>
          <w:sz w:val="14"/>
          <w:szCs w:val="14"/>
          <w:color w:val="auto"/>
        </w:rPr>
        <w:t>Pro-forma reflects ACS’s 2009 estimated results from February 6 through December 31 adjusted to reflect fair value adjustments related to property, equipment and computer software as well as customer contract costs. In addition, adjustments were made for deferred revenue, exited businesses, certain non-recurring product sales and other material non-recurring costs associated with the acquisition.</w:t>
      </w:r>
    </w:p>
    <w:p>
      <w:pPr>
        <w:ind w:left="340" w:hanging="332"/>
        <w:spacing w:after="0"/>
        <w:tabs>
          <w:tab w:leader="none" w:pos="340" w:val="left"/>
        </w:tabs>
        <w:numPr>
          <w:ilvl w:val="0"/>
          <w:numId w:val="133"/>
        </w:numPr>
        <w:rPr>
          <w:rFonts w:ascii="Arial" w:cs="Arial" w:eastAsia="Arial" w:hAnsi="Arial"/>
          <w:sz w:val="14"/>
          <w:szCs w:val="14"/>
          <w:color w:val="auto"/>
        </w:rPr>
      </w:pPr>
      <w:r>
        <w:rPr>
          <w:rFonts w:ascii="Arial" w:cs="Arial" w:eastAsia="Arial" w:hAnsi="Arial"/>
          <w:sz w:val="14"/>
          <w:szCs w:val="14"/>
          <w:color w:val="auto"/>
        </w:rPr>
        <w:t>2008 includes provision for litigation matters of $774 million.</w:t>
      </w:r>
    </w:p>
    <w:p>
      <w:pPr>
        <w:spacing w:after="0" w:line="136" w:lineRule="exact"/>
        <w:rPr>
          <w:sz w:val="20"/>
          <w:szCs w:val="20"/>
          <w:color w:val="auto"/>
        </w:rPr>
      </w:pPr>
    </w:p>
    <w:p>
      <w:pPr>
        <w:ind w:left="9600"/>
        <w:spacing w:after="0"/>
        <w:rPr>
          <w:sz w:val="20"/>
          <w:szCs w:val="20"/>
          <w:color w:val="auto"/>
        </w:rPr>
      </w:pPr>
      <w:r>
        <w:rPr>
          <w:rFonts w:ascii="Arial" w:cs="Arial" w:eastAsia="Arial" w:hAnsi="Arial"/>
          <w:sz w:val="12"/>
          <w:szCs w:val="12"/>
          <w:color w:val="4C9F40"/>
        </w:rPr>
        <w:t>Xerox 2010 Annual Report 32</w:t>
      </w:r>
    </w:p>
    <w:p>
      <w:pPr>
        <w:sectPr>
          <w:pgSz w:w="11900" w:h="16838" w:orient="portrait"/>
          <w:cols w:equalWidth="0" w:num="1">
            <w:col w:w="11420"/>
          </w:cols>
          <w:pgMar w:left="240" w:top="269" w:right="2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4C9F40"/>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Pro-forma Basis</w:t>
      </w:r>
    </w:p>
    <w:p>
      <w:pPr>
        <w:spacing w:after="0" w:line="99"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To better understand the trends in our business, we discuss our 2010 operating results by comparing them against adjusted 2009 results which include ACS historical results for the comparable period. Accordingly, we have included ACS’s 2009 estimated results for the comparable period February 6, 2009 through December 31, 2009 in our reported 2009 results. We refer to comparisons against these adjusted 2009 results as “pro-forma” basis comparisons. ACS 2009 historical results have been adjusted to reflect fair value adjustments related to property, equipment and computer software as well as customer contract costs. In addition, adjustments were made for deferred revenue, exited businesses and other material non-recurring costs associated with the acquisition. We believe comparisons on a pro-forma basis are more meaningful than the actual comparisons given the size and nature of the ACS acquisition. We believe the pro-forma basis comparisons allow investors to have better understanding and additional perspective of the expected trends in our business as well as the impact of the ACS acquisition on the Company’s operations.</w:t>
      </w:r>
    </w:p>
    <w:p>
      <w:pPr>
        <w:spacing w:after="0" w:line="161" w:lineRule="exact"/>
        <w:rPr>
          <w:sz w:val="20"/>
          <w:szCs w:val="20"/>
          <w:color w:val="auto"/>
        </w:rPr>
      </w:pPr>
    </w:p>
    <w:p>
      <w:pPr>
        <w:ind w:right="960"/>
        <w:spacing w:after="0" w:line="239" w:lineRule="auto"/>
        <w:rPr>
          <w:sz w:val="20"/>
          <w:szCs w:val="20"/>
          <w:color w:val="auto"/>
        </w:rPr>
      </w:pPr>
      <w:r>
        <w:rPr>
          <w:rFonts w:ascii="Arial" w:cs="Arial" w:eastAsia="Arial" w:hAnsi="Arial"/>
          <w:sz w:val="18"/>
          <w:szCs w:val="18"/>
          <w:color w:val="auto"/>
        </w:rPr>
        <w:t>A reconciliation of these non-GAAP financial measures to the most directly comparable financial measures calculated and presented in accordance with GAAP are set forth below.</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4"/>
          <w:szCs w:val="14"/>
          <w:color w:val="4C9F40"/>
        </w:rPr>
        <w:t>Xerox 2010 Annual Report 33</w:t>
      </w:r>
    </w:p>
    <w:p>
      <w:pPr>
        <w:sectPr>
          <w:pgSz w:w="11900" w:h="16838" w:orient="portrait"/>
          <w:cols w:equalWidth="0" w:num="1">
            <w:col w:w="11420"/>
          </w:cols>
          <w:pgMar w:left="240" w:top="485" w:right="2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08"/>
        </w:trPr>
        <w:tc>
          <w:tcPr>
            <w:tcW w:w="4560" w:type="dxa"/>
            <w:vAlign w:val="bottom"/>
            <w:gridSpan w:val="3"/>
          </w:tcPr>
          <w:p>
            <w:pPr>
              <w:spacing w:after="0"/>
              <w:rPr>
                <w:sz w:val="20"/>
                <w:szCs w:val="20"/>
                <w:color w:val="auto"/>
              </w:rPr>
            </w:pPr>
            <w:r>
              <w:rPr>
                <w:rFonts w:ascii="Arial" w:cs="Arial" w:eastAsia="Arial" w:hAnsi="Arial"/>
                <w:sz w:val="18"/>
                <w:szCs w:val="18"/>
                <w:b w:val="1"/>
                <w:bCs w:val="1"/>
                <w:color w:val="4C9F40"/>
              </w:rPr>
              <w:t>Total Xerox</w:t>
            </w:r>
          </w:p>
        </w:tc>
        <w:tc>
          <w:tcPr>
            <w:tcW w:w="16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11"/>
          </w:tcPr>
          <w:p>
            <w:pPr>
              <w:jc w:val="center"/>
              <w:ind w:left="154"/>
              <w:spacing w:after="0"/>
              <w:rPr>
                <w:sz w:val="20"/>
                <w:szCs w:val="20"/>
                <w:color w:val="auto"/>
              </w:rPr>
            </w:pPr>
            <w:r>
              <w:rPr>
                <w:rFonts w:ascii="Arial" w:cs="Arial" w:eastAsia="Arial" w:hAnsi="Arial"/>
                <w:sz w:val="14"/>
                <w:szCs w:val="14"/>
                <w:color w:val="auto"/>
                <w:w w:val="95"/>
              </w:rPr>
              <w:t>Year Ended December 31,</w:t>
            </w: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3"/>
            <w:vMerge w:val="restart"/>
          </w:tcPr>
          <w:p>
            <w:pPr>
              <w:jc w:val="right"/>
              <w:ind w:right="320"/>
              <w:spacing w:after="0"/>
              <w:rPr>
                <w:sz w:val="20"/>
                <w:szCs w:val="20"/>
                <w:color w:val="auto"/>
              </w:rPr>
            </w:pPr>
            <w:r>
              <w:rPr>
                <w:rFonts w:ascii="Arial" w:cs="Arial" w:eastAsia="Arial" w:hAnsi="Arial"/>
                <w:sz w:val="14"/>
                <w:szCs w:val="14"/>
                <w:color w:val="auto"/>
              </w:rPr>
              <w:t>Pro-forma</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00" w:type="dxa"/>
            <w:vAlign w:val="bottom"/>
            <w:gridSpan w:val="5"/>
          </w:tcPr>
          <w:p>
            <w:pPr>
              <w:ind w:left="20"/>
              <w:spacing w:after="0" w:line="115" w:lineRule="exact"/>
              <w:rPr>
                <w:sz w:val="20"/>
                <w:szCs w:val="20"/>
                <w:color w:val="auto"/>
              </w:rPr>
            </w:pPr>
            <w:r>
              <w:rPr>
                <w:rFonts w:ascii="Arial" w:cs="Arial" w:eastAsia="Arial" w:hAnsi="Arial"/>
                <w:sz w:val="12"/>
                <w:szCs w:val="12"/>
                <w:color w:val="auto"/>
              </w:rPr>
              <w:t>As Reported</w:t>
            </w:r>
          </w:p>
        </w:tc>
        <w:tc>
          <w:tcPr>
            <w:tcW w:w="60" w:type="dxa"/>
            <w:vAlign w:val="bottom"/>
          </w:tcPr>
          <w:p>
            <w:pPr>
              <w:spacing w:after="0"/>
              <w:rPr>
                <w:sz w:val="10"/>
                <w:szCs w:val="10"/>
                <w:color w:val="auto"/>
              </w:rPr>
            </w:pPr>
          </w:p>
        </w:tc>
        <w:tc>
          <w:tcPr>
            <w:tcW w:w="1040" w:type="dxa"/>
            <w:vAlign w:val="bottom"/>
            <w:gridSpan w:val="6"/>
          </w:tcPr>
          <w:p>
            <w:pPr>
              <w:jc w:val="center"/>
              <w:ind w:right="280"/>
              <w:spacing w:after="0" w:line="115" w:lineRule="exact"/>
              <w:rPr>
                <w:sz w:val="20"/>
                <w:szCs w:val="20"/>
                <w:color w:val="auto"/>
              </w:rPr>
            </w:pPr>
            <w:r>
              <w:rPr>
                <w:rFonts w:ascii="Arial" w:cs="Arial" w:eastAsia="Arial" w:hAnsi="Arial"/>
                <w:sz w:val="12"/>
                <w:szCs w:val="12"/>
                <w:color w:val="auto"/>
              </w:rPr>
              <w:t>As Reported</w:t>
            </w:r>
          </w:p>
        </w:tc>
        <w:tc>
          <w:tcPr>
            <w:tcW w:w="20" w:type="dxa"/>
            <w:vAlign w:val="bottom"/>
          </w:tcPr>
          <w:p>
            <w:pPr>
              <w:spacing w:after="0"/>
              <w:rPr>
                <w:sz w:val="10"/>
                <w:szCs w:val="10"/>
                <w:color w:val="auto"/>
              </w:rPr>
            </w:pPr>
          </w:p>
        </w:tc>
        <w:tc>
          <w:tcPr>
            <w:tcW w:w="740" w:type="dxa"/>
            <w:vAlign w:val="bottom"/>
            <w:gridSpan w:val="4"/>
          </w:tcPr>
          <w:p>
            <w:pPr>
              <w:jc w:val="right"/>
              <w:spacing w:after="0" w:line="115" w:lineRule="exact"/>
              <w:rPr>
                <w:sz w:val="20"/>
                <w:szCs w:val="20"/>
                <w:color w:val="auto"/>
              </w:rPr>
            </w:pPr>
            <w:r>
              <w:rPr>
                <w:rFonts w:ascii="Arial" w:cs="Arial" w:eastAsia="Arial" w:hAnsi="Arial"/>
                <w:sz w:val="12"/>
                <w:szCs w:val="12"/>
                <w:color w:val="auto"/>
              </w:rPr>
              <w:t>Pro-forma</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4560" w:type="dxa"/>
            <w:vAlign w:val="bottom"/>
            <w:gridSpan w:val="3"/>
          </w:tcPr>
          <w:p>
            <w:pPr>
              <w:spacing w:after="0"/>
              <w:rPr>
                <w:sz w:val="20"/>
                <w:szCs w:val="20"/>
                <w:color w:val="auto"/>
              </w:rPr>
            </w:pPr>
            <w:r>
              <w:rPr>
                <w:rFonts w:ascii="Arial" w:cs="Arial" w:eastAsia="Arial" w:hAnsi="Arial"/>
                <w:sz w:val="14"/>
                <w:szCs w:val="14"/>
                <w:color w:val="auto"/>
              </w:rPr>
              <w:t>(in millions)</w:t>
            </w:r>
          </w:p>
        </w:tc>
        <w:tc>
          <w:tcPr>
            <w:tcW w:w="1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gridSpan w:val="3"/>
          </w:tcPr>
          <w:p>
            <w:pPr>
              <w:ind w:left="80"/>
              <w:spacing w:after="0"/>
              <w:rPr>
                <w:sz w:val="20"/>
                <w:szCs w:val="20"/>
                <w:color w:val="auto"/>
              </w:rPr>
            </w:pPr>
            <w:r>
              <w:rPr>
                <w:rFonts w:ascii="Arial" w:cs="Arial" w:eastAsia="Arial" w:hAnsi="Arial"/>
                <w:sz w:val="14"/>
                <w:szCs w:val="14"/>
                <w:color w:val="auto"/>
              </w:rPr>
              <w:t>2010</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gridSpan w:val="3"/>
          </w:tcPr>
          <w:p>
            <w:pPr>
              <w:jc w:val="center"/>
              <w:ind w:right="93"/>
              <w:spacing w:after="0"/>
              <w:rPr>
                <w:sz w:val="20"/>
                <w:szCs w:val="20"/>
                <w:color w:val="auto"/>
              </w:rPr>
            </w:pPr>
            <w:r>
              <w:rPr>
                <w:rFonts w:ascii="Arial" w:cs="Arial" w:eastAsia="Arial" w:hAnsi="Arial"/>
                <w:sz w:val="14"/>
                <w:szCs w:val="14"/>
                <w:color w:val="auto"/>
                <w:w w:val="96"/>
              </w:rPr>
              <w:t>2009</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gridSpan w:val="2"/>
          </w:tcPr>
          <w:p>
            <w:pPr>
              <w:jc w:val="right"/>
              <w:spacing w:after="0"/>
              <w:rPr>
                <w:sz w:val="20"/>
                <w:szCs w:val="20"/>
                <w:color w:val="auto"/>
              </w:rPr>
            </w:pPr>
            <w:r>
              <w:rPr>
                <w:rFonts w:ascii="Arial" w:cs="Arial" w:eastAsia="Arial" w:hAnsi="Arial"/>
                <w:sz w:val="14"/>
                <w:szCs w:val="14"/>
                <w:color w:val="auto"/>
                <w:w w:val="89"/>
              </w:rPr>
              <w:t>2009</w:t>
            </w:r>
          </w:p>
        </w:tc>
        <w:tc>
          <w:tcPr>
            <w:tcW w:w="300" w:type="dxa"/>
            <w:vAlign w:val="bottom"/>
          </w:tcPr>
          <w:p>
            <w:pPr>
              <w:jc w:val="right"/>
              <w:ind w:right="55"/>
              <w:spacing w:after="0"/>
              <w:rPr>
                <w:sz w:val="20"/>
                <w:szCs w:val="20"/>
                <w:color w:val="auto"/>
              </w:rPr>
            </w:pPr>
            <w:r>
              <w:rPr>
                <w:rFonts w:ascii="Arial" w:cs="Arial" w:eastAsia="Arial" w:hAnsi="Arial"/>
                <w:sz w:val="11"/>
                <w:szCs w:val="11"/>
                <w:color w:val="auto"/>
              </w:rPr>
              <w:t>(1)</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4"/>
          </w:tcPr>
          <w:p>
            <w:pPr>
              <w:jc w:val="right"/>
              <w:ind w:right="460"/>
              <w:spacing w:after="0"/>
              <w:rPr>
                <w:sz w:val="20"/>
                <w:szCs w:val="20"/>
                <w:color w:val="auto"/>
              </w:rPr>
            </w:pPr>
            <w:r>
              <w:rPr>
                <w:rFonts w:ascii="Arial" w:cs="Arial" w:eastAsia="Arial" w:hAnsi="Arial"/>
                <w:sz w:val="14"/>
                <w:szCs w:val="14"/>
                <w:color w:val="auto"/>
              </w:rPr>
              <w:t>Change</w:t>
            </w:r>
          </w:p>
        </w:tc>
        <w:tc>
          <w:tcPr>
            <w:tcW w:w="100" w:type="dxa"/>
            <w:vAlign w:val="bottom"/>
          </w:tcPr>
          <w:p>
            <w:pPr>
              <w:spacing w:after="0"/>
              <w:rPr>
                <w:sz w:val="15"/>
                <w:szCs w:val="15"/>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color w:val="auto"/>
                <w:w w:val="97"/>
              </w:rPr>
              <w:t>Change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540" w:type="dxa"/>
            <w:vAlign w:val="bottom"/>
            <w:gridSpan w:val="2"/>
            <w:shd w:val="clear" w:color="auto" w:fill="E5E5E5"/>
          </w:tcPr>
          <w:p>
            <w:pPr>
              <w:spacing w:after="0" w:line="196" w:lineRule="exact"/>
              <w:rPr>
                <w:sz w:val="20"/>
                <w:szCs w:val="20"/>
                <w:color w:val="auto"/>
              </w:rPr>
            </w:pPr>
            <w:r>
              <w:rPr>
                <w:rFonts w:ascii="Arial" w:cs="Arial" w:eastAsia="Arial" w:hAnsi="Arial"/>
                <w:sz w:val="18"/>
                <w:szCs w:val="18"/>
                <w:b w:val="1"/>
                <w:bCs w:val="1"/>
                <w:color w:val="auto"/>
              </w:rPr>
              <w:t>Revenue:</w:t>
            </w:r>
          </w:p>
        </w:tc>
        <w:tc>
          <w:tcPr>
            <w:tcW w:w="168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160" w:type="dxa"/>
            <w:vAlign w:val="bottom"/>
            <w:tcBorders>
              <w:right w:val="single" w:sz="8" w:color="E5E5E5"/>
            </w:tcBorders>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52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60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Equipment sales</w:t>
            </w:r>
          </w:p>
        </w:tc>
        <w:tc>
          <w:tcPr>
            <w:tcW w:w="1840" w:type="dxa"/>
            <w:vAlign w:val="bottom"/>
            <w:gridSpan w:val="2"/>
          </w:tcPr>
          <w:p>
            <w:pPr>
              <w:ind w:left="1680"/>
              <w:spacing w:after="0" w:line="202" w:lineRule="exact"/>
              <w:rPr>
                <w:sz w:val="20"/>
                <w:szCs w:val="20"/>
                <w:color w:val="auto"/>
              </w:rPr>
            </w:pPr>
            <w:r>
              <w:rPr>
                <w:rFonts w:ascii="Arial" w:cs="Arial" w:eastAsia="Arial" w:hAnsi="Arial"/>
                <w:sz w:val="18"/>
                <w:szCs w:val="18"/>
                <w:color w:val="auto"/>
              </w:rPr>
              <w:t>$</w:t>
            </w:r>
          </w:p>
        </w:tc>
        <w:tc>
          <w:tcPr>
            <w:tcW w:w="6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3,857</w:t>
            </w:r>
          </w:p>
        </w:tc>
        <w:tc>
          <w:tcPr>
            <w:tcW w:w="240" w:type="dxa"/>
            <w:vAlign w:val="bottom"/>
          </w:tcPr>
          <w:p>
            <w:pPr>
              <w:spacing w:after="0"/>
              <w:rPr>
                <w:sz w:val="17"/>
                <w:szCs w:val="17"/>
                <w:color w:val="auto"/>
              </w:rPr>
            </w:pP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3,550</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9"/>
              </w:rPr>
              <w:t>$</w:t>
            </w:r>
          </w:p>
        </w:tc>
        <w:tc>
          <w:tcPr>
            <w:tcW w:w="6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3,550</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4"/>
          </w:tcPr>
          <w:p>
            <w:pPr>
              <w:jc w:val="right"/>
              <w:ind w:right="180"/>
              <w:spacing w:after="0" w:line="202" w:lineRule="exact"/>
              <w:rPr>
                <w:sz w:val="20"/>
                <w:szCs w:val="20"/>
                <w:color w:val="auto"/>
              </w:rPr>
            </w:pPr>
            <w:r>
              <w:rPr>
                <w:rFonts w:ascii="Arial" w:cs="Arial" w:eastAsia="Arial" w:hAnsi="Arial"/>
                <w:sz w:val="18"/>
                <w:szCs w:val="18"/>
                <w:color w:val="auto"/>
              </w:rPr>
              <w:t>9%</w:t>
            </w:r>
          </w:p>
        </w:tc>
        <w:tc>
          <w:tcPr>
            <w:tcW w:w="9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gridSpan w:val="2"/>
            <w:shd w:val="clear" w:color="auto" w:fill="E5E5E5"/>
          </w:tcPr>
          <w:p>
            <w:pPr>
              <w:ind w:left="200"/>
              <w:spacing w:after="0" w:line="202" w:lineRule="exact"/>
              <w:rPr>
                <w:sz w:val="20"/>
                <w:szCs w:val="20"/>
                <w:color w:val="auto"/>
              </w:rPr>
            </w:pPr>
            <w:r>
              <w:rPr>
                <w:rFonts w:ascii="Arial" w:cs="Arial" w:eastAsia="Arial" w:hAnsi="Arial"/>
                <w:sz w:val="18"/>
                <w:szCs w:val="18"/>
                <w:color w:val="auto"/>
              </w:rPr>
              <w:t>Supplies, paper and other</w:t>
            </w:r>
          </w:p>
        </w:tc>
        <w:tc>
          <w:tcPr>
            <w:tcW w:w="1680" w:type="dxa"/>
            <w:vAlign w:val="bottom"/>
            <w:shd w:val="clear" w:color="auto" w:fill="E5E5E5"/>
          </w:tcPr>
          <w:p>
            <w:pPr>
              <w:spacing w:after="0"/>
              <w:rPr>
                <w:sz w:val="17"/>
                <w:szCs w:val="17"/>
                <w:color w:val="auto"/>
              </w:rPr>
            </w:pPr>
          </w:p>
        </w:tc>
        <w:tc>
          <w:tcPr>
            <w:tcW w:w="160" w:type="dxa"/>
            <w:vAlign w:val="bottom"/>
            <w:tcBorders>
              <w:bottom w:val="single" w:sz="8" w:color="auto"/>
            </w:tcBorders>
            <w:shd w:val="clear" w:color="auto" w:fill="E5E5E5"/>
          </w:tcPr>
          <w:p>
            <w:pPr>
              <w:spacing w:after="0"/>
              <w:rPr>
                <w:sz w:val="17"/>
                <w:szCs w:val="17"/>
                <w:color w:val="auto"/>
              </w:rPr>
            </w:pPr>
          </w:p>
        </w:tc>
        <w:tc>
          <w:tcPr>
            <w:tcW w:w="600" w:type="dxa"/>
            <w:vAlign w:val="bottom"/>
            <w:tcBorders>
              <w:bottom w:val="single" w:sz="8" w:color="auto"/>
            </w:tcBorders>
            <w:gridSpan w:val="3"/>
            <w:shd w:val="clear" w:color="auto" w:fill="E5E5E5"/>
          </w:tcPr>
          <w:p>
            <w:pPr>
              <w:jc w:val="right"/>
              <w:spacing w:after="0" w:line="202" w:lineRule="exact"/>
              <w:rPr>
                <w:sz w:val="20"/>
                <w:szCs w:val="20"/>
                <w:color w:val="auto"/>
              </w:rPr>
            </w:pPr>
            <w:r>
              <w:rPr>
                <w:rFonts w:ascii="Arial" w:cs="Arial" w:eastAsia="Arial" w:hAnsi="Arial"/>
                <w:sz w:val="18"/>
                <w:szCs w:val="18"/>
                <w:color w:val="auto"/>
              </w:rPr>
              <w:t>3,377</w:t>
            </w:r>
          </w:p>
        </w:tc>
        <w:tc>
          <w:tcPr>
            <w:tcW w:w="24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160" w:type="dxa"/>
            <w:vAlign w:val="bottom"/>
            <w:tcBorders>
              <w:bottom w:val="single" w:sz="8" w:color="auto"/>
            </w:tcBorders>
            <w:shd w:val="clear" w:color="auto" w:fill="E5E5E5"/>
          </w:tcPr>
          <w:p>
            <w:pPr>
              <w:spacing w:after="0"/>
              <w:rPr>
                <w:sz w:val="17"/>
                <w:szCs w:val="17"/>
                <w:color w:val="auto"/>
              </w:rPr>
            </w:pPr>
          </w:p>
        </w:tc>
        <w:tc>
          <w:tcPr>
            <w:tcW w:w="600" w:type="dxa"/>
            <w:vAlign w:val="bottom"/>
            <w:tcBorders>
              <w:bottom w:val="single" w:sz="8" w:color="auto"/>
            </w:tcBorders>
            <w:gridSpan w:val="3"/>
            <w:shd w:val="clear" w:color="auto" w:fill="E5E5E5"/>
          </w:tcPr>
          <w:p>
            <w:pPr>
              <w:jc w:val="right"/>
              <w:spacing w:after="0" w:line="202" w:lineRule="exact"/>
              <w:rPr>
                <w:sz w:val="20"/>
                <w:szCs w:val="20"/>
                <w:color w:val="auto"/>
              </w:rPr>
            </w:pPr>
            <w:r>
              <w:rPr>
                <w:rFonts w:ascii="Arial" w:cs="Arial" w:eastAsia="Arial" w:hAnsi="Arial"/>
                <w:sz w:val="18"/>
                <w:szCs w:val="18"/>
                <w:color w:val="auto"/>
              </w:rPr>
              <w:t>3,096</w:t>
            </w:r>
          </w:p>
        </w:tc>
        <w:tc>
          <w:tcPr>
            <w:tcW w:w="26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120" w:type="dxa"/>
            <w:vAlign w:val="bottom"/>
            <w:tcBorders>
              <w:bottom w:val="single" w:sz="8" w:color="auto"/>
            </w:tcBorders>
            <w:shd w:val="clear" w:color="auto" w:fill="E5E5E5"/>
          </w:tcPr>
          <w:p>
            <w:pPr>
              <w:spacing w:after="0"/>
              <w:rPr>
                <w:sz w:val="17"/>
                <w:szCs w:val="17"/>
                <w:color w:val="auto"/>
              </w:rPr>
            </w:pPr>
          </w:p>
        </w:tc>
        <w:tc>
          <w:tcPr>
            <w:tcW w:w="620" w:type="dxa"/>
            <w:vAlign w:val="bottom"/>
            <w:tcBorders>
              <w:bottom w:val="single" w:sz="8" w:color="auto"/>
            </w:tcBorders>
            <w:gridSpan w:val="3"/>
            <w:shd w:val="clear" w:color="auto" w:fill="E5E5E5"/>
          </w:tcPr>
          <w:p>
            <w:pPr>
              <w:jc w:val="right"/>
              <w:spacing w:after="0" w:line="202" w:lineRule="exact"/>
              <w:rPr>
                <w:sz w:val="20"/>
                <w:szCs w:val="20"/>
                <w:color w:val="auto"/>
              </w:rPr>
            </w:pPr>
            <w:r>
              <w:rPr>
                <w:rFonts w:ascii="Arial" w:cs="Arial" w:eastAsia="Arial" w:hAnsi="Arial"/>
                <w:sz w:val="18"/>
                <w:szCs w:val="18"/>
                <w:color w:val="auto"/>
              </w:rPr>
              <w:t>3,234</w:t>
            </w:r>
          </w:p>
        </w:tc>
        <w:tc>
          <w:tcPr>
            <w:tcW w:w="180" w:type="dxa"/>
            <w:vAlign w:val="bottom"/>
            <w:shd w:val="clear" w:color="auto" w:fill="E5E5E5"/>
          </w:tcPr>
          <w:p>
            <w:pPr>
              <w:spacing w:after="0"/>
              <w:rPr>
                <w:sz w:val="17"/>
                <w:szCs w:val="17"/>
                <w:color w:val="auto"/>
              </w:rPr>
            </w:pPr>
          </w:p>
        </w:tc>
        <w:tc>
          <w:tcPr>
            <w:tcW w:w="160" w:type="dxa"/>
            <w:vAlign w:val="bottom"/>
            <w:tcBorders>
              <w:right w:val="single" w:sz="8" w:color="E5E5E5"/>
            </w:tcBorders>
            <w:shd w:val="clear" w:color="auto" w:fill="E5E5E5"/>
          </w:tcPr>
          <w:p>
            <w:pPr>
              <w:spacing w:after="0"/>
              <w:rPr>
                <w:sz w:val="17"/>
                <w:szCs w:val="17"/>
                <w:color w:val="auto"/>
              </w:rPr>
            </w:pPr>
          </w:p>
        </w:tc>
        <w:tc>
          <w:tcPr>
            <w:tcW w:w="1000" w:type="dxa"/>
            <w:vAlign w:val="bottom"/>
            <w:gridSpan w:val="4"/>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9%</w:t>
            </w:r>
          </w:p>
        </w:tc>
        <w:tc>
          <w:tcPr>
            <w:tcW w:w="980" w:type="dxa"/>
            <w:vAlign w:val="bottom"/>
            <w:gridSpan w:val="3"/>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4560" w:type="dxa"/>
            <w:vAlign w:val="bottom"/>
            <w:gridSpan w:val="3"/>
          </w:tcPr>
          <w:p>
            <w:pPr>
              <w:spacing w:after="0"/>
              <w:rPr>
                <w:sz w:val="20"/>
                <w:szCs w:val="20"/>
                <w:color w:val="auto"/>
              </w:rPr>
            </w:pPr>
            <w:r>
              <w:rPr>
                <w:rFonts w:ascii="Arial" w:cs="Arial" w:eastAsia="Arial" w:hAnsi="Arial"/>
                <w:sz w:val="18"/>
                <w:szCs w:val="18"/>
                <w:color w:val="auto"/>
              </w:rPr>
              <w:t>Sales</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7,234</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6,646</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6,784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4"/>
          </w:tcPr>
          <w:p>
            <w:pPr>
              <w:jc w:val="right"/>
              <w:ind w:right="180"/>
              <w:spacing w:after="0"/>
              <w:rPr>
                <w:sz w:val="20"/>
                <w:szCs w:val="20"/>
                <w:color w:val="auto"/>
              </w:rPr>
            </w:pPr>
            <w:r>
              <w:rPr>
                <w:rFonts w:ascii="Arial" w:cs="Arial" w:eastAsia="Arial" w:hAnsi="Arial"/>
                <w:sz w:val="18"/>
                <w:szCs w:val="18"/>
                <w:color w:val="auto"/>
              </w:rPr>
              <w:t>9%</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Service, outsourcing and rentals</w:t>
            </w:r>
          </w:p>
        </w:tc>
        <w:tc>
          <w:tcPr>
            <w:tcW w:w="168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40" w:type="dxa"/>
            <w:vAlign w:val="bottom"/>
            <w:gridSpan w:val="4"/>
            <w:shd w:val="clear" w:color="auto" w:fill="E5E5E5"/>
          </w:tcPr>
          <w:p>
            <w:pPr>
              <w:jc w:val="right"/>
              <w:ind w:right="172"/>
              <w:spacing w:after="0" w:line="202" w:lineRule="exact"/>
              <w:rPr>
                <w:sz w:val="20"/>
                <w:szCs w:val="20"/>
                <w:color w:val="auto"/>
              </w:rPr>
            </w:pPr>
            <w:r>
              <w:rPr>
                <w:rFonts w:ascii="Arial" w:cs="Arial" w:eastAsia="Arial" w:hAnsi="Arial"/>
                <w:sz w:val="18"/>
                <w:szCs w:val="18"/>
                <w:color w:val="auto"/>
              </w:rPr>
              <w:t>13,739</w:t>
            </w:r>
          </w:p>
        </w:tc>
        <w:tc>
          <w:tcPr>
            <w:tcW w:w="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600" w:type="dxa"/>
            <w:vAlign w:val="bottom"/>
            <w:gridSpan w:val="3"/>
            <w:shd w:val="clear" w:color="auto" w:fill="E5E5E5"/>
          </w:tcPr>
          <w:p>
            <w:pPr>
              <w:jc w:val="right"/>
              <w:spacing w:after="0" w:line="202" w:lineRule="exact"/>
              <w:rPr>
                <w:sz w:val="20"/>
                <w:szCs w:val="20"/>
                <w:color w:val="auto"/>
              </w:rPr>
            </w:pPr>
            <w:r>
              <w:rPr>
                <w:rFonts w:ascii="Arial" w:cs="Arial" w:eastAsia="Arial" w:hAnsi="Arial"/>
                <w:sz w:val="18"/>
                <w:szCs w:val="18"/>
                <w:color w:val="auto"/>
              </w:rPr>
              <w:t>7,820</w:t>
            </w:r>
          </w:p>
        </w:tc>
        <w:tc>
          <w:tcPr>
            <w:tcW w:w="26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800" w:type="dxa"/>
            <w:vAlign w:val="bottom"/>
            <w:gridSpan w:val="4"/>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13,585</w:t>
            </w:r>
          </w:p>
        </w:tc>
        <w:tc>
          <w:tcPr>
            <w:tcW w:w="160" w:type="dxa"/>
            <w:vAlign w:val="bottom"/>
            <w:tcBorders>
              <w:right w:val="single" w:sz="8" w:color="E5E5E5"/>
            </w:tcBorders>
            <w:shd w:val="clear" w:color="auto" w:fill="E5E5E5"/>
          </w:tcPr>
          <w:p>
            <w:pPr>
              <w:spacing w:after="0"/>
              <w:rPr>
                <w:sz w:val="17"/>
                <w:szCs w:val="17"/>
                <w:color w:val="auto"/>
              </w:rPr>
            </w:pPr>
          </w:p>
        </w:tc>
        <w:tc>
          <w:tcPr>
            <w:tcW w:w="1000" w:type="dxa"/>
            <w:vAlign w:val="bottom"/>
            <w:gridSpan w:val="4"/>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76%</w:t>
            </w:r>
          </w:p>
        </w:tc>
        <w:tc>
          <w:tcPr>
            <w:tcW w:w="980" w:type="dxa"/>
            <w:vAlign w:val="bottom"/>
            <w:gridSpan w:val="3"/>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4560" w:type="dxa"/>
            <w:vAlign w:val="bottom"/>
            <w:gridSpan w:val="3"/>
          </w:tcPr>
          <w:p>
            <w:pPr>
              <w:spacing w:after="0" w:line="202" w:lineRule="exact"/>
              <w:rPr>
                <w:sz w:val="20"/>
                <w:szCs w:val="20"/>
                <w:color w:val="auto"/>
              </w:rPr>
            </w:pPr>
            <w:r>
              <w:rPr>
                <w:rFonts w:ascii="Arial" w:cs="Arial" w:eastAsia="Arial" w:hAnsi="Arial"/>
                <w:sz w:val="18"/>
                <w:szCs w:val="18"/>
                <w:color w:val="auto"/>
              </w:rPr>
              <w:t>Finance income</w:t>
            </w:r>
          </w:p>
        </w:tc>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ind w:right="172"/>
              <w:spacing w:after="0" w:line="202" w:lineRule="exact"/>
              <w:rPr>
                <w:sz w:val="20"/>
                <w:szCs w:val="20"/>
                <w:color w:val="auto"/>
              </w:rPr>
            </w:pPr>
            <w:r>
              <w:rPr>
                <w:rFonts w:ascii="Arial" w:cs="Arial" w:eastAsia="Arial" w:hAnsi="Arial"/>
                <w:sz w:val="18"/>
                <w:szCs w:val="18"/>
                <w:color w:val="auto"/>
              </w:rPr>
              <w:t>660</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172"/>
              <w:spacing w:after="0" w:line="202" w:lineRule="exact"/>
              <w:rPr>
                <w:sz w:val="20"/>
                <w:szCs w:val="20"/>
                <w:color w:val="auto"/>
              </w:rPr>
            </w:pPr>
            <w:r>
              <w:rPr>
                <w:rFonts w:ascii="Arial" w:cs="Arial" w:eastAsia="Arial" w:hAnsi="Arial"/>
                <w:sz w:val="18"/>
                <w:szCs w:val="18"/>
                <w:color w:val="auto"/>
              </w:rPr>
              <w:t>713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w w:val="93"/>
              </w:rPr>
              <w:t>713</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4"/>
          </w:tcPr>
          <w:p>
            <w:pPr>
              <w:jc w:val="right"/>
              <w:ind w:right="120"/>
              <w:spacing w:after="0" w:line="202" w:lineRule="exact"/>
              <w:rPr>
                <w:sz w:val="20"/>
                <w:szCs w:val="20"/>
                <w:color w:val="auto"/>
              </w:rPr>
            </w:pPr>
            <w:r>
              <w:rPr>
                <w:rFonts w:ascii="Arial" w:cs="Arial" w:eastAsia="Arial" w:hAnsi="Arial"/>
                <w:sz w:val="18"/>
                <w:szCs w:val="18"/>
                <w:color w:val="auto"/>
              </w:rPr>
              <w:t>(7)%</w:t>
            </w:r>
          </w:p>
        </w:tc>
        <w:tc>
          <w:tcPr>
            <w:tcW w:w="9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8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4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Total Revenues</w:t>
            </w:r>
          </w:p>
        </w:tc>
        <w:tc>
          <w:tcPr>
            <w:tcW w:w="168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4"/>
            <w:shd w:val="clear" w:color="auto" w:fill="E5E5E5"/>
          </w:tcPr>
          <w:p>
            <w:pPr>
              <w:jc w:val="right"/>
              <w:ind w:right="172"/>
              <w:spacing w:after="0" w:line="202" w:lineRule="exact"/>
              <w:rPr>
                <w:sz w:val="20"/>
                <w:szCs w:val="20"/>
                <w:color w:val="auto"/>
              </w:rPr>
            </w:pPr>
            <w:r>
              <w:rPr>
                <w:rFonts w:ascii="Arial" w:cs="Arial" w:eastAsia="Arial" w:hAnsi="Arial"/>
                <w:sz w:val="18"/>
                <w:szCs w:val="18"/>
                <w:color w:val="auto"/>
              </w:rPr>
              <w:t>21,633</w:t>
            </w:r>
          </w:p>
        </w:tc>
        <w:tc>
          <w:tcPr>
            <w:tcW w:w="22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4"/>
            <w:shd w:val="clear" w:color="auto" w:fill="E5E5E5"/>
          </w:tcPr>
          <w:p>
            <w:pPr>
              <w:jc w:val="right"/>
              <w:ind w:right="172"/>
              <w:spacing w:after="0" w:line="202" w:lineRule="exact"/>
              <w:rPr>
                <w:sz w:val="20"/>
                <w:szCs w:val="20"/>
                <w:color w:val="auto"/>
              </w:rPr>
            </w:pPr>
            <w:r>
              <w:rPr>
                <w:rFonts w:ascii="Arial" w:cs="Arial" w:eastAsia="Arial" w:hAnsi="Arial"/>
                <w:sz w:val="18"/>
                <w:szCs w:val="18"/>
                <w:color w:val="auto"/>
              </w:rPr>
              <w:t>15,179</w:t>
            </w:r>
          </w:p>
        </w:tc>
        <w:tc>
          <w:tcPr>
            <w:tcW w:w="20" w:type="dxa"/>
            <w:vAlign w:val="bottom"/>
            <w:shd w:val="clear" w:color="auto" w:fill="E5E5E5"/>
          </w:tcPr>
          <w:p>
            <w:pPr>
              <w:spacing w:after="0"/>
              <w:rPr>
                <w:sz w:val="17"/>
                <w:szCs w:val="17"/>
                <w:color w:val="auto"/>
              </w:rPr>
            </w:pPr>
          </w:p>
        </w:tc>
        <w:tc>
          <w:tcPr>
            <w:tcW w:w="14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w w:val="99"/>
              </w:rPr>
              <w:t>$</w:t>
            </w:r>
          </w:p>
        </w:tc>
        <w:tc>
          <w:tcPr>
            <w:tcW w:w="800" w:type="dxa"/>
            <w:vAlign w:val="bottom"/>
            <w:gridSpan w:val="4"/>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21,082</w:t>
            </w:r>
          </w:p>
        </w:tc>
        <w:tc>
          <w:tcPr>
            <w:tcW w:w="160" w:type="dxa"/>
            <w:vAlign w:val="bottom"/>
            <w:tcBorders>
              <w:right w:val="single" w:sz="8" w:color="E5E5E5"/>
            </w:tcBorders>
            <w:shd w:val="clear" w:color="auto" w:fill="E5E5E5"/>
          </w:tcPr>
          <w:p>
            <w:pPr>
              <w:spacing w:after="0"/>
              <w:rPr>
                <w:sz w:val="17"/>
                <w:szCs w:val="17"/>
                <w:color w:val="auto"/>
              </w:rPr>
            </w:pPr>
          </w:p>
        </w:tc>
        <w:tc>
          <w:tcPr>
            <w:tcW w:w="1000" w:type="dxa"/>
            <w:vAlign w:val="bottom"/>
            <w:gridSpan w:val="4"/>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43%</w:t>
            </w:r>
          </w:p>
        </w:tc>
        <w:tc>
          <w:tcPr>
            <w:tcW w:w="980" w:type="dxa"/>
            <w:vAlign w:val="bottom"/>
            <w:gridSpan w:val="3"/>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56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560" w:type="dxa"/>
            <w:vAlign w:val="bottom"/>
            <w:gridSpan w:val="3"/>
          </w:tcPr>
          <w:p>
            <w:pPr>
              <w:spacing w:after="0"/>
              <w:rPr>
                <w:sz w:val="20"/>
                <w:szCs w:val="20"/>
                <w:color w:val="auto"/>
              </w:rPr>
            </w:pPr>
            <w:r>
              <w:rPr>
                <w:rFonts w:ascii="Arial" w:cs="Arial" w:eastAsia="Arial" w:hAnsi="Arial"/>
                <w:sz w:val="18"/>
                <w:szCs w:val="18"/>
                <w:color w:val="auto"/>
              </w:rPr>
              <w:t>Service, outsourcing and rentals</w:t>
            </w:r>
          </w:p>
        </w:tc>
        <w:tc>
          <w:tcPr>
            <w:tcW w:w="1840" w:type="dxa"/>
            <w:vAlign w:val="bottom"/>
            <w:gridSpan w:val="2"/>
          </w:tcPr>
          <w:p>
            <w:pPr>
              <w:ind w:left="1680"/>
              <w:spacing w:after="0"/>
              <w:rPr>
                <w:sz w:val="20"/>
                <w:szCs w:val="20"/>
                <w:color w:val="auto"/>
              </w:rPr>
            </w:pPr>
            <w:r>
              <w:rPr>
                <w:rFonts w:ascii="Arial" w:cs="Arial" w:eastAsia="Arial" w:hAnsi="Arial"/>
                <w:sz w:val="18"/>
                <w:szCs w:val="18"/>
                <w:color w:val="auto"/>
              </w:rPr>
              <w:t>$</w:t>
            </w:r>
          </w:p>
        </w:tc>
        <w:tc>
          <w:tcPr>
            <w:tcW w:w="840" w:type="dxa"/>
            <w:vAlign w:val="bottom"/>
            <w:gridSpan w:val="4"/>
          </w:tcPr>
          <w:p>
            <w:pPr>
              <w:jc w:val="right"/>
              <w:ind w:right="172"/>
              <w:spacing w:after="0"/>
              <w:rPr>
                <w:sz w:val="20"/>
                <w:szCs w:val="20"/>
                <w:color w:val="auto"/>
              </w:rPr>
            </w:pPr>
            <w:r>
              <w:rPr>
                <w:rFonts w:ascii="Arial" w:cs="Arial" w:eastAsia="Arial" w:hAnsi="Arial"/>
                <w:sz w:val="18"/>
                <w:szCs w:val="18"/>
                <w:color w:val="auto"/>
              </w:rPr>
              <w:t>13,739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7,820</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gridSpan w:val="4"/>
          </w:tcPr>
          <w:p>
            <w:pPr>
              <w:jc w:val="right"/>
              <w:ind w:right="180"/>
              <w:spacing w:after="0"/>
              <w:rPr>
                <w:sz w:val="20"/>
                <w:szCs w:val="20"/>
                <w:color w:val="auto"/>
              </w:rPr>
            </w:pPr>
            <w:r>
              <w:rPr>
                <w:rFonts w:ascii="Arial" w:cs="Arial" w:eastAsia="Arial" w:hAnsi="Arial"/>
                <w:sz w:val="18"/>
                <w:szCs w:val="18"/>
                <w:color w:val="auto"/>
              </w:rPr>
              <w:t>13,585</w:t>
            </w:r>
          </w:p>
        </w:tc>
        <w:tc>
          <w:tcPr>
            <w:tcW w:w="160" w:type="dxa"/>
            <w:vAlign w:val="bottom"/>
          </w:tcPr>
          <w:p>
            <w:pPr>
              <w:spacing w:after="0"/>
              <w:rPr>
                <w:sz w:val="24"/>
                <w:szCs w:val="24"/>
                <w:color w:val="auto"/>
              </w:rPr>
            </w:pPr>
          </w:p>
        </w:tc>
        <w:tc>
          <w:tcPr>
            <w:tcW w:w="1000" w:type="dxa"/>
            <w:vAlign w:val="bottom"/>
            <w:gridSpan w:val="4"/>
          </w:tcPr>
          <w:p>
            <w:pPr>
              <w:jc w:val="right"/>
              <w:ind w:right="180"/>
              <w:spacing w:after="0"/>
              <w:rPr>
                <w:sz w:val="20"/>
                <w:szCs w:val="20"/>
                <w:color w:val="auto"/>
              </w:rPr>
            </w:pPr>
            <w:r>
              <w:rPr>
                <w:rFonts w:ascii="Arial" w:cs="Arial" w:eastAsia="Arial" w:hAnsi="Arial"/>
                <w:sz w:val="18"/>
                <w:szCs w:val="18"/>
                <w:color w:val="auto"/>
              </w:rPr>
              <w:t>76%</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Add: Finance income</w:t>
            </w:r>
          </w:p>
        </w:tc>
        <w:tc>
          <w:tcPr>
            <w:tcW w:w="168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20" w:type="dxa"/>
            <w:vAlign w:val="bottom"/>
            <w:gridSpan w:val="2"/>
            <w:shd w:val="clear" w:color="auto" w:fill="E5E5E5"/>
          </w:tcPr>
          <w:p>
            <w:pPr>
              <w:jc w:val="right"/>
              <w:ind w:right="172"/>
              <w:spacing w:after="0" w:line="202" w:lineRule="exact"/>
              <w:rPr>
                <w:sz w:val="20"/>
                <w:szCs w:val="20"/>
                <w:color w:val="auto"/>
              </w:rPr>
            </w:pPr>
            <w:r>
              <w:rPr>
                <w:rFonts w:ascii="Arial" w:cs="Arial" w:eastAsia="Arial" w:hAnsi="Arial"/>
                <w:sz w:val="18"/>
                <w:szCs w:val="18"/>
                <w:color w:val="auto"/>
              </w:rPr>
              <w:t>660</w:t>
            </w:r>
          </w:p>
        </w:tc>
        <w:tc>
          <w:tcPr>
            <w:tcW w:w="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40" w:type="dxa"/>
            <w:vAlign w:val="bottom"/>
            <w:gridSpan w:val="2"/>
            <w:shd w:val="clear" w:color="auto" w:fill="E5E5E5"/>
          </w:tcPr>
          <w:p>
            <w:pPr>
              <w:jc w:val="right"/>
              <w:ind w:right="172"/>
              <w:spacing w:after="0" w:line="202" w:lineRule="exact"/>
              <w:rPr>
                <w:sz w:val="20"/>
                <w:szCs w:val="20"/>
                <w:color w:val="auto"/>
              </w:rPr>
            </w:pPr>
            <w:r>
              <w:rPr>
                <w:rFonts w:ascii="Arial" w:cs="Arial" w:eastAsia="Arial" w:hAnsi="Arial"/>
                <w:sz w:val="18"/>
                <w:szCs w:val="18"/>
                <w:color w:val="auto"/>
              </w:rPr>
              <w:t>713</w:t>
            </w:r>
          </w:p>
        </w:tc>
        <w:tc>
          <w:tcPr>
            <w:tcW w:w="2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3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93"/>
              </w:rPr>
              <w:t>713</w:t>
            </w:r>
          </w:p>
        </w:tc>
        <w:tc>
          <w:tcPr>
            <w:tcW w:w="180" w:type="dxa"/>
            <w:vAlign w:val="bottom"/>
            <w:shd w:val="clear" w:color="auto" w:fill="E5E5E5"/>
          </w:tcPr>
          <w:p>
            <w:pPr>
              <w:spacing w:after="0"/>
              <w:rPr>
                <w:sz w:val="17"/>
                <w:szCs w:val="17"/>
                <w:color w:val="auto"/>
              </w:rPr>
            </w:pPr>
          </w:p>
        </w:tc>
        <w:tc>
          <w:tcPr>
            <w:tcW w:w="160" w:type="dxa"/>
            <w:vAlign w:val="bottom"/>
            <w:tcBorders>
              <w:right w:val="single" w:sz="8" w:color="E5E5E5"/>
            </w:tcBorders>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52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60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4560" w:type="dxa"/>
            <w:vAlign w:val="bottom"/>
            <w:gridSpan w:val="3"/>
          </w:tcPr>
          <w:p>
            <w:pPr>
              <w:spacing w:after="0"/>
              <w:rPr>
                <w:sz w:val="20"/>
                <w:szCs w:val="20"/>
                <w:color w:val="auto"/>
              </w:rPr>
            </w:pPr>
            <w:r>
              <w:rPr>
                <w:rFonts w:ascii="Arial" w:cs="Arial" w:eastAsia="Arial" w:hAnsi="Arial"/>
                <w:sz w:val="18"/>
                <w:szCs w:val="18"/>
                <w:color w:val="auto"/>
              </w:rPr>
              <w:t>Add: Supplies, paper and other sales</w:t>
            </w:r>
          </w:p>
        </w:tc>
        <w:tc>
          <w:tcPr>
            <w:tcW w:w="16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3,377</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3,096</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3,234</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Annuity Revenue</w:t>
            </w:r>
          </w:p>
        </w:tc>
        <w:tc>
          <w:tcPr>
            <w:tcW w:w="1840" w:type="dxa"/>
            <w:vAlign w:val="bottom"/>
            <w:gridSpan w:val="2"/>
            <w:shd w:val="clear" w:color="auto" w:fill="E5E5E5"/>
          </w:tcPr>
          <w:p>
            <w:pPr>
              <w:ind w:left="168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4"/>
            <w:shd w:val="clear" w:color="auto" w:fill="E5E5E5"/>
          </w:tcPr>
          <w:p>
            <w:pPr>
              <w:jc w:val="right"/>
              <w:ind w:right="172"/>
              <w:spacing w:after="0" w:line="202" w:lineRule="exact"/>
              <w:rPr>
                <w:sz w:val="20"/>
                <w:szCs w:val="20"/>
                <w:color w:val="auto"/>
              </w:rPr>
            </w:pPr>
            <w:r>
              <w:rPr>
                <w:rFonts w:ascii="Arial" w:cs="Arial" w:eastAsia="Arial" w:hAnsi="Arial"/>
                <w:sz w:val="18"/>
                <w:szCs w:val="18"/>
                <w:color w:val="auto"/>
              </w:rPr>
              <w:t>17,776</w:t>
            </w:r>
          </w:p>
        </w:tc>
        <w:tc>
          <w:tcPr>
            <w:tcW w:w="22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4"/>
            <w:shd w:val="clear" w:color="auto" w:fill="E5E5E5"/>
          </w:tcPr>
          <w:p>
            <w:pPr>
              <w:jc w:val="right"/>
              <w:ind w:right="172"/>
              <w:spacing w:after="0" w:line="202" w:lineRule="exact"/>
              <w:rPr>
                <w:sz w:val="20"/>
                <w:szCs w:val="20"/>
                <w:color w:val="auto"/>
              </w:rPr>
            </w:pPr>
            <w:r>
              <w:rPr>
                <w:rFonts w:ascii="Arial" w:cs="Arial" w:eastAsia="Arial" w:hAnsi="Arial"/>
                <w:sz w:val="18"/>
                <w:szCs w:val="18"/>
                <w:color w:val="auto"/>
              </w:rPr>
              <w:t>11,629</w:t>
            </w:r>
          </w:p>
        </w:tc>
        <w:tc>
          <w:tcPr>
            <w:tcW w:w="20" w:type="dxa"/>
            <w:vAlign w:val="bottom"/>
            <w:shd w:val="clear" w:color="auto" w:fill="E5E5E5"/>
          </w:tcPr>
          <w:p>
            <w:pPr>
              <w:spacing w:after="0"/>
              <w:rPr>
                <w:sz w:val="17"/>
                <w:szCs w:val="17"/>
                <w:color w:val="auto"/>
              </w:rPr>
            </w:pPr>
          </w:p>
        </w:tc>
        <w:tc>
          <w:tcPr>
            <w:tcW w:w="14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w w:val="99"/>
              </w:rPr>
              <w:t>$</w:t>
            </w:r>
          </w:p>
        </w:tc>
        <w:tc>
          <w:tcPr>
            <w:tcW w:w="620" w:type="dxa"/>
            <w:vAlign w:val="bottom"/>
            <w:gridSpan w:val="3"/>
            <w:shd w:val="clear" w:color="auto" w:fill="E5E5E5"/>
          </w:tcPr>
          <w:p>
            <w:pPr>
              <w:jc w:val="right"/>
              <w:spacing w:after="0" w:line="202" w:lineRule="exact"/>
              <w:rPr>
                <w:sz w:val="20"/>
                <w:szCs w:val="20"/>
                <w:color w:val="auto"/>
              </w:rPr>
            </w:pPr>
            <w:r>
              <w:rPr>
                <w:rFonts w:ascii="Arial" w:cs="Arial" w:eastAsia="Arial" w:hAnsi="Arial"/>
                <w:sz w:val="18"/>
                <w:szCs w:val="18"/>
                <w:color w:val="auto"/>
              </w:rPr>
              <w:t>17,532</w:t>
            </w:r>
          </w:p>
        </w:tc>
        <w:tc>
          <w:tcPr>
            <w:tcW w:w="180" w:type="dxa"/>
            <w:vAlign w:val="bottom"/>
            <w:shd w:val="clear" w:color="auto" w:fill="E5E5E5"/>
          </w:tcPr>
          <w:p>
            <w:pPr>
              <w:spacing w:after="0"/>
              <w:rPr>
                <w:sz w:val="17"/>
                <w:szCs w:val="17"/>
                <w:color w:val="auto"/>
              </w:rPr>
            </w:pPr>
          </w:p>
        </w:tc>
        <w:tc>
          <w:tcPr>
            <w:tcW w:w="160" w:type="dxa"/>
            <w:vAlign w:val="bottom"/>
            <w:tcBorders>
              <w:right w:val="single" w:sz="8" w:color="E5E5E5"/>
            </w:tcBorders>
            <w:shd w:val="clear" w:color="auto" w:fill="E5E5E5"/>
          </w:tcPr>
          <w:p>
            <w:pPr>
              <w:spacing w:after="0"/>
              <w:rPr>
                <w:sz w:val="17"/>
                <w:szCs w:val="17"/>
                <w:color w:val="auto"/>
              </w:rPr>
            </w:pPr>
          </w:p>
        </w:tc>
        <w:tc>
          <w:tcPr>
            <w:tcW w:w="1000" w:type="dxa"/>
            <w:vAlign w:val="bottom"/>
            <w:gridSpan w:val="4"/>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53%</w:t>
            </w:r>
          </w:p>
        </w:tc>
        <w:tc>
          <w:tcPr>
            <w:tcW w:w="980" w:type="dxa"/>
            <w:vAlign w:val="bottom"/>
            <w:gridSpan w:val="3"/>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5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Gross Profit:</w:t>
            </w:r>
          </w:p>
        </w:tc>
        <w:tc>
          <w:tcPr>
            <w:tcW w:w="1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560" w:type="dxa"/>
            <w:vAlign w:val="bottom"/>
            <w:gridSpan w:val="3"/>
            <w:vMerge w:val="continue"/>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gridSpan w:val="2"/>
            <w:shd w:val="clear" w:color="auto" w:fill="E5E5E5"/>
          </w:tcPr>
          <w:p>
            <w:pPr>
              <w:ind w:left="200"/>
              <w:spacing w:after="0" w:line="202" w:lineRule="exact"/>
              <w:rPr>
                <w:sz w:val="20"/>
                <w:szCs w:val="20"/>
                <w:color w:val="auto"/>
              </w:rPr>
            </w:pPr>
            <w:r>
              <w:rPr>
                <w:rFonts w:ascii="Arial" w:cs="Arial" w:eastAsia="Arial" w:hAnsi="Arial"/>
                <w:sz w:val="18"/>
                <w:szCs w:val="18"/>
                <w:color w:val="auto"/>
              </w:rPr>
              <w:t>Sales</w:t>
            </w:r>
          </w:p>
        </w:tc>
        <w:tc>
          <w:tcPr>
            <w:tcW w:w="1840" w:type="dxa"/>
            <w:vAlign w:val="bottom"/>
            <w:gridSpan w:val="2"/>
            <w:shd w:val="clear" w:color="auto" w:fill="E5E5E5"/>
          </w:tcPr>
          <w:p>
            <w:pPr>
              <w:ind w:left="1680"/>
              <w:spacing w:after="0" w:line="202" w:lineRule="exact"/>
              <w:rPr>
                <w:sz w:val="20"/>
                <w:szCs w:val="20"/>
                <w:color w:val="auto"/>
              </w:rPr>
            </w:pPr>
            <w:r>
              <w:rPr>
                <w:rFonts w:ascii="Arial" w:cs="Arial" w:eastAsia="Arial" w:hAnsi="Arial"/>
                <w:sz w:val="18"/>
                <w:szCs w:val="18"/>
                <w:color w:val="auto"/>
              </w:rPr>
              <w:t>$</w:t>
            </w:r>
          </w:p>
        </w:tc>
        <w:tc>
          <w:tcPr>
            <w:tcW w:w="600" w:type="dxa"/>
            <w:vAlign w:val="bottom"/>
            <w:gridSpan w:val="3"/>
            <w:shd w:val="clear" w:color="auto" w:fill="E5E5E5"/>
          </w:tcPr>
          <w:p>
            <w:pPr>
              <w:jc w:val="right"/>
              <w:spacing w:after="0" w:line="202" w:lineRule="exact"/>
              <w:rPr>
                <w:sz w:val="20"/>
                <w:szCs w:val="20"/>
                <w:color w:val="auto"/>
              </w:rPr>
            </w:pPr>
            <w:r>
              <w:rPr>
                <w:rFonts w:ascii="Arial" w:cs="Arial" w:eastAsia="Arial" w:hAnsi="Arial"/>
                <w:sz w:val="18"/>
                <w:szCs w:val="18"/>
                <w:color w:val="auto"/>
              </w:rPr>
              <w:t>2,493</w:t>
            </w:r>
          </w:p>
        </w:tc>
        <w:tc>
          <w:tcPr>
            <w:tcW w:w="240" w:type="dxa"/>
            <w:vAlign w:val="bottom"/>
            <w:shd w:val="clear" w:color="auto" w:fill="E5E5E5"/>
          </w:tcPr>
          <w:p>
            <w:pPr>
              <w:spacing w:after="0"/>
              <w:rPr>
                <w:sz w:val="17"/>
                <w:szCs w:val="17"/>
                <w:color w:val="auto"/>
              </w:rPr>
            </w:pPr>
          </w:p>
        </w:tc>
        <w:tc>
          <w:tcPr>
            <w:tcW w:w="22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gridSpan w:val="3"/>
            <w:shd w:val="clear" w:color="auto" w:fill="E5E5E5"/>
          </w:tcPr>
          <w:p>
            <w:pPr>
              <w:jc w:val="right"/>
              <w:spacing w:after="0" w:line="202" w:lineRule="exact"/>
              <w:rPr>
                <w:sz w:val="20"/>
                <w:szCs w:val="20"/>
                <w:color w:val="auto"/>
              </w:rPr>
            </w:pPr>
            <w:r>
              <w:rPr>
                <w:rFonts w:ascii="Arial" w:cs="Arial" w:eastAsia="Arial" w:hAnsi="Arial"/>
                <w:sz w:val="18"/>
                <w:szCs w:val="18"/>
                <w:color w:val="auto"/>
              </w:rPr>
              <w:t>2,251</w:t>
            </w:r>
          </w:p>
        </w:tc>
        <w:tc>
          <w:tcPr>
            <w:tcW w:w="26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14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w w:val="99"/>
              </w:rPr>
              <w:t>$</w:t>
            </w:r>
          </w:p>
        </w:tc>
        <w:tc>
          <w:tcPr>
            <w:tcW w:w="620" w:type="dxa"/>
            <w:vAlign w:val="bottom"/>
            <w:gridSpan w:val="3"/>
            <w:shd w:val="clear" w:color="auto" w:fill="E5E5E5"/>
          </w:tcPr>
          <w:p>
            <w:pPr>
              <w:jc w:val="right"/>
              <w:spacing w:after="0" w:line="202" w:lineRule="exact"/>
              <w:rPr>
                <w:sz w:val="20"/>
                <w:szCs w:val="20"/>
                <w:color w:val="auto"/>
              </w:rPr>
            </w:pPr>
            <w:r>
              <w:rPr>
                <w:rFonts w:ascii="Arial" w:cs="Arial" w:eastAsia="Arial" w:hAnsi="Arial"/>
                <w:sz w:val="18"/>
                <w:szCs w:val="18"/>
                <w:color w:val="auto"/>
              </w:rPr>
              <w:t>2,269</w:t>
            </w:r>
          </w:p>
        </w:tc>
        <w:tc>
          <w:tcPr>
            <w:tcW w:w="180" w:type="dxa"/>
            <w:vAlign w:val="bottom"/>
            <w:shd w:val="clear" w:color="auto" w:fill="E5E5E5"/>
          </w:tcPr>
          <w:p>
            <w:pPr>
              <w:spacing w:after="0"/>
              <w:rPr>
                <w:sz w:val="17"/>
                <w:szCs w:val="17"/>
                <w:color w:val="auto"/>
              </w:rPr>
            </w:pPr>
          </w:p>
        </w:tc>
        <w:tc>
          <w:tcPr>
            <w:tcW w:w="160" w:type="dxa"/>
            <w:vAlign w:val="bottom"/>
            <w:tcBorders>
              <w:right w:val="single" w:sz="8" w:color="E5E5E5"/>
            </w:tcBorders>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52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60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Service, outsourcing and rentals</w:t>
            </w:r>
          </w:p>
        </w:tc>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4,544</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3,332</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4,585</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gridSpan w:val="2"/>
            <w:shd w:val="clear" w:color="auto" w:fill="E5E5E5"/>
          </w:tcPr>
          <w:p>
            <w:pPr>
              <w:ind w:left="200"/>
              <w:spacing w:after="0" w:line="202" w:lineRule="exact"/>
              <w:rPr>
                <w:sz w:val="20"/>
                <w:szCs w:val="20"/>
                <w:color w:val="auto"/>
              </w:rPr>
            </w:pPr>
            <w:r>
              <w:rPr>
                <w:rFonts w:ascii="Arial" w:cs="Arial" w:eastAsia="Arial" w:hAnsi="Arial"/>
                <w:sz w:val="18"/>
                <w:szCs w:val="18"/>
                <w:color w:val="auto"/>
              </w:rPr>
              <w:t>Finance income</w:t>
            </w:r>
          </w:p>
        </w:tc>
        <w:tc>
          <w:tcPr>
            <w:tcW w:w="168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20" w:type="dxa"/>
            <w:vAlign w:val="bottom"/>
            <w:gridSpan w:val="2"/>
            <w:shd w:val="clear" w:color="auto" w:fill="E5E5E5"/>
          </w:tcPr>
          <w:p>
            <w:pPr>
              <w:jc w:val="right"/>
              <w:ind w:right="172"/>
              <w:spacing w:after="0" w:line="202" w:lineRule="exact"/>
              <w:rPr>
                <w:sz w:val="20"/>
                <w:szCs w:val="20"/>
                <w:color w:val="auto"/>
              </w:rPr>
            </w:pPr>
            <w:r>
              <w:rPr>
                <w:rFonts w:ascii="Arial" w:cs="Arial" w:eastAsia="Arial" w:hAnsi="Arial"/>
                <w:sz w:val="18"/>
                <w:szCs w:val="18"/>
                <w:color w:val="auto"/>
              </w:rPr>
              <w:t>414</w:t>
            </w:r>
          </w:p>
        </w:tc>
        <w:tc>
          <w:tcPr>
            <w:tcW w:w="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40" w:type="dxa"/>
            <w:vAlign w:val="bottom"/>
            <w:gridSpan w:val="2"/>
            <w:shd w:val="clear" w:color="auto" w:fill="E5E5E5"/>
          </w:tcPr>
          <w:p>
            <w:pPr>
              <w:jc w:val="right"/>
              <w:ind w:right="172"/>
              <w:spacing w:after="0" w:line="202" w:lineRule="exact"/>
              <w:rPr>
                <w:sz w:val="20"/>
                <w:szCs w:val="20"/>
                <w:color w:val="auto"/>
              </w:rPr>
            </w:pPr>
            <w:r>
              <w:rPr>
                <w:rFonts w:ascii="Arial" w:cs="Arial" w:eastAsia="Arial" w:hAnsi="Arial"/>
                <w:sz w:val="18"/>
                <w:szCs w:val="18"/>
                <w:color w:val="auto"/>
              </w:rPr>
              <w:t>442</w:t>
            </w:r>
          </w:p>
        </w:tc>
        <w:tc>
          <w:tcPr>
            <w:tcW w:w="2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3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93"/>
              </w:rPr>
              <w:t>442</w:t>
            </w:r>
          </w:p>
        </w:tc>
        <w:tc>
          <w:tcPr>
            <w:tcW w:w="180" w:type="dxa"/>
            <w:vAlign w:val="bottom"/>
            <w:shd w:val="clear" w:color="auto" w:fill="E5E5E5"/>
          </w:tcPr>
          <w:p>
            <w:pPr>
              <w:spacing w:after="0"/>
              <w:rPr>
                <w:sz w:val="17"/>
                <w:szCs w:val="17"/>
                <w:color w:val="auto"/>
              </w:rPr>
            </w:pPr>
          </w:p>
        </w:tc>
        <w:tc>
          <w:tcPr>
            <w:tcW w:w="160" w:type="dxa"/>
            <w:vAlign w:val="bottom"/>
            <w:tcBorders>
              <w:right w:val="single" w:sz="8" w:color="E5E5E5"/>
            </w:tcBorders>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52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60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Total</w:t>
            </w:r>
          </w:p>
        </w:tc>
        <w:tc>
          <w:tcPr>
            <w:tcW w:w="1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60" w:type="dxa"/>
            <w:vAlign w:val="bottom"/>
            <w:gridSpan w:val="3"/>
            <w:vMerge w:val="continue"/>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7,451</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6,025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7,296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680" w:type="dxa"/>
            <w:vAlign w:val="bottom"/>
          </w:tcPr>
          <w:p>
            <w:pPr>
              <w:spacing w:after="0"/>
              <w:rPr>
                <w:sz w:val="8"/>
                <w:szCs w:val="8"/>
                <w:color w:val="auto"/>
              </w:rPr>
            </w:pPr>
          </w:p>
        </w:tc>
        <w:tc>
          <w:tcPr>
            <w:tcW w:w="38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4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Gross Margin:</w:t>
            </w:r>
          </w:p>
        </w:tc>
        <w:tc>
          <w:tcPr>
            <w:tcW w:w="168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160" w:type="dxa"/>
            <w:vAlign w:val="bottom"/>
            <w:tcBorders>
              <w:right w:val="single" w:sz="8" w:color="E5E5E5"/>
            </w:tcBorders>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52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60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Sales</w:t>
            </w:r>
          </w:p>
        </w:tc>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ind w:right="12"/>
              <w:spacing w:after="0" w:line="202" w:lineRule="exact"/>
              <w:rPr>
                <w:sz w:val="20"/>
                <w:szCs w:val="20"/>
                <w:color w:val="auto"/>
              </w:rPr>
            </w:pPr>
            <w:r>
              <w:rPr>
                <w:rFonts w:ascii="Arial" w:cs="Arial" w:eastAsia="Arial" w:hAnsi="Arial"/>
                <w:sz w:val="18"/>
                <w:szCs w:val="18"/>
                <w:color w:val="auto"/>
              </w:rPr>
              <w:t>34.5%</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12"/>
              <w:spacing w:after="0" w:line="202" w:lineRule="exact"/>
              <w:rPr>
                <w:sz w:val="20"/>
                <w:szCs w:val="20"/>
                <w:color w:val="auto"/>
              </w:rPr>
            </w:pPr>
            <w:r>
              <w:rPr>
                <w:rFonts w:ascii="Arial" w:cs="Arial" w:eastAsia="Arial" w:hAnsi="Arial"/>
                <w:sz w:val="18"/>
                <w:szCs w:val="18"/>
                <w:color w:val="auto"/>
              </w:rPr>
              <w:t>33.9%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33.4%</w:t>
            </w:r>
          </w:p>
        </w:tc>
        <w:tc>
          <w:tcPr>
            <w:tcW w:w="160" w:type="dxa"/>
            <w:vAlign w:val="bottom"/>
          </w:tcPr>
          <w:p>
            <w:pPr>
              <w:spacing w:after="0"/>
              <w:rPr>
                <w:sz w:val="17"/>
                <w:szCs w:val="17"/>
                <w:color w:val="auto"/>
              </w:rPr>
            </w:pPr>
          </w:p>
        </w:tc>
        <w:tc>
          <w:tcPr>
            <w:tcW w:w="1000" w:type="dxa"/>
            <w:vAlign w:val="bottom"/>
            <w:gridSpan w:val="4"/>
          </w:tcPr>
          <w:p>
            <w:pPr>
              <w:jc w:val="center"/>
              <w:ind w:right="340"/>
              <w:spacing w:after="0" w:line="202" w:lineRule="exact"/>
              <w:rPr>
                <w:sz w:val="20"/>
                <w:szCs w:val="20"/>
                <w:color w:val="auto"/>
              </w:rPr>
            </w:pPr>
            <w:r>
              <w:rPr>
                <w:rFonts w:ascii="Arial" w:cs="Arial" w:eastAsia="Arial" w:hAnsi="Arial"/>
                <w:sz w:val="18"/>
                <w:szCs w:val="18"/>
                <w:color w:val="auto"/>
                <w:w w:val="99"/>
              </w:rPr>
              <w:t>0.6 pts</w:t>
            </w:r>
          </w:p>
        </w:tc>
        <w:tc>
          <w:tcPr>
            <w:tcW w:w="100" w:type="dxa"/>
            <w:vAlign w:val="bottom"/>
          </w:tcPr>
          <w:p>
            <w:pPr>
              <w:spacing w:after="0"/>
              <w:rPr>
                <w:sz w:val="17"/>
                <w:szCs w:val="17"/>
                <w:color w:val="auto"/>
              </w:rPr>
            </w:pPr>
          </w:p>
        </w:tc>
        <w:tc>
          <w:tcPr>
            <w:tcW w:w="880" w:type="dxa"/>
            <w:vAlign w:val="bottom"/>
            <w:gridSpan w:val="2"/>
          </w:tcPr>
          <w:p>
            <w:pPr>
              <w:jc w:val="center"/>
              <w:ind w:right="320"/>
              <w:spacing w:after="0" w:line="202" w:lineRule="exact"/>
              <w:rPr>
                <w:sz w:val="20"/>
                <w:szCs w:val="20"/>
                <w:color w:val="auto"/>
              </w:rPr>
            </w:pPr>
            <w:r>
              <w:rPr>
                <w:rFonts w:ascii="Arial" w:cs="Arial" w:eastAsia="Arial" w:hAnsi="Arial"/>
                <w:sz w:val="18"/>
                <w:szCs w:val="18"/>
                <w:color w:val="auto"/>
                <w:w w:val="96"/>
              </w:rPr>
              <w:t>1.1 pts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gridSpan w:val="2"/>
            <w:shd w:val="clear" w:color="auto" w:fill="E5E5E5"/>
          </w:tcPr>
          <w:p>
            <w:pPr>
              <w:ind w:left="200"/>
              <w:spacing w:after="0" w:line="202" w:lineRule="exact"/>
              <w:rPr>
                <w:sz w:val="20"/>
                <w:szCs w:val="20"/>
                <w:color w:val="auto"/>
              </w:rPr>
            </w:pPr>
            <w:r>
              <w:rPr>
                <w:rFonts w:ascii="Arial" w:cs="Arial" w:eastAsia="Arial" w:hAnsi="Arial"/>
                <w:sz w:val="18"/>
                <w:szCs w:val="18"/>
                <w:color w:val="auto"/>
              </w:rPr>
              <w:t>Service, outsourcing and rentals</w:t>
            </w:r>
          </w:p>
        </w:tc>
        <w:tc>
          <w:tcPr>
            <w:tcW w:w="168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20" w:type="dxa"/>
            <w:vAlign w:val="bottom"/>
            <w:gridSpan w:val="2"/>
            <w:shd w:val="clear" w:color="auto" w:fill="E5E5E5"/>
          </w:tcPr>
          <w:p>
            <w:pPr>
              <w:jc w:val="right"/>
              <w:ind w:right="12"/>
              <w:spacing w:after="0" w:line="202" w:lineRule="exact"/>
              <w:rPr>
                <w:sz w:val="20"/>
                <w:szCs w:val="20"/>
                <w:color w:val="auto"/>
              </w:rPr>
            </w:pPr>
            <w:r>
              <w:rPr>
                <w:rFonts w:ascii="Arial" w:cs="Arial" w:eastAsia="Arial" w:hAnsi="Arial"/>
                <w:sz w:val="18"/>
                <w:szCs w:val="18"/>
                <w:color w:val="auto"/>
              </w:rPr>
              <w:t>33.1%</w:t>
            </w:r>
          </w:p>
        </w:tc>
        <w:tc>
          <w:tcPr>
            <w:tcW w:w="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40" w:type="dxa"/>
            <w:vAlign w:val="bottom"/>
            <w:gridSpan w:val="2"/>
            <w:shd w:val="clear" w:color="auto" w:fill="E5E5E5"/>
          </w:tcPr>
          <w:p>
            <w:pPr>
              <w:jc w:val="right"/>
              <w:ind w:right="12"/>
              <w:spacing w:after="0" w:line="202" w:lineRule="exact"/>
              <w:rPr>
                <w:sz w:val="20"/>
                <w:szCs w:val="20"/>
                <w:color w:val="auto"/>
              </w:rPr>
            </w:pPr>
            <w:r>
              <w:rPr>
                <w:rFonts w:ascii="Arial" w:cs="Arial" w:eastAsia="Arial" w:hAnsi="Arial"/>
                <w:sz w:val="18"/>
                <w:szCs w:val="18"/>
                <w:color w:val="auto"/>
              </w:rPr>
              <w:t>42.6%</w:t>
            </w:r>
          </w:p>
        </w:tc>
        <w:tc>
          <w:tcPr>
            <w:tcW w:w="2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800" w:type="dxa"/>
            <w:vAlign w:val="bottom"/>
            <w:gridSpan w:val="4"/>
            <w:shd w:val="clear" w:color="auto" w:fill="E5E5E5"/>
          </w:tcPr>
          <w:p>
            <w:pPr>
              <w:jc w:val="right"/>
              <w:ind w:right="20"/>
              <w:spacing w:after="0" w:line="202" w:lineRule="exact"/>
              <w:rPr>
                <w:sz w:val="20"/>
                <w:szCs w:val="20"/>
                <w:color w:val="auto"/>
              </w:rPr>
            </w:pPr>
            <w:r>
              <w:rPr>
                <w:rFonts w:ascii="Arial" w:cs="Arial" w:eastAsia="Arial" w:hAnsi="Arial"/>
                <w:sz w:val="18"/>
                <w:szCs w:val="18"/>
                <w:color w:val="auto"/>
              </w:rPr>
              <w:t>33.8%</w:t>
            </w:r>
          </w:p>
        </w:tc>
        <w:tc>
          <w:tcPr>
            <w:tcW w:w="160" w:type="dxa"/>
            <w:vAlign w:val="bottom"/>
            <w:tcBorders>
              <w:right w:val="single" w:sz="8" w:color="E5E5E5"/>
            </w:tcBorders>
            <w:shd w:val="clear" w:color="auto" w:fill="E5E5E5"/>
          </w:tcPr>
          <w:p>
            <w:pPr>
              <w:spacing w:after="0"/>
              <w:rPr>
                <w:sz w:val="17"/>
                <w:szCs w:val="17"/>
                <w:color w:val="auto"/>
              </w:rPr>
            </w:pPr>
          </w:p>
        </w:tc>
        <w:tc>
          <w:tcPr>
            <w:tcW w:w="1000" w:type="dxa"/>
            <w:vAlign w:val="bottom"/>
            <w:gridSpan w:val="4"/>
            <w:shd w:val="clear" w:color="auto" w:fill="E5E5E5"/>
          </w:tcPr>
          <w:p>
            <w:pPr>
              <w:jc w:val="center"/>
              <w:ind w:right="320"/>
              <w:spacing w:after="0" w:line="202" w:lineRule="exact"/>
              <w:rPr>
                <w:sz w:val="20"/>
                <w:szCs w:val="20"/>
                <w:color w:val="auto"/>
              </w:rPr>
            </w:pPr>
            <w:r>
              <w:rPr>
                <w:rFonts w:ascii="Arial" w:cs="Arial" w:eastAsia="Arial" w:hAnsi="Arial"/>
                <w:sz w:val="18"/>
                <w:szCs w:val="18"/>
                <w:color w:val="auto"/>
                <w:w w:val="96"/>
              </w:rPr>
              <w:t>(9.5) pts</w:t>
            </w:r>
          </w:p>
        </w:tc>
        <w:tc>
          <w:tcPr>
            <w:tcW w:w="980" w:type="dxa"/>
            <w:vAlign w:val="bottom"/>
            <w:gridSpan w:val="3"/>
            <w:shd w:val="clear" w:color="auto" w:fill="E5E5E5"/>
          </w:tcPr>
          <w:p>
            <w:pPr>
              <w:jc w:val="center"/>
              <w:ind w:right="220"/>
              <w:spacing w:after="0" w:line="202" w:lineRule="exact"/>
              <w:rPr>
                <w:sz w:val="20"/>
                <w:szCs w:val="20"/>
                <w:color w:val="auto"/>
              </w:rPr>
            </w:pPr>
            <w:r>
              <w:rPr>
                <w:rFonts w:ascii="Arial" w:cs="Arial" w:eastAsia="Arial" w:hAnsi="Arial"/>
                <w:sz w:val="18"/>
                <w:szCs w:val="18"/>
                <w:color w:val="auto"/>
                <w:w w:val="96"/>
              </w:rPr>
              <w:t>(0.7) pts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Finance income</w:t>
            </w:r>
          </w:p>
        </w:tc>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ind w:right="12"/>
              <w:spacing w:after="0" w:line="202" w:lineRule="exact"/>
              <w:rPr>
                <w:sz w:val="20"/>
                <w:szCs w:val="20"/>
                <w:color w:val="auto"/>
              </w:rPr>
            </w:pPr>
            <w:r>
              <w:rPr>
                <w:rFonts w:ascii="Arial" w:cs="Arial" w:eastAsia="Arial" w:hAnsi="Arial"/>
                <w:sz w:val="18"/>
                <w:szCs w:val="18"/>
                <w:color w:val="auto"/>
              </w:rPr>
              <w:t>62.7%</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12"/>
              <w:spacing w:after="0" w:line="202" w:lineRule="exact"/>
              <w:rPr>
                <w:sz w:val="20"/>
                <w:szCs w:val="20"/>
                <w:color w:val="auto"/>
              </w:rPr>
            </w:pPr>
            <w:r>
              <w:rPr>
                <w:rFonts w:ascii="Arial" w:cs="Arial" w:eastAsia="Arial" w:hAnsi="Arial"/>
                <w:sz w:val="18"/>
                <w:szCs w:val="18"/>
                <w:color w:val="auto"/>
              </w:rPr>
              <w:t>62.0%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62.0%</w:t>
            </w:r>
          </w:p>
        </w:tc>
        <w:tc>
          <w:tcPr>
            <w:tcW w:w="160" w:type="dxa"/>
            <w:vAlign w:val="bottom"/>
          </w:tcPr>
          <w:p>
            <w:pPr>
              <w:spacing w:after="0"/>
              <w:rPr>
                <w:sz w:val="17"/>
                <w:szCs w:val="17"/>
                <w:color w:val="auto"/>
              </w:rPr>
            </w:pPr>
          </w:p>
        </w:tc>
        <w:tc>
          <w:tcPr>
            <w:tcW w:w="1000" w:type="dxa"/>
            <w:vAlign w:val="bottom"/>
            <w:gridSpan w:val="4"/>
          </w:tcPr>
          <w:p>
            <w:pPr>
              <w:jc w:val="center"/>
              <w:ind w:right="340"/>
              <w:spacing w:after="0" w:line="202" w:lineRule="exact"/>
              <w:rPr>
                <w:sz w:val="20"/>
                <w:szCs w:val="20"/>
                <w:color w:val="auto"/>
              </w:rPr>
            </w:pPr>
            <w:r>
              <w:rPr>
                <w:rFonts w:ascii="Arial" w:cs="Arial" w:eastAsia="Arial" w:hAnsi="Arial"/>
                <w:sz w:val="18"/>
                <w:szCs w:val="18"/>
                <w:color w:val="auto"/>
                <w:w w:val="99"/>
              </w:rPr>
              <w:t>0.7 pts</w:t>
            </w:r>
          </w:p>
        </w:tc>
        <w:tc>
          <w:tcPr>
            <w:tcW w:w="100" w:type="dxa"/>
            <w:vAlign w:val="bottom"/>
          </w:tcPr>
          <w:p>
            <w:pPr>
              <w:spacing w:after="0"/>
              <w:rPr>
                <w:sz w:val="17"/>
                <w:szCs w:val="17"/>
                <w:color w:val="auto"/>
              </w:rPr>
            </w:pPr>
          </w:p>
        </w:tc>
        <w:tc>
          <w:tcPr>
            <w:tcW w:w="880" w:type="dxa"/>
            <w:vAlign w:val="bottom"/>
            <w:gridSpan w:val="2"/>
          </w:tcPr>
          <w:p>
            <w:pPr>
              <w:jc w:val="center"/>
              <w:ind w:right="320"/>
              <w:spacing w:after="0" w:line="202" w:lineRule="exact"/>
              <w:rPr>
                <w:sz w:val="20"/>
                <w:szCs w:val="20"/>
                <w:color w:val="auto"/>
              </w:rPr>
            </w:pPr>
            <w:r>
              <w:rPr>
                <w:rFonts w:ascii="Arial" w:cs="Arial" w:eastAsia="Arial" w:hAnsi="Arial"/>
                <w:sz w:val="18"/>
                <w:szCs w:val="18"/>
                <w:color w:val="auto"/>
                <w:w w:val="96"/>
              </w:rPr>
              <w:t>0.7 pts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Total</w:t>
            </w:r>
          </w:p>
        </w:tc>
        <w:tc>
          <w:tcPr>
            <w:tcW w:w="168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20" w:type="dxa"/>
            <w:vAlign w:val="bottom"/>
            <w:gridSpan w:val="2"/>
            <w:shd w:val="clear" w:color="auto" w:fill="E5E5E5"/>
          </w:tcPr>
          <w:p>
            <w:pPr>
              <w:jc w:val="right"/>
              <w:ind w:right="12"/>
              <w:spacing w:after="0" w:line="202" w:lineRule="exact"/>
              <w:rPr>
                <w:sz w:val="20"/>
                <w:szCs w:val="20"/>
                <w:color w:val="auto"/>
              </w:rPr>
            </w:pPr>
            <w:r>
              <w:rPr>
                <w:rFonts w:ascii="Arial" w:cs="Arial" w:eastAsia="Arial" w:hAnsi="Arial"/>
                <w:sz w:val="18"/>
                <w:szCs w:val="18"/>
                <w:color w:val="auto"/>
              </w:rPr>
              <w:t>34.4%</w:t>
            </w:r>
          </w:p>
        </w:tc>
        <w:tc>
          <w:tcPr>
            <w:tcW w:w="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40" w:type="dxa"/>
            <w:vAlign w:val="bottom"/>
            <w:gridSpan w:val="2"/>
            <w:shd w:val="clear" w:color="auto" w:fill="E5E5E5"/>
          </w:tcPr>
          <w:p>
            <w:pPr>
              <w:jc w:val="right"/>
              <w:ind w:right="12"/>
              <w:spacing w:after="0" w:line="202" w:lineRule="exact"/>
              <w:rPr>
                <w:sz w:val="20"/>
                <w:szCs w:val="20"/>
                <w:color w:val="auto"/>
              </w:rPr>
            </w:pPr>
            <w:r>
              <w:rPr>
                <w:rFonts w:ascii="Arial" w:cs="Arial" w:eastAsia="Arial" w:hAnsi="Arial"/>
                <w:sz w:val="18"/>
                <w:szCs w:val="18"/>
                <w:color w:val="auto"/>
              </w:rPr>
              <w:t>39.7%</w:t>
            </w:r>
          </w:p>
        </w:tc>
        <w:tc>
          <w:tcPr>
            <w:tcW w:w="2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800" w:type="dxa"/>
            <w:vAlign w:val="bottom"/>
            <w:gridSpan w:val="4"/>
            <w:shd w:val="clear" w:color="auto" w:fill="E5E5E5"/>
          </w:tcPr>
          <w:p>
            <w:pPr>
              <w:jc w:val="right"/>
              <w:ind w:right="20"/>
              <w:spacing w:after="0" w:line="202" w:lineRule="exact"/>
              <w:rPr>
                <w:sz w:val="20"/>
                <w:szCs w:val="20"/>
                <w:color w:val="auto"/>
              </w:rPr>
            </w:pPr>
            <w:r>
              <w:rPr>
                <w:rFonts w:ascii="Arial" w:cs="Arial" w:eastAsia="Arial" w:hAnsi="Arial"/>
                <w:sz w:val="18"/>
                <w:szCs w:val="18"/>
                <w:color w:val="auto"/>
              </w:rPr>
              <w:t>34.6%</w:t>
            </w:r>
          </w:p>
        </w:tc>
        <w:tc>
          <w:tcPr>
            <w:tcW w:w="160" w:type="dxa"/>
            <w:vAlign w:val="bottom"/>
            <w:tcBorders>
              <w:right w:val="single" w:sz="8" w:color="E5E5E5"/>
            </w:tcBorders>
            <w:shd w:val="clear" w:color="auto" w:fill="E5E5E5"/>
          </w:tcPr>
          <w:p>
            <w:pPr>
              <w:spacing w:after="0"/>
              <w:rPr>
                <w:sz w:val="17"/>
                <w:szCs w:val="17"/>
                <w:color w:val="auto"/>
              </w:rPr>
            </w:pPr>
          </w:p>
        </w:tc>
        <w:tc>
          <w:tcPr>
            <w:tcW w:w="1000" w:type="dxa"/>
            <w:vAlign w:val="bottom"/>
            <w:gridSpan w:val="4"/>
            <w:shd w:val="clear" w:color="auto" w:fill="E5E5E5"/>
          </w:tcPr>
          <w:p>
            <w:pPr>
              <w:jc w:val="center"/>
              <w:ind w:right="320"/>
              <w:spacing w:after="0" w:line="202" w:lineRule="exact"/>
              <w:rPr>
                <w:sz w:val="20"/>
                <w:szCs w:val="20"/>
                <w:color w:val="auto"/>
              </w:rPr>
            </w:pPr>
            <w:r>
              <w:rPr>
                <w:rFonts w:ascii="Arial" w:cs="Arial" w:eastAsia="Arial" w:hAnsi="Arial"/>
                <w:sz w:val="18"/>
                <w:szCs w:val="18"/>
                <w:color w:val="auto"/>
                <w:w w:val="96"/>
              </w:rPr>
              <w:t>(5.3) pts</w:t>
            </w:r>
          </w:p>
        </w:tc>
        <w:tc>
          <w:tcPr>
            <w:tcW w:w="980" w:type="dxa"/>
            <w:vAlign w:val="bottom"/>
            <w:gridSpan w:val="3"/>
            <w:shd w:val="clear" w:color="auto" w:fill="E5E5E5"/>
          </w:tcPr>
          <w:p>
            <w:pPr>
              <w:jc w:val="center"/>
              <w:ind w:right="220"/>
              <w:spacing w:after="0" w:line="202" w:lineRule="exact"/>
              <w:rPr>
                <w:sz w:val="20"/>
                <w:szCs w:val="20"/>
                <w:color w:val="auto"/>
              </w:rPr>
            </w:pPr>
            <w:r>
              <w:rPr>
                <w:rFonts w:ascii="Arial" w:cs="Arial" w:eastAsia="Arial" w:hAnsi="Arial"/>
                <w:sz w:val="18"/>
                <w:szCs w:val="18"/>
                <w:color w:val="auto"/>
                <w:w w:val="96"/>
              </w:rPr>
              <w:t>(0.2) pts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RD&amp;E</w:t>
            </w:r>
          </w:p>
        </w:tc>
        <w:tc>
          <w:tcPr>
            <w:tcW w:w="1840" w:type="dxa"/>
            <w:vAlign w:val="bottom"/>
            <w:gridSpan w:val="2"/>
          </w:tcPr>
          <w:p>
            <w:pPr>
              <w:ind w:left="168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ind w:right="172"/>
              <w:spacing w:after="0" w:line="202" w:lineRule="exact"/>
              <w:rPr>
                <w:sz w:val="20"/>
                <w:szCs w:val="20"/>
                <w:color w:val="auto"/>
              </w:rPr>
            </w:pPr>
            <w:r>
              <w:rPr>
                <w:rFonts w:ascii="Arial" w:cs="Arial" w:eastAsia="Arial" w:hAnsi="Arial"/>
                <w:sz w:val="18"/>
                <w:szCs w:val="18"/>
                <w:color w:val="auto"/>
              </w:rPr>
              <w:t>781</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172"/>
              <w:spacing w:after="0" w:line="202" w:lineRule="exact"/>
              <w:rPr>
                <w:sz w:val="20"/>
                <w:szCs w:val="20"/>
                <w:color w:val="auto"/>
              </w:rPr>
            </w:pPr>
            <w:r>
              <w:rPr>
                <w:rFonts w:ascii="Arial" w:cs="Arial" w:eastAsia="Arial" w:hAnsi="Arial"/>
                <w:sz w:val="18"/>
                <w:szCs w:val="18"/>
                <w:color w:val="auto"/>
              </w:rPr>
              <w:t>840</w:t>
            </w:r>
          </w:p>
        </w:tc>
        <w:tc>
          <w:tcPr>
            <w:tcW w:w="20" w:type="dxa"/>
            <w:vAlign w:val="bottom"/>
          </w:tcPr>
          <w:p>
            <w:pPr>
              <w:spacing w:after="0"/>
              <w:rPr>
                <w:sz w:val="17"/>
                <w:szCs w:val="17"/>
                <w:color w:val="auto"/>
              </w:rPr>
            </w:pPr>
          </w:p>
        </w:tc>
        <w:tc>
          <w:tcPr>
            <w:tcW w:w="14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w w:val="93"/>
              </w:rPr>
              <w:t>840</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RD&amp;E % Revenue</w:t>
            </w:r>
          </w:p>
        </w:tc>
        <w:tc>
          <w:tcPr>
            <w:tcW w:w="168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20" w:type="dxa"/>
            <w:vAlign w:val="bottom"/>
            <w:gridSpan w:val="2"/>
            <w:shd w:val="clear" w:color="auto" w:fill="E5E5E5"/>
          </w:tcPr>
          <w:p>
            <w:pPr>
              <w:jc w:val="right"/>
              <w:ind w:right="12"/>
              <w:spacing w:after="0" w:line="202" w:lineRule="exact"/>
              <w:rPr>
                <w:sz w:val="20"/>
                <w:szCs w:val="20"/>
                <w:color w:val="auto"/>
              </w:rPr>
            </w:pPr>
            <w:r>
              <w:rPr>
                <w:rFonts w:ascii="Arial" w:cs="Arial" w:eastAsia="Arial" w:hAnsi="Arial"/>
                <w:sz w:val="18"/>
                <w:szCs w:val="18"/>
                <w:color w:val="auto"/>
              </w:rPr>
              <w:t>3.6%</w:t>
            </w:r>
          </w:p>
        </w:tc>
        <w:tc>
          <w:tcPr>
            <w:tcW w:w="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40" w:type="dxa"/>
            <w:vAlign w:val="bottom"/>
            <w:gridSpan w:val="2"/>
            <w:shd w:val="clear" w:color="auto" w:fill="E5E5E5"/>
          </w:tcPr>
          <w:p>
            <w:pPr>
              <w:jc w:val="right"/>
              <w:ind w:right="12"/>
              <w:spacing w:after="0" w:line="202" w:lineRule="exact"/>
              <w:rPr>
                <w:sz w:val="20"/>
                <w:szCs w:val="20"/>
                <w:color w:val="auto"/>
              </w:rPr>
            </w:pPr>
            <w:r>
              <w:rPr>
                <w:rFonts w:ascii="Arial" w:cs="Arial" w:eastAsia="Arial" w:hAnsi="Arial"/>
                <w:sz w:val="18"/>
                <w:szCs w:val="18"/>
                <w:color w:val="auto"/>
              </w:rPr>
              <w:t>5.5%</w:t>
            </w:r>
          </w:p>
        </w:tc>
        <w:tc>
          <w:tcPr>
            <w:tcW w:w="2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48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color w:val="auto"/>
              </w:rPr>
              <w:t>4.0%</w:t>
            </w:r>
          </w:p>
        </w:tc>
        <w:tc>
          <w:tcPr>
            <w:tcW w:w="160" w:type="dxa"/>
            <w:vAlign w:val="bottom"/>
            <w:tcBorders>
              <w:right w:val="single" w:sz="8" w:color="E5E5E5"/>
            </w:tcBorders>
            <w:shd w:val="clear" w:color="auto" w:fill="E5E5E5"/>
          </w:tcPr>
          <w:p>
            <w:pPr>
              <w:spacing w:after="0"/>
              <w:rPr>
                <w:sz w:val="17"/>
                <w:szCs w:val="17"/>
                <w:color w:val="auto"/>
              </w:rPr>
            </w:pPr>
          </w:p>
        </w:tc>
        <w:tc>
          <w:tcPr>
            <w:tcW w:w="1000" w:type="dxa"/>
            <w:vAlign w:val="bottom"/>
            <w:gridSpan w:val="4"/>
            <w:shd w:val="clear" w:color="auto" w:fill="E5E5E5"/>
          </w:tcPr>
          <w:p>
            <w:pPr>
              <w:jc w:val="center"/>
              <w:ind w:right="320"/>
              <w:spacing w:after="0" w:line="202" w:lineRule="exact"/>
              <w:rPr>
                <w:sz w:val="20"/>
                <w:szCs w:val="20"/>
                <w:color w:val="auto"/>
              </w:rPr>
            </w:pPr>
            <w:r>
              <w:rPr>
                <w:rFonts w:ascii="Arial" w:cs="Arial" w:eastAsia="Arial" w:hAnsi="Arial"/>
                <w:sz w:val="18"/>
                <w:szCs w:val="18"/>
                <w:color w:val="auto"/>
                <w:w w:val="96"/>
              </w:rPr>
              <w:t>(1.9) pts</w:t>
            </w:r>
          </w:p>
        </w:tc>
        <w:tc>
          <w:tcPr>
            <w:tcW w:w="980" w:type="dxa"/>
            <w:vAlign w:val="bottom"/>
            <w:gridSpan w:val="3"/>
            <w:shd w:val="clear" w:color="auto" w:fill="E5E5E5"/>
          </w:tcPr>
          <w:p>
            <w:pPr>
              <w:jc w:val="center"/>
              <w:ind w:right="220"/>
              <w:spacing w:after="0" w:line="202" w:lineRule="exact"/>
              <w:rPr>
                <w:sz w:val="20"/>
                <w:szCs w:val="20"/>
                <w:color w:val="auto"/>
              </w:rPr>
            </w:pPr>
            <w:r>
              <w:rPr>
                <w:rFonts w:ascii="Arial" w:cs="Arial" w:eastAsia="Arial" w:hAnsi="Arial"/>
                <w:sz w:val="18"/>
                <w:szCs w:val="18"/>
                <w:color w:val="auto"/>
                <w:w w:val="96"/>
              </w:rPr>
              <w:t>(0.4) pts</w:t>
            </w:r>
          </w:p>
        </w:tc>
        <w:tc>
          <w:tcPr>
            <w:tcW w:w="0" w:type="dxa"/>
            <w:vAlign w:val="bottom"/>
          </w:tcPr>
          <w:p>
            <w:pPr>
              <w:spacing w:after="0"/>
              <w:rPr>
                <w:sz w:val="1"/>
                <w:szCs w:val="1"/>
                <w:color w:val="auto"/>
              </w:rPr>
            </w:pPr>
          </w:p>
        </w:tc>
      </w:tr>
      <w:tr>
        <w:trPr>
          <w:trHeight w:val="311"/>
        </w:trPr>
        <w:tc>
          <w:tcPr>
            <w:tcW w:w="4560" w:type="dxa"/>
            <w:vAlign w:val="bottom"/>
            <w:gridSpan w:val="3"/>
          </w:tcPr>
          <w:p>
            <w:pPr>
              <w:spacing w:after="0"/>
              <w:rPr>
                <w:sz w:val="20"/>
                <w:szCs w:val="20"/>
                <w:color w:val="auto"/>
              </w:rPr>
            </w:pPr>
            <w:r>
              <w:rPr>
                <w:rFonts w:ascii="Arial" w:cs="Arial" w:eastAsia="Arial" w:hAnsi="Arial"/>
                <w:sz w:val="18"/>
                <w:szCs w:val="18"/>
                <w:b w:val="1"/>
                <w:bCs w:val="1"/>
                <w:color w:val="auto"/>
              </w:rPr>
              <w:t>SAG</w:t>
            </w:r>
          </w:p>
        </w:tc>
        <w:tc>
          <w:tcPr>
            <w:tcW w:w="1840" w:type="dxa"/>
            <w:vAlign w:val="bottom"/>
            <w:gridSpan w:val="2"/>
          </w:tcPr>
          <w:p>
            <w:pPr>
              <w:ind w:left="1680"/>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4,594</w:t>
            </w:r>
          </w:p>
        </w:tc>
        <w:tc>
          <w:tcPr>
            <w:tcW w:w="24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4,149</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4,651</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SAG % Revenue</w:t>
            </w:r>
          </w:p>
        </w:tc>
        <w:tc>
          <w:tcPr>
            <w:tcW w:w="168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20" w:type="dxa"/>
            <w:vAlign w:val="bottom"/>
            <w:gridSpan w:val="2"/>
            <w:shd w:val="clear" w:color="auto" w:fill="E5E5E5"/>
          </w:tcPr>
          <w:p>
            <w:pPr>
              <w:jc w:val="right"/>
              <w:ind w:right="12"/>
              <w:spacing w:after="0" w:line="202" w:lineRule="exact"/>
              <w:rPr>
                <w:sz w:val="20"/>
                <w:szCs w:val="20"/>
                <w:color w:val="auto"/>
              </w:rPr>
            </w:pPr>
            <w:r>
              <w:rPr>
                <w:rFonts w:ascii="Arial" w:cs="Arial" w:eastAsia="Arial" w:hAnsi="Arial"/>
                <w:sz w:val="18"/>
                <w:szCs w:val="18"/>
                <w:color w:val="auto"/>
              </w:rPr>
              <w:t>21.2%</w:t>
            </w:r>
          </w:p>
        </w:tc>
        <w:tc>
          <w:tcPr>
            <w:tcW w:w="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40" w:type="dxa"/>
            <w:vAlign w:val="bottom"/>
            <w:gridSpan w:val="2"/>
            <w:shd w:val="clear" w:color="auto" w:fill="E5E5E5"/>
          </w:tcPr>
          <w:p>
            <w:pPr>
              <w:jc w:val="right"/>
              <w:ind w:right="12"/>
              <w:spacing w:after="0" w:line="202" w:lineRule="exact"/>
              <w:rPr>
                <w:sz w:val="20"/>
                <w:szCs w:val="20"/>
                <w:color w:val="auto"/>
              </w:rPr>
            </w:pPr>
            <w:r>
              <w:rPr>
                <w:rFonts w:ascii="Arial" w:cs="Arial" w:eastAsia="Arial" w:hAnsi="Arial"/>
                <w:sz w:val="18"/>
                <w:szCs w:val="18"/>
                <w:color w:val="auto"/>
              </w:rPr>
              <w:t>27.3%</w:t>
            </w:r>
          </w:p>
        </w:tc>
        <w:tc>
          <w:tcPr>
            <w:tcW w:w="2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800" w:type="dxa"/>
            <w:vAlign w:val="bottom"/>
            <w:gridSpan w:val="4"/>
            <w:shd w:val="clear" w:color="auto" w:fill="E5E5E5"/>
          </w:tcPr>
          <w:p>
            <w:pPr>
              <w:jc w:val="right"/>
              <w:ind w:right="20"/>
              <w:spacing w:after="0" w:line="202" w:lineRule="exact"/>
              <w:rPr>
                <w:sz w:val="20"/>
                <w:szCs w:val="20"/>
                <w:color w:val="auto"/>
              </w:rPr>
            </w:pPr>
            <w:r>
              <w:rPr>
                <w:rFonts w:ascii="Arial" w:cs="Arial" w:eastAsia="Arial" w:hAnsi="Arial"/>
                <w:sz w:val="18"/>
                <w:szCs w:val="18"/>
                <w:color w:val="auto"/>
              </w:rPr>
              <w:t>22.1%</w:t>
            </w:r>
          </w:p>
        </w:tc>
        <w:tc>
          <w:tcPr>
            <w:tcW w:w="160" w:type="dxa"/>
            <w:vAlign w:val="bottom"/>
            <w:tcBorders>
              <w:right w:val="single" w:sz="8" w:color="E5E5E5"/>
            </w:tcBorders>
            <w:shd w:val="clear" w:color="auto" w:fill="E5E5E5"/>
          </w:tcPr>
          <w:p>
            <w:pPr>
              <w:spacing w:after="0"/>
              <w:rPr>
                <w:sz w:val="17"/>
                <w:szCs w:val="17"/>
                <w:color w:val="auto"/>
              </w:rPr>
            </w:pPr>
          </w:p>
        </w:tc>
        <w:tc>
          <w:tcPr>
            <w:tcW w:w="1000" w:type="dxa"/>
            <w:vAlign w:val="bottom"/>
            <w:gridSpan w:val="4"/>
            <w:shd w:val="clear" w:color="auto" w:fill="E5E5E5"/>
          </w:tcPr>
          <w:p>
            <w:pPr>
              <w:jc w:val="center"/>
              <w:ind w:right="320"/>
              <w:spacing w:after="0" w:line="202" w:lineRule="exact"/>
              <w:rPr>
                <w:sz w:val="20"/>
                <w:szCs w:val="20"/>
                <w:color w:val="auto"/>
              </w:rPr>
            </w:pPr>
            <w:r>
              <w:rPr>
                <w:rFonts w:ascii="Arial" w:cs="Arial" w:eastAsia="Arial" w:hAnsi="Arial"/>
                <w:sz w:val="18"/>
                <w:szCs w:val="18"/>
                <w:color w:val="auto"/>
                <w:w w:val="96"/>
              </w:rPr>
              <w:t>(6.1) pts</w:t>
            </w:r>
          </w:p>
        </w:tc>
        <w:tc>
          <w:tcPr>
            <w:tcW w:w="980" w:type="dxa"/>
            <w:vAlign w:val="bottom"/>
            <w:gridSpan w:val="3"/>
            <w:shd w:val="clear" w:color="auto" w:fill="E5E5E5"/>
          </w:tcPr>
          <w:p>
            <w:pPr>
              <w:jc w:val="center"/>
              <w:ind w:right="220"/>
              <w:spacing w:after="0" w:line="202" w:lineRule="exact"/>
              <w:rPr>
                <w:sz w:val="20"/>
                <w:szCs w:val="20"/>
                <w:color w:val="auto"/>
              </w:rPr>
            </w:pPr>
            <w:r>
              <w:rPr>
                <w:rFonts w:ascii="Arial" w:cs="Arial" w:eastAsia="Arial" w:hAnsi="Arial"/>
                <w:sz w:val="18"/>
                <w:szCs w:val="18"/>
                <w:color w:val="auto"/>
                <w:w w:val="96"/>
              </w:rPr>
              <w:t>(0.9) pts</w:t>
            </w:r>
          </w:p>
        </w:tc>
        <w:tc>
          <w:tcPr>
            <w:tcW w:w="0" w:type="dxa"/>
            <w:vAlign w:val="bottom"/>
          </w:tcPr>
          <w:p>
            <w:pPr>
              <w:spacing w:after="0"/>
              <w:rPr>
                <w:sz w:val="1"/>
                <w:szCs w:val="1"/>
                <w:color w:val="auto"/>
              </w:rPr>
            </w:pPr>
          </w:p>
        </w:tc>
      </w:tr>
      <w:tr>
        <w:trPr>
          <w:trHeight w:val="700"/>
        </w:trPr>
        <w:tc>
          <w:tcPr>
            <w:tcW w:w="4560" w:type="dxa"/>
            <w:vAlign w:val="bottom"/>
            <w:gridSpan w:val="3"/>
          </w:tcPr>
          <w:p>
            <w:pPr>
              <w:spacing w:after="0"/>
              <w:rPr>
                <w:sz w:val="20"/>
                <w:szCs w:val="20"/>
                <w:color w:val="auto"/>
              </w:rPr>
            </w:pPr>
            <w:r>
              <w:rPr>
                <w:rFonts w:ascii="Arial" w:cs="Arial" w:eastAsia="Arial" w:hAnsi="Arial"/>
                <w:sz w:val="18"/>
                <w:szCs w:val="18"/>
                <w:b w:val="1"/>
                <w:bCs w:val="1"/>
                <w:color w:val="4C9F40"/>
              </w:rPr>
              <w:t>Services Segment</w:t>
            </w: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12"/>
          </w:tcPr>
          <w:p>
            <w:pPr>
              <w:jc w:val="right"/>
              <w:ind w:right="58"/>
              <w:spacing w:after="0"/>
              <w:rPr>
                <w:sz w:val="20"/>
                <w:szCs w:val="20"/>
                <w:color w:val="auto"/>
              </w:rPr>
            </w:pPr>
            <w:r>
              <w:rPr>
                <w:rFonts w:ascii="Arial" w:cs="Arial" w:eastAsia="Arial" w:hAnsi="Arial"/>
                <w:sz w:val="14"/>
                <w:szCs w:val="14"/>
                <w:color w:val="auto"/>
              </w:rPr>
              <w:t>Year Ended December 31,</w:t>
            </w: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vMerge w:val="restart"/>
          </w:tcPr>
          <w:p>
            <w:pPr>
              <w:jc w:val="center"/>
              <w:ind w:right="280"/>
              <w:spacing w:after="0"/>
              <w:rPr>
                <w:sz w:val="20"/>
                <w:szCs w:val="20"/>
                <w:color w:val="auto"/>
              </w:rPr>
            </w:pPr>
            <w:r>
              <w:rPr>
                <w:rFonts w:ascii="Arial" w:cs="Arial" w:eastAsia="Arial" w:hAnsi="Arial"/>
                <w:sz w:val="14"/>
                <w:szCs w:val="14"/>
                <w:color w:val="auto"/>
                <w:w w:val="96"/>
              </w:rPr>
              <w:t>Pro-forma</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3"/>
          </w:tcPr>
          <w:p>
            <w:pPr>
              <w:spacing w:after="0" w:line="115" w:lineRule="exact"/>
              <w:rPr>
                <w:sz w:val="20"/>
                <w:szCs w:val="20"/>
                <w:color w:val="auto"/>
              </w:rPr>
            </w:pPr>
            <w:r>
              <w:rPr>
                <w:rFonts w:ascii="Arial" w:cs="Arial" w:eastAsia="Arial" w:hAnsi="Arial"/>
                <w:sz w:val="12"/>
                <w:szCs w:val="12"/>
                <w:color w:val="auto"/>
              </w:rPr>
              <w:t>As Reported</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4"/>
          </w:tcPr>
          <w:p>
            <w:pPr>
              <w:spacing w:after="0" w:line="115" w:lineRule="exact"/>
              <w:rPr>
                <w:sz w:val="20"/>
                <w:szCs w:val="20"/>
                <w:color w:val="auto"/>
              </w:rPr>
            </w:pPr>
            <w:r>
              <w:rPr>
                <w:rFonts w:ascii="Arial" w:cs="Arial" w:eastAsia="Arial" w:hAnsi="Arial"/>
                <w:sz w:val="12"/>
                <w:szCs w:val="12"/>
                <w:color w:val="auto"/>
              </w:rPr>
              <w:t>As Reported</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3"/>
          </w:tcPr>
          <w:p>
            <w:pPr>
              <w:ind w:left="20"/>
              <w:spacing w:after="0" w:line="115" w:lineRule="exact"/>
              <w:rPr>
                <w:sz w:val="20"/>
                <w:szCs w:val="20"/>
                <w:color w:val="auto"/>
              </w:rPr>
            </w:pPr>
            <w:r>
              <w:rPr>
                <w:rFonts w:ascii="Arial" w:cs="Arial" w:eastAsia="Arial" w:hAnsi="Arial"/>
                <w:sz w:val="12"/>
                <w:szCs w:val="12"/>
                <w:color w:val="auto"/>
              </w:rPr>
              <w:t>Pro-forma</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4560" w:type="dxa"/>
            <w:vAlign w:val="bottom"/>
            <w:gridSpan w:val="3"/>
          </w:tcPr>
          <w:p>
            <w:pPr>
              <w:spacing w:after="0"/>
              <w:rPr>
                <w:sz w:val="20"/>
                <w:szCs w:val="20"/>
                <w:color w:val="auto"/>
              </w:rPr>
            </w:pPr>
            <w:r>
              <w:rPr>
                <w:rFonts w:ascii="Arial" w:cs="Arial" w:eastAsia="Arial" w:hAnsi="Arial"/>
                <w:sz w:val="14"/>
                <w:szCs w:val="14"/>
                <w:color w:val="auto"/>
              </w:rPr>
              <w:t>(in millions)</w:t>
            </w:r>
          </w:p>
        </w:tc>
        <w:tc>
          <w:tcPr>
            <w:tcW w:w="1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jc w:val="right"/>
              <w:ind w:right="152"/>
              <w:spacing w:after="0"/>
              <w:rPr>
                <w:sz w:val="20"/>
                <w:szCs w:val="20"/>
                <w:color w:val="auto"/>
              </w:rPr>
            </w:pPr>
            <w:r>
              <w:rPr>
                <w:rFonts w:ascii="Arial" w:cs="Arial" w:eastAsia="Arial" w:hAnsi="Arial"/>
                <w:sz w:val="14"/>
                <w:szCs w:val="14"/>
                <w:color w:val="auto"/>
              </w:rPr>
              <w:t>2010</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jc w:val="right"/>
              <w:ind w:right="152"/>
              <w:spacing w:after="0"/>
              <w:rPr>
                <w:sz w:val="20"/>
                <w:szCs w:val="20"/>
                <w:color w:val="auto"/>
              </w:rPr>
            </w:pPr>
            <w:r>
              <w:rPr>
                <w:rFonts w:ascii="Arial" w:cs="Arial" w:eastAsia="Arial" w:hAnsi="Arial"/>
                <w:sz w:val="14"/>
                <w:szCs w:val="14"/>
                <w:color w:val="auto"/>
              </w:rPr>
              <w:t>2009</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4"/>
          </w:tcPr>
          <w:p>
            <w:pPr>
              <w:jc w:val="right"/>
              <w:ind w:right="100"/>
              <w:spacing w:after="0" w:line="176" w:lineRule="exact"/>
              <w:rPr>
                <w:sz w:val="20"/>
                <w:szCs w:val="20"/>
                <w:color w:val="auto"/>
              </w:rPr>
            </w:pPr>
            <w:r>
              <w:rPr>
                <w:rFonts w:ascii="Arial" w:cs="Arial" w:eastAsia="Arial" w:hAnsi="Arial"/>
                <w:sz w:val="13"/>
                <w:szCs w:val="13"/>
                <w:color w:val="auto"/>
              </w:rPr>
              <w:t xml:space="preserve">2009 </w:t>
            </w:r>
            <w:r>
              <w:rPr>
                <w:rFonts w:ascii="Arial" w:cs="Arial" w:eastAsia="Arial" w:hAnsi="Arial"/>
                <w:sz w:val="20"/>
                <w:szCs w:val="20"/>
                <w:color w:val="auto"/>
                <w:vertAlign w:val="superscript"/>
              </w:rPr>
              <w:t>(1)</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3"/>
          </w:tcPr>
          <w:p>
            <w:pPr>
              <w:jc w:val="right"/>
              <w:ind w:right="320"/>
              <w:spacing w:after="0"/>
              <w:rPr>
                <w:sz w:val="20"/>
                <w:szCs w:val="20"/>
                <w:color w:val="auto"/>
              </w:rPr>
            </w:pPr>
            <w:r>
              <w:rPr>
                <w:rFonts w:ascii="Arial" w:cs="Arial" w:eastAsia="Arial" w:hAnsi="Arial"/>
                <w:sz w:val="14"/>
                <w:szCs w:val="14"/>
                <w:color w:val="auto"/>
              </w:rPr>
              <w:t>Change</w:t>
            </w:r>
          </w:p>
        </w:tc>
        <w:tc>
          <w:tcPr>
            <w:tcW w:w="100" w:type="dxa"/>
            <w:vAlign w:val="bottom"/>
          </w:tcPr>
          <w:p>
            <w:pPr>
              <w:spacing w:after="0"/>
              <w:rPr>
                <w:sz w:val="15"/>
                <w:szCs w:val="15"/>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color w:val="auto"/>
                <w:w w:val="97"/>
              </w:rPr>
              <w:t>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6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540" w:type="dxa"/>
            <w:vAlign w:val="bottom"/>
            <w:gridSpan w:val="2"/>
            <w:shd w:val="clear" w:color="auto" w:fill="E5E5E5"/>
          </w:tcPr>
          <w:p>
            <w:pPr>
              <w:spacing w:after="0" w:line="196" w:lineRule="exact"/>
              <w:rPr>
                <w:sz w:val="20"/>
                <w:szCs w:val="20"/>
                <w:color w:val="auto"/>
              </w:rPr>
            </w:pPr>
            <w:r>
              <w:rPr>
                <w:rFonts w:ascii="Arial" w:cs="Arial" w:eastAsia="Arial" w:hAnsi="Arial"/>
                <w:sz w:val="18"/>
                <w:szCs w:val="18"/>
                <w:color w:val="auto"/>
              </w:rPr>
              <w:t>Document Outsourcing</w:t>
            </w:r>
          </w:p>
        </w:tc>
        <w:tc>
          <w:tcPr>
            <w:tcW w:w="168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220" w:type="dxa"/>
            <w:vAlign w:val="bottom"/>
            <w:gridSpan w:val="2"/>
            <w:shd w:val="clear" w:color="auto" w:fill="E5E5E5"/>
          </w:tcPr>
          <w:p>
            <w:pPr>
              <w:ind w:left="100"/>
              <w:spacing w:after="0" w:line="196" w:lineRule="exact"/>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E5E5E5"/>
          </w:tcPr>
          <w:p>
            <w:pPr>
              <w:jc w:val="right"/>
              <w:spacing w:after="0" w:line="196" w:lineRule="exact"/>
              <w:rPr>
                <w:sz w:val="20"/>
                <w:szCs w:val="20"/>
                <w:color w:val="auto"/>
              </w:rPr>
            </w:pPr>
            <w:r>
              <w:rPr>
                <w:rFonts w:ascii="Arial" w:cs="Arial" w:eastAsia="Arial" w:hAnsi="Arial"/>
                <w:sz w:val="18"/>
                <w:szCs w:val="18"/>
                <w:color w:val="auto"/>
              </w:rPr>
              <w:t>3,297</w:t>
            </w:r>
          </w:p>
        </w:tc>
        <w:tc>
          <w:tcPr>
            <w:tcW w:w="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220" w:type="dxa"/>
            <w:vAlign w:val="bottom"/>
            <w:gridSpan w:val="2"/>
            <w:shd w:val="clear" w:color="auto" w:fill="E5E5E5"/>
          </w:tcPr>
          <w:p>
            <w:pPr>
              <w:ind w:left="100"/>
              <w:spacing w:after="0" w:line="196" w:lineRule="exact"/>
              <w:rPr>
                <w:sz w:val="20"/>
                <w:szCs w:val="20"/>
                <w:color w:val="auto"/>
              </w:rPr>
            </w:pPr>
            <w:r>
              <w:rPr>
                <w:rFonts w:ascii="Arial" w:cs="Arial" w:eastAsia="Arial" w:hAnsi="Arial"/>
                <w:sz w:val="18"/>
                <w:szCs w:val="18"/>
                <w:color w:val="auto"/>
                <w:w w:val="99"/>
              </w:rPr>
              <w:t>$</w:t>
            </w:r>
          </w:p>
        </w:tc>
        <w:tc>
          <w:tcPr>
            <w:tcW w:w="660" w:type="dxa"/>
            <w:vAlign w:val="bottom"/>
            <w:gridSpan w:val="3"/>
            <w:shd w:val="clear" w:color="auto" w:fill="E5E5E5"/>
          </w:tcPr>
          <w:p>
            <w:pPr>
              <w:jc w:val="right"/>
              <w:ind w:right="20"/>
              <w:spacing w:after="0" w:line="196" w:lineRule="exact"/>
              <w:rPr>
                <w:sz w:val="20"/>
                <w:szCs w:val="20"/>
                <w:color w:val="auto"/>
              </w:rPr>
            </w:pPr>
            <w:r>
              <w:rPr>
                <w:rFonts w:ascii="Arial" w:cs="Arial" w:eastAsia="Arial" w:hAnsi="Arial"/>
                <w:sz w:val="18"/>
                <w:szCs w:val="18"/>
                <w:color w:val="auto"/>
              </w:rPr>
              <w:t>3,382</w:t>
            </w:r>
          </w:p>
        </w:tc>
        <w:tc>
          <w:tcPr>
            <w:tcW w:w="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320" w:type="dxa"/>
            <w:vAlign w:val="bottom"/>
            <w:gridSpan w:val="2"/>
            <w:shd w:val="clear" w:color="auto" w:fill="E5E5E5"/>
          </w:tcPr>
          <w:p>
            <w:pPr>
              <w:ind w:left="140"/>
              <w:spacing w:after="0" w:line="196" w:lineRule="exact"/>
              <w:rPr>
                <w:sz w:val="20"/>
                <w:szCs w:val="20"/>
                <w:color w:val="auto"/>
              </w:rPr>
            </w:pPr>
            <w:r>
              <w:rPr>
                <w:rFonts w:ascii="Arial" w:cs="Arial" w:eastAsia="Arial" w:hAnsi="Arial"/>
                <w:sz w:val="18"/>
                <w:szCs w:val="18"/>
                <w:color w:val="auto"/>
              </w:rPr>
              <w:t>$</w:t>
            </w:r>
          </w:p>
        </w:tc>
        <w:tc>
          <w:tcPr>
            <w:tcW w:w="480" w:type="dxa"/>
            <w:vAlign w:val="bottom"/>
            <w:gridSpan w:val="2"/>
            <w:shd w:val="clear" w:color="auto" w:fill="E5E5E5"/>
          </w:tcPr>
          <w:p>
            <w:pPr>
              <w:jc w:val="right"/>
              <w:spacing w:after="0" w:line="196" w:lineRule="exact"/>
              <w:rPr>
                <w:sz w:val="20"/>
                <w:szCs w:val="20"/>
                <w:color w:val="auto"/>
              </w:rPr>
            </w:pPr>
            <w:r>
              <w:rPr>
                <w:rFonts w:ascii="Arial" w:cs="Arial" w:eastAsia="Arial" w:hAnsi="Arial"/>
                <w:sz w:val="18"/>
                <w:szCs w:val="18"/>
                <w:color w:val="auto"/>
              </w:rPr>
              <w:t>3,382</w:t>
            </w:r>
          </w:p>
        </w:tc>
        <w:tc>
          <w:tcPr>
            <w:tcW w:w="160" w:type="dxa"/>
            <w:vAlign w:val="bottom"/>
            <w:tcBorders>
              <w:right w:val="single" w:sz="8" w:color="E5E5E5"/>
            </w:tcBorders>
            <w:shd w:val="clear" w:color="auto" w:fill="E5E5E5"/>
          </w:tcPr>
          <w:p>
            <w:pPr>
              <w:spacing w:after="0"/>
              <w:rPr>
                <w:sz w:val="17"/>
                <w:szCs w:val="17"/>
                <w:color w:val="auto"/>
              </w:rPr>
            </w:pPr>
          </w:p>
        </w:tc>
        <w:tc>
          <w:tcPr>
            <w:tcW w:w="1000" w:type="dxa"/>
            <w:vAlign w:val="bottom"/>
            <w:gridSpan w:val="4"/>
            <w:shd w:val="clear" w:color="auto" w:fill="E5E5E5"/>
          </w:tcPr>
          <w:p>
            <w:pPr>
              <w:jc w:val="right"/>
              <w:ind w:right="40"/>
              <w:spacing w:after="0" w:line="196" w:lineRule="exact"/>
              <w:rPr>
                <w:sz w:val="20"/>
                <w:szCs w:val="20"/>
                <w:color w:val="auto"/>
              </w:rPr>
            </w:pPr>
            <w:r>
              <w:rPr>
                <w:rFonts w:ascii="Arial" w:cs="Arial" w:eastAsia="Arial" w:hAnsi="Arial"/>
                <w:sz w:val="18"/>
                <w:szCs w:val="18"/>
                <w:color w:val="auto"/>
              </w:rPr>
              <w:t>(3)%</w:t>
            </w:r>
          </w:p>
        </w:tc>
        <w:tc>
          <w:tcPr>
            <w:tcW w:w="980" w:type="dxa"/>
            <w:vAlign w:val="bottom"/>
            <w:gridSpan w:val="3"/>
            <w:shd w:val="clear" w:color="auto" w:fill="E5E5E5"/>
          </w:tcPr>
          <w:p>
            <w:pPr>
              <w:jc w:val="right"/>
              <w:ind w:right="6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4560" w:type="dxa"/>
            <w:vAlign w:val="bottom"/>
            <w:gridSpan w:val="3"/>
          </w:tcPr>
          <w:p>
            <w:pPr>
              <w:spacing w:after="0" w:line="202" w:lineRule="exact"/>
              <w:rPr>
                <w:sz w:val="20"/>
                <w:szCs w:val="20"/>
                <w:color w:val="auto"/>
              </w:rPr>
            </w:pPr>
            <w:r>
              <w:rPr>
                <w:rFonts w:ascii="Arial" w:cs="Arial" w:eastAsia="Arial" w:hAnsi="Arial"/>
                <w:sz w:val="18"/>
                <w:szCs w:val="18"/>
                <w:color w:val="auto"/>
              </w:rPr>
              <w:t>Business Processing Outsourcing</w:t>
            </w:r>
          </w:p>
        </w:tc>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5,112</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94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4,751</w:t>
            </w:r>
          </w:p>
        </w:tc>
        <w:tc>
          <w:tcPr>
            <w:tcW w:w="160" w:type="dxa"/>
            <w:vAlign w:val="bottom"/>
          </w:tcPr>
          <w:p>
            <w:pPr>
              <w:spacing w:after="0"/>
              <w:rPr>
                <w:sz w:val="17"/>
                <w:szCs w:val="17"/>
                <w:color w:val="auto"/>
              </w:rPr>
            </w:pPr>
          </w:p>
        </w:tc>
        <w:tc>
          <w:tcPr>
            <w:tcW w:w="660" w:type="dxa"/>
            <w:vAlign w:val="bottom"/>
            <w:gridSpan w:val="2"/>
          </w:tcPr>
          <w:p>
            <w:pPr>
              <w:jc w:val="center"/>
              <w:ind w:left="193"/>
              <w:spacing w:after="0" w:line="202" w:lineRule="exact"/>
              <w:rPr>
                <w:sz w:val="20"/>
                <w:szCs w:val="20"/>
                <w:color w:val="auto"/>
              </w:rPr>
            </w:pPr>
            <w:r>
              <w:rPr>
                <w:rFonts w:ascii="Arial" w:cs="Arial" w:eastAsia="Arial" w:hAnsi="Arial"/>
                <w:sz w:val="18"/>
                <w:szCs w:val="18"/>
                <w:color w:val="auto"/>
                <w:w w:val="84"/>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Information Technology Outsourcing</w:t>
            </w:r>
          </w:p>
        </w:tc>
        <w:tc>
          <w:tcPr>
            <w:tcW w:w="168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2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1,249</w:t>
            </w:r>
          </w:p>
        </w:tc>
        <w:tc>
          <w:tcPr>
            <w:tcW w:w="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28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48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1,246</w:t>
            </w:r>
          </w:p>
        </w:tc>
        <w:tc>
          <w:tcPr>
            <w:tcW w:w="160" w:type="dxa"/>
            <w:vAlign w:val="bottom"/>
            <w:tcBorders>
              <w:right w:val="single" w:sz="8" w:color="E5E5E5"/>
            </w:tcBorders>
            <w:shd w:val="clear" w:color="auto" w:fill="E5E5E5"/>
          </w:tcPr>
          <w:p>
            <w:pPr>
              <w:spacing w:after="0"/>
              <w:rPr>
                <w:sz w:val="17"/>
                <w:szCs w:val="17"/>
                <w:color w:val="auto"/>
              </w:rPr>
            </w:pPr>
          </w:p>
        </w:tc>
        <w:tc>
          <w:tcPr>
            <w:tcW w:w="660" w:type="dxa"/>
            <w:vAlign w:val="bottom"/>
            <w:gridSpan w:val="2"/>
            <w:shd w:val="clear" w:color="auto" w:fill="E5E5E5"/>
          </w:tcPr>
          <w:p>
            <w:pPr>
              <w:jc w:val="center"/>
              <w:ind w:left="193"/>
              <w:spacing w:after="0" w:line="202" w:lineRule="exact"/>
              <w:rPr>
                <w:sz w:val="20"/>
                <w:szCs w:val="20"/>
                <w:color w:val="auto"/>
              </w:rPr>
            </w:pPr>
            <w:r>
              <w:rPr>
                <w:rFonts w:ascii="Arial" w:cs="Arial" w:eastAsia="Arial" w:hAnsi="Arial"/>
                <w:sz w:val="18"/>
                <w:szCs w:val="18"/>
                <w:color w:val="auto"/>
                <w:w w:val="84"/>
              </w:rPr>
              <w:t>*</w:t>
            </w:r>
          </w:p>
        </w:tc>
        <w:tc>
          <w:tcPr>
            <w:tcW w:w="8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560" w:type="dxa"/>
            <w:vAlign w:val="bottom"/>
            <w:gridSpan w:val="3"/>
          </w:tcPr>
          <w:p>
            <w:pPr>
              <w:spacing w:after="0" w:line="202" w:lineRule="exact"/>
              <w:rPr>
                <w:sz w:val="20"/>
                <w:szCs w:val="20"/>
                <w:color w:val="auto"/>
              </w:rPr>
            </w:pPr>
            <w:r>
              <w:rPr>
                <w:rFonts w:ascii="Arial" w:cs="Arial" w:eastAsia="Arial" w:hAnsi="Arial"/>
                <w:sz w:val="18"/>
                <w:szCs w:val="18"/>
                <w:color w:val="auto"/>
              </w:rPr>
              <w:t>Less: Intra-segment eliminations</w:t>
            </w:r>
          </w:p>
        </w:tc>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4"/>
          </w:tcPr>
          <w:p>
            <w:pPr>
              <w:jc w:val="right"/>
              <w:ind w:right="85"/>
              <w:spacing w:after="0" w:line="202" w:lineRule="exact"/>
              <w:rPr>
                <w:sz w:val="20"/>
                <w:szCs w:val="20"/>
                <w:color w:val="auto"/>
              </w:rPr>
            </w:pPr>
            <w:r>
              <w:rPr>
                <w:rFonts w:ascii="Arial" w:cs="Arial" w:eastAsia="Arial" w:hAnsi="Arial"/>
                <w:sz w:val="18"/>
                <w:szCs w:val="18"/>
                <w:color w:val="auto"/>
              </w:rPr>
              <w:t>(21)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tcPr>
          <w:p>
            <w:pPr>
              <w:jc w:val="center"/>
              <w:ind w:left="193"/>
              <w:spacing w:after="0" w:line="202" w:lineRule="exact"/>
              <w:rPr>
                <w:sz w:val="20"/>
                <w:szCs w:val="20"/>
                <w:color w:val="auto"/>
              </w:rPr>
            </w:pPr>
            <w:r>
              <w:rPr>
                <w:rFonts w:ascii="Arial" w:cs="Arial" w:eastAsia="Arial" w:hAnsi="Arial"/>
                <w:sz w:val="18"/>
                <w:szCs w:val="18"/>
                <w:color w:val="auto"/>
                <w:w w:val="84"/>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gridSpan w:val="2"/>
          </w:tcPr>
          <w:p>
            <w:pPr>
              <w:jc w:val="right"/>
              <w:ind w:right="161"/>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4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Total Revenue – Services</w:t>
            </w:r>
          </w:p>
        </w:tc>
        <w:tc>
          <w:tcPr>
            <w:tcW w:w="168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220" w:type="dxa"/>
            <w:vAlign w:val="bottom"/>
            <w:gridSpan w:val="2"/>
            <w:shd w:val="clear" w:color="auto" w:fill="E5E5E5"/>
          </w:tcPr>
          <w:p>
            <w:pPr>
              <w:ind w:left="100"/>
              <w:spacing w:after="0" w:line="202" w:lineRule="exact"/>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9,637</w:t>
            </w:r>
          </w:p>
        </w:tc>
        <w:tc>
          <w:tcPr>
            <w:tcW w:w="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220" w:type="dxa"/>
            <w:vAlign w:val="bottom"/>
            <w:gridSpan w:val="2"/>
            <w:shd w:val="clear" w:color="auto" w:fill="E5E5E5"/>
          </w:tcPr>
          <w:p>
            <w:pPr>
              <w:ind w:left="100"/>
              <w:spacing w:after="0" w:line="202" w:lineRule="exact"/>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3,476</w:t>
            </w:r>
          </w:p>
        </w:tc>
        <w:tc>
          <w:tcPr>
            <w:tcW w:w="2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320" w:type="dxa"/>
            <w:vAlign w:val="bottom"/>
            <w:gridSpan w:val="2"/>
            <w:shd w:val="clear" w:color="auto" w:fill="E5E5E5"/>
          </w:tcPr>
          <w:p>
            <w:pPr>
              <w:ind w:left="140"/>
              <w:spacing w:after="0" w:line="202" w:lineRule="exact"/>
              <w:rPr>
                <w:sz w:val="20"/>
                <w:szCs w:val="20"/>
                <w:color w:val="auto"/>
              </w:rPr>
            </w:pPr>
            <w:r>
              <w:rPr>
                <w:rFonts w:ascii="Arial" w:cs="Arial" w:eastAsia="Arial" w:hAnsi="Arial"/>
                <w:sz w:val="18"/>
                <w:szCs w:val="18"/>
                <w:color w:val="auto"/>
              </w:rPr>
              <w:t>$</w:t>
            </w:r>
          </w:p>
        </w:tc>
        <w:tc>
          <w:tcPr>
            <w:tcW w:w="48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9,379</w:t>
            </w:r>
          </w:p>
        </w:tc>
        <w:tc>
          <w:tcPr>
            <w:tcW w:w="160" w:type="dxa"/>
            <w:vAlign w:val="bottom"/>
            <w:tcBorders>
              <w:right w:val="single" w:sz="8" w:color="E5E5E5"/>
            </w:tcBorders>
            <w:shd w:val="clear" w:color="auto" w:fill="E5E5E5"/>
          </w:tcPr>
          <w:p>
            <w:pPr>
              <w:spacing w:after="0"/>
              <w:rPr>
                <w:sz w:val="17"/>
                <w:szCs w:val="17"/>
                <w:color w:val="auto"/>
              </w:rPr>
            </w:pPr>
          </w:p>
        </w:tc>
        <w:tc>
          <w:tcPr>
            <w:tcW w:w="1000" w:type="dxa"/>
            <w:vAlign w:val="bottom"/>
            <w:gridSpan w:val="4"/>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177%</w:t>
            </w:r>
          </w:p>
        </w:tc>
        <w:tc>
          <w:tcPr>
            <w:tcW w:w="980" w:type="dxa"/>
            <w:vAlign w:val="bottom"/>
            <w:gridSpan w:val="3"/>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5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Segment Profit – Services</w:t>
            </w:r>
          </w:p>
        </w:tc>
        <w:tc>
          <w:tcPr>
            <w:tcW w:w="1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560" w:type="dxa"/>
            <w:vAlign w:val="bottom"/>
            <w:gridSpan w:val="3"/>
            <w:vMerge w:val="continue"/>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1,132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231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1,008</w:t>
            </w:r>
          </w:p>
        </w:tc>
        <w:tc>
          <w:tcPr>
            <w:tcW w:w="160" w:type="dxa"/>
            <w:vAlign w:val="bottom"/>
          </w:tcPr>
          <w:p>
            <w:pPr>
              <w:spacing w:after="0"/>
              <w:rPr>
                <w:sz w:val="24"/>
                <w:szCs w:val="24"/>
                <w:color w:val="auto"/>
              </w:rPr>
            </w:pPr>
          </w:p>
        </w:tc>
        <w:tc>
          <w:tcPr>
            <w:tcW w:w="1000" w:type="dxa"/>
            <w:vAlign w:val="bottom"/>
            <w:gridSpan w:val="4"/>
          </w:tcPr>
          <w:p>
            <w:pPr>
              <w:jc w:val="right"/>
              <w:ind w:right="100"/>
              <w:spacing w:after="0"/>
              <w:rPr>
                <w:sz w:val="20"/>
                <w:szCs w:val="20"/>
                <w:color w:val="auto"/>
              </w:rPr>
            </w:pPr>
            <w:r>
              <w:rPr>
                <w:rFonts w:ascii="Arial" w:cs="Arial" w:eastAsia="Arial" w:hAnsi="Arial"/>
                <w:sz w:val="18"/>
                <w:szCs w:val="18"/>
                <w:color w:val="auto"/>
              </w:rPr>
              <w:t>390%</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680" w:type="dxa"/>
            <w:vAlign w:val="bottom"/>
          </w:tcPr>
          <w:p>
            <w:pPr>
              <w:spacing w:after="0"/>
              <w:rPr>
                <w:sz w:val="8"/>
                <w:szCs w:val="8"/>
                <w:color w:val="auto"/>
              </w:rPr>
            </w:pPr>
          </w:p>
        </w:tc>
        <w:tc>
          <w:tcPr>
            <w:tcW w:w="38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4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Segment Margin – Services</w:t>
            </w:r>
          </w:p>
        </w:tc>
        <w:tc>
          <w:tcPr>
            <w:tcW w:w="168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840" w:type="dxa"/>
            <w:vAlign w:val="bottom"/>
            <w:gridSpan w:val="4"/>
            <w:shd w:val="clear" w:color="auto" w:fill="E5E5E5"/>
          </w:tcPr>
          <w:p>
            <w:pPr>
              <w:jc w:val="right"/>
              <w:spacing w:after="0" w:line="202" w:lineRule="exact"/>
              <w:rPr>
                <w:sz w:val="20"/>
                <w:szCs w:val="20"/>
                <w:color w:val="auto"/>
              </w:rPr>
            </w:pPr>
            <w:r>
              <w:rPr>
                <w:rFonts w:ascii="Arial" w:cs="Arial" w:eastAsia="Arial" w:hAnsi="Arial"/>
                <w:sz w:val="18"/>
                <w:szCs w:val="18"/>
                <w:color w:val="auto"/>
              </w:rPr>
              <w:t>11.7%</w:t>
            </w:r>
          </w:p>
        </w:tc>
        <w:tc>
          <w:tcPr>
            <w:tcW w:w="1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800" w:type="dxa"/>
            <w:vAlign w:val="bottom"/>
            <w:gridSpan w:val="5"/>
            <w:shd w:val="clear" w:color="auto" w:fill="E5E5E5"/>
          </w:tcPr>
          <w:p>
            <w:pPr>
              <w:jc w:val="right"/>
              <w:spacing w:after="0" w:line="202" w:lineRule="exact"/>
              <w:rPr>
                <w:sz w:val="20"/>
                <w:szCs w:val="20"/>
                <w:color w:val="auto"/>
              </w:rPr>
            </w:pPr>
            <w:r>
              <w:rPr>
                <w:rFonts w:ascii="Arial" w:cs="Arial" w:eastAsia="Arial" w:hAnsi="Arial"/>
                <w:sz w:val="18"/>
                <w:szCs w:val="18"/>
                <w:color w:val="auto"/>
              </w:rPr>
              <w:t>6.6%</w:t>
            </w:r>
          </w:p>
        </w:tc>
        <w:tc>
          <w:tcPr>
            <w:tcW w:w="14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640" w:type="dxa"/>
            <w:vAlign w:val="bottom"/>
            <w:tcBorders>
              <w:right w:val="single" w:sz="8" w:color="E5E5E5"/>
            </w:tcBorders>
            <w:gridSpan w:val="3"/>
            <w:shd w:val="clear" w:color="auto" w:fill="E5E5E5"/>
          </w:tcPr>
          <w:p>
            <w:pPr>
              <w:jc w:val="right"/>
              <w:ind w:right="20"/>
              <w:spacing w:after="0" w:line="202" w:lineRule="exact"/>
              <w:rPr>
                <w:sz w:val="20"/>
                <w:szCs w:val="20"/>
                <w:color w:val="auto"/>
              </w:rPr>
            </w:pPr>
            <w:r>
              <w:rPr>
                <w:rFonts w:ascii="Arial" w:cs="Arial" w:eastAsia="Arial" w:hAnsi="Arial"/>
                <w:sz w:val="18"/>
                <w:szCs w:val="18"/>
                <w:color w:val="auto"/>
              </w:rPr>
              <w:t>10.7%</w:t>
            </w:r>
          </w:p>
        </w:tc>
        <w:tc>
          <w:tcPr>
            <w:tcW w:w="140" w:type="dxa"/>
            <w:vAlign w:val="bottom"/>
            <w:shd w:val="clear" w:color="auto" w:fill="E5E5E5"/>
          </w:tcPr>
          <w:p>
            <w:pPr>
              <w:spacing w:after="0"/>
              <w:rPr>
                <w:sz w:val="17"/>
                <w:szCs w:val="17"/>
                <w:color w:val="auto"/>
              </w:rPr>
            </w:pPr>
          </w:p>
        </w:tc>
        <w:tc>
          <w:tcPr>
            <w:tcW w:w="860" w:type="dxa"/>
            <w:vAlign w:val="bottom"/>
            <w:gridSpan w:val="3"/>
            <w:shd w:val="clear" w:color="auto" w:fill="E5E5E5"/>
          </w:tcPr>
          <w:p>
            <w:pPr>
              <w:jc w:val="center"/>
              <w:ind w:right="200"/>
              <w:spacing w:after="0" w:line="202" w:lineRule="exact"/>
              <w:rPr>
                <w:sz w:val="20"/>
                <w:szCs w:val="20"/>
                <w:color w:val="auto"/>
              </w:rPr>
            </w:pPr>
            <w:r>
              <w:rPr>
                <w:rFonts w:ascii="Arial" w:cs="Arial" w:eastAsia="Arial" w:hAnsi="Arial"/>
                <w:sz w:val="18"/>
                <w:szCs w:val="18"/>
                <w:color w:val="auto"/>
                <w:w w:val="99"/>
              </w:rPr>
              <w:t>5.1 pts</w:t>
            </w:r>
          </w:p>
        </w:tc>
        <w:tc>
          <w:tcPr>
            <w:tcW w:w="10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280"/>
              <w:spacing w:after="0" w:line="202" w:lineRule="exact"/>
              <w:rPr>
                <w:sz w:val="20"/>
                <w:szCs w:val="20"/>
                <w:color w:val="auto"/>
              </w:rPr>
            </w:pPr>
            <w:r>
              <w:rPr>
                <w:rFonts w:ascii="Arial" w:cs="Arial" w:eastAsia="Arial" w:hAnsi="Arial"/>
                <w:sz w:val="18"/>
                <w:szCs w:val="18"/>
                <w:color w:val="auto"/>
              </w:rPr>
              <w:t>1.0 pts</w:t>
            </w:r>
          </w:p>
        </w:tc>
        <w:tc>
          <w:tcPr>
            <w:tcW w:w="0" w:type="dxa"/>
            <w:vAlign w:val="bottom"/>
          </w:tcPr>
          <w:p>
            <w:pPr>
              <w:spacing w:after="0"/>
              <w:rPr>
                <w:sz w:val="1"/>
                <w:szCs w:val="1"/>
                <w:color w:val="auto"/>
              </w:rPr>
            </w:pPr>
          </w:p>
        </w:tc>
      </w:tr>
      <w:tr>
        <w:trPr>
          <w:trHeight w:val="20"/>
        </w:trPr>
        <w:tc>
          <w:tcPr>
            <w:tcW w:w="4560" w:type="dxa"/>
            <w:vAlign w:val="bottom"/>
            <w:gridSpan w:val="3"/>
            <w:vMerge w:val="restart"/>
          </w:tcPr>
          <w:p>
            <w:pPr>
              <w:spacing w:after="0"/>
              <w:rPr>
                <w:sz w:val="20"/>
                <w:szCs w:val="20"/>
                <w:color w:val="auto"/>
              </w:rPr>
            </w:pPr>
            <w:r>
              <w:rPr>
                <w:rFonts w:ascii="Arial" w:cs="Arial" w:eastAsia="Arial" w:hAnsi="Arial"/>
                <w:sz w:val="14"/>
                <w:szCs w:val="14"/>
                <w:color w:val="auto"/>
              </w:rPr>
              <w:t>* Percent change not meaningful.</w:t>
            </w:r>
          </w:p>
        </w:tc>
        <w:tc>
          <w:tcPr>
            <w:tcW w:w="1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560" w:type="dxa"/>
            <w:vAlign w:val="bottom"/>
            <w:gridSpan w:val="3"/>
            <w:vMerge w:val="continue"/>
          </w:tcPr>
          <w:p>
            <w:pPr>
              <w:spacing w:after="0"/>
              <w:rPr>
                <w:sz w:val="13"/>
                <w:szCs w:val="13"/>
                <w:color w:val="auto"/>
              </w:rPr>
            </w:pPr>
          </w:p>
        </w:tc>
        <w:tc>
          <w:tcPr>
            <w:tcW w:w="1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60325</wp:posOffset>
            </wp:positionV>
            <wp:extent cx="7289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5" w:lineRule="exact"/>
        <w:rPr>
          <w:sz w:val="20"/>
          <w:szCs w:val="20"/>
          <w:color w:val="auto"/>
        </w:rPr>
      </w:pPr>
    </w:p>
    <w:p>
      <w:pPr>
        <w:ind w:left="340" w:right="160" w:hanging="332"/>
        <w:spacing w:after="0" w:line="228" w:lineRule="auto"/>
        <w:tabs>
          <w:tab w:leader="none" w:pos="34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Pro-forma reflects ACS’s 2009 estimated results from February 6 through December 31 adjusted to reflect fair value adjustments related to property, equipment and computer software as well as customer contract costs. In addition, adjustments were made for deferred revenue, exited businesses, certain non-recurring product sales and other material non-recurring costs associated with the acquisition.</w:t>
      </w:r>
    </w:p>
    <w:p>
      <w:pPr>
        <w:spacing w:after="0" w:line="135" w:lineRule="exact"/>
        <w:rPr>
          <w:sz w:val="20"/>
          <w:szCs w:val="20"/>
          <w:color w:val="auto"/>
        </w:rPr>
      </w:pPr>
    </w:p>
    <w:p>
      <w:pPr>
        <w:ind w:left="9600"/>
        <w:spacing w:after="0"/>
        <w:rPr>
          <w:sz w:val="20"/>
          <w:szCs w:val="20"/>
          <w:color w:val="auto"/>
        </w:rPr>
      </w:pPr>
      <w:r>
        <w:rPr>
          <w:rFonts w:ascii="Arial" w:cs="Arial" w:eastAsia="Arial" w:hAnsi="Arial"/>
          <w:sz w:val="12"/>
          <w:szCs w:val="12"/>
          <w:color w:val="4C9F40"/>
        </w:rPr>
        <w:t>Xerox 2010 Annual Report 34</w:t>
      </w:r>
    </w:p>
    <w:p>
      <w:pPr>
        <w:sectPr>
          <w:pgSz w:w="11900" w:h="16838" w:orient="portrait"/>
          <w:cols w:equalWidth="0" w:num="1">
            <w:col w:w="11420"/>
          </w:cols>
          <w:pgMar w:left="240" w:top="269" w:right="239" w:bottom="1440" w:gutter="0" w:footer="0" w:header="0"/>
        </w:sectPr>
      </w:pPr>
    </w:p>
    <w:bookmarkStart w:id="111" w:name="page112"/>
    <w:bookmarkEnd w:id="111"/>
    <w:p>
      <w:pPr>
        <w:spacing w:after="0"/>
        <w:rPr>
          <w:sz w:val="20"/>
          <w:szCs w:val="20"/>
          <w:color w:val="auto"/>
        </w:rPr>
      </w:pPr>
      <w:r>
        <w:rPr>
          <w:rFonts w:ascii="Arial" w:cs="Arial" w:eastAsia="Arial" w:hAnsi="Arial"/>
          <w:sz w:val="22"/>
          <w:szCs w:val="22"/>
          <w:b w:val="1"/>
          <w:bCs w:val="1"/>
          <w:color w:val="4C9F40"/>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Forward-Looking Statements</w:t>
      </w:r>
    </w:p>
    <w:p>
      <w:pPr>
        <w:spacing w:after="0" w:line="188"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This Annual Report contains forward-looking statements as defined in the Private Securities Litigation Reform Act of 1995. The words “anticipate,” “believe,” “estimate,” “expect,” “intend,” “will,” “should” and similar expressions, as they relate to us, are intended to identify forward-looking statements. These statements reflect management’s current beliefs, assumptions and expectations and are subject to a number of factors that may cause actual results to differ materially. Information concerning these factors is included in our 2010 Annual Report on Form 10-K filed with the Securities and Exchange Commission (“SEC”). We do not intend to update these forward-looking statements, except as required by law.</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4"/>
          <w:szCs w:val="14"/>
          <w:color w:val="4C9F40"/>
        </w:rPr>
        <w:t>Xerox 2010 Annual Report 35</w:t>
      </w:r>
    </w:p>
    <w:p>
      <w:pPr>
        <w:sectPr>
          <w:pgSz w:w="11900" w:h="16838" w:orient="portrait"/>
          <w:cols w:equalWidth="0" w:num="1">
            <w:col w:w="11420"/>
          </w:cols>
          <w:pgMar w:left="240" w:top="391" w:right="239" w:bottom="1440" w:gutter="0" w:footer="0" w:header="0"/>
        </w:sectPr>
      </w:pPr>
    </w:p>
    <w:bookmarkStart w:id="112" w:name="page113"/>
    <w:bookmarkEnd w:id="112"/>
    <w:p>
      <w:pPr>
        <w:spacing w:after="0"/>
        <w:rPr>
          <w:sz w:val="20"/>
          <w:szCs w:val="20"/>
          <w:color w:val="auto"/>
        </w:rPr>
      </w:pPr>
      <w:r>
        <w:rPr>
          <w:rFonts w:ascii="Arial" w:cs="Arial" w:eastAsia="Arial" w:hAnsi="Arial"/>
          <w:sz w:val="22"/>
          <w:szCs w:val="22"/>
          <w:b w:val="1"/>
          <w:bCs w:val="1"/>
          <w:color w:val="4C9F40"/>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8890"/>
                    </a:xfrm>
                    <a:prstGeom prst="rect">
                      <a:avLst/>
                    </a:prstGeom>
                    <a:noFill/>
                  </pic:spPr>
                </pic:pic>
              </a:graphicData>
            </a:graphic>
          </wp:anchor>
        </w:drawing>
        <w:t>XEROX CORPORATION</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4C9F40"/>
        </w:rPr>
        <w:t>CONSOLIDATED STATEMENTS OF INCOME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gridSpan w:val="3"/>
            <w:vMerge w:val="restart"/>
          </w:tcPr>
          <w:p>
            <w:pPr>
              <w:spacing w:after="0"/>
              <w:rPr>
                <w:sz w:val="20"/>
                <w:szCs w:val="20"/>
                <w:color w:val="auto"/>
              </w:rPr>
            </w:pPr>
            <w:r>
              <w:rPr>
                <w:rFonts w:ascii="Arial" w:cs="Arial" w:eastAsia="Arial" w:hAnsi="Arial"/>
                <w:sz w:val="14"/>
                <w:szCs w:val="14"/>
                <w:color w:val="auto"/>
              </w:rPr>
              <w:t>(in millions, except per-share data)</w:t>
            </w: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color w:val="auto"/>
                <w:w w:val="97"/>
              </w:rPr>
              <w:t>Year Ended December 31,</w:t>
            </w: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0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33"/>
              <w:spacing w:after="0" w:line="142" w:lineRule="exact"/>
              <w:rPr>
                <w:sz w:val="20"/>
                <w:szCs w:val="20"/>
                <w:color w:val="auto"/>
              </w:rPr>
            </w:pPr>
            <w:r>
              <w:rPr>
                <w:rFonts w:ascii="Arial" w:cs="Arial" w:eastAsia="Arial" w:hAnsi="Arial"/>
                <w:sz w:val="14"/>
                <w:szCs w:val="14"/>
                <w:color w:val="auto"/>
              </w:rPr>
              <w:t>2010</w:t>
            </w: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33"/>
              <w:spacing w:after="0" w:line="142" w:lineRule="exact"/>
              <w:rPr>
                <w:sz w:val="20"/>
                <w:szCs w:val="20"/>
                <w:color w:val="auto"/>
              </w:rPr>
            </w:pPr>
            <w:r>
              <w:rPr>
                <w:rFonts w:ascii="Arial" w:cs="Arial" w:eastAsia="Arial" w:hAnsi="Arial"/>
                <w:sz w:val="14"/>
                <w:szCs w:val="14"/>
                <w:color w:val="auto"/>
              </w:rPr>
              <w:t>2009</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133"/>
              <w:spacing w:after="0" w:line="142" w:lineRule="exact"/>
              <w:rPr>
                <w:sz w:val="20"/>
                <w:szCs w:val="20"/>
                <w:color w:val="auto"/>
              </w:rPr>
            </w:pPr>
            <w:r>
              <w:rPr>
                <w:rFonts w:ascii="Arial" w:cs="Arial" w:eastAsia="Arial" w:hAnsi="Arial"/>
                <w:sz w:val="14"/>
                <w:szCs w:val="14"/>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940" w:type="dxa"/>
            <w:vAlign w:val="bottom"/>
            <w:tcBorders>
              <w:top w:val="single" w:sz="8" w:color="auto"/>
            </w:tcBorders>
            <w:shd w:val="clear" w:color="auto" w:fill="E5E5E5"/>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6120" w:type="dxa"/>
            <w:vAlign w:val="bottom"/>
            <w:shd w:val="clear" w:color="auto" w:fill="E5E5E5"/>
          </w:tcPr>
          <w:p>
            <w:pPr>
              <w:spacing w:after="0"/>
              <w:rPr>
                <w:sz w:val="17"/>
                <w:szCs w:val="17"/>
                <w:color w:val="auto"/>
              </w:rPr>
            </w:pPr>
          </w:p>
        </w:tc>
        <w:tc>
          <w:tcPr>
            <w:tcW w:w="160" w:type="dxa"/>
            <w:vAlign w:val="bottom"/>
            <w:tcBorders>
              <w:top w:val="single" w:sz="8" w:color="auto"/>
            </w:tcBorders>
            <w:shd w:val="clear" w:color="auto" w:fill="E5E5E5"/>
          </w:tcPr>
          <w:p>
            <w:pPr>
              <w:spacing w:after="0"/>
              <w:rPr>
                <w:sz w:val="17"/>
                <w:szCs w:val="17"/>
                <w:color w:val="auto"/>
              </w:rPr>
            </w:pPr>
          </w:p>
        </w:tc>
        <w:tc>
          <w:tcPr>
            <w:tcW w:w="580" w:type="dxa"/>
            <w:vAlign w:val="bottom"/>
            <w:tcBorders>
              <w:top w:val="single" w:sz="8" w:color="auto"/>
            </w:tcBorders>
            <w:shd w:val="clear" w:color="auto" w:fill="E5E5E5"/>
          </w:tcPr>
          <w:p>
            <w:pPr>
              <w:spacing w:after="0"/>
              <w:rPr>
                <w:sz w:val="17"/>
                <w:szCs w:val="17"/>
                <w:color w:val="auto"/>
              </w:rPr>
            </w:pPr>
          </w:p>
        </w:tc>
        <w:tc>
          <w:tcPr>
            <w:tcW w:w="4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60" w:type="dxa"/>
            <w:vAlign w:val="bottom"/>
            <w:tcBorders>
              <w:top w:val="single" w:sz="8" w:color="auto"/>
            </w:tcBorders>
            <w:shd w:val="clear" w:color="auto" w:fill="E5E5E5"/>
          </w:tcPr>
          <w:p>
            <w:pPr>
              <w:spacing w:after="0"/>
              <w:rPr>
                <w:sz w:val="17"/>
                <w:szCs w:val="17"/>
                <w:color w:val="auto"/>
              </w:rPr>
            </w:pPr>
          </w:p>
        </w:tc>
        <w:tc>
          <w:tcPr>
            <w:tcW w:w="580" w:type="dxa"/>
            <w:vAlign w:val="bottom"/>
            <w:tcBorders>
              <w:top w:val="single" w:sz="8" w:color="auto"/>
            </w:tcBorders>
            <w:shd w:val="clear" w:color="auto" w:fill="E5E5E5"/>
          </w:tcPr>
          <w:p>
            <w:pPr>
              <w:spacing w:after="0"/>
              <w:rPr>
                <w:sz w:val="17"/>
                <w:szCs w:val="17"/>
                <w:color w:val="auto"/>
              </w:rPr>
            </w:pPr>
          </w:p>
        </w:tc>
        <w:tc>
          <w:tcPr>
            <w:tcW w:w="500" w:type="dxa"/>
            <w:vAlign w:val="bottom"/>
            <w:shd w:val="clear" w:color="auto" w:fill="E5E5E5"/>
          </w:tcPr>
          <w:p>
            <w:pPr>
              <w:spacing w:after="0"/>
              <w:rPr>
                <w:sz w:val="17"/>
                <w:szCs w:val="17"/>
                <w:color w:val="auto"/>
              </w:rPr>
            </w:pPr>
          </w:p>
        </w:tc>
        <w:tc>
          <w:tcPr>
            <w:tcW w:w="160" w:type="dxa"/>
            <w:vAlign w:val="bottom"/>
            <w:tcBorders>
              <w:top w:val="single" w:sz="8" w:color="auto"/>
            </w:tcBorders>
            <w:shd w:val="clear" w:color="auto" w:fill="E5E5E5"/>
          </w:tcPr>
          <w:p>
            <w:pPr>
              <w:spacing w:after="0"/>
              <w:rPr>
                <w:sz w:val="17"/>
                <w:szCs w:val="17"/>
                <w:color w:val="auto"/>
              </w:rPr>
            </w:pPr>
          </w:p>
        </w:tc>
        <w:tc>
          <w:tcPr>
            <w:tcW w:w="600" w:type="dxa"/>
            <w:vAlign w:val="bottom"/>
            <w:tcBorders>
              <w:top w:val="single" w:sz="8" w:color="auto"/>
            </w:tcBorders>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80" w:type="dxa"/>
            <w:vAlign w:val="bottom"/>
            <w:gridSpan w:val="3"/>
          </w:tcPr>
          <w:p>
            <w:pPr>
              <w:spacing w:after="0" w:line="202" w:lineRule="exact"/>
              <w:rPr>
                <w:sz w:val="20"/>
                <w:szCs w:val="20"/>
                <w:color w:val="auto"/>
              </w:rPr>
            </w:pPr>
            <w:r>
              <w:rPr>
                <w:rFonts w:ascii="Arial" w:cs="Arial" w:eastAsia="Arial" w:hAnsi="Arial"/>
                <w:sz w:val="18"/>
                <w:szCs w:val="18"/>
                <w:color w:val="auto"/>
              </w:rPr>
              <w:t>Sales</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7,234</w:t>
            </w:r>
          </w:p>
        </w:tc>
        <w:tc>
          <w:tcPr>
            <w:tcW w:w="4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6,646</w:t>
            </w:r>
          </w:p>
        </w:tc>
        <w:tc>
          <w:tcPr>
            <w:tcW w:w="50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8,325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Service, outsourcing and rentals</w:t>
            </w:r>
          </w:p>
        </w:tc>
        <w:tc>
          <w:tcPr>
            <w:tcW w:w="160" w:type="dxa"/>
            <w:vAlign w:val="bottom"/>
            <w:shd w:val="clear" w:color="auto" w:fill="E5E5E5"/>
          </w:tcPr>
          <w:p>
            <w:pPr>
              <w:spacing w:after="0"/>
              <w:rPr>
                <w:sz w:val="17"/>
                <w:szCs w:val="17"/>
                <w:color w:val="auto"/>
              </w:rPr>
            </w:pPr>
          </w:p>
        </w:tc>
        <w:tc>
          <w:tcPr>
            <w:tcW w:w="62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13,739</w:t>
            </w:r>
          </w:p>
        </w:tc>
        <w:tc>
          <w:tcPr>
            <w:tcW w:w="4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5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7,820</w:t>
            </w:r>
          </w:p>
        </w:tc>
        <w:tc>
          <w:tcPr>
            <w:tcW w:w="5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6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8,485</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80" w:type="dxa"/>
            <w:vAlign w:val="bottom"/>
            <w:gridSpan w:val="3"/>
          </w:tcPr>
          <w:p>
            <w:pPr>
              <w:spacing w:after="0" w:line="202" w:lineRule="exact"/>
              <w:rPr>
                <w:sz w:val="20"/>
                <w:szCs w:val="20"/>
                <w:color w:val="auto"/>
              </w:rPr>
            </w:pPr>
            <w:r>
              <w:rPr>
                <w:rFonts w:ascii="Arial" w:cs="Arial" w:eastAsia="Arial" w:hAnsi="Arial"/>
                <w:sz w:val="18"/>
                <w:szCs w:val="18"/>
                <w:color w:val="auto"/>
              </w:rPr>
              <w:t>Finance income</w:t>
            </w:r>
          </w:p>
        </w:tc>
        <w:tc>
          <w:tcPr>
            <w:tcW w:w="160" w:type="dxa"/>
            <w:vAlign w:val="bottom"/>
          </w:tcPr>
          <w:p>
            <w:pPr>
              <w:spacing w:after="0"/>
              <w:rPr>
                <w:sz w:val="17"/>
                <w:szCs w:val="17"/>
                <w:color w:val="auto"/>
              </w:rPr>
            </w:pPr>
          </w:p>
        </w:tc>
        <w:tc>
          <w:tcPr>
            <w:tcW w:w="6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660</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713</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798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gridSpan w:val="2"/>
            <w:shd w:val="clear" w:color="auto" w:fill="E5E5E5"/>
          </w:tcPr>
          <w:p>
            <w:pPr>
              <w:ind w:left="420"/>
              <w:spacing w:after="0" w:line="202" w:lineRule="exact"/>
              <w:rPr>
                <w:sz w:val="20"/>
                <w:szCs w:val="20"/>
                <w:color w:val="auto"/>
              </w:rPr>
            </w:pPr>
            <w:r>
              <w:rPr>
                <w:rFonts w:ascii="Arial" w:cs="Arial" w:eastAsia="Arial" w:hAnsi="Arial"/>
                <w:sz w:val="18"/>
                <w:szCs w:val="18"/>
                <w:b w:val="1"/>
                <w:bCs w:val="1"/>
                <w:color w:val="auto"/>
              </w:rPr>
              <w:t>Total Revenues</w:t>
            </w:r>
          </w:p>
        </w:tc>
        <w:tc>
          <w:tcPr>
            <w:tcW w:w="160" w:type="dxa"/>
            <w:vAlign w:val="bottom"/>
            <w:shd w:val="clear" w:color="auto" w:fill="E5E5E5"/>
          </w:tcPr>
          <w:p>
            <w:pPr>
              <w:spacing w:after="0"/>
              <w:rPr>
                <w:sz w:val="17"/>
                <w:szCs w:val="17"/>
                <w:color w:val="auto"/>
              </w:rPr>
            </w:pPr>
          </w:p>
        </w:tc>
        <w:tc>
          <w:tcPr>
            <w:tcW w:w="62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21,633</w:t>
            </w:r>
          </w:p>
        </w:tc>
        <w:tc>
          <w:tcPr>
            <w:tcW w:w="4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5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15,179</w:t>
            </w:r>
          </w:p>
        </w:tc>
        <w:tc>
          <w:tcPr>
            <w:tcW w:w="5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7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17,608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Costs and Expenses</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Cost of sales</w:t>
            </w:r>
          </w:p>
        </w:tc>
        <w:tc>
          <w:tcPr>
            <w:tcW w:w="160" w:type="dxa"/>
            <w:vAlign w:val="bottom"/>
            <w:shd w:val="clear" w:color="auto" w:fill="E5E5E5"/>
          </w:tcPr>
          <w:p>
            <w:pPr>
              <w:spacing w:after="0"/>
              <w:rPr>
                <w:sz w:val="17"/>
                <w:szCs w:val="17"/>
                <w:color w:val="auto"/>
              </w:rPr>
            </w:pPr>
          </w:p>
        </w:tc>
        <w:tc>
          <w:tcPr>
            <w:tcW w:w="5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4,741</w:t>
            </w:r>
          </w:p>
        </w:tc>
        <w:tc>
          <w:tcPr>
            <w:tcW w:w="4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5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4,395</w:t>
            </w:r>
          </w:p>
        </w:tc>
        <w:tc>
          <w:tcPr>
            <w:tcW w:w="5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6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5,519</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80" w:type="dxa"/>
            <w:vAlign w:val="bottom"/>
            <w:gridSpan w:val="3"/>
          </w:tcPr>
          <w:p>
            <w:pPr>
              <w:spacing w:after="0" w:line="202" w:lineRule="exact"/>
              <w:rPr>
                <w:sz w:val="20"/>
                <w:szCs w:val="20"/>
                <w:color w:val="auto"/>
              </w:rPr>
            </w:pPr>
            <w:r>
              <w:rPr>
                <w:rFonts w:ascii="Arial" w:cs="Arial" w:eastAsia="Arial" w:hAnsi="Arial"/>
                <w:sz w:val="18"/>
                <w:szCs w:val="18"/>
                <w:color w:val="auto"/>
              </w:rPr>
              <w:t>Cost of service, outsourcing and rentals</w:t>
            </w:r>
          </w:p>
        </w:tc>
        <w:tc>
          <w:tcPr>
            <w:tcW w:w="1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9,195</w:t>
            </w: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4,488</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4,929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Equipment financing interest</w:t>
            </w:r>
          </w:p>
        </w:tc>
        <w:tc>
          <w:tcPr>
            <w:tcW w:w="160" w:type="dxa"/>
            <w:vAlign w:val="bottom"/>
            <w:shd w:val="clear" w:color="auto" w:fill="E5E5E5"/>
          </w:tcPr>
          <w:p>
            <w:pPr>
              <w:spacing w:after="0"/>
              <w:rPr>
                <w:sz w:val="17"/>
                <w:szCs w:val="17"/>
                <w:color w:val="auto"/>
              </w:rPr>
            </w:pPr>
          </w:p>
        </w:tc>
        <w:tc>
          <w:tcPr>
            <w:tcW w:w="62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246</w:t>
            </w:r>
          </w:p>
        </w:tc>
        <w:tc>
          <w:tcPr>
            <w:tcW w:w="4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5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271</w:t>
            </w:r>
          </w:p>
        </w:tc>
        <w:tc>
          <w:tcPr>
            <w:tcW w:w="5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6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305</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80" w:type="dxa"/>
            <w:vAlign w:val="bottom"/>
            <w:gridSpan w:val="3"/>
          </w:tcPr>
          <w:p>
            <w:pPr>
              <w:spacing w:after="0" w:line="202" w:lineRule="exact"/>
              <w:rPr>
                <w:sz w:val="20"/>
                <w:szCs w:val="20"/>
                <w:color w:val="auto"/>
              </w:rPr>
            </w:pPr>
            <w:r>
              <w:rPr>
                <w:rFonts w:ascii="Arial" w:cs="Arial" w:eastAsia="Arial" w:hAnsi="Arial"/>
                <w:sz w:val="18"/>
                <w:szCs w:val="18"/>
                <w:color w:val="auto"/>
              </w:rPr>
              <w:t>Research, development and engineering expenses</w:t>
            </w:r>
          </w:p>
        </w:tc>
        <w:tc>
          <w:tcPr>
            <w:tcW w:w="160" w:type="dxa"/>
            <w:vAlign w:val="bottom"/>
          </w:tcPr>
          <w:p>
            <w:pPr>
              <w:spacing w:after="0"/>
              <w:rPr>
                <w:sz w:val="17"/>
                <w:szCs w:val="17"/>
                <w:color w:val="auto"/>
              </w:rPr>
            </w:pPr>
          </w:p>
        </w:tc>
        <w:tc>
          <w:tcPr>
            <w:tcW w:w="6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781</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840</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884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Selling, administrative and general expenses</w:t>
            </w:r>
          </w:p>
        </w:tc>
        <w:tc>
          <w:tcPr>
            <w:tcW w:w="160" w:type="dxa"/>
            <w:vAlign w:val="bottom"/>
            <w:shd w:val="clear" w:color="auto" w:fill="E5E5E5"/>
          </w:tcPr>
          <w:p>
            <w:pPr>
              <w:spacing w:after="0"/>
              <w:rPr>
                <w:sz w:val="17"/>
                <w:szCs w:val="17"/>
                <w:color w:val="auto"/>
              </w:rPr>
            </w:pPr>
          </w:p>
        </w:tc>
        <w:tc>
          <w:tcPr>
            <w:tcW w:w="5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4,594</w:t>
            </w:r>
          </w:p>
        </w:tc>
        <w:tc>
          <w:tcPr>
            <w:tcW w:w="4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5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4,149</w:t>
            </w:r>
          </w:p>
        </w:tc>
        <w:tc>
          <w:tcPr>
            <w:tcW w:w="5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6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4,534</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80" w:type="dxa"/>
            <w:vAlign w:val="bottom"/>
            <w:gridSpan w:val="3"/>
          </w:tcPr>
          <w:p>
            <w:pPr>
              <w:spacing w:after="0" w:line="202" w:lineRule="exact"/>
              <w:rPr>
                <w:sz w:val="20"/>
                <w:szCs w:val="20"/>
                <w:color w:val="auto"/>
              </w:rPr>
            </w:pPr>
            <w:r>
              <w:rPr>
                <w:rFonts w:ascii="Arial" w:cs="Arial" w:eastAsia="Arial" w:hAnsi="Arial"/>
                <w:sz w:val="18"/>
                <w:szCs w:val="18"/>
                <w:color w:val="auto"/>
              </w:rPr>
              <w:t>Restructuring and asset impairment charges</w:t>
            </w:r>
          </w:p>
        </w:tc>
        <w:tc>
          <w:tcPr>
            <w:tcW w:w="160" w:type="dxa"/>
            <w:vAlign w:val="bottom"/>
          </w:tcPr>
          <w:p>
            <w:pPr>
              <w:spacing w:after="0"/>
              <w:rPr>
                <w:sz w:val="17"/>
                <w:szCs w:val="17"/>
                <w:color w:val="auto"/>
              </w:rPr>
            </w:pPr>
          </w:p>
        </w:tc>
        <w:tc>
          <w:tcPr>
            <w:tcW w:w="6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483</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(8)</w:t>
            </w:r>
          </w:p>
        </w:tc>
        <w:tc>
          <w:tcPr>
            <w:tcW w:w="1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429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Acquisition-related costs</w:t>
            </w:r>
          </w:p>
        </w:tc>
        <w:tc>
          <w:tcPr>
            <w:tcW w:w="160" w:type="dxa"/>
            <w:vAlign w:val="bottom"/>
            <w:shd w:val="clear" w:color="auto" w:fill="E5E5E5"/>
          </w:tcPr>
          <w:p>
            <w:pPr>
              <w:spacing w:after="0"/>
              <w:rPr>
                <w:sz w:val="17"/>
                <w:szCs w:val="17"/>
                <w:color w:val="auto"/>
              </w:rPr>
            </w:pPr>
          </w:p>
        </w:tc>
        <w:tc>
          <w:tcPr>
            <w:tcW w:w="62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77</w:t>
            </w:r>
          </w:p>
        </w:tc>
        <w:tc>
          <w:tcPr>
            <w:tcW w:w="4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5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72</w:t>
            </w:r>
          </w:p>
        </w:tc>
        <w:tc>
          <w:tcPr>
            <w:tcW w:w="5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7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080" w:type="dxa"/>
            <w:vAlign w:val="bottom"/>
            <w:gridSpan w:val="3"/>
          </w:tcPr>
          <w:p>
            <w:pPr>
              <w:spacing w:after="0" w:line="202" w:lineRule="exact"/>
              <w:rPr>
                <w:sz w:val="20"/>
                <w:szCs w:val="20"/>
                <w:color w:val="auto"/>
              </w:rPr>
            </w:pPr>
            <w:r>
              <w:rPr>
                <w:rFonts w:ascii="Arial" w:cs="Arial" w:eastAsia="Arial" w:hAnsi="Arial"/>
                <w:sz w:val="18"/>
                <w:szCs w:val="18"/>
                <w:color w:val="auto"/>
              </w:rPr>
              <w:t>Amortization of intangible assets</w:t>
            </w:r>
          </w:p>
        </w:tc>
        <w:tc>
          <w:tcPr>
            <w:tcW w:w="160" w:type="dxa"/>
            <w:vAlign w:val="bottom"/>
          </w:tcPr>
          <w:p>
            <w:pPr>
              <w:spacing w:after="0"/>
              <w:rPr>
                <w:sz w:val="17"/>
                <w:szCs w:val="17"/>
                <w:color w:val="auto"/>
              </w:rPr>
            </w:pPr>
          </w:p>
        </w:tc>
        <w:tc>
          <w:tcPr>
            <w:tcW w:w="6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312</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60</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Other expenses, net</w:t>
            </w:r>
          </w:p>
        </w:tc>
        <w:tc>
          <w:tcPr>
            <w:tcW w:w="160" w:type="dxa"/>
            <w:vAlign w:val="bottom"/>
            <w:shd w:val="clear" w:color="auto" w:fill="E5E5E5"/>
          </w:tcPr>
          <w:p>
            <w:pPr>
              <w:spacing w:after="0"/>
              <w:rPr>
                <w:sz w:val="17"/>
                <w:szCs w:val="17"/>
                <w:color w:val="auto"/>
              </w:rPr>
            </w:pPr>
          </w:p>
        </w:tc>
        <w:tc>
          <w:tcPr>
            <w:tcW w:w="62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389</w:t>
            </w:r>
          </w:p>
        </w:tc>
        <w:tc>
          <w:tcPr>
            <w:tcW w:w="4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5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285</w:t>
            </w:r>
          </w:p>
        </w:tc>
        <w:tc>
          <w:tcPr>
            <w:tcW w:w="5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6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1,033</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gridSpan w:val="2"/>
            <w:vMerge w:val="restart"/>
          </w:tcPr>
          <w:p>
            <w:pPr>
              <w:ind w:left="420"/>
              <w:spacing w:after="0"/>
              <w:rPr>
                <w:sz w:val="20"/>
                <w:szCs w:val="20"/>
                <w:color w:val="auto"/>
              </w:rPr>
            </w:pPr>
            <w:r>
              <w:rPr>
                <w:rFonts w:ascii="Arial" w:cs="Arial" w:eastAsia="Arial" w:hAnsi="Arial"/>
                <w:sz w:val="18"/>
                <w:szCs w:val="18"/>
                <w:b w:val="1"/>
                <w:bCs w:val="1"/>
                <w:color w:val="auto"/>
              </w:rPr>
              <w:t>Total Costs and Expenses</w:t>
            </w: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0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20,818</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14,552</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17,687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1940" w:type="dxa"/>
            <w:vAlign w:val="bottom"/>
          </w:tcPr>
          <w:p>
            <w:pPr>
              <w:spacing w:after="0"/>
              <w:rPr>
                <w:sz w:val="8"/>
                <w:szCs w:val="8"/>
                <w:color w:val="auto"/>
              </w:rPr>
            </w:pPr>
          </w:p>
        </w:tc>
        <w:tc>
          <w:tcPr>
            <w:tcW w:w="6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06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Income (Loss) before Income Taxes and Equity Income</w:t>
            </w:r>
          </w:p>
        </w:tc>
        <w:tc>
          <w:tcPr>
            <w:tcW w:w="160" w:type="dxa"/>
            <w:vAlign w:val="bottom"/>
            <w:shd w:val="clear" w:color="auto" w:fill="E5E5E5"/>
          </w:tcPr>
          <w:p>
            <w:pPr>
              <w:spacing w:after="0"/>
              <w:rPr>
                <w:sz w:val="17"/>
                <w:szCs w:val="17"/>
                <w:color w:val="auto"/>
              </w:rPr>
            </w:pPr>
          </w:p>
        </w:tc>
        <w:tc>
          <w:tcPr>
            <w:tcW w:w="62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815</w:t>
            </w:r>
          </w:p>
        </w:tc>
        <w:tc>
          <w:tcPr>
            <w:tcW w:w="4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5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627</w:t>
            </w:r>
          </w:p>
        </w:tc>
        <w:tc>
          <w:tcPr>
            <w:tcW w:w="5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70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3"/>
        </w:trPr>
        <w:tc>
          <w:tcPr>
            <w:tcW w:w="8080" w:type="dxa"/>
            <w:vAlign w:val="bottom"/>
            <w:gridSpan w:val="3"/>
          </w:tcPr>
          <w:p>
            <w:pPr>
              <w:spacing w:after="0" w:line="202" w:lineRule="exact"/>
              <w:rPr>
                <w:sz w:val="20"/>
                <w:szCs w:val="20"/>
                <w:color w:val="auto"/>
              </w:rPr>
            </w:pPr>
            <w:r>
              <w:rPr>
                <w:rFonts w:ascii="Arial" w:cs="Arial" w:eastAsia="Arial" w:hAnsi="Arial"/>
                <w:sz w:val="18"/>
                <w:szCs w:val="18"/>
                <w:color w:val="auto"/>
              </w:rPr>
              <w:t>Income tax expense (benefit)</w:t>
            </w:r>
          </w:p>
        </w:tc>
        <w:tc>
          <w:tcPr>
            <w:tcW w:w="160" w:type="dxa"/>
            <w:vAlign w:val="bottom"/>
          </w:tcPr>
          <w:p>
            <w:pPr>
              <w:spacing w:after="0"/>
              <w:rPr>
                <w:sz w:val="17"/>
                <w:szCs w:val="17"/>
                <w:color w:val="auto"/>
              </w:rPr>
            </w:pPr>
          </w:p>
        </w:tc>
        <w:tc>
          <w:tcPr>
            <w:tcW w:w="6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256</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152</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Equity in net income of unconsolidated affiliates</w:t>
            </w:r>
          </w:p>
        </w:tc>
        <w:tc>
          <w:tcPr>
            <w:tcW w:w="160" w:type="dxa"/>
            <w:vAlign w:val="bottom"/>
            <w:shd w:val="clear" w:color="auto" w:fill="E5E5E5"/>
          </w:tcPr>
          <w:p>
            <w:pPr>
              <w:spacing w:after="0"/>
              <w:rPr>
                <w:sz w:val="17"/>
                <w:szCs w:val="17"/>
                <w:color w:val="auto"/>
              </w:rPr>
            </w:pPr>
          </w:p>
        </w:tc>
        <w:tc>
          <w:tcPr>
            <w:tcW w:w="62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78</w:t>
            </w:r>
          </w:p>
        </w:tc>
        <w:tc>
          <w:tcPr>
            <w:tcW w:w="4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5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41</w:t>
            </w:r>
          </w:p>
        </w:tc>
        <w:tc>
          <w:tcPr>
            <w:tcW w:w="5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6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113</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gridSpan w:val="2"/>
            <w:vMerge w:val="restart"/>
          </w:tcPr>
          <w:p>
            <w:pPr>
              <w:ind w:left="420"/>
              <w:spacing w:after="0"/>
              <w:rPr>
                <w:sz w:val="20"/>
                <w:szCs w:val="20"/>
                <w:color w:val="auto"/>
              </w:rPr>
            </w:pPr>
            <w:r>
              <w:rPr>
                <w:rFonts w:ascii="Arial" w:cs="Arial" w:eastAsia="Arial" w:hAnsi="Arial"/>
                <w:sz w:val="18"/>
                <w:szCs w:val="18"/>
                <w:b w:val="1"/>
                <w:bCs w:val="1"/>
                <w:color w:val="auto"/>
              </w:rPr>
              <w:t>Net Income</w:t>
            </w: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637</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516</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gridSpan w:val="2"/>
            <w:shd w:val="clear" w:color="auto" w:fill="E5E5E5"/>
          </w:tcPr>
          <w:p>
            <w:pPr>
              <w:ind w:left="420"/>
              <w:spacing w:after="0" w:line="202" w:lineRule="exact"/>
              <w:rPr>
                <w:sz w:val="20"/>
                <w:szCs w:val="20"/>
                <w:color w:val="auto"/>
              </w:rPr>
            </w:pPr>
            <w:r>
              <w:rPr>
                <w:rFonts w:ascii="Arial" w:cs="Arial" w:eastAsia="Arial" w:hAnsi="Arial"/>
                <w:sz w:val="18"/>
                <w:szCs w:val="18"/>
                <w:color w:val="auto"/>
              </w:rPr>
              <w:t>Less: Net income attributable to noncontrolling interests</w:t>
            </w:r>
          </w:p>
        </w:tc>
        <w:tc>
          <w:tcPr>
            <w:tcW w:w="160" w:type="dxa"/>
            <w:vAlign w:val="bottom"/>
            <w:shd w:val="clear" w:color="auto" w:fill="E5E5E5"/>
          </w:tcPr>
          <w:p>
            <w:pPr>
              <w:spacing w:after="0"/>
              <w:rPr>
                <w:sz w:val="17"/>
                <w:szCs w:val="17"/>
                <w:color w:val="auto"/>
              </w:rPr>
            </w:pPr>
          </w:p>
        </w:tc>
        <w:tc>
          <w:tcPr>
            <w:tcW w:w="62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31</w:t>
            </w:r>
          </w:p>
        </w:tc>
        <w:tc>
          <w:tcPr>
            <w:tcW w:w="4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5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31</w:t>
            </w:r>
          </w:p>
        </w:tc>
        <w:tc>
          <w:tcPr>
            <w:tcW w:w="5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7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gridSpan w:val="2"/>
            <w:vMerge w:val="restart"/>
          </w:tcPr>
          <w:p>
            <w:pPr>
              <w:ind w:left="420"/>
              <w:spacing w:after="0"/>
              <w:rPr>
                <w:sz w:val="20"/>
                <w:szCs w:val="20"/>
                <w:color w:val="auto"/>
              </w:rPr>
            </w:pPr>
            <w:r>
              <w:rPr>
                <w:rFonts w:ascii="Arial" w:cs="Arial" w:eastAsia="Arial" w:hAnsi="Arial"/>
                <w:sz w:val="18"/>
                <w:szCs w:val="18"/>
                <w:b w:val="1"/>
                <w:bCs w:val="1"/>
                <w:color w:val="auto"/>
              </w:rPr>
              <w:t>Net Income Attributable to Xerox</w:t>
            </w: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8060" w:type="dxa"/>
            <w:vAlign w:val="bottom"/>
            <w:gridSpan w:val="2"/>
            <w:vMerge w:val="continue"/>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606</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485</w:t>
            </w:r>
          </w:p>
        </w:tc>
        <w:tc>
          <w:tcPr>
            <w:tcW w:w="5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060" w:type="dxa"/>
            <w:vAlign w:val="bottom"/>
            <w:gridSpan w:val="2"/>
            <w:shd w:val="clear" w:color="auto" w:fill="E5E5E5"/>
          </w:tcPr>
          <w:p>
            <w:pPr>
              <w:spacing w:after="0" w:line="196" w:lineRule="exact"/>
              <w:rPr>
                <w:sz w:val="20"/>
                <w:szCs w:val="20"/>
                <w:color w:val="auto"/>
              </w:rPr>
            </w:pPr>
            <w:r>
              <w:rPr>
                <w:rFonts w:ascii="Arial" w:cs="Arial" w:eastAsia="Arial" w:hAnsi="Arial"/>
                <w:sz w:val="18"/>
                <w:szCs w:val="18"/>
                <w:b w:val="1"/>
                <w:bCs w:val="1"/>
                <w:color w:val="auto"/>
              </w:rPr>
              <w:t>Basic Earnings per Share</w:t>
            </w:r>
          </w:p>
        </w:tc>
        <w:tc>
          <w:tcPr>
            <w:tcW w:w="16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E5E5E5"/>
          </w:tcPr>
          <w:p>
            <w:pPr>
              <w:jc w:val="right"/>
              <w:ind w:right="40"/>
              <w:spacing w:after="0" w:line="196" w:lineRule="exact"/>
              <w:rPr>
                <w:sz w:val="20"/>
                <w:szCs w:val="20"/>
                <w:color w:val="auto"/>
              </w:rPr>
            </w:pPr>
            <w:r>
              <w:rPr>
                <w:rFonts w:ascii="Arial" w:cs="Arial" w:eastAsia="Arial" w:hAnsi="Arial"/>
                <w:sz w:val="18"/>
                <w:szCs w:val="18"/>
                <w:color w:val="auto"/>
              </w:rPr>
              <w:t>0.44</w:t>
            </w:r>
          </w:p>
        </w:tc>
        <w:tc>
          <w:tcPr>
            <w:tcW w:w="620" w:type="dxa"/>
            <w:vAlign w:val="bottom"/>
            <w:gridSpan w:val="2"/>
            <w:shd w:val="clear" w:color="auto" w:fill="E5E5E5"/>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58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rPr>
              <w:t>0.56</w:t>
            </w:r>
          </w:p>
        </w:tc>
        <w:tc>
          <w:tcPr>
            <w:tcW w:w="500" w:type="dxa"/>
            <w:vAlign w:val="bottom"/>
            <w:shd w:val="clear" w:color="auto" w:fill="E5E5E5"/>
          </w:tcPr>
          <w:p>
            <w:pPr>
              <w:spacing w:after="0"/>
              <w:rPr>
                <w:sz w:val="17"/>
                <w:szCs w:val="17"/>
                <w:color w:val="auto"/>
              </w:rPr>
            </w:pPr>
          </w:p>
        </w:tc>
        <w:tc>
          <w:tcPr>
            <w:tcW w:w="16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E5E5E5"/>
          </w:tcPr>
          <w:p>
            <w:pPr>
              <w:jc w:val="right"/>
              <w:ind w:right="100"/>
              <w:spacing w:after="0" w:line="196" w:lineRule="exact"/>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60" w:type="dxa"/>
            <w:vAlign w:val="bottom"/>
            <w:gridSpan w:val="2"/>
          </w:tcPr>
          <w:p>
            <w:pPr>
              <w:spacing w:after="0"/>
              <w:rPr>
                <w:sz w:val="20"/>
                <w:szCs w:val="20"/>
                <w:color w:val="auto"/>
              </w:rPr>
            </w:pPr>
            <w:r>
              <w:rPr>
                <w:rFonts w:ascii="Arial" w:cs="Arial" w:eastAsia="Arial" w:hAnsi="Arial"/>
                <w:sz w:val="18"/>
                <w:szCs w:val="18"/>
                <w:b w:val="1"/>
                <w:bCs w:val="1"/>
                <w:color w:val="auto"/>
              </w:rPr>
              <w:t>Diluted Earnings per Share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0.43</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0.55</w:t>
            </w:r>
          </w:p>
        </w:tc>
        <w:tc>
          <w:tcPr>
            <w:tcW w:w="5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bl>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40" w:lineRule="exact"/>
        <w:rPr>
          <w:sz w:val="20"/>
          <w:szCs w:val="20"/>
          <w:color w:val="auto"/>
        </w:rPr>
      </w:pPr>
    </w:p>
    <w:p>
      <w:pPr>
        <w:ind w:left="9600"/>
        <w:spacing w:after="0"/>
        <w:rPr>
          <w:sz w:val="20"/>
          <w:szCs w:val="20"/>
          <w:color w:val="auto"/>
        </w:rPr>
      </w:pPr>
      <w:r>
        <w:rPr>
          <w:rFonts w:ascii="Arial" w:cs="Arial" w:eastAsia="Arial" w:hAnsi="Arial"/>
          <w:sz w:val="12"/>
          <w:szCs w:val="12"/>
          <w:color w:val="4C9F40"/>
        </w:rPr>
        <w:t>Xerox 2010 Annual Report 36</w:t>
      </w:r>
    </w:p>
    <w:p>
      <w:pPr>
        <w:sectPr>
          <w:pgSz w:w="11900" w:h="16838" w:orient="portrait"/>
          <w:cols w:equalWidth="0" w:num="1">
            <w:col w:w="11420"/>
          </w:cols>
          <w:pgMar w:left="240" w:top="350" w:right="239" w:bottom="1440" w:gutter="0" w:footer="0" w:header="0"/>
        </w:sectPr>
      </w:pPr>
    </w:p>
    <w:bookmarkStart w:id="113" w:name="page114"/>
    <w:bookmarkEnd w:id="113"/>
    <w:p>
      <w:pPr>
        <w:spacing w:after="0"/>
        <w:rPr>
          <w:sz w:val="20"/>
          <w:szCs w:val="20"/>
          <w:color w:val="auto"/>
        </w:rPr>
      </w:pPr>
      <w:r>
        <w:rPr>
          <w:rFonts w:ascii="Arial" w:cs="Arial" w:eastAsia="Arial" w:hAnsi="Arial"/>
          <w:sz w:val="22"/>
          <w:szCs w:val="22"/>
          <w:b w:val="1"/>
          <w:bCs w:val="1"/>
          <w:color w:val="4C9F40"/>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8890"/>
                    </a:xfrm>
                    <a:prstGeom prst="rect">
                      <a:avLst/>
                    </a:prstGeom>
                    <a:noFill/>
                  </pic:spPr>
                </pic:pic>
              </a:graphicData>
            </a:graphic>
          </wp:anchor>
        </w:drawing>
        <w:t>XEROX CORPORATION</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4C9F40"/>
        </w:rPr>
        <w:t>CONSOLIDATED BALANCE SHEETS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gridSpan w:val="3"/>
            <w:vMerge w:val="restart"/>
          </w:tcPr>
          <w:p>
            <w:pPr>
              <w:spacing w:after="0"/>
              <w:rPr>
                <w:sz w:val="20"/>
                <w:szCs w:val="20"/>
                <w:color w:val="auto"/>
              </w:rPr>
            </w:pPr>
            <w:r>
              <w:rPr>
                <w:rFonts w:ascii="Arial" w:cs="Arial" w:eastAsia="Arial" w:hAnsi="Arial"/>
                <w:sz w:val="14"/>
                <w:szCs w:val="14"/>
                <w:color w:val="auto"/>
              </w:rPr>
              <w:t>(in millions, except share data in thousands)</w:t>
            </w:r>
          </w:p>
        </w:tc>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5"/>
          </w:tcPr>
          <w:p>
            <w:pPr>
              <w:jc w:val="right"/>
              <w:ind w:right="72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42"/>
        </w:trPr>
        <w:tc>
          <w:tcPr>
            <w:tcW w:w="6700" w:type="dxa"/>
            <w:vAlign w:val="bottom"/>
            <w:gridSpan w:val="3"/>
            <w:vMerge w:val="continue"/>
          </w:tcPr>
          <w:p>
            <w:pPr>
              <w:spacing w:after="0"/>
              <w:rPr>
                <w:sz w:val="12"/>
                <w:szCs w:val="12"/>
                <w:color w:val="auto"/>
              </w:rPr>
            </w:pPr>
          </w:p>
        </w:tc>
        <w:tc>
          <w:tcPr>
            <w:tcW w:w="25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13"/>
              <w:spacing w:after="0" w:line="142" w:lineRule="exact"/>
              <w:rPr>
                <w:sz w:val="20"/>
                <w:szCs w:val="20"/>
                <w:color w:val="auto"/>
              </w:rPr>
            </w:pPr>
            <w:r>
              <w:rPr>
                <w:rFonts w:ascii="Arial" w:cs="Arial" w:eastAsia="Arial" w:hAnsi="Arial"/>
                <w:sz w:val="14"/>
                <w:szCs w:val="14"/>
                <w:color w:val="auto"/>
              </w:rPr>
              <w:t>2010</w:t>
            </w:r>
          </w:p>
        </w:tc>
        <w:tc>
          <w:tcPr>
            <w:tcW w:w="4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80" w:type="dxa"/>
            <w:vAlign w:val="bottom"/>
            <w:tcBorders>
              <w:top w:val="single" w:sz="8" w:color="auto"/>
            </w:tcBorders>
            <w:shd w:val="clear" w:color="auto" w:fill="E5E5E5"/>
          </w:tcPr>
          <w:p>
            <w:pPr>
              <w:spacing w:after="0" w:line="196" w:lineRule="exact"/>
              <w:rPr>
                <w:sz w:val="20"/>
                <w:szCs w:val="20"/>
                <w:color w:val="auto"/>
              </w:rPr>
            </w:pPr>
            <w:r>
              <w:rPr>
                <w:rFonts w:ascii="Arial" w:cs="Arial" w:eastAsia="Arial" w:hAnsi="Arial"/>
                <w:sz w:val="18"/>
                <w:szCs w:val="18"/>
                <w:b w:val="1"/>
                <w:bCs w:val="1"/>
                <w:color w:val="auto"/>
              </w:rPr>
              <w:t>Assets</w:t>
            </w:r>
          </w:p>
        </w:tc>
        <w:tc>
          <w:tcPr>
            <w:tcW w:w="4200" w:type="dxa"/>
            <w:vAlign w:val="bottom"/>
            <w:shd w:val="clear" w:color="auto" w:fill="E5E5E5"/>
          </w:tcPr>
          <w:p>
            <w:pPr>
              <w:spacing w:after="0"/>
              <w:rPr>
                <w:sz w:val="17"/>
                <w:szCs w:val="17"/>
                <w:color w:val="auto"/>
              </w:rPr>
            </w:pPr>
          </w:p>
        </w:tc>
        <w:tc>
          <w:tcPr>
            <w:tcW w:w="2540" w:type="dxa"/>
            <w:vAlign w:val="bottom"/>
            <w:shd w:val="clear" w:color="auto" w:fill="E5E5E5"/>
          </w:tcPr>
          <w:p>
            <w:pPr>
              <w:spacing w:after="0"/>
              <w:rPr>
                <w:sz w:val="17"/>
                <w:szCs w:val="17"/>
                <w:color w:val="auto"/>
              </w:rPr>
            </w:pPr>
          </w:p>
        </w:tc>
        <w:tc>
          <w:tcPr>
            <w:tcW w:w="100" w:type="dxa"/>
            <w:vAlign w:val="bottom"/>
            <w:tcBorders>
              <w:top w:val="single" w:sz="8" w:color="auto"/>
            </w:tcBorders>
            <w:shd w:val="clear" w:color="auto" w:fill="E5E5E5"/>
          </w:tcPr>
          <w:p>
            <w:pPr>
              <w:spacing w:after="0"/>
              <w:rPr>
                <w:sz w:val="17"/>
                <w:szCs w:val="17"/>
                <w:color w:val="auto"/>
              </w:rPr>
            </w:pPr>
          </w:p>
        </w:tc>
        <w:tc>
          <w:tcPr>
            <w:tcW w:w="800" w:type="dxa"/>
            <w:vAlign w:val="bottom"/>
            <w:tcBorders>
              <w:top w:val="single" w:sz="8" w:color="auto"/>
            </w:tcBorders>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120" w:type="dxa"/>
            <w:vAlign w:val="bottom"/>
            <w:tcBorders>
              <w:top w:val="single" w:sz="8" w:color="auto"/>
            </w:tcBorders>
            <w:shd w:val="clear" w:color="auto" w:fill="E5E5E5"/>
          </w:tcPr>
          <w:p>
            <w:pPr>
              <w:spacing w:after="0"/>
              <w:rPr>
                <w:sz w:val="17"/>
                <w:szCs w:val="17"/>
                <w:color w:val="auto"/>
              </w:rPr>
            </w:pPr>
          </w:p>
        </w:tc>
        <w:tc>
          <w:tcPr>
            <w:tcW w:w="640" w:type="dxa"/>
            <w:vAlign w:val="bottom"/>
            <w:tcBorders>
              <w:top w:val="single" w:sz="8" w:color="auto"/>
            </w:tcBorders>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gridSpan w:val="3"/>
          </w:tcPr>
          <w:p>
            <w:pPr>
              <w:spacing w:after="0" w:line="202" w:lineRule="exact"/>
              <w:rPr>
                <w:sz w:val="20"/>
                <w:szCs w:val="20"/>
                <w:color w:val="auto"/>
              </w:rPr>
            </w:pPr>
            <w:r>
              <w:rPr>
                <w:rFonts w:ascii="Arial" w:cs="Arial" w:eastAsia="Arial" w:hAnsi="Arial"/>
                <w:sz w:val="18"/>
                <w:szCs w:val="18"/>
                <w:color w:val="auto"/>
              </w:rPr>
              <w:t>Cash and cash equivalents</w:t>
            </w:r>
          </w:p>
        </w:tc>
        <w:tc>
          <w:tcPr>
            <w:tcW w:w="2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1,211</w:t>
            </w:r>
          </w:p>
        </w:tc>
        <w:tc>
          <w:tcPr>
            <w:tcW w:w="42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3,799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Accounts receivable, net</w:t>
            </w:r>
          </w:p>
        </w:tc>
        <w:tc>
          <w:tcPr>
            <w:tcW w:w="25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8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2,826</w:t>
            </w:r>
          </w:p>
        </w:tc>
        <w:tc>
          <w:tcPr>
            <w:tcW w:w="4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1,702</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gridSpan w:val="3"/>
          </w:tcPr>
          <w:p>
            <w:pPr>
              <w:spacing w:after="0" w:line="202" w:lineRule="exact"/>
              <w:rPr>
                <w:sz w:val="20"/>
                <w:szCs w:val="20"/>
                <w:color w:val="auto"/>
              </w:rPr>
            </w:pPr>
            <w:r>
              <w:rPr>
                <w:rFonts w:ascii="Arial" w:cs="Arial" w:eastAsia="Arial" w:hAnsi="Arial"/>
                <w:sz w:val="18"/>
                <w:szCs w:val="18"/>
                <w:color w:val="auto"/>
              </w:rPr>
              <w:t>Billed portion of finance receivables, net</w:t>
            </w:r>
          </w:p>
        </w:tc>
        <w:tc>
          <w:tcPr>
            <w:tcW w:w="2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198</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Finance receivables, net</w:t>
            </w:r>
          </w:p>
        </w:tc>
        <w:tc>
          <w:tcPr>
            <w:tcW w:w="25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8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2,287</w:t>
            </w:r>
          </w:p>
        </w:tc>
        <w:tc>
          <w:tcPr>
            <w:tcW w:w="4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2,396</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gridSpan w:val="3"/>
          </w:tcPr>
          <w:p>
            <w:pPr>
              <w:spacing w:after="0" w:line="202" w:lineRule="exact"/>
              <w:rPr>
                <w:sz w:val="20"/>
                <w:szCs w:val="20"/>
                <w:color w:val="auto"/>
              </w:rPr>
            </w:pPr>
            <w:r>
              <w:rPr>
                <w:rFonts w:ascii="Arial" w:cs="Arial" w:eastAsia="Arial" w:hAnsi="Arial"/>
                <w:sz w:val="18"/>
                <w:szCs w:val="18"/>
                <w:color w:val="auto"/>
              </w:rPr>
              <w:t>Inventories</w:t>
            </w:r>
          </w:p>
        </w:tc>
        <w:tc>
          <w:tcPr>
            <w:tcW w:w="2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991</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900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Other current assets</w:t>
            </w:r>
          </w:p>
        </w:tc>
        <w:tc>
          <w:tcPr>
            <w:tcW w:w="2540" w:type="dxa"/>
            <w:vAlign w:val="bottom"/>
            <w:shd w:val="clear" w:color="auto" w:fill="E5E5E5"/>
          </w:tcPr>
          <w:p>
            <w:pPr>
              <w:spacing w:after="0"/>
              <w:rPr>
                <w:sz w:val="17"/>
                <w:szCs w:val="17"/>
                <w:color w:val="auto"/>
              </w:rPr>
            </w:pPr>
          </w:p>
        </w:tc>
        <w:tc>
          <w:tcPr>
            <w:tcW w:w="100" w:type="dxa"/>
            <w:vAlign w:val="bottom"/>
            <w:tcBorders>
              <w:bottom w:val="single" w:sz="8" w:color="auto"/>
            </w:tcBorders>
            <w:shd w:val="clear" w:color="auto" w:fill="E5E5E5"/>
          </w:tcPr>
          <w:p>
            <w:pPr>
              <w:spacing w:after="0"/>
              <w:rPr>
                <w:sz w:val="17"/>
                <w:szCs w:val="17"/>
                <w:color w:val="auto"/>
              </w:rPr>
            </w:pPr>
          </w:p>
        </w:tc>
        <w:tc>
          <w:tcPr>
            <w:tcW w:w="800" w:type="dxa"/>
            <w:vAlign w:val="bottom"/>
            <w:tcBorders>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1,126</w:t>
            </w:r>
          </w:p>
        </w:tc>
        <w:tc>
          <w:tcPr>
            <w:tcW w:w="420" w:type="dxa"/>
            <w:vAlign w:val="bottom"/>
            <w:shd w:val="clear" w:color="auto" w:fill="E5E5E5"/>
          </w:tcPr>
          <w:p>
            <w:pPr>
              <w:spacing w:after="0"/>
              <w:rPr>
                <w:sz w:val="17"/>
                <w:szCs w:val="17"/>
                <w:color w:val="auto"/>
              </w:rPr>
            </w:pPr>
          </w:p>
        </w:tc>
        <w:tc>
          <w:tcPr>
            <w:tcW w:w="120" w:type="dxa"/>
            <w:vAlign w:val="bottom"/>
            <w:tcBorders>
              <w:bottom w:val="single" w:sz="8" w:color="auto"/>
            </w:tcBorders>
            <w:shd w:val="clear" w:color="auto" w:fill="E5E5E5"/>
          </w:tcPr>
          <w:p>
            <w:pPr>
              <w:spacing w:after="0"/>
              <w:rPr>
                <w:sz w:val="17"/>
                <w:szCs w:val="17"/>
                <w:color w:val="auto"/>
              </w:rPr>
            </w:pPr>
          </w:p>
        </w:tc>
        <w:tc>
          <w:tcPr>
            <w:tcW w:w="640" w:type="dxa"/>
            <w:vAlign w:val="bottom"/>
            <w:tcBorders>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708</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gridSpan w:val="2"/>
          </w:tcPr>
          <w:p>
            <w:pPr>
              <w:ind w:left="420"/>
              <w:spacing w:after="0"/>
              <w:rPr>
                <w:sz w:val="20"/>
                <w:szCs w:val="20"/>
                <w:color w:val="auto"/>
              </w:rPr>
            </w:pPr>
            <w:r>
              <w:rPr>
                <w:rFonts w:ascii="Arial" w:cs="Arial" w:eastAsia="Arial" w:hAnsi="Arial"/>
                <w:sz w:val="18"/>
                <w:szCs w:val="18"/>
                <w:color w:val="auto"/>
              </w:rPr>
              <w:t>Total current assets</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8,639</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9,731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Finance receivables due after one year, net</w:t>
            </w:r>
          </w:p>
        </w:tc>
        <w:tc>
          <w:tcPr>
            <w:tcW w:w="25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8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4,135</w:t>
            </w:r>
          </w:p>
        </w:tc>
        <w:tc>
          <w:tcPr>
            <w:tcW w:w="4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4,405</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gridSpan w:val="3"/>
          </w:tcPr>
          <w:p>
            <w:pPr>
              <w:spacing w:after="0" w:line="202" w:lineRule="exact"/>
              <w:rPr>
                <w:sz w:val="20"/>
                <w:szCs w:val="20"/>
                <w:color w:val="auto"/>
              </w:rPr>
            </w:pPr>
            <w:r>
              <w:rPr>
                <w:rFonts w:ascii="Arial" w:cs="Arial" w:eastAsia="Arial" w:hAnsi="Arial"/>
                <w:sz w:val="18"/>
                <w:szCs w:val="18"/>
                <w:color w:val="auto"/>
              </w:rPr>
              <w:t>Equipment on operating leases, net</w:t>
            </w:r>
          </w:p>
        </w:tc>
        <w:tc>
          <w:tcPr>
            <w:tcW w:w="2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530</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551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Land, buildings and equipment, net</w:t>
            </w:r>
          </w:p>
        </w:tc>
        <w:tc>
          <w:tcPr>
            <w:tcW w:w="25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8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1,671</w:t>
            </w:r>
          </w:p>
        </w:tc>
        <w:tc>
          <w:tcPr>
            <w:tcW w:w="4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1,309</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gridSpan w:val="3"/>
          </w:tcPr>
          <w:p>
            <w:pPr>
              <w:spacing w:after="0" w:line="202" w:lineRule="exact"/>
              <w:rPr>
                <w:sz w:val="20"/>
                <w:szCs w:val="20"/>
                <w:color w:val="auto"/>
              </w:rPr>
            </w:pPr>
            <w:r>
              <w:rPr>
                <w:rFonts w:ascii="Arial" w:cs="Arial" w:eastAsia="Arial" w:hAnsi="Arial"/>
                <w:sz w:val="18"/>
                <w:szCs w:val="18"/>
                <w:color w:val="auto"/>
              </w:rPr>
              <w:t>Investments in affiliates, at equity</w:t>
            </w:r>
          </w:p>
        </w:tc>
        <w:tc>
          <w:tcPr>
            <w:tcW w:w="2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1,291</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1,056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Intangible assets, net</w:t>
            </w:r>
          </w:p>
        </w:tc>
        <w:tc>
          <w:tcPr>
            <w:tcW w:w="25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8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3,371</w:t>
            </w:r>
          </w:p>
        </w:tc>
        <w:tc>
          <w:tcPr>
            <w:tcW w:w="4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598</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gridSpan w:val="3"/>
          </w:tcPr>
          <w:p>
            <w:pPr>
              <w:spacing w:after="0" w:line="202" w:lineRule="exact"/>
              <w:rPr>
                <w:sz w:val="20"/>
                <w:szCs w:val="20"/>
                <w:color w:val="auto"/>
              </w:rPr>
            </w:pPr>
            <w:r>
              <w:rPr>
                <w:rFonts w:ascii="Arial" w:cs="Arial" w:eastAsia="Arial" w:hAnsi="Arial"/>
                <w:sz w:val="18"/>
                <w:szCs w:val="18"/>
                <w:color w:val="auto"/>
              </w:rPr>
              <w:t>Goodwill</w:t>
            </w:r>
          </w:p>
        </w:tc>
        <w:tc>
          <w:tcPr>
            <w:tcW w:w="2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8,649</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3,422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Deferred tax assets, long-term</w:t>
            </w:r>
          </w:p>
        </w:tc>
        <w:tc>
          <w:tcPr>
            <w:tcW w:w="25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8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540</w:t>
            </w:r>
          </w:p>
        </w:tc>
        <w:tc>
          <w:tcPr>
            <w:tcW w:w="4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1,640</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700" w:type="dxa"/>
            <w:vAlign w:val="bottom"/>
            <w:gridSpan w:val="3"/>
          </w:tcPr>
          <w:p>
            <w:pPr>
              <w:spacing w:after="0" w:line="202" w:lineRule="exact"/>
              <w:rPr>
                <w:sz w:val="20"/>
                <w:szCs w:val="20"/>
                <w:color w:val="auto"/>
              </w:rPr>
            </w:pPr>
            <w:r>
              <w:rPr>
                <w:rFonts w:ascii="Arial" w:cs="Arial" w:eastAsia="Arial" w:hAnsi="Arial"/>
                <w:sz w:val="18"/>
                <w:szCs w:val="18"/>
                <w:color w:val="auto"/>
              </w:rPr>
              <w:t>Other long-term assets</w:t>
            </w:r>
          </w:p>
        </w:tc>
        <w:tc>
          <w:tcPr>
            <w:tcW w:w="25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1,774</w:t>
            </w:r>
          </w:p>
        </w:tc>
        <w:tc>
          <w:tcPr>
            <w:tcW w:w="4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gridSpan w:val="2"/>
            <w:shd w:val="clear" w:color="auto" w:fill="E5E5E5"/>
          </w:tcPr>
          <w:p>
            <w:pPr>
              <w:ind w:left="420"/>
              <w:spacing w:after="0" w:line="202" w:lineRule="exact"/>
              <w:rPr>
                <w:sz w:val="20"/>
                <w:szCs w:val="20"/>
                <w:color w:val="auto"/>
              </w:rPr>
            </w:pPr>
            <w:r>
              <w:rPr>
                <w:rFonts w:ascii="Arial" w:cs="Arial" w:eastAsia="Arial" w:hAnsi="Arial"/>
                <w:sz w:val="18"/>
                <w:szCs w:val="18"/>
                <w:b w:val="1"/>
                <w:bCs w:val="1"/>
                <w:color w:val="auto"/>
              </w:rPr>
              <w:t>Total Assets</w:t>
            </w:r>
          </w:p>
        </w:tc>
        <w:tc>
          <w:tcPr>
            <w:tcW w:w="264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30,600</w:t>
            </w:r>
          </w:p>
        </w:tc>
        <w:tc>
          <w:tcPr>
            <w:tcW w:w="420" w:type="dxa"/>
            <w:vAlign w:val="bottom"/>
            <w:shd w:val="clear" w:color="auto" w:fill="E5E5E5"/>
          </w:tcPr>
          <w:p>
            <w:pPr>
              <w:spacing w:after="0"/>
              <w:rPr>
                <w:sz w:val="17"/>
                <w:szCs w:val="17"/>
                <w:color w:val="auto"/>
              </w:rPr>
            </w:pPr>
          </w:p>
        </w:tc>
        <w:tc>
          <w:tcPr>
            <w:tcW w:w="1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24,032</w:t>
            </w:r>
          </w:p>
        </w:tc>
        <w:tc>
          <w:tcPr>
            <w:tcW w:w="0" w:type="dxa"/>
            <w:vAlign w:val="bottom"/>
          </w:tcPr>
          <w:p>
            <w:pPr>
              <w:spacing w:after="0"/>
              <w:rPr>
                <w:sz w:val="1"/>
                <w:szCs w:val="1"/>
                <w:color w:val="auto"/>
              </w:rPr>
            </w:pPr>
          </w:p>
        </w:tc>
      </w:tr>
      <w:tr>
        <w:trPr>
          <w:trHeight w:val="20"/>
        </w:trPr>
        <w:tc>
          <w:tcPr>
            <w:tcW w:w="67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2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6700" w:type="dxa"/>
            <w:vAlign w:val="bottom"/>
            <w:gridSpan w:val="3"/>
            <w:vMerge w:val="continue"/>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Short-term debt and current portion of long-term debt</w:t>
            </w:r>
          </w:p>
        </w:tc>
        <w:tc>
          <w:tcPr>
            <w:tcW w:w="264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1,370</w:t>
            </w:r>
          </w:p>
        </w:tc>
        <w:tc>
          <w:tcPr>
            <w:tcW w:w="420" w:type="dxa"/>
            <w:vAlign w:val="bottom"/>
            <w:shd w:val="clear" w:color="auto" w:fill="E5E5E5"/>
          </w:tcPr>
          <w:p>
            <w:pPr>
              <w:spacing w:after="0"/>
              <w:rPr>
                <w:sz w:val="17"/>
                <w:szCs w:val="17"/>
                <w:color w:val="auto"/>
              </w:rPr>
            </w:pPr>
          </w:p>
        </w:tc>
        <w:tc>
          <w:tcPr>
            <w:tcW w:w="1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988</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gridSpan w:val="3"/>
          </w:tcPr>
          <w:p>
            <w:pPr>
              <w:spacing w:after="0" w:line="202" w:lineRule="exact"/>
              <w:rPr>
                <w:sz w:val="20"/>
                <w:szCs w:val="20"/>
                <w:color w:val="auto"/>
              </w:rPr>
            </w:pPr>
            <w:r>
              <w:rPr>
                <w:rFonts w:ascii="Arial" w:cs="Arial" w:eastAsia="Arial" w:hAnsi="Arial"/>
                <w:sz w:val="18"/>
                <w:szCs w:val="18"/>
                <w:color w:val="auto"/>
              </w:rPr>
              <w:t>Accounts payable</w:t>
            </w:r>
          </w:p>
        </w:tc>
        <w:tc>
          <w:tcPr>
            <w:tcW w:w="2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1,968</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1,451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Accrued compensation and benefits costs</w:t>
            </w:r>
          </w:p>
        </w:tc>
        <w:tc>
          <w:tcPr>
            <w:tcW w:w="25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8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901</w:t>
            </w:r>
          </w:p>
        </w:tc>
        <w:tc>
          <w:tcPr>
            <w:tcW w:w="4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695</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gridSpan w:val="3"/>
          </w:tcPr>
          <w:p>
            <w:pPr>
              <w:spacing w:after="0" w:line="202" w:lineRule="exact"/>
              <w:rPr>
                <w:sz w:val="20"/>
                <w:szCs w:val="20"/>
                <w:color w:val="auto"/>
              </w:rPr>
            </w:pPr>
            <w:r>
              <w:rPr>
                <w:rFonts w:ascii="Arial" w:cs="Arial" w:eastAsia="Arial" w:hAnsi="Arial"/>
                <w:sz w:val="18"/>
                <w:szCs w:val="18"/>
                <w:color w:val="auto"/>
              </w:rPr>
              <w:t>Unearned income</w:t>
            </w:r>
          </w:p>
        </w:tc>
        <w:tc>
          <w:tcPr>
            <w:tcW w:w="2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371</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Other current liabilities</w:t>
            </w:r>
          </w:p>
        </w:tc>
        <w:tc>
          <w:tcPr>
            <w:tcW w:w="2540" w:type="dxa"/>
            <w:vAlign w:val="bottom"/>
            <w:shd w:val="clear" w:color="auto" w:fill="E5E5E5"/>
          </w:tcPr>
          <w:p>
            <w:pPr>
              <w:spacing w:after="0"/>
              <w:rPr>
                <w:sz w:val="17"/>
                <w:szCs w:val="17"/>
                <w:color w:val="auto"/>
              </w:rPr>
            </w:pPr>
          </w:p>
        </w:tc>
        <w:tc>
          <w:tcPr>
            <w:tcW w:w="100" w:type="dxa"/>
            <w:vAlign w:val="bottom"/>
            <w:tcBorders>
              <w:bottom w:val="single" w:sz="8" w:color="auto"/>
            </w:tcBorders>
            <w:shd w:val="clear" w:color="auto" w:fill="E5E5E5"/>
          </w:tcPr>
          <w:p>
            <w:pPr>
              <w:spacing w:after="0"/>
              <w:rPr>
                <w:sz w:val="17"/>
                <w:szCs w:val="17"/>
                <w:color w:val="auto"/>
              </w:rPr>
            </w:pPr>
          </w:p>
        </w:tc>
        <w:tc>
          <w:tcPr>
            <w:tcW w:w="800" w:type="dxa"/>
            <w:vAlign w:val="bottom"/>
            <w:tcBorders>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1,807</w:t>
            </w:r>
          </w:p>
        </w:tc>
        <w:tc>
          <w:tcPr>
            <w:tcW w:w="420" w:type="dxa"/>
            <w:vAlign w:val="bottom"/>
            <w:shd w:val="clear" w:color="auto" w:fill="E5E5E5"/>
          </w:tcPr>
          <w:p>
            <w:pPr>
              <w:spacing w:after="0"/>
              <w:rPr>
                <w:sz w:val="17"/>
                <w:szCs w:val="17"/>
                <w:color w:val="auto"/>
              </w:rPr>
            </w:pPr>
          </w:p>
        </w:tc>
        <w:tc>
          <w:tcPr>
            <w:tcW w:w="120" w:type="dxa"/>
            <w:vAlign w:val="bottom"/>
            <w:tcBorders>
              <w:bottom w:val="single" w:sz="8" w:color="auto"/>
            </w:tcBorders>
            <w:shd w:val="clear" w:color="auto" w:fill="E5E5E5"/>
          </w:tcPr>
          <w:p>
            <w:pPr>
              <w:spacing w:after="0"/>
              <w:rPr>
                <w:sz w:val="17"/>
                <w:szCs w:val="17"/>
                <w:color w:val="auto"/>
              </w:rPr>
            </w:pPr>
          </w:p>
        </w:tc>
        <w:tc>
          <w:tcPr>
            <w:tcW w:w="640" w:type="dxa"/>
            <w:vAlign w:val="bottom"/>
            <w:tcBorders>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1,126</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gridSpan w:val="2"/>
          </w:tcPr>
          <w:p>
            <w:pPr>
              <w:ind w:left="420"/>
              <w:spacing w:after="0"/>
              <w:rPr>
                <w:sz w:val="20"/>
                <w:szCs w:val="20"/>
                <w:color w:val="auto"/>
              </w:rPr>
            </w:pPr>
            <w:r>
              <w:rPr>
                <w:rFonts w:ascii="Arial" w:cs="Arial" w:eastAsia="Arial" w:hAnsi="Arial"/>
                <w:sz w:val="18"/>
                <w:szCs w:val="18"/>
                <w:color w:val="auto"/>
              </w:rPr>
              <w:t>Total current liabilities</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6,417</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Long-term debt</w:t>
            </w:r>
          </w:p>
        </w:tc>
        <w:tc>
          <w:tcPr>
            <w:tcW w:w="25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8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7,237</w:t>
            </w:r>
          </w:p>
        </w:tc>
        <w:tc>
          <w:tcPr>
            <w:tcW w:w="4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8,276</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gridSpan w:val="3"/>
          </w:tcPr>
          <w:p>
            <w:pPr>
              <w:spacing w:after="0" w:line="202" w:lineRule="exact"/>
              <w:rPr>
                <w:sz w:val="20"/>
                <w:szCs w:val="20"/>
                <w:color w:val="auto"/>
              </w:rPr>
            </w:pPr>
            <w:r>
              <w:rPr>
                <w:rFonts w:ascii="Arial" w:cs="Arial" w:eastAsia="Arial" w:hAnsi="Arial"/>
                <w:sz w:val="18"/>
                <w:szCs w:val="18"/>
                <w:color w:val="auto"/>
              </w:rPr>
              <w:t>Liability to subsidiary trust issuing preferred securities</w:t>
            </w:r>
          </w:p>
        </w:tc>
        <w:tc>
          <w:tcPr>
            <w:tcW w:w="2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650</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649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Pension and other benefit liabilities</w:t>
            </w:r>
          </w:p>
        </w:tc>
        <w:tc>
          <w:tcPr>
            <w:tcW w:w="25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8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2,071</w:t>
            </w:r>
          </w:p>
        </w:tc>
        <w:tc>
          <w:tcPr>
            <w:tcW w:w="4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1,884</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gridSpan w:val="3"/>
          </w:tcPr>
          <w:p>
            <w:pPr>
              <w:spacing w:after="0" w:line="202" w:lineRule="exact"/>
              <w:rPr>
                <w:sz w:val="20"/>
                <w:szCs w:val="20"/>
                <w:color w:val="auto"/>
              </w:rPr>
            </w:pPr>
            <w:r>
              <w:rPr>
                <w:rFonts w:ascii="Arial" w:cs="Arial" w:eastAsia="Arial" w:hAnsi="Arial"/>
                <w:sz w:val="18"/>
                <w:szCs w:val="18"/>
                <w:color w:val="auto"/>
              </w:rPr>
              <w:t>Post-retirement medical benefits</w:t>
            </w:r>
          </w:p>
        </w:tc>
        <w:tc>
          <w:tcPr>
            <w:tcW w:w="2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920</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999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Other long-term liabilities</w:t>
            </w:r>
          </w:p>
        </w:tc>
        <w:tc>
          <w:tcPr>
            <w:tcW w:w="2540" w:type="dxa"/>
            <w:vAlign w:val="bottom"/>
            <w:shd w:val="clear" w:color="auto" w:fill="E5E5E5"/>
          </w:tcPr>
          <w:p>
            <w:pPr>
              <w:spacing w:after="0"/>
              <w:rPr>
                <w:sz w:val="17"/>
                <w:szCs w:val="17"/>
                <w:color w:val="auto"/>
              </w:rPr>
            </w:pPr>
          </w:p>
        </w:tc>
        <w:tc>
          <w:tcPr>
            <w:tcW w:w="100" w:type="dxa"/>
            <w:vAlign w:val="bottom"/>
            <w:tcBorders>
              <w:bottom w:val="single" w:sz="8" w:color="auto"/>
            </w:tcBorders>
            <w:shd w:val="clear" w:color="auto" w:fill="E5E5E5"/>
          </w:tcPr>
          <w:p>
            <w:pPr>
              <w:spacing w:after="0"/>
              <w:rPr>
                <w:sz w:val="17"/>
                <w:szCs w:val="17"/>
                <w:color w:val="auto"/>
              </w:rPr>
            </w:pPr>
          </w:p>
        </w:tc>
        <w:tc>
          <w:tcPr>
            <w:tcW w:w="800" w:type="dxa"/>
            <w:vAlign w:val="bottom"/>
            <w:tcBorders>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797</w:t>
            </w:r>
          </w:p>
        </w:tc>
        <w:tc>
          <w:tcPr>
            <w:tcW w:w="420" w:type="dxa"/>
            <w:vAlign w:val="bottom"/>
            <w:shd w:val="clear" w:color="auto" w:fill="E5E5E5"/>
          </w:tcPr>
          <w:p>
            <w:pPr>
              <w:spacing w:after="0"/>
              <w:rPr>
                <w:sz w:val="17"/>
                <w:szCs w:val="17"/>
                <w:color w:val="auto"/>
              </w:rPr>
            </w:pPr>
          </w:p>
        </w:tc>
        <w:tc>
          <w:tcPr>
            <w:tcW w:w="120" w:type="dxa"/>
            <w:vAlign w:val="bottom"/>
            <w:tcBorders>
              <w:bottom w:val="single" w:sz="8" w:color="auto"/>
            </w:tcBorders>
            <w:shd w:val="clear" w:color="auto" w:fill="E5E5E5"/>
          </w:tcPr>
          <w:p>
            <w:pPr>
              <w:spacing w:after="0"/>
              <w:rPr>
                <w:sz w:val="17"/>
                <w:szCs w:val="17"/>
                <w:color w:val="auto"/>
              </w:rPr>
            </w:pPr>
          </w:p>
        </w:tc>
        <w:tc>
          <w:tcPr>
            <w:tcW w:w="640" w:type="dxa"/>
            <w:vAlign w:val="bottom"/>
            <w:tcBorders>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572</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gridSpan w:val="2"/>
          </w:tcPr>
          <w:p>
            <w:pPr>
              <w:ind w:left="420"/>
              <w:spacing w:after="0"/>
              <w:rPr>
                <w:sz w:val="20"/>
                <w:szCs w:val="20"/>
                <w:color w:val="auto"/>
              </w:rPr>
            </w:pPr>
            <w:r>
              <w:rPr>
                <w:rFonts w:ascii="Arial" w:cs="Arial" w:eastAsia="Arial" w:hAnsi="Arial"/>
                <w:sz w:val="18"/>
                <w:szCs w:val="18"/>
                <w:b w:val="1"/>
                <w:bCs w:val="1"/>
                <w:color w:val="auto"/>
              </w:rPr>
              <w:t>Total Liabilities</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18,092</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16,841</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248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68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Series A Convertible Preferred Stock</w:t>
            </w:r>
          </w:p>
        </w:tc>
        <w:tc>
          <w:tcPr>
            <w:tcW w:w="25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8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349</w:t>
            </w:r>
          </w:p>
        </w:tc>
        <w:tc>
          <w:tcPr>
            <w:tcW w:w="4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7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8"/>
        </w:trPr>
        <w:tc>
          <w:tcPr>
            <w:tcW w:w="6700" w:type="dxa"/>
            <w:vAlign w:val="bottom"/>
            <w:gridSpan w:val="3"/>
          </w:tcPr>
          <w:p>
            <w:pPr>
              <w:spacing w:after="0"/>
              <w:rPr>
                <w:sz w:val="20"/>
                <w:szCs w:val="20"/>
                <w:color w:val="auto"/>
              </w:rPr>
            </w:pPr>
            <w:r>
              <w:rPr>
                <w:rFonts w:ascii="Arial" w:cs="Arial" w:eastAsia="Arial" w:hAnsi="Arial"/>
                <w:sz w:val="18"/>
                <w:szCs w:val="18"/>
                <w:color w:val="auto"/>
              </w:rPr>
              <w:t>Common stock</w:t>
            </w:r>
          </w:p>
        </w:tc>
        <w:tc>
          <w:tcPr>
            <w:tcW w:w="25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1,398</w:t>
            </w:r>
          </w:p>
        </w:tc>
        <w:tc>
          <w:tcPr>
            <w:tcW w:w="4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Additional paid-in capital</w:t>
            </w:r>
          </w:p>
        </w:tc>
        <w:tc>
          <w:tcPr>
            <w:tcW w:w="25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8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6,580</w:t>
            </w:r>
          </w:p>
        </w:tc>
        <w:tc>
          <w:tcPr>
            <w:tcW w:w="4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2,493</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gridSpan w:val="3"/>
          </w:tcPr>
          <w:p>
            <w:pPr>
              <w:spacing w:after="0" w:line="202" w:lineRule="exact"/>
              <w:rPr>
                <w:sz w:val="20"/>
                <w:szCs w:val="20"/>
                <w:color w:val="auto"/>
              </w:rPr>
            </w:pPr>
            <w:r>
              <w:rPr>
                <w:rFonts w:ascii="Arial" w:cs="Arial" w:eastAsia="Arial" w:hAnsi="Arial"/>
                <w:sz w:val="18"/>
                <w:szCs w:val="18"/>
                <w:color w:val="auto"/>
              </w:rPr>
              <w:t>Retained earnings</w:t>
            </w:r>
          </w:p>
        </w:tc>
        <w:tc>
          <w:tcPr>
            <w:tcW w:w="2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6,016</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5,674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Accumulated other comprehensive loss</w:t>
            </w:r>
          </w:p>
        </w:tc>
        <w:tc>
          <w:tcPr>
            <w:tcW w:w="25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220" w:type="dxa"/>
            <w:vAlign w:val="bottom"/>
            <w:gridSpan w:val="2"/>
            <w:shd w:val="clear" w:color="auto" w:fill="E5E5E5"/>
          </w:tcPr>
          <w:p>
            <w:pPr>
              <w:jc w:val="right"/>
              <w:ind w:right="360"/>
              <w:spacing w:after="0" w:line="202" w:lineRule="exact"/>
              <w:rPr>
                <w:sz w:val="20"/>
                <w:szCs w:val="20"/>
                <w:color w:val="auto"/>
              </w:rPr>
            </w:pPr>
            <w:r>
              <w:rPr>
                <w:rFonts w:ascii="Arial" w:cs="Arial" w:eastAsia="Arial" w:hAnsi="Arial"/>
                <w:sz w:val="18"/>
                <w:szCs w:val="18"/>
                <w:color w:val="auto"/>
              </w:rPr>
              <w:t>(1,988)</w:t>
            </w:r>
          </w:p>
        </w:tc>
        <w:tc>
          <w:tcPr>
            <w:tcW w:w="120" w:type="dxa"/>
            <w:vAlign w:val="bottom"/>
            <w:shd w:val="clear" w:color="auto" w:fill="E5E5E5"/>
          </w:tcPr>
          <w:p>
            <w:pPr>
              <w:spacing w:after="0"/>
              <w:rPr>
                <w:sz w:val="17"/>
                <w:szCs w:val="17"/>
                <w:color w:val="auto"/>
              </w:rPr>
            </w:pPr>
          </w:p>
        </w:tc>
        <w:tc>
          <w:tcPr>
            <w:tcW w:w="74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(1,988)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gridSpan w:val="2"/>
          </w:tcPr>
          <w:p>
            <w:pPr>
              <w:ind w:left="420"/>
              <w:spacing w:after="0"/>
              <w:rPr>
                <w:sz w:val="20"/>
                <w:szCs w:val="20"/>
                <w:color w:val="auto"/>
              </w:rPr>
            </w:pPr>
            <w:r>
              <w:rPr>
                <w:rFonts w:ascii="Arial" w:cs="Arial" w:eastAsia="Arial" w:hAnsi="Arial"/>
                <w:sz w:val="18"/>
                <w:szCs w:val="18"/>
                <w:color w:val="auto"/>
              </w:rPr>
              <w:t>Xerox shareholders’ equity</w:t>
            </w:r>
          </w:p>
        </w:tc>
        <w:tc>
          <w:tcPr>
            <w:tcW w:w="25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12,006</w:t>
            </w:r>
          </w:p>
        </w:tc>
        <w:tc>
          <w:tcPr>
            <w:tcW w:w="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gridSpan w:val="2"/>
            <w:shd w:val="clear" w:color="auto" w:fill="E5E5E5"/>
          </w:tcPr>
          <w:p>
            <w:pPr>
              <w:ind w:left="420"/>
              <w:spacing w:after="0" w:line="202" w:lineRule="exact"/>
              <w:rPr>
                <w:sz w:val="20"/>
                <w:szCs w:val="20"/>
                <w:color w:val="auto"/>
              </w:rPr>
            </w:pPr>
            <w:r>
              <w:rPr>
                <w:rFonts w:ascii="Arial" w:cs="Arial" w:eastAsia="Arial" w:hAnsi="Arial"/>
                <w:sz w:val="18"/>
                <w:szCs w:val="18"/>
                <w:color w:val="auto"/>
              </w:rPr>
              <w:t>Noncontrolling interests</w:t>
            </w:r>
          </w:p>
        </w:tc>
        <w:tc>
          <w:tcPr>
            <w:tcW w:w="2540" w:type="dxa"/>
            <w:vAlign w:val="bottom"/>
            <w:shd w:val="clear" w:color="auto" w:fill="E5E5E5"/>
          </w:tcPr>
          <w:p>
            <w:pPr>
              <w:spacing w:after="0"/>
              <w:rPr>
                <w:sz w:val="17"/>
                <w:szCs w:val="17"/>
                <w:color w:val="auto"/>
              </w:rPr>
            </w:pPr>
          </w:p>
        </w:tc>
        <w:tc>
          <w:tcPr>
            <w:tcW w:w="100" w:type="dxa"/>
            <w:vAlign w:val="bottom"/>
            <w:tcBorders>
              <w:bottom w:val="single" w:sz="8" w:color="auto"/>
            </w:tcBorders>
            <w:shd w:val="clear" w:color="auto" w:fill="E5E5E5"/>
          </w:tcPr>
          <w:p>
            <w:pPr>
              <w:spacing w:after="0"/>
              <w:rPr>
                <w:sz w:val="17"/>
                <w:szCs w:val="17"/>
                <w:color w:val="auto"/>
              </w:rPr>
            </w:pPr>
          </w:p>
        </w:tc>
        <w:tc>
          <w:tcPr>
            <w:tcW w:w="800" w:type="dxa"/>
            <w:vAlign w:val="bottom"/>
            <w:tcBorders>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153</w:t>
            </w:r>
          </w:p>
        </w:tc>
        <w:tc>
          <w:tcPr>
            <w:tcW w:w="420" w:type="dxa"/>
            <w:vAlign w:val="bottom"/>
            <w:shd w:val="clear" w:color="auto" w:fill="E5E5E5"/>
          </w:tcPr>
          <w:p>
            <w:pPr>
              <w:spacing w:after="0"/>
              <w:rPr>
                <w:sz w:val="17"/>
                <w:szCs w:val="17"/>
                <w:color w:val="auto"/>
              </w:rPr>
            </w:pPr>
          </w:p>
        </w:tc>
        <w:tc>
          <w:tcPr>
            <w:tcW w:w="120" w:type="dxa"/>
            <w:vAlign w:val="bottom"/>
            <w:tcBorders>
              <w:bottom w:val="single" w:sz="8" w:color="auto"/>
            </w:tcBorders>
            <w:shd w:val="clear" w:color="auto" w:fill="E5E5E5"/>
          </w:tcPr>
          <w:p>
            <w:pPr>
              <w:spacing w:after="0"/>
              <w:rPr>
                <w:sz w:val="17"/>
                <w:szCs w:val="17"/>
                <w:color w:val="auto"/>
              </w:rPr>
            </w:pPr>
          </w:p>
        </w:tc>
        <w:tc>
          <w:tcPr>
            <w:tcW w:w="640" w:type="dxa"/>
            <w:vAlign w:val="bottom"/>
            <w:tcBorders>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141</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80" w:type="dxa"/>
            <w:vAlign w:val="bottom"/>
            <w:gridSpan w:val="2"/>
          </w:tcPr>
          <w:p>
            <w:pPr>
              <w:ind w:left="420"/>
              <w:spacing w:after="0"/>
              <w:rPr>
                <w:sz w:val="20"/>
                <w:szCs w:val="20"/>
                <w:color w:val="auto"/>
              </w:rPr>
            </w:pPr>
            <w:r>
              <w:rPr>
                <w:rFonts w:ascii="Arial" w:cs="Arial" w:eastAsia="Arial" w:hAnsi="Arial"/>
                <w:sz w:val="18"/>
                <w:szCs w:val="18"/>
                <w:b w:val="1"/>
                <w:bCs w:val="1"/>
                <w:color w:val="auto"/>
              </w:rPr>
              <w:t>Total Equity</w:t>
            </w:r>
          </w:p>
        </w:tc>
        <w:tc>
          <w:tcPr>
            <w:tcW w:w="25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12,159</w:t>
            </w:r>
          </w:p>
        </w:tc>
        <w:tc>
          <w:tcPr>
            <w:tcW w:w="4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gridSpan w:val="2"/>
            <w:shd w:val="clear" w:color="auto" w:fill="E5E5E5"/>
          </w:tcPr>
          <w:p>
            <w:pPr>
              <w:ind w:left="420"/>
              <w:spacing w:after="0" w:line="202" w:lineRule="exact"/>
              <w:rPr>
                <w:sz w:val="20"/>
                <w:szCs w:val="20"/>
                <w:color w:val="auto"/>
              </w:rPr>
            </w:pPr>
            <w:r>
              <w:rPr>
                <w:rFonts w:ascii="Arial" w:cs="Arial" w:eastAsia="Arial" w:hAnsi="Arial"/>
                <w:sz w:val="18"/>
                <w:szCs w:val="18"/>
                <w:b w:val="1"/>
                <w:bCs w:val="1"/>
                <w:color w:val="auto"/>
              </w:rPr>
              <w:t>Total Liabilities and Equity</w:t>
            </w:r>
          </w:p>
        </w:tc>
        <w:tc>
          <w:tcPr>
            <w:tcW w:w="264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30,600</w:t>
            </w:r>
          </w:p>
        </w:tc>
        <w:tc>
          <w:tcPr>
            <w:tcW w:w="420" w:type="dxa"/>
            <w:vAlign w:val="bottom"/>
            <w:shd w:val="clear" w:color="auto" w:fill="E5E5E5"/>
          </w:tcPr>
          <w:p>
            <w:pPr>
              <w:spacing w:after="0"/>
              <w:rPr>
                <w:sz w:val="17"/>
                <w:szCs w:val="17"/>
                <w:color w:val="auto"/>
              </w:rPr>
            </w:pPr>
          </w:p>
        </w:tc>
        <w:tc>
          <w:tcPr>
            <w:tcW w:w="1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24,032</w:t>
            </w:r>
          </w:p>
        </w:tc>
        <w:tc>
          <w:tcPr>
            <w:tcW w:w="0" w:type="dxa"/>
            <w:vAlign w:val="bottom"/>
          </w:tcPr>
          <w:p>
            <w:pPr>
              <w:spacing w:after="0"/>
              <w:rPr>
                <w:sz w:val="1"/>
                <w:szCs w:val="1"/>
                <w:color w:val="auto"/>
              </w:rPr>
            </w:pPr>
          </w:p>
        </w:tc>
      </w:tr>
      <w:tr>
        <w:trPr>
          <w:trHeight w:val="20"/>
        </w:trPr>
        <w:tc>
          <w:tcPr>
            <w:tcW w:w="67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Shares of common stock issued and outstanding</w:t>
            </w:r>
          </w:p>
        </w:tc>
        <w:tc>
          <w:tcPr>
            <w:tcW w:w="2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00" w:type="dxa"/>
            <w:vAlign w:val="bottom"/>
            <w:gridSpan w:val="3"/>
            <w:vMerge w:val="continue"/>
          </w:tcPr>
          <w:p>
            <w:pPr>
              <w:spacing w:after="0"/>
              <w:rPr>
                <w:sz w:val="17"/>
                <w:szCs w:val="17"/>
                <w:color w:val="auto"/>
              </w:rPr>
            </w:pPr>
          </w:p>
        </w:tc>
        <w:tc>
          <w:tcPr>
            <w:tcW w:w="25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1,397,578</w:t>
            </w:r>
          </w:p>
        </w:tc>
        <w:tc>
          <w:tcPr>
            <w:tcW w:w="4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5"/>
              </w:rPr>
              <w:t>869,381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40" w:lineRule="exact"/>
        <w:rPr>
          <w:sz w:val="20"/>
          <w:szCs w:val="20"/>
          <w:color w:val="auto"/>
        </w:rPr>
      </w:pPr>
    </w:p>
    <w:p>
      <w:pPr>
        <w:ind w:left="9600"/>
        <w:spacing w:after="0"/>
        <w:rPr>
          <w:sz w:val="20"/>
          <w:szCs w:val="20"/>
          <w:color w:val="auto"/>
        </w:rPr>
      </w:pPr>
      <w:r>
        <w:rPr>
          <w:rFonts w:ascii="Arial" w:cs="Arial" w:eastAsia="Arial" w:hAnsi="Arial"/>
          <w:sz w:val="12"/>
          <w:szCs w:val="12"/>
          <w:color w:val="4C9F40"/>
        </w:rPr>
        <w:t>Xerox 2010 Annual Report 37</w:t>
      </w:r>
    </w:p>
    <w:p>
      <w:pPr>
        <w:sectPr>
          <w:pgSz w:w="11900" w:h="16838" w:orient="portrait"/>
          <w:cols w:equalWidth="0" w:num="1">
            <w:col w:w="11420"/>
          </w:cols>
          <w:pgMar w:left="240" w:top="310" w:right="239" w:bottom="1440" w:gutter="0" w:footer="0" w:header="0"/>
        </w:sectPr>
      </w:pPr>
    </w:p>
    <w:bookmarkStart w:id="114" w:name="page115"/>
    <w:bookmarkEnd w:id="114"/>
    <w:p>
      <w:pPr>
        <w:spacing w:after="0"/>
        <w:rPr>
          <w:sz w:val="20"/>
          <w:szCs w:val="20"/>
          <w:color w:val="auto"/>
        </w:rPr>
      </w:pPr>
      <w:r>
        <w:rPr>
          <w:rFonts w:ascii="Arial" w:cs="Arial" w:eastAsia="Arial" w:hAnsi="Arial"/>
          <w:sz w:val="22"/>
          <w:szCs w:val="22"/>
          <w:b w:val="1"/>
          <w:bCs w:val="1"/>
          <w:color w:val="4C9F40"/>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XEROX CORPORATION</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4C9F40"/>
        </w:rPr>
        <w:t>CONSOLIDATED STATEMENTS OF CASH FLOWS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40" w:type="dxa"/>
            <w:vAlign w:val="bottom"/>
            <w:gridSpan w:val="3"/>
            <w:vMerge w:val="restart"/>
          </w:tcPr>
          <w:p>
            <w:pPr>
              <w:spacing w:after="0"/>
              <w:rPr>
                <w:sz w:val="20"/>
                <w:szCs w:val="20"/>
                <w:color w:val="auto"/>
              </w:rPr>
            </w:pPr>
            <w:r>
              <w:rPr>
                <w:rFonts w:ascii="Arial" w:cs="Arial" w:eastAsia="Arial" w:hAnsi="Arial"/>
                <w:sz w:val="14"/>
                <w:szCs w:val="14"/>
                <w:color w:val="auto"/>
              </w:rPr>
              <w:t>(in millions)</w:t>
            </w:r>
          </w:p>
        </w:tc>
        <w:tc>
          <w:tcPr>
            <w:tcW w:w="1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color w:val="auto"/>
              </w:rPr>
              <w:t>Year Ended December 31,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7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93"/>
              <w:spacing w:after="0" w:line="142" w:lineRule="exact"/>
              <w:rPr>
                <w:sz w:val="20"/>
                <w:szCs w:val="20"/>
                <w:color w:val="auto"/>
              </w:rPr>
            </w:pPr>
            <w:r>
              <w:rPr>
                <w:rFonts w:ascii="Arial" w:cs="Arial" w:eastAsia="Arial" w:hAnsi="Arial"/>
                <w:sz w:val="14"/>
                <w:szCs w:val="14"/>
                <w:color w:val="auto"/>
              </w:rPr>
              <w:t>2010</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93"/>
              <w:spacing w:after="0" w:line="142" w:lineRule="exact"/>
              <w:rPr>
                <w:sz w:val="20"/>
                <w:szCs w:val="20"/>
                <w:color w:val="auto"/>
              </w:rPr>
            </w:pPr>
            <w:r>
              <w:rPr>
                <w:rFonts w:ascii="Arial" w:cs="Arial" w:eastAsia="Arial" w:hAnsi="Arial"/>
                <w:sz w:val="14"/>
                <w:szCs w:val="14"/>
                <w:color w:val="auto"/>
              </w:rPr>
              <w:t>2009</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ind w:right="93"/>
              <w:spacing w:after="0" w:line="142" w:lineRule="exact"/>
              <w:rPr>
                <w:sz w:val="20"/>
                <w:szCs w:val="20"/>
                <w:color w:val="auto"/>
              </w:rPr>
            </w:pPr>
            <w:r>
              <w:rPr>
                <w:rFonts w:ascii="Arial" w:cs="Arial" w:eastAsia="Arial" w:hAnsi="Arial"/>
                <w:sz w:val="14"/>
                <w:szCs w:val="14"/>
                <w:color w:val="auto"/>
                <w:w w:val="96"/>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720" w:type="dxa"/>
            <w:vAlign w:val="bottom"/>
            <w:gridSpan w:val="2"/>
            <w:shd w:val="clear" w:color="auto" w:fill="E5E5E5"/>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shd w:val="clear" w:color="auto" w:fill="E5E5E5"/>
          </w:tcPr>
          <w:p>
            <w:pPr>
              <w:spacing w:after="0"/>
              <w:rPr>
                <w:sz w:val="17"/>
                <w:szCs w:val="17"/>
                <w:color w:val="auto"/>
              </w:rPr>
            </w:pPr>
          </w:p>
        </w:tc>
        <w:tc>
          <w:tcPr>
            <w:tcW w:w="54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52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5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40" w:type="dxa"/>
            <w:vAlign w:val="bottom"/>
            <w:gridSpan w:val="3"/>
          </w:tcPr>
          <w:p>
            <w:pPr>
              <w:spacing w:after="0" w:line="202" w:lineRule="exact"/>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637</w:t>
            </w:r>
          </w:p>
        </w:tc>
        <w:tc>
          <w:tcPr>
            <w:tcW w:w="30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516</w:t>
            </w:r>
          </w:p>
        </w:tc>
        <w:tc>
          <w:tcPr>
            <w:tcW w:w="180" w:type="dxa"/>
            <w:vAlign w:val="bottom"/>
          </w:tcPr>
          <w:p>
            <w:pPr>
              <w:spacing w:after="0"/>
              <w:rPr>
                <w:sz w:val="17"/>
                <w:szCs w:val="17"/>
                <w:color w:val="auto"/>
              </w:rPr>
            </w:pPr>
          </w:p>
        </w:tc>
        <w:tc>
          <w:tcPr>
            <w:tcW w:w="2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265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Adjustments required to reconcile net income to cash flows from operating activities:</w:t>
            </w:r>
          </w:p>
        </w:tc>
        <w:tc>
          <w:tcPr>
            <w:tcW w:w="120" w:type="dxa"/>
            <w:vAlign w:val="bottom"/>
            <w:shd w:val="clear" w:color="auto" w:fill="E5E5E5"/>
          </w:tcPr>
          <w:p>
            <w:pPr>
              <w:spacing w:after="0"/>
              <w:rPr>
                <w:sz w:val="17"/>
                <w:szCs w:val="17"/>
                <w:color w:val="auto"/>
              </w:rPr>
            </w:pPr>
          </w:p>
        </w:tc>
        <w:tc>
          <w:tcPr>
            <w:tcW w:w="54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52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5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1,097</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698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669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gridSpan w:val="2"/>
            <w:shd w:val="clear" w:color="auto" w:fill="E5E5E5"/>
          </w:tcPr>
          <w:p>
            <w:pPr>
              <w:ind w:left="420"/>
              <w:spacing w:after="0" w:line="202" w:lineRule="exact"/>
              <w:rPr>
                <w:sz w:val="20"/>
                <w:szCs w:val="20"/>
                <w:color w:val="auto"/>
              </w:rPr>
            </w:pPr>
            <w:r>
              <w:rPr>
                <w:rFonts w:ascii="Arial" w:cs="Arial" w:eastAsia="Arial" w:hAnsi="Arial"/>
                <w:sz w:val="18"/>
                <w:szCs w:val="18"/>
                <w:color w:val="auto"/>
              </w:rPr>
              <w:t>Provision for receivables</w:t>
            </w:r>
          </w:p>
        </w:tc>
        <w:tc>
          <w:tcPr>
            <w:tcW w:w="120" w:type="dxa"/>
            <w:vAlign w:val="bottom"/>
            <w:shd w:val="clear" w:color="auto" w:fill="E5E5E5"/>
          </w:tcPr>
          <w:p>
            <w:pPr>
              <w:spacing w:after="0"/>
              <w:rPr>
                <w:sz w:val="17"/>
                <w:szCs w:val="17"/>
                <w:color w:val="auto"/>
              </w:rPr>
            </w:pPr>
          </w:p>
        </w:tc>
        <w:tc>
          <w:tcPr>
            <w:tcW w:w="5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180</w:t>
            </w:r>
          </w:p>
        </w:tc>
        <w:tc>
          <w:tcPr>
            <w:tcW w:w="30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5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289</w:t>
            </w:r>
          </w:p>
        </w:tc>
        <w:tc>
          <w:tcPr>
            <w:tcW w:w="18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5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199</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Provision for inventory</w:t>
            </w:r>
          </w:p>
        </w:tc>
        <w:tc>
          <w:tcPr>
            <w:tcW w:w="1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31</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52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gridSpan w:val="2"/>
            <w:shd w:val="clear" w:color="auto" w:fill="E5E5E5"/>
          </w:tcPr>
          <w:p>
            <w:pPr>
              <w:ind w:left="420"/>
              <w:spacing w:after="0" w:line="202" w:lineRule="exact"/>
              <w:rPr>
                <w:sz w:val="20"/>
                <w:szCs w:val="20"/>
                <w:color w:val="auto"/>
              </w:rPr>
            </w:pPr>
            <w:r>
              <w:rPr>
                <w:rFonts w:ascii="Arial" w:cs="Arial" w:eastAsia="Arial" w:hAnsi="Arial"/>
                <w:sz w:val="18"/>
                <w:szCs w:val="18"/>
                <w:color w:val="auto"/>
              </w:rPr>
              <w:t>Deferred tax (benefit) expense</w:t>
            </w:r>
          </w:p>
        </w:tc>
        <w:tc>
          <w:tcPr>
            <w:tcW w:w="120" w:type="dxa"/>
            <w:vAlign w:val="bottom"/>
            <w:shd w:val="clear" w:color="auto" w:fill="E5E5E5"/>
          </w:tcPr>
          <w:p>
            <w:pPr>
              <w:spacing w:after="0"/>
              <w:rPr>
                <w:sz w:val="17"/>
                <w:szCs w:val="17"/>
                <w:color w:val="auto"/>
              </w:rPr>
            </w:pPr>
          </w:p>
        </w:tc>
        <w:tc>
          <w:tcPr>
            <w:tcW w:w="84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color w:val="auto"/>
              </w:rPr>
              <w:t>(2)</w:t>
            </w:r>
          </w:p>
        </w:tc>
        <w:tc>
          <w:tcPr>
            <w:tcW w:w="140" w:type="dxa"/>
            <w:vAlign w:val="bottom"/>
            <w:shd w:val="clear" w:color="auto" w:fill="E5E5E5"/>
          </w:tcPr>
          <w:p>
            <w:pPr>
              <w:spacing w:after="0"/>
              <w:rPr>
                <w:sz w:val="17"/>
                <w:szCs w:val="17"/>
                <w:color w:val="auto"/>
              </w:rPr>
            </w:pPr>
          </w:p>
        </w:tc>
        <w:tc>
          <w:tcPr>
            <w:tcW w:w="5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120</w:t>
            </w:r>
          </w:p>
        </w:tc>
        <w:tc>
          <w:tcPr>
            <w:tcW w:w="18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60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Net gain on sales of businesses and assets</w:t>
            </w:r>
          </w:p>
        </w:tc>
        <w:tc>
          <w:tcPr>
            <w:tcW w:w="120" w:type="dxa"/>
            <w:vAlign w:val="bottom"/>
          </w:tcPr>
          <w:p>
            <w:pPr>
              <w:spacing w:after="0"/>
              <w:rPr>
                <w:sz w:val="17"/>
                <w:szCs w:val="17"/>
                <w:color w:val="auto"/>
              </w:rPr>
            </w:pPr>
          </w:p>
        </w:tc>
        <w:tc>
          <w:tcPr>
            <w:tcW w:w="8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(18)</w:t>
            </w:r>
          </w:p>
        </w:tc>
        <w:tc>
          <w:tcPr>
            <w:tcW w:w="140" w:type="dxa"/>
            <w:vAlign w:val="bottom"/>
          </w:tcPr>
          <w:p>
            <w:pPr>
              <w:spacing w:after="0"/>
              <w:rPr>
                <w:sz w:val="17"/>
                <w:szCs w:val="17"/>
                <w:color w:val="auto"/>
              </w:rPr>
            </w:pPr>
          </w:p>
        </w:tc>
        <w:tc>
          <w:tcPr>
            <w:tcW w:w="7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gridSpan w:val="2"/>
            <w:shd w:val="clear" w:color="auto" w:fill="E5E5E5"/>
          </w:tcPr>
          <w:p>
            <w:pPr>
              <w:ind w:left="420"/>
              <w:spacing w:after="0" w:line="202" w:lineRule="exact"/>
              <w:rPr>
                <w:sz w:val="20"/>
                <w:szCs w:val="20"/>
                <w:color w:val="auto"/>
              </w:rPr>
            </w:pPr>
            <w:r>
              <w:rPr>
                <w:rFonts w:ascii="Arial" w:cs="Arial" w:eastAsia="Arial" w:hAnsi="Arial"/>
                <w:sz w:val="18"/>
                <w:szCs w:val="18"/>
                <w:color w:val="auto"/>
              </w:rPr>
              <w:t>Undistributed equity in net income of unconsolidated affiliates</w:t>
            </w:r>
          </w:p>
        </w:tc>
        <w:tc>
          <w:tcPr>
            <w:tcW w:w="120" w:type="dxa"/>
            <w:vAlign w:val="bottom"/>
            <w:shd w:val="clear" w:color="auto" w:fill="E5E5E5"/>
          </w:tcPr>
          <w:p>
            <w:pPr>
              <w:spacing w:after="0"/>
              <w:rPr>
                <w:sz w:val="17"/>
                <w:szCs w:val="17"/>
                <w:color w:val="auto"/>
              </w:rPr>
            </w:pPr>
          </w:p>
        </w:tc>
        <w:tc>
          <w:tcPr>
            <w:tcW w:w="84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color w:val="auto"/>
              </w:rPr>
              <w:t>(37)</w:t>
            </w:r>
          </w:p>
        </w:tc>
        <w:tc>
          <w:tcPr>
            <w:tcW w:w="140" w:type="dxa"/>
            <w:vAlign w:val="bottom"/>
            <w:shd w:val="clear" w:color="auto" w:fill="E5E5E5"/>
          </w:tcPr>
          <w:p>
            <w:pPr>
              <w:spacing w:after="0"/>
              <w:rPr>
                <w:sz w:val="17"/>
                <w:szCs w:val="17"/>
                <w:color w:val="auto"/>
              </w:rPr>
            </w:pPr>
          </w:p>
        </w:tc>
        <w:tc>
          <w:tcPr>
            <w:tcW w:w="70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(25)</w:t>
            </w: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60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123</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85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gridSpan w:val="2"/>
            <w:shd w:val="clear" w:color="auto" w:fill="E5E5E5"/>
          </w:tcPr>
          <w:p>
            <w:pPr>
              <w:ind w:left="420"/>
              <w:spacing w:after="0" w:line="202" w:lineRule="exact"/>
              <w:rPr>
                <w:sz w:val="20"/>
                <w:szCs w:val="20"/>
                <w:color w:val="auto"/>
              </w:rPr>
            </w:pPr>
            <w:r>
              <w:rPr>
                <w:rFonts w:ascii="Arial" w:cs="Arial" w:eastAsia="Arial" w:hAnsi="Arial"/>
                <w:sz w:val="18"/>
                <w:szCs w:val="18"/>
                <w:color w:val="auto"/>
              </w:rPr>
              <w:t>Provision for litigation, net</w:t>
            </w:r>
          </w:p>
        </w:tc>
        <w:tc>
          <w:tcPr>
            <w:tcW w:w="120" w:type="dxa"/>
            <w:vAlign w:val="bottom"/>
            <w:shd w:val="clear" w:color="auto" w:fill="E5E5E5"/>
          </w:tcPr>
          <w:p>
            <w:pPr>
              <w:spacing w:after="0"/>
              <w:rPr>
                <w:sz w:val="17"/>
                <w:szCs w:val="17"/>
                <w:color w:val="auto"/>
              </w:rPr>
            </w:pPr>
          </w:p>
        </w:tc>
        <w:tc>
          <w:tcPr>
            <w:tcW w:w="5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36</w:t>
            </w:r>
          </w:p>
        </w:tc>
        <w:tc>
          <w:tcPr>
            <w:tcW w:w="30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70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5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781</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Payments for litigation, net</w:t>
            </w:r>
          </w:p>
        </w:tc>
        <w:tc>
          <w:tcPr>
            <w:tcW w:w="120" w:type="dxa"/>
            <w:vAlign w:val="bottom"/>
          </w:tcPr>
          <w:p>
            <w:pPr>
              <w:spacing w:after="0"/>
              <w:rPr>
                <w:sz w:val="17"/>
                <w:szCs w:val="17"/>
                <w:color w:val="auto"/>
              </w:rPr>
            </w:pPr>
          </w:p>
        </w:tc>
        <w:tc>
          <w:tcPr>
            <w:tcW w:w="8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(36)</w:t>
            </w:r>
          </w:p>
        </w:tc>
        <w:tc>
          <w:tcPr>
            <w:tcW w:w="140" w:type="dxa"/>
            <w:vAlign w:val="bottom"/>
          </w:tcPr>
          <w:p>
            <w:pPr>
              <w:spacing w:after="0"/>
              <w:rPr>
                <w:sz w:val="17"/>
                <w:szCs w:val="17"/>
                <w:color w:val="auto"/>
              </w:rPr>
            </w:pPr>
          </w:p>
        </w:tc>
        <w:tc>
          <w:tcPr>
            <w:tcW w:w="7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gridSpan w:val="2"/>
            <w:shd w:val="clear" w:color="auto" w:fill="E5E5E5"/>
          </w:tcPr>
          <w:p>
            <w:pPr>
              <w:ind w:left="420"/>
              <w:spacing w:after="0" w:line="202" w:lineRule="exact"/>
              <w:rPr>
                <w:sz w:val="20"/>
                <w:szCs w:val="20"/>
                <w:color w:val="auto"/>
              </w:rPr>
            </w:pPr>
            <w:r>
              <w:rPr>
                <w:rFonts w:ascii="Arial" w:cs="Arial" w:eastAsia="Arial" w:hAnsi="Arial"/>
                <w:sz w:val="18"/>
                <w:szCs w:val="18"/>
                <w:color w:val="auto"/>
              </w:rPr>
              <w:t>Restructuring and asset impairment charges</w:t>
            </w:r>
          </w:p>
        </w:tc>
        <w:tc>
          <w:tcPr>
            <w:tcW w:w="120" w:type="dxa"/>
            <w:vAlign w:val="bottom"/>
            <w:shd w:val="clear" w:color="auto" w:fill="E5E5E5"/>
          </w:tcPr>
          <w:p>
            <w:pPr>
              <w:spacing w:after="0"/>
              <w:rPr>
                <w:sz w:val="17"/>
                <w:szCs w:val="17"/>
                <w:color w:val="auto"/>
              </w:rPr>
            </w:pPr>
          </w:p>
        </w:tc>
        <w:tc>
          <w:tcPr>
            <w:tcW w:w="5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483</w:t>
            </w:r>
          </w:p>
        </w:tc>
        <w:tc>
          <w:tcPr>
            <w:tcW w:w="30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70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(8)</w:t>
            </w: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5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429</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Payments for restructurings</w:t>
            </w:r>
          </w:p>
        </w:tc>
        <w:tc>
          <w:tcPr>
            <w:tcW w:w="120" w:type="dxa"/>
            <w:vAlign w:val="bottom"/>
          </w:tcPr>
          <w:p>
            <w:pPr>
              <w:spacing w:after="0"/>
              <w:rPr>
                <w:sz w:val="17"/>
                <w:szCs w:val="17"/>
                <w:color w:val="auto"/>
              </w:rPr>
            </w:pPr>
          </w:p>
        </w:tc>
        <w:tc>
          <w:tcPr>
            <w:tcW w:w="8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(213)</w:t>
            </w:r>
          </w:p>
        </w:tc>
        <w:tc>
          <w:tcPr>
            <w:tcW w:w="140" w:type="dxa"/>
            <w:vAlign w:val="bottom"/>
          </w:tcPr>
          <w:p>
            <w:pPr>
              <w:spacing w:after="0"/>
              <w:rPr>
                <w:sz w:val="17"/>
                <w:szCs w:val="17"/>
                <w:color w:val="auto"/>
              </w:rPr>
            </w:pPr>
          </w:p>
        </w:tc>
        <w:tc>
          <w:tcPr>
            <w:tcW w:w="7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(270)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gridSpan w:val="2"/>
            <w:shd w:val="clear" w:color="auto" w:fill="E5E5E5"/>
          </w:tcPr>
          <w:p>
            <w:pPr>
              <w:ind w:left="420"/>
              <w:spacing w:after="0" w:line="202" w:lineRule="exact"/>
              <w:rPr>
                <w:sz w:val="20"/>
                <w:szCs w:val="20"/>
                <w:color w:val="auto"/>
              </w:rPr>
            </w:pPr>
            <w:r>
              <w:rPr>
                <w:rFonts w:ascii="Arial" w:cs="Arial" w:eastAsia="Arial" w:hAnsi="Arial"/>
                <w:sz w:val="18"/>
                <w:szCs w:val="18"/>
                <w:color w:val="auto"/>
              </w:rPr>
              <w:t>Contributions to pension benefit plans</w:t>
            </w:r>
          </w:p>
        </w:tc>
        <w:tc>
          <w:tcPr>
            <w:tcW w:w="120" w:type="dxa"/>
            <w:vAlign w:val="bottom"/>
            <w:shd w:val="clear" w:color="auto" w:fill="E5E5E5"/>
          </w:tcPr>
          <w:p>
            <w:pPr>
              <w:spacing w:after="0"/>
              <w:rPr>
                <w:sz w:val="17"/>
                <w:szCs w:val="17"/>
                <w:color w:val="auto"/>
              </w:rPr>
            </w:pPr>
          </w:p>
        </w:tc>
        <w:tc>
          <w:tcPr>
            <w:tcW w:w="84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color w:val="auto"/>
              </w:rPr>
              <w:t>(237)</w:t>
            </w:r>
          </w:p>
        </w:tc>
        <w:tc>
          <w:tcPr>
            <w:tcW w:w="140" w:type="dxa"/>
            <w:vAlign w:val="bottom"/>
            <w:shd w:val="clear" w:color="auto" w:fill="E5E5E5"/>
          </w:tcPr>
          <w:p>
            <w:pPr>
              <w:spacing w:after="0"/>
              <w:rPr>
                <w:sz w:val="17"/>
                <w:szCs w:val="17"/>
                <w:color w:val="auto"/>
              </w:rPr>
            </w:pPr>
          </w:p>
        </w:tc>
        <w:tc>
          <w:tcPr>
            <w:tcW w:w="70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(122)</w:t>
            </w: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60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(Increase) decrease in accounts receivable and billed portion of finance receivables</w:t>
            </w:r>
          </w:p>
        </w:tc>
        <w:tc>
          <w:tcPr>
            <w:tcW w:w="120" w:type="dxa"/>
            <w:vAlign w:val="bottom"/>
          </w:tcPr>
          <w:p>
            <w:pPr>
              <w:spacing w:after="0"/>
              <w:rPr>
                <w:sz w:val="17"/>
                <w:szCs w:val="17"/>
                <w:color w:val="auto"/>
              </w:rPr>
            </w:pPr>
          </w:p>
        </w:tc>
        <w:tc>
          <w:tcPr>
            <w:tcW w:w="8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(118)</w:t>
            </w:r>
          </w:p>
        </w:tc>
        <w:tc>
          <w:tcPr>
            <w:tcW w:w="14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467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gridSpan w:val="2"/>
            <w:shd w:val="clear" w:color="auto" w:fill="E5E5E5"/>
          </w:tcPr>
          <w:p>
            <w:pPr>
              <w:ind w:left="420"/>
              <w:spacing w:after="0" w:line="202" w:lineRule="exact"/>
              <w:rPr>
                <w:sz w:val="20"/>
                <w:szCs w:val="20"/>
                <w:color w:val="auto"/>
              </w:rPr>
            </w:pPr>
            <w:r>
              <w:rPr>
                <w:rFonts w:ascii="Arial" w:cs="Arial" w:eastAsia="Arial" w:hAnsi="Arial"/>
                <w:sz w:val="18"/>
                <w:szCs w:val="18"/>
                <w:color w:val="auto"/>
              </w:rPr>
              <w:t>Collections of deferred proceeds from sales of receivables</w:t>
            </w:r>
          </w:p>
        </w:tc>
        <w:tc>
          <w:tcPr>
            <w:tcW w:w="120" w:type="dxa"/>
            <w:vAlign w:val="bottom"/>
            <w:shd w:val="clear" w:color="auto" w:fill="E5E5E5"/>
          </w:tcPr>
          <w:p>
            <w:pPr>
              <w:spacing w:after="0"/>
              <w:rPr>
                <w:sz w:val="17"/>
                <w:szCs w:val="17"/>
                <w:color w:val="auto"/>
              </w:rPr>
            </w:pPr>
          </w:p>
        </w:tc>
        <w:tc>
          <w:tcPr>
            <w:tcW w:w="5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218</w:t>
            </w:r>
          </w:p>
        </w:tc>
        <w:tc>
          <w:tcPr>
            <w:tcW w:w="30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70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6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(Increase) decrease in inventories</w:t>
            </w:r>
          </w:p>
        </w:tc>
        <w:tc>
          <w:tcPr>
            <w:tcW w:w="120" w:type="dxa"/>
            <w:vAlign w:val="bottom"/>
          </w:tcPr>
          <w:p>
            <w:pPr>
              <w:spacing w:after="0"/>
              <w:rPr>
                <w:sz w:val="17"/>
                <w:szCs w:val="17"/>
                <w:color w:val="auto"/>
              </w:rPr>
            </w:pPr>
          </w:p>
        </w:tc>
        <w:tc>
          <w:tcPr>
            <w:tcW w:w="8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(151)</w:t>
            </w:r>
          </w:p>
        </w:tc>
        <w:tc>
          <w:tcPr>
            <w:tcW w:w="14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319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gridSpan w:val="2"/>
            <w:shd w:val="clear" w:color="auto" w:fill="E5E5E5"/>
          </w:tcPr>
          <w:p>
            <w:pPr>
              <w:ind w:left="420"/>
              <w:spacing w:after="0" w:line="202" w:lineRule="exact"/>
              <w:rPr>
                <w:sz w:val="20"/>
                <w:szCs w:val="20"/>
                <w:color w:val="auto"/>
              </w:rPr>
            </w:pPr>
            <w:r>
              <w:rPr>
                <w:rFonts w:ascii="Arial" w:cs="Arial" w:eastAsia="Arial" w:hAnsi="Arial"/>
                <w:sz w:val="18"/>
                <w:szCs w:val="18"/>
                <w:color w:val="auto"/>
              </w:rPr>
              <w:t>Increase in equipment on operating leases</w:t>
            </w:r>
          </w:p>
        </w:tc>
        <w:tc>
          <w:tcPr>
            <w:tcW w:w="120" w:type="dxa"/>
            <w:vAlign w:val="bottom"/>
            <w:shd w:val="clear" w:color="auto" w:fill="E5E5E5"/>
          </w:tcPr>
          <w:p>
            <w:pPr>
              <w:spacing w:after="0"/>
              <w:rPr>
                <w:sz w:val="17"/>
                <w:szCs w:val="17"/>
                <w:color w:val="auto"/>
              </w:rPr>
            </w:pPr>
          </w:p>
        </w:tc>
        <w:tc>
          <w:tcPr>
            <w:tcW w:w="84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color w:val="auto"/>
              </w:rPr>
              <w:t>(288)</w:t>
            </w:r>
          </w:p>
        </w:tc>
        <w:tc>
          <w:tcPr>
            <w:tcW w:w="140" w:type="dxa"/>
            <w:vAlign w:val="bottom"/>
            <w:shd w:val="clear" w:color="auto" w:fill="E5E5E5"/>
          </w:tcPr>
          <w:p>
            <w:pPr>
              <w:spacing w:after="0"/>
              <w:rPr>
                <w:sz w:val="17"/>
                <w:szCs w:val="17"/>
                <w:color w:val="auto"/>
              </w:rPr>
            </w:pPr>
          </w:p>
        </w:tc>
        <w:tc>
          <w:tcPr>
            <w:tcW w:w="70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(267)</w:t>
            </w: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60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Decrease in finance receivables</w:t>
            </w:r>
          </w:p>
        </w:tc>
        <w:tc>
          <w:tcPr>
            <w:tcW w:w="1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129</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248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gridSpan w:val="2"/>
            <w:shd w:val="clear" w:color="auto" w:fill="E5E5E5"/>
          </w:tcPr>
          <w:p>
            <w:pPr>
              <w:ind w:left="420"/>
              <w:spacing w:after="0" w:line="202" w:lineRule="exact"/>
              <w:rPr>
                <w:sz w:val="20"/>
                <w:szCs w:val="20"/>
                <w:color w:val="auto"/>
              </w:rPr>
            </w:pPr>
            <w:r>
              <w:rPr>
                <w:rFonts w:ascii="Arial" w:cs="Arial" w:eastAsia="Arial" w:hAnsi="Arial"/>
                <w:sz w:val="18"/>
                <w:szCs w:val="18"/>
                <w:color w:val="auto"/>
              </w:rPr>
              <w:t>(Increase) decrease in other current and long-term assets</w:t>
            </w:r>
          </w:p>
        </w:tc>
        <w:tc>
          <w:tcPr>
            <w:tcW w:w="120" w:type="dxa"/>
            <w:vAlign w:val="bottom"/>
            <w:shd w:val="clear" w:color="auto" w:fill="E5E5E5"/>
          </w:tcPr>
          <w:p>
            <w:pPr>
              <w:spacing w:after="0"/>
              <w:rPr>
                <w:sz w:val="17"/>
                <w:szCs w:val="17"/>
                <w:color w:val="auto"/>
              </w:rPr>
            </w:pPr>
          </w:p>
        </w:tc>
        <w:tc>
          <w:tcPr>
            <w:tcW w:w="84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color w:val="auto"/>
              </w:rPr>
              <w:t>(98)</w:t>
            </w:r>
          </w:p>
        </w:tc>
        <w:tc>
          <w:tcPr>
            <w:tcW w:w="140" w:type="dxa"/>
            <w:vAlign w:val="bottom"/>
            <w:shd w:val="clear" w:color="auto" w:fill="E5E5E5"/>
          </w:tcPr>
          <w:p>
            <w:pPr>
              <w:spacing w:after="0"/>
              <w:rPr>
                <w:sz w:val="17"/>
                <w:szCs w:val="17"/>
                <w:color w:val="auto"/>
              </w:rPr>
            </w:pPr>
          </w:p>
        </w:tc>
        <w:tc>
          <w:tcPr>
            <w:tcW w:w="5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129</w:t>
            </w:r>
          </w:p>
        </w:tc>
        <w:tc>
          <w:tcPr>
            <w:tcW w:w="18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60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Increase in accounts payable and accrued compensation</w:t>
            </w:r>
          </w:p>
        </w:tc>
        <w:tc>
          <w:tcPr>
            <w:tcW w:w="1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615</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157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211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gridSpan w:val="2"/>
            <w:shd w:val="clear" w:color="auto" w:fill="E5E5E5"/>
          </w:tcPr>
          <w:p>
            <w:pPr>
              <w:ind w:left="420"/>
              <w:spacing w:after="0" w:line="202" w:lineRule="exact"/>
              <w:rPr>
                <w:sz w:val="20"/>
                <w:szCs w:val="20"/>
                <w:color w:val="auto"/>
              </w:rPr>
            </w:pPr>
            <w:r>
              <w:rPr>
                <w:rFonts w:ascii="Arial" w:cs="Arial" w:eastAsia="Arial" w:hAnsi="Arial"/>
                <w:sz w:val="18"/>
                <w:szCs w:val="18"/>
                <w:color w:val="auto"/>
              </w:rPr>
              <w:t>Decrease in other current and long-term liabilities</w:t>
            </w:r>
          </w:p>
        </w:tc>
        <w:tc>
          <w:tcPr>
            <w:tcW w:w="120" w:type="dxa"/>
            <w:vAlign w:val="bottom"/>
            <w:shd w:val="clear" w:color="auto" w:fill="E5E5E5"/>
          </w:tcPr>
          <w:p>
            <w:pPr>
              <w:spacing w:after="0"/>
              <w:rPr>
                <w:sz w:val="17"/>
                <w:szCs w:val="17"/>
                <w:color w:val="auto"/>
              </w:rPr>
            </w:pPr>
          </w:p>
        </w:tc>
        <w:tc>
          <w:tcPr>
            <w:tcW w:w="84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color w:val="auto"/>
              </w:rPr>
              <w:t>(9)</w:t>
            </w:r>
          </w:p>
        </w:tc>
        <w:tc>
          <w:tcPr>
            <w:tcW w:w="140" w:type="dxa"/>
            <w:vAlign w:val="bottom"/>
            <w:shd w:val="clear" w:color="auto" w:fill="E5E5E5"/>
          </w:tcPr>
          <w:p>
            <w:pPr>
              <w:spacing w:after="0"/>
              <w:rPr>
                <w:sz w:val="17"/>
                <w:szCs w:val="17"/>
                <w:color w:val="auto"/>
              </w:rPr>
            </w:pPr>
          </w:p>
        </w:tc>
        <w:tc>
          <w:tcPr>
            <w:tcW w:w="70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(100)</w:t>
            </w: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60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Net change in income tax assets and liabilities</w:t>
            </w:r>
          </w:p>
        </w:tc>
        <w:tc>
          <w:tcPr>
            <w:tcW w:w="1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229</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gridSpan w:val="2"/>
            <w:shd w:val="clear" w:color="auto" w:fill="E5E5E5"/>
          </w:tcPr>
          <w:p>
            <w:pPr>
              <w:ind w:left="420"/>
              <w:spacing w:after="0" w:line="202" w:lineRule="exact"/>
              <w:rPr>
                <w:sz w:val="20"/>
                <w:szCs w:val="20"/>
                <w:color w:val="auto"/>
              </w:rPr>
            </w:pPr>
            <w:r>
              <w:rPr>
                <w:rFonts w:ascii="Arial" w:cs="Arial" w:eastAsia="Arial" w:hAnsi="Arial"/>
                <w:sz w:val="18"/>
                <w:szCs w:val="18"/>
                <w:color w:val="auto"/>
              </w:rPr>
              <w:t>Net change in derivative assets and liabilities</w:t>
            </w:r>
          </w:p>
        </w:tc>
        <w:tc>
          <w:tcPr>
            <w:tcW w:w="120" w:type="dxa"/>
            <w:vAlign w:val="bottom"/>
            <w:shd w:val="clear" w:color="auto" w:fill="E5E5E5"/>
          </w:tcPr>
          <w:p>
            <w:pPr>
              <w:spacing w:after="0"/>
              <w:rPr>
                <w:sz w:val="17"/>
                <w:szCs w:val="17"/>
                <w:color w:val="auto"/>
              </w:rPr>
            </w:pPr>
          </w:p>
        </w:tc>
        <w:tc>
          <w:tcPr>
            <w:tcW w:w="5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85</w:t>
            </w:r>
          </w:p>
        </w:tc>
        <w:tc>
          <w:tcPr>
            <w:tcW w:w="30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70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(56)</w:t>
            </w: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5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230</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2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Other operating, net</w:t>
            </w:r>
          </w:p>
        </w:tc>
        <w:tc>
          <w:tcPr>
            <w:tcW w:w="120" w:type="dxa"/>
            <w:vAlign w:val="bottom"/>
          </w:tcPr>
          <w:p>
            <w:pPr>
              <w:spacing w:after="0"/>
              <w:rPr>
                <w:sz w:val="18"/>
                <w:szCs w:val="18"/>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70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38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 w:type="dxa"/>
            <w:vAlign w:val="bottom"/>
            <w:shd w:val="clear" w:color="auto" w:fill="E5E5E5"/>
          </w:tcPr>
          <w:p>
            <w:pPr>
              <w:spacing w:after="0"/>
              <w:rPr>
                <w:sz w:val="17"/>
                <w:szCs w:val="17"/>
                <w:color w:val="auto"/>
              </w:rPr>
            </w:pPr>
          </w:p>
        </w:tc>
        <w:tc>
          <w:tcPr>
            <w:tcW w:w="8040" w:type="dxa"/>
            <w:vAlign w:val="bottom"/>
            <w:shd w:val="clear" w:color="auto" w:fill="E5E5E5"/>
          </w:tcPr>
          <w:p>
            <w:pPr>
              <w:ind w:left="180"/>
              <w:spacing w:after="0" w:line="202" w:lineRule="exact"/>
              <w:rPr>
                <w:sz w:val="20"/>
                <w:szCs w:val="20"/>
                <w:color w:val="auto"/>
              </w:rPr>
            </w:pPr>
            <w:r>
              <w:rPr>
                <w:rFonts w:ascii="Arial" w:cs="Arial" w:eastAsia="Arial" w:hAnsi="Arial"/>
                <w:sz w:val="18"/>
                <w:szCs w:val="18"/>
                <w:color w:val="auto"/>
              </w:rPr>
              <w:t>Net cash provided by operating activities</w:t>
            </w:r>
          </w:p>
        </w:tc>
        <w:tc>
          <w:tcPr>
            <w:tcW w:w="120" w:type="dxa"/>
            <w:vAlign w:val="bottom"/>
            <w:tcBorders>
              <w:top w:val="single" w:sz="8" w:color="auto"/>
              <w:bottom w:val="single" w:sz="8" w:color="auto"/>
            </w:tcBorders>
            <w:shd w:val="clear" w:color="auto" w:fill="E5E5E5"/>
          </w:tcPr>
          <w:p>
            <w:pPr>
              <w:spacing w:after="0"/>
              <w:rPr>
                <w:sz w:val="17"/>
                <w:szCs w:val="17"/>
                <w:color w:val="auto"/>
              </w:rPr>
            </w:pPr>
          </w:p>
        </w:tc>
        <w:tc>
          <w:tcPr>
            <w:tcW w:w="540" w:type="dxa"/>
            <w:vAlign w:val="bottom"/>
            <w:tcBorders>
              <w:top w:val="single" w:sz="8" w:color="auto"/>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2,726</w:t>
            </w:r>
          </w:p>
        </w:tc>
        <w:tc>
          <w:tcPr>
            <w:tcW w:w="300" w:type="dxa"/>
            <w:vAlign w:val="bottom"/>
            <w:shd w:val="clear" w:color="auto" w:fill="E5E5E5"/>
          </w:tcPr>
          <w:p>
            <w:pPr>
              <w:spacing w:after="0"/>
              <w:rPr>
                <w:sz w:val="17"/>
                <w:szCs w:val="17"/>
                <w:color w:val="auto"/>
              </w:rPr>
            </w:pPr>
          </w:p>
        </w:tc>
        <w:tc>
          <w:tcPr>
            <w:tcW w:w="140" w:type="dxa"/>
            <w:vAlign w:val="bottom"/>
            <w:tcBorders>
              <w:top w:val="single" w:sz="8" w:color="auto"/>
              <w:bottom w:val="single" w:sz="8" w:color="auto"/>
            </w:tcBorders>
            <w:shd w:val="clear" w:color="auto" w:fill="E5E5E5"/>
          </w:tcPr>
          <w:p>
            <w:pPr>
              <w:spacing w:after="0"/>
              <w:rPr>
                <w:sz w:val="17"/>
                <w:szCs w:val="17"/>
                <w:color w:val="auto"/>
              </w:rPr>
            </w:pPr>
          </w:p>
        </w:tc>
        <w:tc>
          <w:tcPr>
            <w:tcW w:w="520" w:type="dxa"/>
            <w:vAlign w:val="bottom"/>
            <w:tcBorders>
              <w:top w:val="single" w:sz="8" w:color="auto"/>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2,208</w:t>
            </w:r>
          </w:p>
        </w:tc>
        <w:tc>
          <w:tcPr>
            <w:tcW w:w="18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60" w:type="dxa"/>
            <w:vAlign w:val="bottom"/>
            <w:tcBorders>
              <w:top w:val="single" w:sz="8" w:color="auto"/>
              <w:bottom w:val="single" w:sz="8" w:color="auto"/>
            </w:tcBorders>
            <w:shd w:val="clear" w:color="auto" w:fill="E5E5E5"/>
          </w:tcPr>
          <w:p>
            <w:pPr>
              <w:spacing w:after="0"/>
              <w:rPr>
                <w:sz w:val="17"/>
                <w:szCs w:val="17"/>
                <w:color w:val="auto"/>
              </w:rPr>
            </w:pPr>
          </w:p>
        </w:tc>
        <w:tc>
          <w:tcPr>
            <w:tcW w:w="500" w:type="dxa"/>
            <w:vAlign w:val="bottom"/>
            <w:tcBorders>
              <w:top w:val="single" w:sz="8" w:color="auto"/>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939</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740" w:type="dxa"/>
            <w:vAlign w:val="bottom"/>
            <w:gridSpan w:val="3"/>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gridSpan w:val="2"/>
            <w:shd w:val="clear" w:color="auto" w:fill="E5E5E5"/>
          </w:tcPr>
          <w:p>
            <w:pPr>
              <w:ind w:left="420"/>
              <w:spacing w:after="0" w:line="202" w:lineRule="exact"/>
              <w:rPr>
                <w:sz w:val="20"/>
                <w:szCs w:val="20"/>
                <w:color w:val="auto"/>
              </w:rPr>
            </w:pPr>
            <w:r>
              <w:rPr>
                <w:rFonts w:ascii="Arial" w:cs="Arial" w:eastAsia="Arial" w:hAnsi="Arial"/>
                <w:sz w:val="18"/>
                <w:szCs w:val="18"/>
                <w:color w:val="auto"/>
              </w:rPr>
              <w:t>Cost of additions to land, buildings and equipment</w:t>
            </w:r>
          </w:p>
        </w:tc>
        <w:tc>
          <w:tcPr>
            <w:tcW w:w="120" w:type="dxa"/>
            <w:vAlign w:val="bottom"/>
            <w:shd w:val="clear" w:color="auto" w:fill="E5E5E5"/>
          </w:tcPr>
          <w:p>
            <w:pPr>
              <w:spacing w:after="0"/>
              <w:rPr>
                <w:sz w:val="17"/>
                <w:szCs w:val="17"/>
                <w:color w:val="auto"/>
              </w:rPr>
            </w:pPr>
          </w:p>
        </w:tc>
        <w:tc>
          <w:tcPr>
            <w:tcW w:w="84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color w:val="auto"/>
              </w:rPr>
              <w:t>(355)</w:t>
            </w:r>
          </w:p>
        </w:tc>
        <w:tc>
          <w:tcPr>
            <w:tcW w:w="140" w:type="dxa"/>
            <w:vAlign w:val="bottom"/>
            <w:shd w:val="clear" w:color="auto" w:fill="E5E5E5"/>
          </w:tcPr>
          <w:p>
            <w:pPr>
              <w:spacing w:after="0"/>
              <w:rPr>
                <w:sz w:val="17"/>
                <w:szCs w:val="17"/>
                <w:color w:val="auto"/>
              </w:rPr>
            </w:pPr>
          </w:p>
        </w:tc>
        <w:tc>
          <w:tcPr>
            <w:tcW w:w="70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(95)</w:t>
            </w: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60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Proceeds from sales of land, buildings and equipment</w:t>
            </w:r>
          </w:p>
        </w:tc>
        <w:tc>
          <w:tcPr>
            <w:tcW w:w="1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52</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gridSpan w:val="2"/>
            <w:shd w:val="clear" w:color="auto" w:fill="E5E5E5"/>
          </w:tcPr>
          <w:p>
            <w:pPr>
              <w:ind w:left="420"/>
              <w:spacing w:after="0" w:line="202" w:lineRule="exact"/>
              <w:rPr>
                <w:sz w:val="20"/>
                <w:szCs w:val="20"/>
                <w:color w:val="auto"/>
              </w:rPr>
            </w:pPr>
            <w:r>
              <w:rPr>
                <w:rFonts w:ascii="Arial" w:cs="Arial" w:eastAsia="Arial" w:hAnsi="Arial"/>
                <w:sz w:val="18"/>
                <w:szCs w:val="18"/>
                <w:color w:val="auto"/>
              </w:rPr>
              <w:t>Cost of additions to internal use software</w:t>
            </w:r>
          </w:p>
        </w:tc>
        <w:tc>
          <w:tcPr>
            <w:tcW w:w="120" w:type="dxa"/>
            <w:vAlign w:val="bottom"/>
            <w:shd w:val="clear" w:color="auto" w:fill="E5E5E5"/>
          </w:tcPr>
          <w:p>
            <w:pPr>
              <w:spacing w:after="0"/>
              <w:rPr>
                <w:sz w:val="17"/>
                <w:szCs w:val="17"/>
                <w:color w:val="auto"/>
              </w:rPr>
            </w:pPr>
          </w:p>
        </w:tc>
        <w:tc>
          <w:tcPr>
            <w:tcW w:w="84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color w:val="auto"/>
              </w:rPr>
              <w:t>(164)</w:t>
            </w:r>
          </w:p>
        </w:tc>
        <w:tc>
          <w:tcPr>
            <w:tcW w:w="140" w:type="dxa"/>
            <w:vAlign w:val="bottom"/>
            <w:shd w:val="clear" w:color="auto" w:fill="E5E5E5"/>
          </w:tcPr>
          <w:p>
            <w:pPr>
              <w:spacing w:after="0"/>
              <w:rPr>
                <w:sz w:val="17"/>
                <w:szCs w:val="17"/>
                <w:color w:val="auto"/>
              </w:rPr>
            </w:pPr>
          </w:p>
        </w:tc>
        <w:tc>
          <w:tcPr>
            <w:tcW w:w="70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(98)</w:t>
            </w: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60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Acquisitions, net of cash acquired</w:t>
            </w:r>
          </w:p>
        </w:tc>
        <w:tc>
          <w:tcPr>
            <w:tcW w:w="120" w:type="dxa"/>
            <w:vAlign w:val="bottom"/>
          </w:tcPr>
          <w:p>
            <w:pPr>
              <w:spacing w:after="0"/>
              <w:rPr>
                <w:sz w:val="17"/>
                <w:szCs w:val="17"/>
                <w:color w:val="auto"/>
              </w:rPr>
            </w:pPr>
          </w:p>
        </w:tc>
        <w:tc>
          <w:tcPr>
            <w:tcW w:w="8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(1,734)</w:t>
            </w:r>
          </w:p>
        </w:tc>
        <w:tc>
          <w:tcPr>
            <w:tcW w:w="140" w:type="dxa"/>
            <w:vAlign w:val="bottom"/>
          </w:tcPr>
          <w:p>
            <w:pPr>
              <w:spacing w:after="0"/>
              <w:rPr>
                <w:sz w:val="17"/>
                <w:szCs w:val="17"/>
                <w:color w:val="auto"/>
              </w:rPr>
            </w:pPr>
          </w:p>
        </w:tc>
        <w:tc>
          <w:tcPr>
            <w:tcW w:w="7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(163)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gridSpan w:val="2"/>
            <w:shd w:val="clear" w:color="auto" w:fill="E5E5E5"/>
          </w:tcPr>
          <w:p>
            <w:pPr>
              <w:ind w:left="420"/>
              <w:spacing w:after="0" w:line="202" w:lineRule="exact"/>
              <w:rPr>
                <w:sz w:val="20"/>
                <w:szCs w:val="20"/>
                <w:color w:val="auto"/>
              </w:rPr>
            </w:pPr>
            <w:r>
              <w:rPr>
                <w:rFonts w:ascii="Arial" w:cs="Arial" w:eastAsia="Arial" w:hAnsi="Arial"/>
                <w:sz w:val="18"/>
                <w:szCs w:val="18"/>
                <w:color w:val="auto"/>
              </w:rPr>
              <w:t>Net change in escrow and other restricted investments</w:t>
            </w:r>
          </w:p>
        </w:tc>
        <w:tc>
          <w:tcPr>
            <w:tcW w:w="120" w:type="dxa"/>
            <w:vAlign w:val="bottom"/>
            <w:shd w:val="clear" w:color="auto" w:fill="E5E5E5"/>
          </w:tcPr>
          <w:p>
            <w:pPr>
              <w:spacing w:after="0"/>
              <w:rPr>
                <w:sz w:val="17"/>
                <w:szCs w:val="17"/>
                <w:color w:val="auto"/>
              </w:rPr>
            </w:pPr>
          </w:p>
        </w:tc>
        <w:tc>
          <w:tcPr>
            <w:tcW w:w="5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20</w:t>
            </w:r>
          </w:p>
        </w:tc>
        <w:tc>
          <w:tcPr>
            <w:tcW w:w="30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70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(6)</w:t>
            </w: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6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2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Other investing, net</w:t>
            </w: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 w:type="dxa"/>
            <w:vAlign w:val="bottom"/>
            <w:shd w:val="clear" w:color="auto" w:fill="E5E5E5"/>
          </w:tcPr>
          <w:p>
            <w:pPr>
              <w:spacing w:after="0"/>
              <w:rPr>
                <w:sz w:val="17"/>
                <w:szCs w:val="17"/>
                <w:color w:val="auto"/>
              </w:rPr>
            </w:pPr>
          </w:p>
        </w:tc>
        <w:tc>
          <w:tcPr>
            <w:tcW w:w="8040" w:type="dxa"/>
            <w:vAlign w:val="bottom"/>
            <w:shd w:val="clear" w:color="auto" w:fill="E5E5E5"/>
          </w:tcPr>
          <w:p>
            <w:pPr>
              <w:ind w:left="180"/>
              <w:spacing w:after="0" w:line="202" w:lineRule="exact"/>
              <w:rPr>
                <w:sz w:val="20"/>
                <w:szCs w:val="20"/>
                <w:color w:val="auto"/>
              </w:rPr>
            </w:pPr>
            <w:r>
              <w:rPr>
                <w:rFonts w:ascii="Arial" w:cs="Arial" w:eastAsia="Arial" w:hAnsi="Arial"/>
                <w:sz w:val="18"/>
                <w:szCs w:val="18"/>
                <w:color w:val="auto"/>
              </w:rPr>
              <w:t>Net cash used in investing activities</w:t>
            </w:r>
          </w:p>
        </w:tc>
        <w:tc>
          <w:tcPr>
            <w:tcW w:w="120" w:type="dxa"/>
            <w:vAlign w:val="bottom"/>
            <w:shd w:val="clear" w:color="auto" w:fill="E5E5E5"/>
          </w:tcPr>
          <w:p>
            <w:pPr>
              <w:spacing w:after="0"/>
              <w:rPr>
                <w:sz w:val="17"/>
                <w:szCs w:val="17"/>
                <w:color w:val="auto"/>
              </w:rPr>
            </w:pPr>
          </w:p>
        </w:tc>
        <w:tc>
          <w:tcPr>
            <w:tcW w:w="84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color w:val="auto"/>
              </w:rPr>
              <w:t>(2,178)</w:t>
            </w:r>
          </w:p>
        </w:tc>
        <w:tc>
          <w:tcPr>
            <w:tcW w:w="140" w:type="dxa"/>
            <w:vAlign w:val="bottom"/>
            <w:shd w:val="clear" w:color="auto" w:fill="E5E5E5"/>
          </w:tcPr>
          <w:p>
            <w:pPr>
              <w:spacing w:after="0"/>
              <w:rPr>
                <w:sz w:val="17"/>
                <w:szCs w:val="17"/>
                <w:color w:val="auto"/>
              </w:rPr>
            </w:pPr>
          </w:p>
        </w:tc>
        <w:tc>
          <w:tcPr>
            <w:tcW w:w="70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(343)</w:t>
            </w: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60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10"/>
        </w:trPr>
        <w:tc>
          <w:tcPr>
            <w:tcW w:w="8740" w:type="dxa"/>
            <w:vAlign w:val="bottom"/>
            <w:gridSpan w:val="3"/>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gridSpan w:val="2"/>
            <w:shd w:val="clear" w:color="auto" w:fill="E5E5E5"/>
          </w:tcPr>
          <w:p>
            <w:pPr>
              <w:ind w:left="420"/>
              <w:spacing w:after="0" w:line="202" w:lineRule="exact"/>
              <w:rPr>
                <w:sz w:val="20"/>
                <w:szCs w:val="20"/>
                <w:color w:val="auto"/>
              </w:rPr>
            </w:pPr>
            <w:r>
              <w:rPr>
                <w:rFonts w:ascii="Arial" w:cs="Arial" w:eastAsia="Arial" w:hAnsi="Arial"/>
                <w:sz w:val="18"/>
                <w:szCs w:val="18"/>
                <w:color w:val="auto"/>
              </w:rPr>
              <w:t>Net proceeds (payments) on secured financings</w:t>
            </w:r>
          </w:p>
        </w:tc>
        <w:tc>
          <w:tcPr>
            <w:tcW w:w="120" w:type="dxa"/>
            <w:vAlign w:val="bottom"/>
            <w:shd w:val="clear" w:color="auto" w:fill="E5E5E5"/>
          </w:tcPr>
          <w:p>
            <w:pPr>
              <w:spacing w:after="0"/>
              <w:rPr>
                <w:sz w:val="17"/>
                <w:szCs w:val="17"/>
                <w:color w:val="auto"/>
              </w:rPr>
            </w:pPr>
          </w:p>
        </w:tc>
        <w:tc>
          <w:tcPr>
            <w:tcW w:w="5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w:t>
            </w:r>
          </w:p>
        </w:tc>
        <w:tc>
          <w:tcPr>
            <w:tcW w:w="30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70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(57)</w:t>
            </w: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60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Net (payments) proceeds on other debt</w:t>
            </w:r>
          </w:p>
        </w:tc>
        <w:tc>
          <w:tcPr>
            <w:tcW w:w="120" w:type="dxa"/>
            <w:vAlign w:val="bottom"/>
          </w:tcPr>
          <w:p>
            <w:pPr>
              <w:spacing w:after="0"/>
              <w:rPr>
                <w:sz w:val="17"/>
                <w:szCs w:val="17"/>
                <w:color w:val="auto"/>
              </w:rPr>
            </w:pPr>
          </w:p>
        </w:tc>
        <w:tc>
          <w:tcPr>
            <w:tcW w:w="8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(3,057)</w:t>
            </w:r>
          </w:p>
        </w:tc>
        <w:tc>
          <w:tcPr>
            <w:tcW w:w="14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923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926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gridSpan w:val="2"/>
            <w:shd w:val="clear" w:color="auto" w:fill="E5E5E5"/>
          </w:tcPr>
          <w:p>
            <w:pPr>
              <w:ind w:left="420"/>
              <w:spacing w:after="0" w:line="202" w:lineRule="exact"/>
              <w:rPr>
                <w:sz w:val="20"/>
                <w:szCs w:val="20"/>
                <w:color w:val="auto"/>
              </w:rPr>
            </w:pPr>
            <w:r>
              <w:rPr>
                <w:rFonts w:ascii="Arial" w:cs="Arial" w:eastAsia="Arial" w:hAnsi="Arial"/>
                <w:sz w:val="18"/>
                <w:szCs w:val="18"/>
                <w:color w:val="auto"/>
              </w:rPr>
              <w:t>Common stock dividends</w:t>
            </w:r>
          </w:p>
        </w:tc>
        <w:tc>
          <w:tcPr>
            <w:tcW w:w="120" w:type="dxa"/>
            <w:vAlign w:val="bottom"/>
            <w:shd w:val="clear" w:color="auto" w:fill="E5E5E5"/>
          </w:tcPr>
          <w:p>
            <w:pPr>
              <w:spacing w:after="0"/>
              <w:rPr>
                <w:sz w:val="17"/>
                <w:szCs w:val="17"/>
                <w:color w:val="auto"/>
              </w:rPr>
            </w:pPr>
          </w:p>
        </w:tc>
        <w:tc>
          <w:tcPr>
            <w:tcW w:w="84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color w:val="auto"/>
              </w:rPr>
              <w:t>(215)</w:t>
            </w:r>
          </w:p>
        </w:tc>
        <w:tc>
          <w:tcPr>
            <w:tcW w:w="140" w:type="dxa"/>
            <w:vAlign w:val="bottom"/>
            <w:shd w:val="clear" w:color="auto" w:fill="E5E5E5"/>
          </w:tcPr>
          <w:p>
            <w:pPr>
              <w:spacing w:after="0"/>
              <w:rPr>
                <w:sz w:val="17"/>
                <w:szCs w:val="17"/>
                <w:color w:val="auto"/>
              </w:rPr>
            </w:pPr>
          </w:p>
        </w:tc>
        <w:tc>
          <w:tcPr>
            <w:tcW w:w="70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(149)</w:t>
            </w: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60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Preferred stock dividends</w:t>
            </w:r>
          </w:p>
        </w:tc>
        <w:tc>
          <w:tcPr>
            <w:tcW w:w="120" w:type="dxa"/>
            <w:vAlign w:val="bottom"/>
          </w:tcPr>
          <w:p>
            <w:pPr>
              <w:spacing w:after="0"/>
              <w:rPr>
                <w:sz w:val="17"/>
                <w:szCs w:val="17"/>
                <w:color w:val="auto"/>
              </w:rPr>
            </w:pPr>
          </w:p>
        </w:tc>
        <w:tc>
          <w:tcPr>
            <w:tcW w:w="8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(15)</w:t>
            </w:r>
          </w:p>
        </w:tc>
        <w:tc>
          <w:tcPr>
            <w:tcW w:w="140" w:type="dxa"/>
            <w:vAlign w:val="bottom"/>
          </w:tcPr>
          <w:p>
            <w:pPr>
              <w:spacing w:after="0"/>
              <w:rPr>
                <w:sz w:val="17"/>
                <w:szCs w:val="17"/>
                <w:color w:val="auto"/>
              </w:rPr>
            </w:pPr>
          </w:p>
        </w:tc>
        <w:tc>
          <w:tcPr>
            <w:tcW w:w="7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gridSpan w:val="2"/>
            <w:shd w:val="clear" w:color="auto" w:fill="E5E5E5"/>
          </w:tcPr>
          <w:p>
            <w:pPr>
              <w:ind w:left="420"/>
              <w:spacing w:after="0" w:line="202" w:lineRule="exact"/>
              <w:rPr>
                <w:sz w:val="20"/>
                <w:szCs w:val="20"/>
                <w:color w:val="auto"/>
              </w:rPr>
            </w:pPr>
            <w:r>
              <w:rPr>
                <w:rFonts w:ascii="Arial" w:cs="Arial" w:eastAsia="Arial" w:hAnsi="Arial"/>
                <w:sz w:val="18"/>
                <w:szCs w:val="18"/>
                <w:color w:val="auto"/>
              </w:rPr>
              <w:t>Proceeds from issuances of common stock</w:t>
            </w:r>
          </w:p>
        </w:tc>
        <w:tc>
          <w:tcPr>
            <w:tcW w:w="120" w:type="dxa"/>
            <w:vAlign w:val="bottom"/>
            <w:shd w:val="clear" w:color="auto" w:fill="E5E5E5"/>
          </w:tcPr>
          <w:p>
            <w:pPr>
              <w:spacing w:after="0"/>
              <w:rPr>
                <w:sz w:val="17"/>
                <w:szCs w:val="17"/>
                <w:color w:val="auto"/>
              </w:rPr>
            </w:pPr>
          </w:p>
        </w:tc>
        <w:tc>
          <w:tcPr>
            <w:tcW w:w="5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183</w:t>
            </w:r>
          </w:p>
        </w:tc>
        <w:tc>
          <w:tcPr>
            <w:tcW w:w="30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70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1</w:t>
            </w: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6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Excess tax benefits from stock-based compensation</w:t>
            </w:r>
          </w:p>
        </w:tc>
        <w:tc>
          <w:tcPr>
            <w:tcW w:w="1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gridSpan w:val="2"/>
            <w:shd w:val="clear" w:color="auto" w:fill="E5E5E5"/>
          </w:tcPr>
          <w:p>
            <w:pPr>
              <w:ind w:left="420"/>
              <w:spacing w:after="0" w:line="202" w:lineRule="exact"/>
              <w:rPr>
                <w:sz w:val="20"/>
                <w:szCs w:val="20"/>
                <w:color w:val="auto"/>
              </w:rPr>
            </w:pPr>
            <w:r>
              <w:rPr>
                <w:rFonts w:ascii="Arial" w:cs="Arial" w:eastAsia="Arial" w:hAnsi="Arial"/>
                <w:sz w:val="18"/>
                <w:szCs w:val="18"/>
                <w:color w:val="auto"/>
              </w:rPr>
              <w:t>Payments to acquire treasury stock, including fees</w:t>
            </w:r>
          </w:p>
        </w:tc>
        <w:tc>
          <w:tcPr>
            <w:tcW w:w="120" w:type="dxa"/>
            <w:vAlign w:val="bottom"/>
            <w:shd w:val="clear" w:color="auto" w:fill="E5E5E5"/>
          </w:tcPr>
          <w:p>
            <w:pPr>
              <w:spacing w:after="0"/>
              <w:rPr>
                <w:sz w:val="17"/>
                <w:szCs w:val="17"/>
                <w:color w:val="auto"/>
              </w:rPr>
            </w:pPr>
          </w:p>
        </w:tc>
        <w:tc>
          <w:tcPr>
            <w:tcW w:w="840" w:type="dxa"/>
            <w:vAlign w:val="bottom"/>
            <w:gridSpan w:val="2"/>
            <w:shd w:val="clear" w:color="auto" w:fill="E5E5E5"/>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E5E5E5"/>
          </w:tcPr>
          <w:p>
            <w:pPr>
              <w:spacing w:after="0"/>
              <w:rPr>
                <w:sz w:val="17"/>
                <w:szCs w:val="17"/>
                <w:color w:val="auto"/>
              </w:rPr>
            </w:pPr>
          </w:p>
        </w:tc>
        <w:tc>
          <w:tcPr>
            <w:tcW w:w="70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60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Repurchases related to stock-based compensation</w:t>
            </w:r>
          </w:p>
        </w:tc>
        <w:tc>
          <w:tcPr>
            <w:tcW w:w="120" w:type="dxa"/>
            <w:vAlign w:val="bottom"/>
          </w:tcPr>
          <w:p>
            <w:pPr>
              <w:spacing w:after="0"/>
              <w:rPr>
                <w:sz w:val="17"/>
                <w:szCs w:val="17"/>
                <w:color w:val="auto"/>
              </w:rPr>
            </w:pPr>
          </w:p>
        </w:tc>
        <w:tc>
          <w:tcPr>
            <w:tcW w:w="8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(15)</w:t>
            </w:r>
          </w:p>
        </w:tc>
        <w:tc>
          <w:tcPr>
            <w:tcW w:w="140" w:type="dxa"/>
            <w:vAlign w:val="bottom"/>
          </w:tcPr>
          <w:p>
            <w:pPr>
              <w:spacing w:after="0"/>
              <w:rPr>
                <w:sz w:val="17"/>
                <w:szCs w:val="17"/>
                <w:color w:val="auto"/>
              </w:rPr>
            </w:pPr>
          </w:p>
        </w:tc>
        <w:tc>
          <w:tcPr>
            <w:tcW w:w="7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gridSpan w:val="2"/>
            <w:shd w:val="clear" w:color="auto" w:fill="E5E5E5"/>
          </w:tcPr>
          <w:p>
            <w:pPr>
              <w:ind w:left="420"/>
              <w:spacing w:after="0" w:line="202" w:lineRule="exact"/>
              <w:rPr>
                <w:sz w:val="20"/>
                <w:szCs w:val="20"/>
                <w:color w:val="auto"/>
              </w:rPr>
            </w:pPr>
            <w:r>
              <w:rPr>
                <w:rFonts w:ascii="Arial" w:cs="Arial" w:eastAsia="Arial" w:hAnsi="Arial"/>
                <w:sz w:val="18"/>
                <w:szCs w:val="18"/>
                <w:color w:val="auto"/>
              </w:rPr>
              <w:t>Other financing</w:t>
            </w:r>
          </w:p>
        </w:tc>
        <w:tc>
          <w:tcPr>
            <w:tcW w:w="120" w:type="dxa"/>
            <w:vAlign w:val="bottom"/>
            <w:shd w:val="clear" w:color="auto" w:fill="E5E5E5"/>
          </w:tcPr>
          <w:p>
            <w:pPr>
              <w:spacing w:after="0"/>
              <w:rPr>
                <w:sz w:val="17"/>
                <w:szCs w:val="17"/>
                <w:color w:val="auto"/>
              </w:rPr>
            </w:pPr>
          </w:p>
        </w:tc>
        <w:tc>
          <w:tcPr>
            <w:tcW w:w="84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color w:val="auto"/>
              </w:rPr>
              <w:t>(22)</w:t>
            </w:r>
          </w:p>
        </w:tc>
        <w:tc>
          <w:tcPr>
            <w:tcW w:w="140" w:type="dxa"/>
            <w:vAlign w:val="bottom"/>
            <w:shd w:val="clear" w:color="auto" w:fill="E5E5E5"/>
          </w:tcPr>
          <w:p>
            <w:pPr>
              <w:spacing w:after="0"/>
              <w:rPr>
                <w:sz w:val="17"/>
                <w:szCs w:val="17"/>
                <w:color w:val="auto"/>
              </w:rPr>
            </w:pPr>
          </w:p>
        </w:tc>
        <w:tc>
          <w:tcPr>
            <w:tcW w:w="70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(14)</w:t>
            </w: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60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40" w:type="dxa"/>
            <w:vAlign w:val="bottom"/>
          </w:tcPr>
          <w:p>
            <w:pPr>
              <w:ind w:left="180"/>
              <w:spacing w:after="0"/>
              <w:rPr>
                <w:sz w:val="20"/>
                <w:szCs w:val="20"/>
                <w:color w:val="auto"/>
              </w:rPr>
            </w:pPr>
            <w:r>
              <w:rPr>
                <w:rFonts w:ascii="Arial" w:cs="Arial" w:eastAsia="Arial" w:hAnsi="Arial"/>
                <w:sz w:val="18"/>
                <w:szCs w:val="18"/>
                <w:color w:val="auto"/>
              </w:rPr>
              <w:t>Net cash (used in) provided by financing activities</w:t>
            </w: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(3,116)</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692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Effect of exchange rate changes on cash and cash equivalents</w:t>
            </w:r>
          </w:p>
        </w:tc>
        <w:tc>
          <w:tcPr>
            <w:tcW w:w="120" w:type="dxa"/>
            <w:vAlign w:val="bottom"/>
            <w:shd w:val="clear" w:color="auto" w:fill="E5E5E5"/>
          </w:tcPr>
          <w:p>
            <w:pPr>
              <w:spacing w:after="0"/>
              <w:rPr>
                <w:sz w:val="17"/>
                <w:szCs w:val="17"/>
                <w:color w:val="auto"/>
              </w:rPr>
            </w:pPr>
          </w:p>
        </w:tc>
        <w:tc>
          <w:tcPr>
            <w:tcW w:w="84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color w:val="auto"/>
              </w:rPr>
              <w:t>(20)</w:t>
            </w:r>
          </w:p>
        </w:tc>
        <w:tc>
          <w:tcPr>
            <w:tcW w:w="140" w:type="dxa"/>
            <w:vAlign w:val="bottom"/>
            <w:shd w:val="clear" w:color="auto" w:fill="E5E5E5"/>
          </w:tcPr>
          <w:p>
            <w:pPr>
              <w:spacing w:after="0"/>
              <w:rPr>
                <w:sz w:val="17"/>
                <w:szCs w:val="17"/>
                <w:color w:val="auto"/>
              </w:rPr>
            </w:pPr>
          </w:p>
        </w:tc>
        <w:tc>
          <w:tcPr>
            <w:tcW w:w="5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13</w:t>
            </w:r>
          </w:p>
        </w:tc>
        <w:tc>
          <w:tcPr>
            <w:tcW w:w="18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60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8740" w:type="dxa"/>
            <w:vAlign w:val="bottom"/>
            <w:gridSpan w:val="3"/>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40" w:type="dxa"/>
            <w:vAlign w:val="bottom"/>
            <w:gridSpan w:val="3"/>
          </w:tcPr>
          <w:p>
            <w:pPr>
              <w:spacing w:after="0"/>
              <w:rPr>
                <w:sz w:val="20"/>
                <w:szCs w:val="20"/>
                <w:color w:val="auto"/>
              </w:rPr>
            </w:pPr>
            <w:r>
              <w:rPr>
                <w:rFonts w:ascii="Arial" w:cs="Arial" w:eastAsia="Arial" w:hAnsi="Arial"/>
                <w:sz w:val="18"/>
                <w:szCs w:val="18"/>
                <w:color w:val="auto"/>
              </w:rPr>
              <w:t>(Decrease) increase in cash and cash equivalents</w:t>
            </w: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(2,588)</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2,570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Cash and cash equivalents at beginning of year</w:t>
            </w:r>
          </w:p>
        </w:tc>
        <w:tc>
          <w:tcPr>
            <w:tcW w:w="120" w:type="dxa"/>
            <w:vAlign w:val="bottom"/>
            <w:tcBorders>
              <w:bottom w:val="single" w:sz="8" w:color="auto"/>
            </w:tcBorders>
            <w:shd w:val="clear" w:color="auto" w:fill="E5E5E5"/>
          </w:tcPr>
          <w:p>
            <w:pPr>
              <w:spacing w:after="0"/>
              <w:rPr>
                <w:sz w:val="17"/>
                <w:szCs w:val="17"/>
                <w:color w:val="auto"/>
              </w:rPr>
            </w:pPr>
          </w:p>
        </w:tc>
        <w:tc>
          <w:tcPr>
            <w:tcW w:w="540" w:type="dxa"/>
            <w:vAlign w:val="bottom"/>
            <w:tcBorders>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3,799</w:t>
            </w:r>
          </w:p>
        </w:tc>
        <w:tc>
          <w:tcPr>
            <w:tcW w:w="300" w:type="dxa"/>
            <w:vAlign w:val="bottom"/>
            <w:shd w:val="clear" w:color="auto" w:fill="E5E5E5"/>
          </w:tcPr>
          <w:p>
            <w:pPr>
              <w:spacing w:after="0"/>
              <w:rPr>
                <w:sz w:val="17"/>
                <w:szCs w:val="17"/>
                <w:color w:val="auto"/>
              </w:rPr>
            </w:pPr>
          </w:p>
        </w:tc>
        <w:tc>
          <w:tcPr>
            <w:tcW w:w="140" w:type="dxa"/>
            <w:vAlign w:val="bottom"/>
            <w:tcBorders>
              <w:bottom w:val="single" w:sz="8" w:color="auto"/>
            </w:tcBorders>
            <w:shd w:val="clear" w:color="auto" w:fill="E5E5E5"/>
          </w:tcPr>
          <w:p>
            <w:pPr>
              <w:spacing w:after="0"/>
              <w:rPr>
                <w:sz w:val="17"/>
                <w:szCs w:val="17"/>
                <w:color w:val="auto"/>
              </w:rPr>
            </w:pPr>
          </w:p>
        </w:tc>
        <w:tc>
          <w:tcPr>
            <w:tcW w:w="520" w:type="dxa"/>
            <w:vAlign w:val="bottom"/>
            <w:tcBorders>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1,229</w:t>
            </w:r>
          </w:p>
        </w:tc>
        <w:tc>
          <w:tcPr>
            <w:tcW w:w="18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60" w:type="dxa"/>
            <w:vAlign w:val="bottom"/>
            <w:tcBorders>
              <w:bottom w:val="single" w:sz="8" w:color="auto"/>
            </w:tcBorders>
            <w:shd w:val="clear" w:color="auto" w:fill="E5E5E5"/>
          </w:tcPr>
          <w:p>
            <w:pPr>
              <w:spacing w:after="0"/>
              <w:rPr>
                <w:sz w:val="17"/>
                <w:szCs w:val="17"/>
                <w:color w:val="auto"/>
              </w:rPr>
            </w:pPr>
          </w:p>
        </w:tc>
        <w:tc>
          <w:tcPr>
            <w:tcW w:w="500" w:type="dxa"/>
            <w:vAlign w:val="bottom"/>
            <w:tcBorders>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1,099</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740" w:type="dxa"/>
            <w:vAlign w:val="bottom"/>
            <w:gridSpan w:val="3"/>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1,211</w:t>
            </w: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3,799</w:t>
            </w:r>
          </w:p>
        </w:tc>
        <w:tc>
          <w:tcPr>
            <w:tcW w:w="18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40" w:lineRule="exact"/>
        <w:rPr>
          <w:sz w:val="20"/>
          <w:szCs w:val="20"/>
          <w:color w:val="auto"/>
        </w:rPr>
      </w:pPr>
    </w:p>
    <w:p>
      <w:pPr>
        <w:ind w:left="9600"/>
        <w:spacing w:after="0"/>
        <w:rPr>
          <w:sz w:val="20"/>
          <w:szCs w:val="20"/>
          <w:color w:val="auto"/>
        </w:rPr>
      </w:pPr>
      <w:r>
        <w:rPr>
          <w:rFonts w:ascii="Arial" w:cs="Arial" w:eastAsia="Arial" w:hAnsi="Arial"/>
          <w:sz w:val="12"/>
          <w:szCs w:val="12"/>
          <w:color w:val="4C9F40"/>
        </w:rPr>
        <w:t>Xerox 2010 Annual Report 38</w:t>
      </w:r>
    </w:p>
    <w:p>
      <w:pPr>
        <w:sectPr>
          <w:pgSz w:w="11900" w:h="16838" w:orient="portrait"/>
          <w:cols w:equalWidth="0" w:num="1">
            <w:col w:w="11420"/>
          </w:cols>
          <w:pgMar w:left="240" w:top="391" w:right="239" w:bottom="1440" w:gutter="0" w:footer="0" w:header="0"/>
        </w:sectPr>
      </w:pPr>
    </w:p>
    <w:bookmarkStart w:id="115" w:name="page116"/>
    <w:bookmarkEnd w:id="115"/>
    <w:p>
      <w:pPr>
        <w:spacing w:after="0"/>
        <w:rPr>
          <w:sz w:val="20"/>
          <w:szCs w:val="20"/>
          <w:color w:val="auto"/>
        </w:rPr>
      </w:pPr>
      <w:r>
        <w:rPr>
          <w:rFonts w:ascii="Arial" w:cs="Arial" w:eastAsia="Arial" w:hAnsi="Arial"/>
          <w:sz w:val="22"/>
          <w:szCs w:val="22"/>
          <w:b w:val="1"/>
          <w:bCs w:val="1"/>
          <w:color w:val="4C9F40"/>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t>XEROX CORPORATION</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4C9F40"/>
        </w:rPr>
        <w:t>CONSOLIDATED STATEMENTS OF SHAREHOLDERS’ EQUITY</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color w:val="auto"/>
              </w:rPr>
              <w:t>Additional</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color w:val="auto"/>
              </w:rPr>
              <w:t>Xerox</w:t>
            </w:r>
          </w:p>
        </w:tc>
        <w:tc>
          <w:tcPr>
            <w:tcW w:w="120" w:type="dxa"/>
            <w:vAlign w:val="bottom"/>
          </w:tcPr>
          <w:p>
            <w:pPr>
              <w:spacing w:after="0"/>
              <w:rPr>
                <w:sz w:val="14"/>
                <w:szCs w:val="14"/>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4"/>
                <w:szCs w:val="14"/>
                <w:color w:val="auto"/>
              </w:rPr>
              <w:t>Non-</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740" w:type="dxa"/>
            <w:vAlign w:val="bottom"/>
            <w:gridSpan w:val="3"/>
          </w:tcPr>
          <w:p>
            <w:pPr>
              <w:ind w:left="20"/>
              <w:spacing w:after="0" w:line="129" w:lineRule="exact"/>
              <w:rPr>
                <w:sz w:val="20"/>
                <w:szCs w:val="20"/>
                <w:color w:val="auto"/>
              </w:rPr>
            </w:pPr>
            <w:r>
              <w:rPr>
                <w:rFonts w:ascii="Arial" w:cs="Arial" w:eastAsia="Arial" w:hAnsi="Arial"/>
                <w:sz w:val="14"/>
                <w:szCs w:val="14"/>
                <w:color w:val="auto"/>
              </w:rPr>
              <w:t>Common</w:t>
            </w:r>
          </w:p>
        </w:tc>
        <w:tc>
          <w:tcPr>
            <w:tcW w:w="80" w:type="dxa"/>
            <w:vAlign w:val="bottom"/>
          </w:tcPr>
          <w:p>
            <w:pPr>
              <w:spacing w:after="0"/>
              <w:rPr>
                <w:sz w:val="11"/>
                <w:szCs w:val="11"/>
                <w:color w:val="auto"/>
              </w:rPr>
            </w:pPr>
          </w:p>
        </w:tc>
        <w:tc>
          <w:tcPr>
            <w:tcW w:w="680" w:type="dxa"/>
            <w:vAlign w:val="bottom"/>
            <w:gridSpan w:val="2"/>
          </w:tcPr>
          <w:p>
            <w:pPr>
              <w:jc w:val="right"/>
              <w:ind w:right="260"/>
              <w:spacing w:after="0" w:line="129" w:lineRule="exact"/>
              <w:rPr>
                <w:sz w:val="20"/>
                <w:szCs w:val="20"/>
                <w:color w:val="auto"/>
              </w:rPr>
            </w:pPr>
            <w:r>
              <w:rPr>
                <w:rFonts w:ascii="Arial" w:cs="Arial" w:eastAsia="Arial" w:hAnsi="Arial"/>
                <w:sz w:val="14"/>
                <w:szCs w:val="14"/>
                <w:color w:val="auto"/>
                <w:w w:val="91"/>
              </w:rPr>
              <w:t>Paid-in</w:t>
            </w:r>
          </w:p>
        </w:tc>
        <w:tc>
          <w:tcPr>
            <w:tcW w:w="720" w:type="dxa"/>
            <w:vAlign w:val="bottom"/>
            <w:gridSpan w:val="3"/>
          </w:tcPr>
          <w:p>
            <w:pPr>
              <w:ind w:left="20"/>
              <w:spacing w:after="0" w:line="129" w:lineRule="exact"/>
              <w:rPr>
                <w:sz w:val="20"/>
                <w:szCs w:val="20"/>
                <w:color w:val="auto"/>
              </w:rPr>
            </w:pPr>
            <w:r>
              <w:rPr>
                <w:rFonts w:ascii="Arial" w:cs="Arial" w:eastAsia="Arial" w:hAnsi="Arial"/>
                <w:sz w:val="14"/>
                <w:szCs w:val="14"/>
                <w:color w:val="auto"/>
              </w:rPr>
              <w:t>Treasury</w:t>
            </w:r>
          </w:p>
        </w:tc>
        <w:tc>
          <w:tcPr>
            <w:tcW w:w="660" w:type="dxa"/>
            <w:vAlign w:val="bottom"/>
            <w:gridSpan w:val="3"/>
          </w:tcPr>
          <w:p>
            <w:pPr>
              <w:ind w:left="20"/>
              <w:spacing w:after="0" w:line="129" w:lineRule="exact"/>
              <w:rPr>
                <w:sz w:val="20"/>
                <w:szCs w:val="20"/>
                <w:color w:val="auto"/>
              </w:rPr>
            </w:pPr>
            <w:r>
              <w:rPr>
                <w:rFonts w:ascii="Arial" w:cs="Arial" w:eastAsia="Arial" w:hAnsi="Arial"/>
                <w:sz w:val="14"/>
                <w:szCs w:val="14"/>
                <w:color w:val="auto"/>
              </w:rPr>
              <w:t>Retained</w:t>
            </w:r>
          </w:p>
        </w:tc>
        <w:tc>
          <w:tcPr>
            <w:tcW w:w="80" w:type="dxa"/>
            <w:vAlign w:val="bottom"/>
          </w:tcPr>
          <w:p>
            <w:pPr>
              <w:spacing w:after="0"/>
              <w:rPr>
                <w:sz w:val="11"/>
                <w:szCs w:val="11"/>
                <w:color w:val="auto"/>
              </w:rPr>
            </w:pPr>
          </w:p>
        </w:tc>
        <w:tc>
          <w:tcPr>
            <w:tcW w:w="700" w:type="dxa"/>
            <w:vAlign w:val="bottom"/>
            <w:gridSpan w:val="3"/>
          </w:tcPr>
          <w:p>
            <w:pPr>
              <w:jc w:val="right"/>
              <w:ind w:right="260"/>
              <w:spacing w:after="0" w:line="129" w:lineRule="exact"/>
              <w:rPr>
                <w:sz w:val="20"/>
                <w:szCs w:val="20"/>
                <w:color w:val="auto"/>
              </w:rPr>
            </w:pPr>
            <w:r>
              <w:rPr>
                <w:rFonts w:ascii="Arial" w:cs="Arial" w:eastAsia="Arial" w:hAnsi="Arial"/>
                <w:sz w:val="14"/>
                <w:szCs w:val="14"/>
                <w:color w:val="auto"/>
              </w:rPr>
              <w:t>AOCL</w:t>
            </w:r>
          </w:p>
        </w:tc>
        <w:tc>
          <w:tcPr>
            <w:tcW w:w="1040" w:type="dxa"/>
            <w:vAlign w:val="bottom"/>
            <w:gridSpan w:val="3"/>
          </w:tcPr>
          <w:p>
            <w:pPr>
              <w:spacing w:after="0" w:line="129" w:lineRule="exact"/>
              <w:rPr>
                <w:sz w:val="20"/>
                <w:szCs w:val="20"/>
                <w:color w:val="auto"/>
              </w:rPr>
            </w:pPr>
            <w:r>
              <w:rPr>
                <w:rFonts w:ascii="Arial" w:cs="Arial" w:eastAsia="Arial" w:hAnsi="Arial"/>
                <w:sz w:val="14"/>
                <w:szCs w:val="14"/>
                <w:color w:val="auto"/>
              </w:rPr>
              <w:t>Shareholders’</w:t>
            </w:r>
          </w:p>
        </w:tc>
        <w:tc>
          <w:tcPr>
            <w:tcW w:w="740" w:type="dxa"/>
            <w:vAlign w:val="bottom"/>
            <w:gridSpan w:val="3"/>
          </w:tcPr>
          <w:p>
            <w:pPr>
              <w:spacing w:after="0" w:line="129" w:lineRule="exact"/>
              <w:rPr>
                <w:sz w:val="20"/>
                <w:szCs w:val="20"/>
                <w:color w:val="auto"/>
              </w:rPr>
            </w:pPr>
            <w:r>
              <w:rPr>
                <w:rFonts w:ascii="Arial" w:cs="Arial" w:eastAsia="Arial" w:hAnsi="Arial"/>
                <w:sz w:val="14"/>
                <w:szCs w:val="14"/>
                <w:color w:val="auto"/>
              </w:rPr>
              <w:t>controlling</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240"/>
              <w:spacing w:after="0" w:line="12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9"/>
        </w:trPr>
        <w:tc>
          <w:tcPr>
            <w:tcW w:w="524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740" w:type="dxa"/>
            <w:vAlign w:val="bottom"/>
            <w:gridSpan w:val="3"/>
          </w:tcPr>
          <w:p>
            <w:pPr>
              <w:jc w:val="right"/>
              <w:ind w:right="220"/>
              <w:spacing w:after="0" w:line="170" w:lineRule="exact"/>
              <w:rPr>
                <w:sz w:val="20"/>
                <w:szCs w:val="20"/>
                <w:color w:val="auto"/>
              </w:rPr>
            </w:pPr>
            <w:r>
              <w:rPr>
                <w:rFonts w:ascii="Arial" w:cs="Arial" w:eastAsia="Arial" w:hAnsi="Arial"/>
                <w:sz w:val="12"/>
                <w:szCs w:val="12"/>
                <w:color w:val="auto"/>
              </w:rPr>
              <w:t>Stock</w:t>
            </w:r>
            <w:r>
              <w:rPr>
                <w:rFonts w:ascii="Arial" w:cs="Arial" w:eastAsia="Arial" w:hAnsi="Arial"/>
                <w:sz w:val="19"/>
                <w:szCs w:val="19"/>
                <w:color w:val="auto"/>
                <w:vertAlign w:val="superscript"/>
              </w:rPr>
              <w:t>(6)</w:t>
            </w:r>
          </w:p>
        </w:tc>
        <w:tc>
          <w:tcPr>
            <w:tcW w:w="8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color w:val="auto"/>
                <w:w w:val="91"/>
              </w:rPr>
              <w:t>Capital</w:t>
            </w:r>
          </w:p>
        </w:tc>
        <w:tc>
          <w:tcPr>
            <w:tcW w:w="720" w:type="dxa"/>
            <w:vAlign w:val="bottom"/>
            <w:gridSpan w:val="3"/>
          </w:tcPr>
          <w:p>
            <w:pPr>
              <w:ind w:left="20"/>
              <w:spacing w:after="0" w:line="170" w:lineRule="exact"/>
              <w:rPr>
                <w:sz w:val="20"/>
                <w:szCs w:val="20"/>
                <w:color w:val="auto"/>
              </w:rPr>
            </w:pPr>
            <w:r>
              <w:rPr>
                <w:rFonts w:ascii="Arial" w:cs="Arial" w:eastAsia="Arial" w:hAnsi="Arial"/>
                <w:sz w:val="12"/>
                <w:szCs w:val="12"/>
                <w:color w:val="auto"/>
              </w:rPr>
              <w:t xml:space="preserve">Stock </w:t>
            </w:r>
            <w:r>
              <w:rPr>
                <w:rFonts w:ascii="Arial" w:cs="Arial" w:eastAsia="Arial" w:hAnsi="Arial"/>
                <w:sz w:val="19"/>
                <w:szCs w:val="19"/>
                <w:color w:val="auto"/>
                <w:vertAlign w:val="superscript"/>
              </w:rPr>
              <w:t>(6)</w:t>
            </w:r>
          </w:p>
        </w:tc>
        <w:tc>
          <w:tcPr>
            <w:tcW w:w="660" w:type="dxa"/>
            <w:vAlign w:val="bottom"/>
            <w:gridSpan w:val="3"/>
          </w:tcPr>
          <w:p>
            <w:pPr>
              <w:ind w:left="20"/>
              <w:spacing w:after="0"/>
              <w:rPr>
                <w:sz w:val="20"/>
                <w:szCs w:val="20"/>
                <w:color w:val="auto"/>
              </w:rPr>
            </w:pPr>
            <w:r>
              <w:rPr>
                <w:rFonts w:ascii="Arial" w:cs="Arial" w:eastAsia="Arial" w:hAnsi="Arial"/>
                <w:sz w:val="14"/>
                <w:szCs w:val="14"/>
                <w:color w:val="auto"/>
              </w:rPr>
              <w:t>Earnings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133"/>
              <w:spacing w:after="0"/>
              <w:rPr>
                <w:sz w:val="20"/>
                <w:szCs w:val="20"/>
                <w:color w:val="auto"/>
              </w:rPr>
            </w:pPr>
            <w:r>
              <w:rPr>
                <w:rFonts w:ascii="Arial" w:cs="Arial" w:eastAsia="Arial" w:hAnsi="Arial"/>
                <w:sz w:val="11"/>
                <w:szCs w:val="11"/>
                <w:color w:val="auto"/>
              </w:rPr>
              <w:t>(1)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4"/>
                <w:szCs w:val="14"/>
                <w:color w:val="auto"/>
              </w:rPr>
              <w:t>Equity</w:t>
            </w:r>
          </w:p>
        </w:tc>
        <w:tc>
          <w:tcPr>
            <w:tcW w:w="740" w:type="dxa"/>
            <w:vAlign w:val="bottom"/>
            <w:gridSpan w:val="3"/>
          </w:tcPr>
          <w:p>
            <w:pPr>
              <w:ind w:left="40"/>
              <w:spacing w:after="0"/>
              <w:rPr>
                <w:sz w:val="20"/>
                <w:szCs w:val="20"/>
                <w:color w:val="auto"/>
              </w:rPr>
            </w:pPr>
            <w:r>
              <w:rPr>
                <w:rFonts w:ascii="Arial" w:cs="Arial" w:eastAsia="Arial" w:hAnsi="Arial"/>
                <w:sz w:val="14"/>
                <w:szCs w:val="14"/>
                <w:color w:val="auto"/>
              </w:rPr>
              <w:t>Interests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w w:val="92"/>
              </w:rPr>
              <w:t>Equity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Balance at December 31, 2007</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920</w:t>
            </w:r>
          </w:p>
        </w:tc>
        <w:tc>
          <w:tcPr>
            <w:tcW w:w="18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3,176</w:t>
            </w: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(31)</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5,288</w:t>
            </w:r>
          </w:p>
        </w:tc>
        <w:tc>
          <w:tcPr>
            <w:tcW w:w="10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(765)</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8,588</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103</w:t>
            </w:r>
          </w:p>
        </w:tc>
        <w:tc>
          <w:tcPr>
            <w:tcW w:w="1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8,691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20" w:type="dxa"/>
            <w:vAlign w:val="bottom"/>
            <w:gridSpan w:val="2"/>
            <w:shd w:val="clear" w:color="auto" w:fill="E5E5E5"/>
          </w:tcPr>
          <w:p>
            <w:pPr>
              <w:spacing w:after="0" w:line="149" w:lineRule="exact"/>
              <w:rPr>
                <w:sz w:val="20"/>
                <w:szCs w:val="20"/>
                <w:color w:val="auto"/>
              </w:rPr>
            </w:pPr>
            <w:r>
              <w:rPr>
                <w:rFonts w:ascii="Arial" w:cs="Arial" w:eastAsia="Arial" w:hAnsi="Arial"/>
                <w:sz w:val="14"/>
                <w:szCs w:val="14"/>
                <w:color w:val="auto"/>
              </w:rPr>
              <w:t>Net income</w:t>
            </w:r>
          </w:p>
        </w:tc>
        <w:tc>
          <w:tcPr>
            <w:tcW w:w="160" w:type="dxa"/>
            <w:vAlign w:val="bottom"/>
            <w:shd w:val="clear" w:color="auto" w:fill="E5E5E5"/>
          </w:tcPr>
          <w:p>
            <w:pPr>
              <w:spacing w:after="0"/>
              <w:rPr>
                <w:sz w:val="12"/>
                <w:szCs w:val="12"/>
                <w:color w:val="auto"/>
              </w:rPr>
            </w:pPr>
          </w:p>
        </w:tc>
        <w:tc>
          <w:tcPr>
            <w:tcW w:w="580" w:type="dxa"/>
            <w:vAlign w:val="bottom"/>
            <w:gridSpan w:val="2"/>
            <w:shd w:val="clear" w:color="auto" w:fill="E5E5E5"/>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5E5E5"/>
          </w:tcPr>
          <w:p>
            <w:pPr>
              <w:spacing w:after="0"/>
              <w:rPr>
                <w:sz w:val="12"/>
                <w:szCs w:val="12"/>
                <w:color w:val="auto"/>
              </w:rPr>
            </w:pPr>
          </w:p>
        </w:tc>
        <w:tc>
          <w:tcPr>
            <w:tcW w:w="680" w:type="dxa"/>
            <w:vAlign w:val="bottom"/>
            <w:gridSpan w:val="2"/>
            <w:shd w:val="clear" w:color="auto" w:fill="E5E5E5"/>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5E5E5"/>
          </w:tcPr>
          <w:p>
            <w:pPr>
              <w:spacing w:after="0"/>
              <w:rPr>
                <w:sz w:val="12"/>
                <w:szCs w:val="12"/>
                <w:color w:val="auto"/>
              </w:rPr>
            </w:pPr>
          </w:p>
        </w:tc>
        <w:tc>
          <w:tcPr>
            <w:tcW w:w="540" w:type="dxa"/>
            <w:vAlign w:val="bottom"/>
            <w:gridSpan w:val="2"/>
            <w:shd w:val="clear" w:color="auto" w:fill="E5E5E5"/>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5E5E5"/>
          </w:tcPr>
          <w:p>
            <w:pPr>
              <w:spacing w:after="0"/>
              <w:rPr>
                <w:sz w:val="12"/>
                <w:szCs w:val="12"/>
                <w:color w:val="auto"/>
              </w:rPr>
            </w:pPr>
          </w:p>
        </w:tc>
        <w:tc>
          <w:tcPr>
            <w:tcW w:w="520" w:type="dxa"/>
            <w:vAlign w:val="bottom"/>
            <w:gridSpan w:val="2"/>
            <w:shd w:val="clear" w:color="auto" w:fill="E5E5E5"/>
          </w:tcPr>
          <w:p>
            <w:pPr>
              <w:jc w:val="right"/>
              <w:ind w:right="100"/>
              <w:spacing w:after="0" w:line="149" w:lineRule="exact"/>
              <w:rPr>
                <w:sz w:val="20"/>
                <w:szCs w:val="20"/>
                <w:color w:val="auto"/>
              </w:rPr>
            </w:pPr>
            <w:r>
              <w:rPr>
                <w:rFonts w:ascii="Arial" w:cs="Arial" w:eastAsia="Arial" w:hAnsi="Arial"/>
                <w:sz w:val="14"/>
                <w:szCs w:val="14"/>
                <w:color w:val="auto"/>
              </w:rPr>
              <w:t>230</w:t>
            </w:r>
          </w:p>
        </w:tc>
        <w:tc>
          <w:tcPr>
            <w:tcW w:w="80" w:type="dxa"/>
            <w:vAlign w:val="bottom"/>
            <w:shd w:val="clear" w:color="auto" w:fill="E5E5E5"/>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600" w:type="dxa"/>
            <w:vAlign w:val="bottom"/>
            <w:gridSpan w:val="2"/>
            <w:shd w:val="clear" w:color="auto" w:fill="E5E5E5"/>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5E5E5"/>
          </w:tcPr>
          <w:p>
            <w:pPr>
              <w:spacing w:after="0"/>
              <w:rPr>
                <w:sz w:val="12"/>
                <w:szCs w:val="12"/>
                <w:color w:val="auto"/>
              </w:rPr>
            </w:pPr>
          </w:p>
        </w:tc>
        <w:tc>
          <w:tcPr>
            <w:tcW w:w="880" w:type="dxa"/>
            <w:vAlign w:val="bottom"/>
            <w:gridSpan w:val="2"/>
            <w:shd w:val="clear" w:color="auto" w:fill="E5E5E5"/>
          </w:tcPr>
          <w:p>
            <w:pPr>
              <w:jc w:val="right"/>
              <w:ind w:right="200"/>
              <w:spacing w:after="0" w:line="149" w:lineRule="exact"/>
              <w:rPr>
                <w:sz w:val="20"/>
                <w:szCs w:val="20"/>
                <w:color w:val="auto"/>
              </w:rPr>
            </w:pPr>
            <w:r>
              <w:rPr>
                <w:rFonts w:ascii="Arial" w:cs="Arial" w:eastAsia="Arial" w:hAnsi="Arial"/>
                <w:sz w:val="14"/>
                <w:szCs w:val="14"/>
                <w:color w:val="auto"/>
              </w:rPr>
              <w:t>230</w:t>
            </w:r>
          </w:p>
        </w:tc>
        <w:tc>
          <w:tcPr>
            <w:tcW w:w="120" w:type="dxa"/>
            <w:vAlign w:val="bottom"/>
            <w:shd w:val="clear" w:color="auto" w:fill="E5E5E5"/>
          </w:tcPr>
          <w:p>
            <w:pPr>
              <w:spacing w:after="0"/>
              <w:rPr>
                <w:sz w:val="12"/>
                <w:szCs w:val="12"/>
                <w:color w:val="auto"/>
              </w:rPr>
            </w:pPr>
          </w:p>
        </w:tc>
        <w:tc>
          <w:tcPr>
            <w:tcW w:w="620" w:type="dxa"/>
            <w:vAlign w:val="bottom"/>
            <w:gridSpan w:val="2"/>
            <w:shd w:val="clear" w:color="auto" w:fill="E5E5E5"/>
          </w:tcPr>
          <w:p>
            <w:pPr>
              <w:jc w:val="right"/>
              <w:ind w:right="120"/>
              <w:spacing w:after="0" w:line="149" w:lineRule="exact"/>
              <w:rPr>
                <w:sz w:val="20"/>
                <w:szCs w:val="20"/>
                <w:color w:val="auto"/>
              </w:rPr>
            </w:pPr>
            <w:r>
              <w:rPr>
                <w:rFonts w:ascii="Arial" w:cs="Arial" w:eastAsia="Arial" w:hAnsi="Arial"/>
                <w:sz w:val="14"/>
                <w:szCs w:val="14"/>
                <w:color w:val="auto"/>
              </w:rPr>
              <w:t>35</w:t>
            </w:r>
          </w:p>
        </w:tc>
        <w:tc>
          <w:tcPr>
            <w:tcW w:w="60" w:type="dxa"/>
            <w:vAlign w:val="bottom"/>
            <w:shd w:val="clear" w:color="auto" w:fill="E5E5E5"/>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580" w:type="dxa"/>
            <w:vAlign w:val="bottom"/>
            <w:gridSpan w:val="2"/>
            <w:shd w:val="clear" w:color="auto" w:fill="E5E5E5"/>
          </w:tcPr>
          <w:p>
            <w:pPr>
              <w:jc w:val="right"/>
              <w:ind w:right="100"/>
              <w:spacing w:after="0" w:line="149" w:lineRule="exact"/>
              <w:rPr>
                <w:sz w:val="20"/>
                <w:szCs w:val="20"/>
                <w:color w:val="auto"/>
              </w:rPr>
            </w:pPr>
            <w:r>
              <w:rPr>
                <w:rFonts w:ascii="Arial" w:cs="Arial" w:eastAsia="Arial" w:hAnsi="Arial"/>
                <w:sz w:val="14"/>
                <w:szCs w:val="14"/>
                <w:color w:val="auto"/>
              </w:rPr>
              <w:t>265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tcPr>
          <w:p>
            <w:pPr>
              <w:spacing w:after="0" w:line="149" w:lineRule="exact"/>
              <w:rPr>
                <w:sz w:val="20"/>
                <w:szCs w:val="20"/>
                <w:color w:val="auto"/>
              </w:rPr>
            </w:pPr>
            <w:r>
              <w:rPr>
                <w:rFonts w:ascii="Arial" w:cs="Arial" w:eastAsia="Arial" w:hAnsi="Arial"/>
                <w:sz w:val="14"/>
                <w:szCs w:val="14"/>
                <w:color w:val="auto"/>
              </w:rPr>
              <w:t>Translation adjustments</w:t>
            </w:r>
          </w:p>
        </w:tc>
        <w:tc>
          <w:tcPr>
            <w:tcW w:w="16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(1,364)</w:t>
            </w:r>
          </w:p>
        </w:tc>
        <w:tc>
          <w:tcPr>
            <w:tcW w:w="16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(1,364)</w:t>
            </w:r>
          </w:p>
        </w:tc>
        <w:tc>
          <w:tcPr>
            <w:tcW w:w="12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shd w:val="clear" w:color="auto" w:fill="E5E5E5"/>
          </w:tcPr>
          <w:p>
            <w:pPr>
              <w:spacing w:after="0" w:line="149" w:lineRule="exact"/>
              <w:rPr>
                <w:sz w:val="20"/>
                <w:szCs w:val="20"/>
                <w:color w:val="auto"/>
              </w:rPr>
            </w:pPr>
            <w:r>
              <w:rPr>
                <w:rFonts w:ascii="Arial" w:cs="Arial" w:eastAsia="Arial" w:hAnsi="Arial"/>
                <w:sz w:val="14"/>
                <w:szCs w:val="14"/>
                <w:color w:val="auto"/>
              </w:rPr>
              <w:t>Cumulative effect of change in accounting principles</w:t>
            </w:r>
          </w:p>
        </w:tc>
        <w:tc>
          <w:tcPr>
            <w:tcW w:w="160" w:type="dxa"/>
            <w:vAlign w:val="bottom"/>
            <w:shd w:val="clear" w:color="auto" w:fill="E5E5E5"/>
          </w:tcPr>
          <w:p>
            <w:pPr>
              <w:spacing w:after="0"/>
              <w:rPr>
                <w:sz w:val="12"/>
                <w:szCs w:val="12"/>
                <w:color w:val="auto"/>
              </w:rPr>
            </w:pPr>
          </w:p>
        </w:tc>
        <w:tc>
          <w:tcPr>
            <w:tcW w:w="580" w:type="dxa"/>
            <w:vAlign w:val="bottom"/>
            <w:gridSpan w:val="2"/>
            <w:shd w:val="clear" w:color="auto" w:fill="E5E5E5"/>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5E5E5"/>
          </w:tcPr>
          <w:p>
            <w:pPr>
              <w:spacing w:after="0"/>
              <w:rPr>
                <w:sz w:val="12"/>
                <w:szCs w:val="12"/>
                <w:color w:val="auto"/>
              </w:rPr>
            </w:pPr>
          </w:p>
        </w:tc>
        <w:tc>
          <w:tcPr>
            <w:tcW w:w="680" w:type="dxa"/>
            <w:vAlign w:val="bottom"/>
            <w:gridSpan w:val="2"/>
            <w:shd w:val="clear" w:color="auto" w:fill="E5E5E5"/>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5E5E5"/>
          </w:tcPr>
          <w:p>
            <w:pPr>
              <w:spacing w:after="0"/>
              <w:rPr>
                <w:sz w:val="12"/>
                <w:szCs w:val="12"/>
                <w:color w:val="auto"/>
              </w:rPr>
            </w:pPr>
          </w:p>
        </w:tc>
        <w:tc>
          <w:tcPr>
            <w:tcW w:w="540" w:type="dxa"/>
            <w:vAlign w:val="bottom"/>
            <w:gridSpan w:val="2"/>
            <w:shd w:val="clear" w:color="auto" w:fill="E5E5E5"/>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5E5E5"/>
          </w:tcPr>
          <w:p>
            <w:pPr>
              <w:spacing w:after="0"/>
              <w:rPr>
                <w:sz w:val="12"/>
                <w:szCs w:val="12"/>
                <w:color w:val="auto"/>
              </w:rPr>
            </w:pPr>
          </w:p>
        </w:tc>
        <w:tc>
          <w:tcPr>
            <w:tcW w:w="520" w:type="dxa"/>
            <w:vAlign w:val="bottom"/>
            <w:gridSpan w:val="2"/>
            <w:shd w:val="clear" w:color="auto" w:fill="E5E5E5"/>
          </w:tcPr>
          <w:p>
            <w:pPr>
              <w:jc w:val="right"/>
              <w:ind w:right="60"/>
              <w:spacing w:after="0" w:line="149" w:lineRule="exact"/>
              <w:rPr>
                <w:sz w:val="20"/>
                <w:szCs w:val="20"/>
                <w:color w:val="auto"/>
              </w:rPr>
            </w:pPr>
            <w:r>
              <w:rPr>
                <w:rFonts w:ascii="Arial" w:cs="Arial" w:eastAsia="Arial" w:hAnsi="Arial"/>
                <w:sz w:val="14"/>
                <w:szCs w:val="14"/>
                <w:color w:val="auto"/>
              </w:rPr>
              <w:t>(25)</w:t>
            </w:r>
          </w:p>
        </w:tc>
        <w:tc>
          <w:tcPr>
            <w:tcW w:w="80" w:type="dxa"/>
            <w:vAlign w:val="bottom"/>
            <w:shd w:val="clear" w:color="auto" w:fill="E5E5E5"/>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600" w:type="dxa"/>
            <w:vAlign w:val="bottom"/>
            <w:gridSpan w:val="2"/>
            <w:shd w:val="clear" w:color="auto" w:fill="E5E5E5"/>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5E5E5"/>
          </w:tcPr>
          <w:p>
            <w:pPr>
              <w:spacing w:after="0"/>
              <w:rPr>
                <w:sz w:val="12"/>
                <w:szCs w:val="12"/>
                <w:color w:val="auto"/>
              </w:rPr>
            </w:pPr>
          </w:p>
        </w:tc>
        <w:tc>
          <w:tcPr>
            <w:tcW w:w="880" w:type="dxa"/>
            <w:vAlign w:val="bottom"/>
            <w:gridSpan w:val="2"/>
            <w:shd w:val="clear" w:color="auto" w:fill="E5E5E5"/>
          </w:tcPr>
          <w:p>
            <w:pPr>
              <w:jc w:val="right"/>
              <w:ind w:right="140"/>
              <w:spacing w:after="0" w:line="149" w:lineRule="exact"/>
              <w:rPr>
                <w:sz w:val="20"/>
                <w:szCs w:val="20"/>
                <w:color w:val="auto"/>
              </w:rPr>
            </w:pPr>
            <w:r>
              <w:rPr>
                <w:rFonts w:ascii="Arial" w:cs="Arial" w:eastAsia="Arial" w:hAnsi="Arial"/>
                <w:sz w:val="14"/>
                <w:szCs w:val="14"/>
                <w:color w:val="auto"/>
              </w:rPr>
              <w:t>(25)</w:t>
            </w:r>
          </w:p>
        </w:tc>
        <w:tc>
          <w:tcPr>
            <w:tcW w:w="120" w:type="dxa"/>
            <w:vAlign w:val="bottom"/>
            <w:shd w:val="clear" w:color="auto" w:fill="E5E5E5"/>
          </w:tcPr>
          <w:p>
            <w:pPr>
              <w:spacing w:after="0"/>
              <w:rPr>
                <w:sz w:val="12"/>
                <w:szCs w:val="12"/>
                <w:color w:val="auto"/>
              </w:rPr>
            </w:pPr>
          </w:p>
        </w:tc>
        <w:tc>
          <w:tcPr>
            <w:tcW w:w="620" w:type="dxa"/>
            <w:vAlign w:val="bottom"/>
            <w:gridSpan w:val="2"/>
            <w:shd w:val="clear" w:color="auto" w:fill="E5E5E5"/>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E5E5E5"/>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580" w:type="dxa"/>
            <w:vAlign w:val="bottom"/>
            <w:gridSpan w:val="2"/>
            <w:shd w:val="clear" w:color="auto" w:fill="E5E5E5"/>
          </w:tcPr>
          <w:p>
            <w:pPr>
              <w:jc w:val="right"/>
              <w:ind w:right="40"/>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Changes in benefit plans </w:t>
            </w:r>
            <w:r>
              <w:rPr>
                <w:rFonts w:ascii="Arial" w:cs="Arial" w:eastAsia="Arial" w:hAnsi="Arial"/>
                <w:sz w:val="17"/>
                <w:szCs w:val="17"/>
                <w:color w:val="auto"/>
                <w:vertAlign w:val="superscript"/>
              </w:rPr>
              <w:t>(2)</w:t>
            </w:r>
          </w:p>
        </w:tc>
        <w:tc>
          <w:tcPr>
            <w:tcW w:w="16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(286)</w:t>
            </w:r>
          </w:p>
        </w:tc>
        <w:tc>
          <w:tcPr>
            <w:tcW w:w="16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(286)</w:t>
            </w:r>
          </w:p>
        </w:tc>
        <w:tc>
          <w:tcPr>
            <w:tcW w:w="12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shd w:val="clear" w:color="auto" w:fill="E5E5E5"/>
          </w:tcPr>
          <w:p>
            <w:pPr>
              <w:spacing w:after="0" w:line="149" w:lineRule="exact"/>
              <w:rPr>
                <w:sz w:val="20"/>
                <w:szCs w:val="20"/>
                <w:color w:val="auto"/>
              </w:rPr>
            </w:pPr>
            <w:r>
              <w:rPr>
                <w:rFonts w:ascii="Arial" w:cs="Arial" w:eastAsia="Arial" w:hAnsi="Arial"/>
                <w:sz w:val="14"/>
                <w:szCs w:val="14"/>
                <w:color w:val="auto"/>
              </w:rPr>
              <w:t>Other unrealized losses, net</w:t>
            </w:r>
          </w:p>
        </w:tc>
        <w:tc>
          <w:tcPr>
            <w:tcW w:w="160" w:type="dxa"/>
            <w:vAlign w:val="bottom"/>
            <w:shd w:val="clear" w:color="auto" w:fill="E5E5E5"/>
          </w:tcPr>
          <w:p>
            <w:pPr>
              <w:spacing w:after="0"/>
              <w:rPr>
                <w:sz w:val="12"/>
                <w:szCs w:val="12"/>
                <w:color w:val="auto"/>
              </w:rPr>
            </w:pPr>
          </w:p>
        </w:tc>
        <w:tc>
          <w:tcPr>
            <w:tcW w:w="580" w:type="dxa"/>
            <w:vAlign w:val="bottom"/>
            <w:gridSpan w:val="2"/>
            <w:shd w:val="clear" w:color="auto" w:fill="E5E5E5"/>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5E5E5"/>
          </w:tcPr>
          <w:p>
            <w:pPr>
              <w:spacing w:after="0"/>
              <w:rPr>
                <w:sz w:val="12"/>
                <w:szCs w:val="12"/>
                <w:color w:val="auto"/>
              </w:rPr>
            </w:pPr>
          </w:p>
        </w:tc>
        <w:tc>
          <w:tcPr>
            <w:tcW w:w="680" w:type="dxa"/>
            <w:vAlign w:val="bottom"/>
            <w:gridSpan w:val="2"/>
            <w:shd w:val="clear" w:color="auto" w:fill="E5E5E5"/>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5E5E5"/>
          </w:tcPr>
          <w:p>
            <w:pPr>
              <w:spacing w:after="0"/>
              <w:rPr>
                <w:sz w:val="12"/>
                <w:szCs w:val="12"/>
                <w:color w:val="auto"/>
              </w:rPr>
            </w:pPr>
          </w:p>
        </w:tc>
        <w:tc>
          <w:tcPr>
            <w:tcW w:w="540" w:type="dxa"/>
            <w:vAlign w:val="bottom"/>
            <w:gridSpan w:val="2"/>
            <w:shd w:val="clear" w:color="auto" w:fill="E5E5E5"/>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5E5E5"/>
          </w:tcPr>
          <w:p>
            <w:pPr>
              <w:spacing w:after="0"/>
              <w:rPr>
                <w:sz w:val="12"/>
                <w:szCs w:val="12"/>
                <w:color w:val="auto"/>
              </w:rPr>
            </w:pPr>
          </w:p>
        </w:tc>
        <w:tc>
          <w:tcPr>
            <w:tcW w:w="520" w:type="dxa"/>
            <w:vAlign w:val="bottom"/>
            <w:gridSpan w:val="2"/>
            <w:shd w:val="clear" w:color="auto" w:fill="E5E5E5"/>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5E5E5"/>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600" w:type="dxa"/>
            <w:vAlign w:val="bottom"/>
            <w:gridSpan w:val="2"/>
            <w:shd w:val="clear" w:color="auto" w:fill="E5E5E5"/>
          </w:tcPr>
          <w:p>
            <w:pPr>
              <w:jc w:val="right"/>
              <w:ind w:right="120"/>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E5E5E5"/>
          </w:tcPr>
          <w:p>
            <w:pPr>
              <w:spacing w:after="0"/>
              <w:rPr>
                <w:sz w:val="12"/>
                <w:szCs w:val="12"/>
                <w:color w:val="auto"/>
              </w:rPr>
            </w:pPr>
          </w:p>
        </w:tc>
        <w:tc>
          <w:tcPr>
            <w:tcW w:w="880" w:type="dxa"/>
            <w:vAlign w:val="bottom"/>
            <w:gridSpan w:val="2"/>
            <w:shd w:val="clear" w:color="auto" w:fill="E5E5E5"/>
          </w:tcPr>
          <w:p>
            <w:pPr>
              <w:jc w:val="right"/>
              <w:ind w:right="140"/>
              <w:spacing w:after="0" w:line="149" w:lineRule="exact"/>
              <w:rPr>
                <w:sz w:val="20"/>
                <w:szCs w:val="20"/>
                <w:color w:val="auto"/>
              </w:rPr>
            </w:pPr>
            <w:r>
              <w:rPr>
                <w:rFonts w:ascii="Arial" w:cs="Arial" w:eastAsia="Arial" w:hAnsi="Arial"/>
                <w:sz w:val="14"/>
                <w:szCs w:val="14"/>
                <w:color w:val="auto"/>
              </w:rPr>
              <w:t>(1)</w:t>
            </w:r>
          </w:p>
        </w:tc>
        <w:tc>
          <w:tcPr>
            <w:tcW w:w="120" w:type="dxa"/>
            <w:vAlign w:val="bottom"/>
            <w:shd w:val="clear" w:color="auto" w:fill="E5E5E5"/>
          </w:tcPr>
          <w:p>
            <w:pPr>
              <w:spacing w:after="0"/>
              <w:rPr>
                <w:sz w:val="12"/>
                <w:szCs w:val="12"/>
                <w:color w:val="auto"/>
              </w:rPr>
            </w:pPr>
          </w:p>
        </w:tc>
        <w:tc>
          <w:tcPr>
            <w:tcW w:w="620" w:type="dxa"/>
            <w:vAlign w:val="bottom"/>
            <w:gridSpan w:val="2"/>
            <w:shd w:val="clear" w:color="auto" w:fill="E5E5E5"/>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E5E5E5"/>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580" w:type="dxa"/>
            <w:vAlign w:val="bottom"/>
            <w:gridSpan w:val="2"/>
            <w:shd w:val="clear" w:color="auto" w:fill="E5E5E5"/>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5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Comprehensive (Loss) Income</w:t>
            </w: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24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(1,446)</w:t>
            </w:r>
          </w:p>
        </w:tc>
        <w:tc>
          <w:tcPr>
            <w:tcW w:w="1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32</w:t>
            </w:r>
          </w:p>
        </w:tc>
        <w:tc>
          <w:tcPr>
            <w:tcW w:w="1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(1,414)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20" w:type="dxa"/>
            <w:vAlign w:val="bottom"/>
            <w:gridSpan w:val="2"/>
            <w:shd w:val="clear" w:color="auto" w:fill="E5E5E5"/>
          </w:tcPr>
          <w:p>
            <w:pPr>
              <w:spacing w:after="0" w:line="149" w:lineRule="exact"/>
              <w:rPr>
                <w:sz w:val="20"/>
                <w:szCs w:val="20"/>
                <w:color w:val="auto"/>
              </w:rPr>
            </w:pPr>
            <w:r>
              <w:rPr>
                <w:rFonts w:ascii="Arial" w:cs="Arial" w:eastAsia="Arial" w:hAnsi="Arial"/>
                <w:sz w:val="11"/>
                <w:szCs w:val="11"/>
                <w:color w:val="auto"/>
              </w:rPr>
              <w:t>Cash dividends declared - common stock</w:t>
            </w:r>
            <w:r>
              <w:rPr>
                <w:rFonts w:ascii="Arial" w:cs="Arial" w:eastAsia="Arial" w:hAnsi="Arial"/>
                <w:sz w:val="17"/>
                <w:szCs w:val="17"/>
                <w:color w:val="auto"/>
                <w:vertAlign w:val="superscript"/>
              </w:rPr>
              <w:t>(3)</w:t>
            </w:r>
          </w:p>
        </w:tc>
        <w:tc>
          <w:tcPr>
            <w:tcW w:w="160" w:type="dxa"/>
            <w:vAlign w:val="bottom"/>
            <w:shd w:val="clear" w:color="auto" w:fill="E5E5E5"/>
          </w:tcPr>
          <w:p>
            <w:pPr>
              <w:spacing w:after="0"/>
              <w:rPr>
                <w:sz w:val="12"/>
                <w:szCs w:val="12"/>
                <w:color w:val="auto"/>
              </w:rPr>
            </w:pPr>
          </w:p>
        </w:tc>
        <w:tc>
          <w:tcPr>
            <w:tcW w:w="580" w:type="dxa"/>
            <w:vAlign w:val="bottom"/>
            <w:gridSpan w:val="2"/>
            <w:shd w:val="clear" w:color="auto" w:fill="E5E5E5"/>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5E5E5"/>
          </w:tcPr>
          <w:p>
            <w:pPr>
              <w:spacing w:after="0"/>
              <w:rPr>
                <w:sz w:val="12"/>
                <w:szCs w:val="12"/>
                <w:color w:val="auto"/>
              </w:rPr>
            </w:pPr>
          </w:p>
        </w:tc>
        <w:tc>
          <w:tcPr>
            <w:tcW w:w="680" w:type="dxa"/>
            <w:vAlign w:val="bottom"/>
            <w:gridSpan w:val="2"/>
            <w:shd w:val="clear" w:color="auto" w:fill="E5E5E5"/>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5E5E5"/>
          </w:tcPr>
          <w:p>
            <w:pPr>
              <w:spacing w:after="0"/>
              <w:rPr>
                <w:sz w:val="12"/>
                <w:szCs w:val="12"/>
                <w:color w:val="auto"/>
              </w:rPr>
            </w:pPr>
          </w:p>
        </w:tc>
        <w:tc>
          <w:tcPr>
            <w:tcW w:w="540" w:type="dxa"/>
            <w:vAlign w:val="bottom"/>
            <w:gridSpan w:val="2"/>
            <w:shd w:val="clear" w:color="auto" w:fill="E5E5E5"/>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5E5E5"/>
          </w:tcPr>
          <w:p>
            <w:pPr>
              <w:spacing w:after="0"/>
              <w:rPr>
                <w:sz w:val="12"/>
                <w:szCs w:val="12"/>
                <w:color w:val="auto"/>
              </w:rPr>
            </w:pPr>
          </w:p>
        </w:tc>
        <w:tc>
          <w:tcPr>
            <w:tcW w:w="520" w:type="dxa"/>
            <w:vAlign w:val="bottom"/>
            <w:gridSpan w:val="2"/>
            <w:shd w:val="clear" w:color="auto" w:fill="E5E5E5"/>
          </w:tcPr>
          <w:p>
            <w:pPr>
              <w:jc w:val="right"/>
              <w:ind w:right="60"/>
              <w:spacing w:after="0" w:line="149" w:lineRule="exact"/>
              <w:rPr>
                <w:sz w:val="20"/>
                <w:szCs w:val="20"/>
                <w:color w:val="auto"/>
              </w:rPr>
            </w:pPr>
            <w:r>
              <w:rPr>
                <w:rFonts w:ascii="Arial" w:cs="Arial" w:eastAsia="Arial" w:hAnsi="Arial"/>
                <w:sz w:val="14"/>
                <w:szCs w:val="14"/>
                <w:color w:val="auto"/>
              </w:rPr>
              <w:t>(152)</w:t>
            </w:r>
          </w:p>
        </w:tc>
        <w:tc>
          <w:tcPr>
            <w:tcW w:w="80" w:type="dxa"/>
            <w:vAlign w:val="bottom"/>
            <w:shd w:val="clear" w:color="auto" w:fill="E5E5E5"/>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600" w:type="dxa"/>
            <w:vAlign w:val="bottom"/>
            <w:gridSpan w:val="2"/>
            <w:shd w:val="clear" w:color="auto" w:fill="E5E5E5"/>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5E5E5"/>
          </w:tcPr>
          <w:p>
            <w:pPr>
              <w:spacing w:after="0"/>
              <w:rPr>
                <w:sz w:val="12"/>
                <w:szCs w:val="12"/>
                <w:color w:val="auto"/>
              </w:rPr>
            </w:pPr>
          </w:p>
        </w:tc>
        <w:tc>
          <w:tcPr>
            <w:tcW w:w="880" w:type="dxa"/>
            <w:vAlign w:val="bottom"/>
            <w:gridSpan w:val="2"/>
            <w:shd w:val="clear" w:color="auto" w:fill="E5E5E5"/>
          </w:tcPr>
          <w:p>
            <w:pPr>
              <w:jc w:val="right"/>
              <w:ind w:right="140"/>
              <w:spacing w:after="0" w:line="149" w:lineRule="exact"/>
              <w:rPr>
                <w:sz w:val="20"/>
                <w:szCs w:val="20"/>
                <w:color w:val="auto"/>
              </w:rPr>
            </w:pPr>
            <w:r>
              <w:rPr>
                <w:rFonts w:ascii="Arial" w:cs="Arial" w:eastAsia="Arial" w:hAnsi="Arial"/>
                <w:sz w:val="14"/>
                <w:szCs w:val="14"/>
                <w:color w:val="auto"/>
              </w:rPr>
              <w:t>(152)</w:t>
            </w:r>
          </w:p>
        </w:tc>
        <w:tc>
          <w:tcPr>
            <w:tcW w:w="120" w:type="dxa"/>
            <w:vAlign w:val="bottom"/>
            <w:shd w:val="clear" w:color="auto" w:fill="E5E5E5"/>
          </w:tcPr>
          <w:p>
            <w:pPr>
              <w:spacing w:after="0"/>
              <w:rPr>
                <w:sz w:val="12"/>
                <w:szCs w:val="12"/>
                <w:color w:val="auto"/>
              </w:rPr>
            </w:pPr>
          </w:p>
        </w:tc>
        <w:tc>
          <w:tcPr>
            <w:tcW w:w="620" w:type="dxa"/>
            <w:vAlign w:val="bottom"/>
            <w:gridSpan w:val="2"/>
            <w:shd w:val="clear" w:color="auto" w:fill="E5E5E5"/>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E5E5E5"/>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580" w:type="dxa"/>
            <w:vAlign w:val="bottom"/>
            <w:gridSpan w:val="2"/>
            <w:shd w:val="clear" w:color="auto" w:fill="E5E5E5"/>
          </w:tcPr>
          <w:p>
            <w:pPr>
              <w:jc w:val="right"/>
              <w:ind w:right="40"/>
              <w:spacing w:after="0" w:line="149" w:lineRule="exact"/>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tcPr>
          <w:p>
            <w:pPr>
              <w:spacing w:after="0" w:line="149" w:lineRule="exact"/>
              <w:rPr>
                <w:sz w:val="20"/>
                <w:szCs w:val="20"/>
                <w:color w:val="auto"/>
              </w:rPr>
            </w:pPr>
            <w:r>
              <w:rPr>
                <w:rFonts w:ascii="Arial" w:cs="Arial" w:eastAsia="Arial" w:hAnsi="Arial"/>
                <w:sz w:val="14"/>
                <w:szCs w:val="14"/>
                <w:color w:val="auto"/>
              </w:rPr>
              <w:t>Stock option and incentive plans</w:t>
            </w:r>
          </w:p>
        </w:tc>
        <w:tc>
          <w:tcPr>
            <w:tcW w:w="16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w:t>
            </w:r>
          </w:p>
        </w:tc>
        <w:tc>
          <w:tcPr>
            <w:tcW w:w="8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55</w:t>
            </w:r>
          </w:p>
        </w:tc>
        <w:tc>
          <w:tcPr>
            <w:tcW w:w="180" w:type="dxa"/>
            <w:vAlign w:val="bottom"/>
          </w:tcPr>
          <w:p>
            <w:pPr>
              <w:spacing w:after="0"/>
              <w:rPr>
                <w:sz w:val="12"/>
                <w:szCs w:val="12"/>
                <w:color w:val="auto"/>
              </w:rPr>
            </w:pPr>
          </w:p>
        </w:tc>
        <w:tc>
          <w:tcPr>
            <w:tcW w:w="5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60</w:t>
            </w:r>
          </w:p>
        </w:tc>
        <w:tc>
          <w:tcPr>
            <w:tcW w:w="12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shd w:val="clear" w:color="auto" w:fill="E5E5E5"/>
          </w:tcPr>
          <w:p>
            <w:pPr>
              <w:spacing w:after="0" w:line="149" w:lineRule="exact"/>
              <w:rPr>
                <w:sz w:val="20"/>
                <w:szCs w:val="20"/>
                <w:color w:val="auto"/>
              </w:rPr>
            </w:pPr>
            <w:r>
              <w:rPr>
                <w:rFonts w:ascii="Arial" w:cs="Arial" w:eastAsia="Arial" w:hAnsi="Arial"/>
                <w:sz w:val="14"/>
                <w:szCs w:val="14"/>
                <w:color w:val="auto"/>
              </w:rPr>
              <w:t>Payments to acquire treasury stock</w:t>
            </w:r>
          </w:p>
        </w:tc>
        <w:tc>
          <w:tcPr>
            <w:tcW w:w="160" w:type="dxa"/>
            <w:vAlign w:val="bottom"/>
            <w:shd w:val="clear" w:color="auto" w:fill="E5E5E5"/>
          </w:tcPr>
          <w:p>
            <w:pPr>
              <w:spacing w:after="0"/>
              <w:rPr>
                <w:sz w:val="12"/>
                <w:szCs w:val="12"/>
                <w:color w:val="auto"/>
              </w:rPr>
            </w:pPr>
          </w:p>
        </w:tc>
        <w:tc>
          <w:tcPr>
            <w:tcW w:w="580" w:type="dxa"/>
            <w:vAlign w:val="bottom"/>
            <w:gridSpan w:val="2"/>
            <w:shd w:val="clear" w:color="auto" w:fill="E5E5E5"/>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5E5E5"/>
          </w:tcPr>
          <w:p>
            <w:pPr>
              <w:spacing w:after="0"/>
              <w:rPr>
                <w:sz w:val="12"/>
                <w:szCs w:val="12"/>
                <w:color w:val="auto"/>
              </w:rPr>
            </w:pPr>
          </w:p>
        </w:tc>
        <w:tc>
          <w:tcPr>
            <w:tcW w:w="680" w:type="dxa"/>
            <w:vAlign w:val="bottom"/>
            <w:gridSpan w:val="2"/>
            <w:shd w:val="clear" w:color="auto" w:fill="E5E5E5"/>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5E5E5"/>
          </w:tcPr>
          <w:p>
            <w:pPr>
              <w:spacing w:after="0"/>
              <w:rPr>
                <w:sz w:val="12"/>
                <w:szCs w:val="12"/>
                <w:color w:val="auto"/>
              </w:rPr>
            </w:pPr>
          </w:p>
        </w:tc>
        <w:tc>
          <w:tcPr>
            <w:tcW w:w="540" w:type="dxa"/>
            <w:vAlign w:val="bottom"/>
            <w:gridSpan w:val="2"/>
            <w:shd w:val="clear" w:color="auto" w:fill="E5E5E5"/>
          </w:tcPr>
          <w:p>
            <w:pPr>
              <w:jc w:val="right"/>
              <w:ind w:right="120"/>
              <w:spacing w:after="0" w:line="149" w:lineRule="exact"/>
              <w:rPr>
                <w:sz w:val="20"/>
                <w:szCs w:val="20"/>
                <w:color w:val="auto"/>
              </w:rPr>
            </w:pPr>
            <w:r>
              <w:rPr>
                <w:rFonts w:ascii="Arial" w:cs="Arial" w:eastAsia="Arial" w:hAnsi="Arial"/>
                <w:sz w:val="14"/>
                <w:szCs w:val="14"/>
                <w:color w:val="auto"/>
              </w:rPr>
              <w:t>(812)</w:t>
            </w:r>
          </w:p>
        </w:tc>
        <w:tc>
          <w:tcPr>
            <w:tcW w:w="140" w:type="dxa"/>
            <w:vAlign w:val="bottom"/>
            <w:shd w:val="clear" w:color="auto" w:fill="E5E5E5"/>
          </w:tcPr>
          <w:p>
            <w:pPr>
              <w:spacing w:after="0"/>
              <w:rPr>
                <w:sz w:val="12"/>
                <w:szCs w:val="12"/>
                <w:color w:val="auto"/>
              </w:rPr>
            </w:pPr>
          </w:p>
        </w:tc>
        <w:tc>
          <w:tcPr>
            <w:tcW w:w="520" w:type="dxa"/>
            <w:vAlign w:val="bottom"/>
            <w:gridSpan w:val="2"/>
            <w:shd w:val="clear" w:color="auto" w:fill="E5E5E5"/>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5E5E5"/>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600" w:type="dxa"/>
            <w:vAlign w:val="bottom"/>
            <w:gridSpan w:val="2"/>
            <w:shd w:val="clear" w:color="auto" w:fill="E5E5E5"/>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5E5E5"/>
          </w:tcPr>
          <w:p>
            <w:pPr>
              <w:spacing w:after="0"/>
              <w:rPr>
                <w:sz w:val="12"/>
                <w:szCs w:val="12"/>
                <w:color w:val="auto"/>
              </w:rPr>
            </w:pPr>
          </w:p>
        </w:tc>
        <w:tc>
          <w:tcPr>
            <w:tcW w:w="880" w:type="dxa"/>
            <w:vAlign w:val="bottom"/>
            <w:gridSpan w:val="2"/>
            <w:shd w:val="clear" w:color="auto" w:fill="E5E5E5"/>
          </w:tcPr>
          <w:p>
            <w:pPr>
              <w:jc w:val="right"/>
              <w:ind w:right="140"/>
              <w:spacing w:after="0" w:line="149" w:lineRule="exact"/>
              <w:rPr>
                <w:sz w:val="20"/>
                <w:szCs w:val="20"/>
                <w:color w:val="auto"/>
              </w:rPr>
            </w:pPr>
            <w:r>
              <w:rPr>
                <w:rFonts w:ascii="Arial" w:cs="Arial" w:eastAsia="Arial" w:hAnsi="Arial"/>
                <w:sz w:val="14"/>
                <w:szCs w:val="14"/>
                <w:color w:val="auto"/>
              </w:rPr>
              <w:t>(812)</w:t>
            </w:r>
          </w:p>
        </w:tc>
        <w:tc>
          <w:tcPr>
            <w:tcW w:w="120" w:type="dxa"/>
            <w:vAlign w:val="bottom"/>
            <w:shd w:val="clear" w:color="auto" w:fill="E5E5E5"/>
          </w:tcPr>
          <w:p>
            <w:pPr>
              <w:spacing w:after="0"/>
              <w:rPr>
                <w:sz w:val="12"/>
                <w:szCs w:val="12"/>
                <w:color w:val="auto"/>
              </w:rPr>
            </w:pPr>
          </w:p>
        </w:tc>
        <w:tc>
          <w:tcPr>
            <w:tcW w:w="620" w:type="dxa"/>
            <w:vAlign w:val="bottom"/>
            <w:gridSpan w:val="2"/>
            <w:shd w:val="clear" w:color="auto" w:fill="E5E5E5"/>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E5E5E5"/>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580" w:type="dxa"/>
            <w:vAlign w:val="bottom"/>
            <w:gridSpan w:val="2"/>
            <w:shd w:val="clear" w:color="auto" w:fill="E5E5E5"/>
          </w:tcPr>
          <w:p>
            <w:pPr>
              <w:jc w:val="right"/>
              <w:ind w:right="40"/>
              <w:spacing w:after="0" w:line="149" w:lineRule="exact"/>
              <w:rPr>
                <w:sz w:val="20"/>
                <w:szCs w:val="20"/>
                <w:color w:val="auto"/>
              </w:rPr>
            </w:pPr>
            <w:r>
              <w:rPr>
                <w:rFonts w:ascii="Arial" w:cs="Arial" w:eastAsia="Arial" w:hAnsi="Arial"/>
                <w:sz w:val="14"/>
                <w:szCs w:val="14"/>
                <w:color w:val="auto"/>
              </w:rPr>
              <w:t>(812)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tcPr>
          <w:p>
            <w:pPr>
              <w:spacing w:after="0" w:line="149" w:lineRule="exact"/>
              <w:rPr>
                <w:sz w:val="20"/>
                <w:szCs w:val="20"/>
                <w:color w:val="auto"/>
              </w:rPr>
            </w:pPr>
            <w:r>
              <w:rPr>
                <w:rFonts w:ascii="Arial" w:cs="Arial" w:eastAsia="Arial" w:hAnsi="Arial"/>
                <w:sz w:val="14"/>
                <w:szCs w:val="14"/>
                <w:color w:val="auto"/>
              </w:rPr>
              <w:t>Cancellation of treasury stock</w:t>
            </w:r>
          </w:p>
        </w:tc>
        <w:tc>
          <w:tcPr>
            <w:tcW w:w="160" w:type="dxa"/>
            <w:vAlign w:val="bottom"/>
          </w:tcPr>
          <w:p>
            <w:pPr>
              <w:spacing w:after="0"/>
              <w:rPr>
                <w:sz w:val="12"/>
                <w:szCs w:val="12"/>
                <w:color w:val="auto"/>
              </w:rPr>
            </w:pPr>
          </w:p>
        </w:tc>
        <w:tc>
          <w:tcPr>
            <w:tcW w:w="5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(59)</w:t>
            </w:r>
          </w:p>
        </w:tc>
        <w:tc>
          <w:tcPr>
            <w:tcW w:w="8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(784)</w:t>
            </w:r>
          </w:p>
        </w:tc>
        <w:tc>
          <w:tcPr>
            <w:tcW w:w="180" w:type="dxa"/>
            <w:vAlign w:val="bottom"/>
          </w:tcPr>
          <w:p>
            <w:pPr>
              <w:spacing w:after="0"/>
              <w:rPr>
                <w:sz w:val="12"/>
                <w:szCs w:val="12"/>
                <w:color w:val="auto"/>
              </w:rPr>
            </w:pPr>
          </w:p>
        </w:tc>
        <w:tc>
          <w:tcPr>
            <w:tcW w:w="5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843</w:t>
            </w:r>
          </w:p>
        </w:tc>
        <w:tc>
          <w:tcPr>
            <w:tcW w:w="140" w:type="dxa"/>
            <w:vAlign w:val="bottom"/>
          </w:tcPr>
          <w:p>
            <w:pPr>
              <w:spacing w:after="0"/>
              <w:rPr>
                <w:sz w:val="12"/>
                <w:szCs w:val="12"/>
                <w:color w:val="auto"/>
              </w:rPr>
            </w:pPr>
          </w:p>
        </w:tc>
        <w:tc>
          <w:tcPr>
            <w:tcW w:w="5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shd w:val="clear" w:color="auto" w:fill="E5E5E5"/>
          </w:tcPr>
          <w:p>
            <w:pPr>
              <w:spacing w:after="0" w:line="149" w:lineRule="exact"/>
              <w:rPr>
                <w:sz w:val="20"/>
                <w:szCs w:val="20"/>
                <w:color w:val="auto"/>
              </w:rPr>
            </w:pPr>
            <w:r>
              <w:rPr>
                <w:rFonts w:ascii="Arial" w:cs="Arial" w:eastAsia="Arial" w:hAnsi="Arial"/>
                <w:sz w:val="14"/>
                <w:szCs w:val="14"/>
                <w:color w:val="auto"/>
              </w:rPr>
              <w:t>Distributions to noncontrolling interests</w:t>
            </w:r>
          </w:p>
        </w:tc>
        <w:tc>
          <w:tcPr>
            <w:tcW w:w="160" w:type="dxa"/>
            <w:vAlign w:val="bottom"/>
            <w:shd w:val="clear" w:color="auto" w:fill="E5E5E5"/>
          </w:tcPr>
          <w:p>
            <w:pPr>
              <w:spacing w:after="0"/>
              <w:rPr>
                <w:sz w:val="12"/>
                <w:szCs w:val="12"/>
                <w:color w:val="auto"/>
              </w:rPr>
            </w:pPr>
          </w:p>
        </w:tc>
        <w:tc>
          <w:tcPr>
            <w:tcW w:w="580" w:type="dxa"/>
            <w:vAlign w:val="bottom"/>
            <w:gridSpan w:val="2"/>
            <w:shd w:val="clear" w:color="auto" w:fill="E5E5E5"/>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5E5E5"/>
          </w:tcPr>
          <w:p>
            <w:pPr>
              <w:spacing w:after="0"/>
              <w:rPr>
                <w:sz w:val="12"/>
                <w:szCs w:val="12"/>
                <w:color w:val="auto"/>
              </w:rPr>
            </w:pPr>
          </w:p>
        </w:tc>
        <w:tc>
          <w:tcPr>
            <w:tcW w:w="52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540" w:type="dxa"/>
            <w:vAlign w:val="bottom"/>
            <w:gridSpan w:val="2"/>
            <w:shd w:val="clear" w:color="auto" w:fill="E5E5E5"/>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5E5E5"/>
          </w:tcPr>
          <w:p>
            <w:pPr>
              <w:spacing w:after="0"/>
              <w:rPr>
                <w:sz w:val="12"/>
                <w:szCs w:val="12"/>
                <w:color w:val="auto"/>
              </w:rPr>
            </w:pPr>
          </w:p>
        </w:tc>
        <w:tc>
          <w:tcPr>
            <w:tcW w:w="520" w:type="dxa"/>
            <w:vAlign w:val="bottom"/>
            <w:gridSpan w:val="2"/>
            <w:shd w:val="clear" w:color="auto" w:fill="E5E5E5"/>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5E5E5"/>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600" w:type="dxa"/>
            <w:vAlign w:val="bottom"/>
            <w:gridSpan w:val="2"/>
            <w:shd w:val="clear" w:color="auto" w:fill="E5E5E5"/>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5E5E5"/>
          </w:tcPr>
          <w:p>
            <w:pPr>
              <w:spacing w:after="0"/>
              <w:rPr>
                <w:sz w:val="12"/>
                <w:szCs w:val="12"/>
                <w:color w:val="auto"/>
              </w:rPr>
            </w:pPr>
          </w:p>
        </w:tc>
        <w:tc>
          <w:tcPr>
            <w:tcW w:w="880" w:type="dxa"/>
            <w:vAlign w:val="bottom"/>
            <w:gridSpan w:val="2"/>
            <w:shd w:val="clear" w:color="auto" w:fill="E5E5E5"/>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E5E5E5"/>
          </w:tcPr>
          <w:p>
            <w:pPr>
              <w:spacing w:after="0"/>
              <w:rPr>
                <w:sz w:val="12"/>
                <w:szCs w:val="12"/>
                <w:color w:val="auto"/>
              </w:rPr>
            </w:pPr>
          </w:p>
        </w:tc>
        <w:tc>
          <w:tcPr>
            <w:tcW w:w="620" w:type="dxa"/>
            <w:vAlign w:val="bottom"/>
            <w:gridSpan w:val="2"/>
            <w:shd w:val="clear" w:color="auto" w:fill="E5E5E5"/>
          </w:tcPr>
          <w:p>
            <w:pPr>
              <w:jc w:val="right"/>
              <w:ind w:right="80"/>
              <w:spacing w:after="0" w:line="149" w:lineRule="exact"/>
              <w:rPr>
                <w:sz w:val="20"/>
                <w:szCs w:val="20"/>
                <w:color w:val="auto"/>
              </w:rPr>
            </w:pPr>
            <w:r>
              <w:rPr>
                <w:rFonts w:ascii="Arial" w:cs="Arial" w:eastAsia="Arial" w:hAnsi="Arial"/>
                <w:sz w:val="14"/>
                <w:szCs w:val="14"/>
                <w:color w:val="auto"/>
              </w:rPr>
              <w:t>(15)</w:t>
            </w:r>
          </w:p>
        </w:tc>
        <w:tc>
          <w:tcPr>
            <w:tcW w:w="60" w:type="dxa"/>
            <w:vAlign w:val="bottom"/>
            <w:shd w:val="clear" w:color="auto" w:fill="E5E5E5"/>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580" w:type="dxa"/>
            <w:vAlign w:val="bottom"/>
            <w:gridSpan w:val="2"/>
            <w:shd w:val="clear" w:color="auto" w:fill="E5E5E5"/>
          </w:tcPr>
          <w:p>
            <w:pPr>
              <w:jc w:val="right"/>
              <w:ind w:right="40"/>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0"/>
        </w:trPr>
        <w:tc>
          <w:tcPr>
            <w:tcW w:w="5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Balance at December 31, 2008</w:t>
            </w: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240" w:type="dxa"/>
            <w:vAlign w:val="bottom"/>
            <w:gridSpan w:val="3"/>
            <w:vMerge w:val="continue"/>
          </w:tcPr>
          <w:p>
            <w:pPr>
              <w:spacing w:after="0"/>
              <w:rPr>
                <w:sz w:val="13"/>
                <w:szCs w:val="13"/>
                <w:color w:val="auto"/>
              </w:rPr>
            </w:pPr>
          </w:p>
        </w:tc>
        <w:tc>
          <w:tcPr>
            <w:tcW w:w="16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rPr>
              <w:t>866</w:t>
            </w:r>
          </w:p>
        </w:tc>
        <w:tc>
          <w:tcPr>
            <w:tcW w:w="180" w:type="dxa"/>
            <w:vAlign w:val="bottom"/>
          </w:tcPr>
          <w:p>
            <w:pPr>
              <w:spacing w:after="0"/>
              <w:rPr>
                <w:sz w:val="13"/>
                <w:szCs w:val="13"/>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rPr>
              <w:t>2,447</w:t>
            </w:r>
          </w:p>
        </w:tc>
        <w:tc>
          <w:tcPr>
            <w:tcW w:w="160" w:type="dxa"/>
            <w:vAlign w:val="bottom"/>
          </w:tcPr>
          <w:p>
            <w:pPr>
              <w:spacing w:after="0"/>
              <w:rPr>
                <w:sz w:val="13"/>
                <w:szCs w:val="13"/>
                <w:color w:val="auto"/>
              </w:rPr>
            </w:pPr>
          </w:p>
        </w:tc>
        <w:tc>
          <w:tcPr>
            <w:tcW w:w="18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rPr>
              <w:t>5,341</w:t>
            </w:r>
          </w:p>
        </w:tc>
        <w:tc>
          <w:tcPr>
            <w:tcW w:w="100" w:type="dxa"/>
            <w:vAlign w:val="bottom"/>
          </w:tcPr>
          <w:p>
            <w:pPr>
              <w:spacing w:after="0"/>
              <w:rPr>
                <w:sz w:val="13"/>
                <w:szCs w:val="13"/>
                <w:color w:val="auto"/>
              </w:rPr>
            </w:pPr>
          </w:p>
        </w:tc>
        <w:tc>
          <w:tcPr>
            <w:tcW w:w="1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(2,416)</w:t>
            </w:r>
          </w:p>
        </w:tc>
        <w:tc>
          <w:tcPr>
            <w:tcW w:w="16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6,238</w:t>
            </w:r>
          </w:p>
        </w:tc>
        <w:tc>
          <w:tcPr>
            <w:tcW w:w="1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120</w:t>
            </w:r>
          </w:p>
        </w:tc>
        <w:tc>
          <w:tcPr>
            <w:tcW w:w="1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6,358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20" w:type="dxa"/>
            <w:vAlign w:val="bottom"/>
            <w:gridSpan w:val="2"/>
            <w:shd w:val="clear" w:color="auto" w:fill="E5E5E5"/>
          </w:tcPr>
          <w:p>
            <w:pPr>
              <w:spacing w:after="0" w:line="149" w:lineRule="exact"/>
              <w:rPr>
                <w:sz w:val="20"/>
                <w:szCs w:val="20"/>
                <w:color w:val="auto"/>
              </w:rPr>
            </w:pPr>
            <w:r>
              <w:rPr>
                <w:rFonts w:ascii="Arial" w:cs="Arial" w:eastAsia="Arial" w:hAnsi="Arial"/>
                <w:sz w:val="14"/>
                <w:szCs w:val="14"/>
                <w:color w:val="auto"/>
              </w:rPr>
              <w:t>Net income</w:t>
            </w:r>
          </w:p>
        </w:tc>
        <w:tc>
          <w:tcPr>
            <w:tcW w:w="160" w:type="dxa"/>
            <w:vAlign w:val="bottom"/>
            <w:shd w:val="clear" w:color="auto" w:fill="E5E5E5"/>
          </w:tcPr>
          <w:p>
            <w:pPr>
              <w:spacing w:after="0"/>
              <w:rPr>
                <w:sz w:val="12"/>
                <w:szCs w:val="12"/>
                <w:color w:val="auto"/>
              </w:rPr>
            </w:pPr>
          </w:p>
        </w:tc>
        <w:tc>
          <w:tcPr>
            <w:tcW w:w="580" w:type="dxa"/>
            <w:vAlign w:val="bottom"/>
            <w:gridSpan w:val="2"/>
            <w:shd w:val="clear" w:color="auto" w:fill="E5E5E5"/>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5E5E5"/>
          </w:tcPr>
          <w:p>
            <w:pPr>
              <w:spacing w:after="0"/>
              <w:rPr>
                <w:sz w:val="12"/>
                <w:szCs w:val="12"/>
                <w:color w:val="auto"/>
              </w:rPr>
            </w:pPr>
          </w:p>
        </w:tc>
        <w:tc>
          <w:tcPr>
            <w:tcW w:w="680" w:type="dxa"/>
            <w:vAlign w:val="bottom"/>
            <w:gridSpan w:val="2"/>
            <w:shd w:val="clear" w:color="auto" w:fill="E5E5E5"/>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5E5E5"/>
          </w:tcPr>
          <w:p>
            <w:pPr>
              <w:spacing w:after="0"/>
              <w:rPr>
                <w:sz w:val="12"/>
                <w:szCs w:val="12"/>
                <w:color w:val="auto"/>
              </w:rPr>
            </w:pPr>
          </w:p>
        </w:tc>
        <w:tc>
          <w:tcPr>
            <w:tcW w:w="540" w:type="dxa"/>
            <w:vAlign w:val="bottom"/>
            <w:gridSpan w:val="2"/>
            <w:shd w:val="clear" w:color="auto" w:fill="E5E5E5"/>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5E5E5"/>
          </w:tcPr>
          <w:p>
            <w:pPr>
              <w:spacing w:after="0"/>
              <w:rPr>
                <w:sz w:val="12"/>
                <w:szCs w:val="12"/>
                <w:color w:val="auto"/>
              </w:rPr>
            </w:pPr>
          </w:p>
        </w:tc>
        <w:tc>
          <w:tcPr>
            <w:tcW w:w="520" w:type="dxa"/>
            <w:vAlign w:val="bottom"/>
            <w:gridSpan w:val="2"/>
            <w:shd w:val="clear" w:color="auto" w:fill="E5E5E5"/>
          </w:tcPr>
          <w:p>
            <w:pPr>
              <w:jc w:val="right"/>
              <w:ind w:right="100"/>
              <w:spacing w:after="0" w:line="149" w:lineRule="exact"/>
              <w:rPr>
                <w:sz w:val="20"/>
                <w:szCs w:val="20"/>
                <w:color w:val="auto"/>
              </w:rPr>
            </w:pPr>
            <w:r>
              <w:rPr>
                <w:rFonts w:ascii="Arial" w:cs="Arial" w:eastAsia="Arial" w:hAnsi="Arial"/>
                <w:sz w:val="14"/>
                <w:szCs w:val="14"/>
                <w:color w:val="auto"/>
              </w:rPr>
              <w:t>485</w:t>
            </w:r>
          </w:p>
        </w:tc>
        <w:tc>
          <w:tcPr>
            <w:tcW w:w="80" w:type="dxa"/>
            <w:vAlign w:val="bottom"/>
            <w:shd w:val="clear" w:color="auto" w:fill="E5E5E5"/>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600" w:type="dxa"/>
            <w:vAlign w:val="bottom"/>
            <w:gridSpan w:val="2"/>
            <w:shd w:val="clear" w:color="auto" w:fill="E5E5E5"/>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5E5E5"/>
          </w:tcPr>
          <w:p>
            <w:pPr>
              <w:spacing w:after="0"/>
              <w:rPr>
                <w:sz w:val="12"/>
                <w:szCs w:val="12"/>
                <w:color w:val="auto"/>
              </w:rPr>
            </w:pPr>
          </w:p>
        </w:tc>
        <w:tc>
          <w:tcPr>
            <w:tcW w:w="880" w:type="dxa"/>
            <w:vAlign w:val="bottom"/>
            <w:gridSpan w:val="2"/>
            <w:shd w:val="clear" w:color="auto" w:fill="E5E5E5"/>
          </w:tcPr>
          <w:p>
            <w:pPr>
              <w:jc w:val="right"/>
              <w:ind w:right="200"/>
              <w:spacing w:after="0" w:line="149" w:lineRule="exact"/>
              <w:rPr>
                <w:sz w:val="20"/>
                <w:szCs w:val="20"/>
                <w:color w:val="auto"/>
              </w:rPr>
            </w:pPr>
            <w:r>
              <w:rPr>
                <w:rFonts w:ascii="Arial" w:cs="Arial" w:eastAsia="Arial" w:hAnsi="Arial"/>
                <w:sz w:val="14"/>
                <w:szCs w:val="14"/>
                <w:color w:val="auto"/>
              </w:rPr>
              <w:t>485</w:t>
            </w:r>
          </w:p>
        </w:tc>
        <w:tc>
          <w:tcPr>
            <w:tcW w:w="120" w:type="dxa"/>
            <w:vAlign w:val="bottom"/>
            <w:shd w:val="clear" w:color="auto" w:fill="E5E5E5"/>
          </w:tcPr>
          <w:p>
            <w:pPr>
              <w:spacing w:after="0"/>
              <w:rPr>
                <w:sz w:val="12"/>
                <w:szCs w:val="12"/>
                <w:color w:val="auto"/>
              </w:rPr>
            </w:pPr>
          </w:p>
        </w:tc>
        <w:tc>
          <w:tcPr>
            <w:tcW w:w="620" w:type="dxa"/>
            <w:vAlign w:val="bottom"/>
            <w:gridSpan w:val="2"/>
            <w:shd w:val="clear" w:color="auto" w:fill="E5E5E5"/>
          </w:tcPr>
          <w:p>
            <w:pPr>
              <w:jc w:val="right"/>
              <w:ind w:right="120"/>
              <w:spacing w:after="0" w:line="149" w:lineRule="exact"/>
              <w:rPr>
                <w:sz w:val="20"/>
                <w:szCs w:val="20"/>
                <w:color w:val="auto"/>
              </w:rPr>
            </w:pPr>
            <w:r>
              <w:rPr>
                <w:rFonts w:ascii="Arial" w:cs="Arial" w:eastAsia="Arial" w:hAnsi="Arial"/>
                <w:sz w:val="14"/>
                <w:szCs w:val="14"/>
                <w:color w:val="auto"/>
              </w:rPr>
              <w:t>31</w:t>
            </w:r>
          </w:p>
        </w:tc>
        <w:tc>
          <w:tcPr>
            <w:tcW w:w="60" w:type="dxa"/>
            <w:vAlign w:val="bottom"/>
            <w:shd w:val="clear" w:color="auto" w:fill="E5E5E5"/>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580" w:type="dxa"/>
            <w:vAlign w:val="bottom"/>
            <w:gridSpan w:val="2"/>
            <w:shd w:val="clear" w:color="auto" w:fill="E5E5E5"/>
          </w:tcPr>
          <w:p>
            <w:pPr>
              <w:jc w:val="right"/>
              <w:ind w:right="100"/>
              <w:spacing w:after="0" w:line="149" w:lineRule="exact"/>
              <w:rPr>
                <w:sz w:val="20"/>
                <w:szCs w:val="20"/>
                <w:color w:val="auto"/>
              </w:rPr>
            </w:pPr>
            <w:r>
              <w:rPr>
                <w:rFonts w:ascii="Arial" w:cs="Arial" w:eastAsia="Arial" w:hAnsi="Arial"/>
                <w:sz w:val="14"/>
                <w:szCs w:val="14"/>
                <w:color w:val="auto"/>
              </w:rPr>
              <w:t>516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tcPr>
          <w:p>
            <w:pPr>
              <w:spacing w:after="0" w:line="149" w:lineRule="exact"/>
              <w:rPr>
                <w:sz w:val="20"/>
                <w:szCs w:val="20"/>
                <w:color w:val="auto"/>
              </w:rPr>
            </w:pPr>
            <w:r>
              <w:rPr>
                <w:rFonts w:ascii="Arial" w:cs="Arial" w:eastAsia="Arial" w:hAnsi="Arial"/>
                <w:sz w:val="14"/>
                <w:szCs w:val="14"/>
                <w:color w:val="auto"/>
              </w:rPr>
              <w:t>Translation adjustments</w:t>
            </w:r>
          </w:p>
        </w:tc>
        <w:tc>
          <w:tcPr>
            <w:tcW w:w="16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595</w:t>
            </w:r>
          </w:p>
        </w:tc>
        <w:tc>
          <w:tcPr>
            <w:tcW w:w="16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595</w:t>
            </w:r>
          </w:p>
        </w:tc>
        <w:tc>
          <w:tcPr>
            <w:tcW w:w="12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shd w:val="clear" w:color="auto" w:fill="E5E5E5"/>
          </w:tcPr>
          <w:p>
            <w:pPr>
              <w:spacing w:after="0" w:line="149" w:lineRule="exact"/>
              <w:rPr>
                <w:sz w:val="20"/>
                <w:szCs w:val="20"/>
                <w:color w:val="auto"/>
              </w:rPr>
            </w:pPr>
            <w:r>
              <w:rPr>
                <w:rFonts w:ascii="Arial" w:cs="Arial" w:eastAsia="Arial" w:hAnsi="Arial"/>
                <w:sz w:val="11"/>
                <w:szCs w:val="11"/>
                <w:color w:val="auto"/>
              </w:rPr>
              <w:t xml:space="preserve">Changes in benefit plans </w:t>
            </w:r>
            <w:r>
              <w:rPr>
                <w:rFonts w:ascii="Arial" w:cs="Arial" w:eastAsia="Arial" w:hAnsi="Arial"/>
                <w:sz w:val="17"/>
                <w:szCs w:val="17"/>
                <w:color w:val="auto"/>
                <w:vertAlign w:val="superscript"/>
              </w:rPr>
              <w:t>(2)</w:t>
            </w:r>
          </w:p>
        </w:tc>
        <w:tc>
          <w:tcPr>
            <w:tcW w:w="160" w:type="dxa"/>
            <w:vAlign w:val="bottom"/>
            <w:shd w:val="clear" w:color="auto" w:fill="E5E5E5"/>
          </w:tcPr>
          <w:p>
            <w:pPr>
              <w:spacing w:after="0"/>
              <w:rPr>
                <w:sz w:val="12"/>
                <w:szCs w:val="12"/>
                <w:color w:val="auto"/>
              </w:rPr>
            </w:pPr>
          </w:p>
        </w:tc>
        <w:tc>
          <w:tcPr>
            <w:tcW w:w="580" w:type="dxa"/>
            <w:vAlign w:val="bottom"/>
            <w:gridSpan w:val="2"/>
            <w:shd w:val="clear" w:color="auto" w:fill="E5E5E5"/>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5E5E5"/>
          </w:tcPr>
          <w:p>
            <w:pPr>
              <w:spacing w:after="0"/>
              <w:rPr>
                <w:sz w:val="12"/>
                <w:szCs w:val="12"/>
                <w:color w:val="auto"/>
              </w:rPr>
            </w:pPr>
          </w:p>
        </w:tc>
        <w:tc>
          <w:tcPr>
            <w:tcW w:w="680" w:type="dxa"/>
            <w:vAlign w:val="bottom"/>
            <w:gridSpan w:val="2"/>
            <w:shd w:val="clear" w:color="auto" w:fill="E5E5E5"/>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5E5E5"/>
          </w:tcPr>
          <w:p>
            <w:pPr>
              <w:spacing w:after="0"/>
              <w:rPr>
                <w:sz w:val="12"/>
                <w:szCs w:val="12"/>
                <w:color w:val="auto"/>
              </w:rPr>
            </w:pPr>
          </w:p>
        </w:tc>
        <w:tc>
          <w:tcPr>
            <w:tcW w:w="540" w:type="dxa"/>
            <w:vAlign w:val="bottom"/>
            <w:gridSpan w:val="2"/>
            <w:shd w:val="clear" w:color="auto" w:fill="E5E5E5"/>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5E5E5"/>
          </w:tcPr>
          <w:p>
            <w:pPr>
              <w:spacing w:after="0"/>
              <w:rPr>
                <w:sz w:val="12"/>
                <w:szCs w:val="12"/>
                <w:color w:val="auto"/>
              </w:rPr>
            </w:pPr>
          </w:p>
        </w:tc>
        <w:tc>
          <w:tcPr>
            <w:tcW w:w="520" w:type="dxa"/>
            <w:vAlign w:val="bottom"/>
            <w:gridSpan w:val="2"/>
            <w:shd w:val="clear" w:color="auto" w:fill="E5E5E5"/>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5E5E5"/>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600" w:type="dxa"/>
            <w:vAlign w:val="bottom"/>
            <w:gridSpan w:val="2"/>
            <w:shd w:val="clear" w:color="auto" w:fill="E5E5E5"/>
          </w:tcPr>
          <w:p>
            <w:pPr>
              <w:jc w:val="right"/>
              <w:ind w:right="120"/>
              <w:spacing w:after="0" w:line="149" w:lineRule="exact"/>
              <w:rPr>
                <w:sz w:val="20"/>
                <w:szCs w:val="20"/>
                <w:color w:val="auto"/>
              </w:rPr>
            </w:pPr>
            <w:r>
              <w:rPr>
                <w:rFonts w:ascii="Arial" w:cs="Arial" w:eastAsia="Arial" w:hAnsi="Arial"/>
                <w:sz w:val="14"/>
                <w:szCs w:val="14"/>
                <w:color w:val="auto"/>
              </w:rPr>
              <w:t>(169)</w:t>
            </w:r>
          </w:p>
        </w:tc>
        <w:tc>
          <w:tcPr>
            <w:tcW w:w="160" w:type="dxa"/>
            <w:vAlign w:val="bottom"/>
            <w:shd w:val="clear" w:color="auto" w:fill="E5E5E5"/>
          </w:tcPr>
          <w:p>
            <w:pPr>
              <w:spacing w:after="0"/>
              <w:rPr>
                <w:sz w:val="12"/>
                <w:szCs w:val="12"/>
                <w:color w:val="auto"/>
              </w:rPr>
            </w:pPr>
          </w:p>
        </w:tc>
        <w:tc>
          <w:tcPr>
            <w:tcW w:w="880" w:type="dxa"/>
            <w:vAlign w:val="bottom"/>
            <w:gridSpan w:val="2"/>
            <w:shd w:val="clear" w:color="auto" w:fill="E5E5E5"/>
          </w:tcPr>
          <w:p>
            <w:pPr>
              <w:jc w:val="right"/>
              <w:ind w:right="140"/>
              <w:spacing w:after="0" w:line="149" w:lineRule="exact"/>
              <w:rPr>
                <w:sz w:val="20"/>
                <w:szCs w:val="20"/>
                <w:color w:val="auto"/>
              </w:rPr>
            </w:pPr>
            <w:r>
              <w:rPr>
                <w:rFonts w:ascii="Arial" w:cs="Arial" w:eastAsia="Arial" w:hAnsi="Arial"/>
                <w:sz w:val="14"/>
                <w:szCs w:val="14"/>
                <w:color w:val="auto"/>
              </w:rPr>
              <w:t>(169)</w:t>
            </w:r>
          </w:p>
        </w:tc>
        <w:tc>
          <w:tcPr>
            <w:tcW w:w="120" w:type="dxa"/>
            <w:vAlign w:val="bottom"/>
            <w:shd w:val="clear" w:color="auto" w:fill="E5E5E5"/>
          </w:tcPr>
          <w:p>
            <w:pPr>
              <w:spacing w:after="0"/>
              <w:rPr>
                <w:sz w:val="12"/>
                <w:szCs w:val="12"/>
                <w:color w:val="auto"/>
              </w:rPr>
            </w:pPr>
          </w:p>
        </w:tc>
        <w:tc>
          <w:tcPr>
            <w:tcW w:w="620" w:type="dxa"/>
            <w:vAlign w:val="bottom"/>
            <w:gridSpan w:val="2"/>
            <w:shd w:val="clear" w:color="auto" w:fill="E5E5E5"/>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E5E5E5"/>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580" w:type="dxa"/>
            <w:vAlign w:val="bottom"/>
            <w:gridSpan w:val="2"/>
            <w:shd w:val="clear" w:color="auto" w:fill="E5E5E5"/>
          </w:tcPr>
          <w:p>
            <w:pPr>
              <w:jc w:val="right"/>
              <w:ind w:right="40"/>
              <w:spacing w:after="0" w:line="149" w:lineRule="exact"/>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tcPr>
          <w:p>
            <w:pPr>
              <w:spacing w:after="0" w:line="149" w:lineRule="exact"/>
              <w:rPr>
                <w:sz w:val="20"/>
                <w:szCs w:val="20"/>
                <w:color w:val="auto"/>
              </w:rPr>
            </w:pPr>
            <w:r>
              <w:rPr>
                <w:rFonts w:ascii="Arial" w:cs="Arial" w:eastAsia="Arial" w:hAnsi="Arial"/>
                <w:sz w:val="14"/>
                <w:szCs w:val="14"/>
                <w:color w:val="auto"/>
              </w:rPr>
              <w:t>Other unrealized gains</w:t>
            </w:r>
          </w:p>
        </w:tc>
        <w:tc>
          <w:tcPr>
            <w:tcW w:w="16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w:t>
            </w:r>
          </w:p>
        </w:tc>
        <w:tc>
          <w:tcPr>
            <w:tcW w:w="16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w:t>
            </w:r>
          </w:p>
        </w:tc>
        <w:tc>
          <w:tcPr>
            <w:tcW w:w="12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20" w:type="dxa"/>
            <w:vAlign w:val="bottom"/>
            <w:gridSpan w:val="2"/>
            <w:shd w:val="clear" w:color="auto" w:fill="E5E5E5"/>
          </w:tcPr>
          <w:p>
            <w:pPr>
              <w:spacing w:after="0" w:line="149" w:lineRule="exact"/>
              <w:rPr>
                <w:sz w:val="20"/>
                <w:szCs w:val="20"/>
                <w:color w:val="auto"/>
              </w:rPr>
            </w:pPr>
            <w:r>
              <w:rPr>
                <w:rFonts w:ascii="Arial" w:cs="Arial" w:eastAsia="Arial" w:hAnsi="Arial"/>
                <w:sz w:val="14"/>
                <w:szCs w:val="14"/>
                <w:b w:val="1"/>
                <w:bCs w:val="1"/>
                <w:color w:val="auto"/>
              </w:rPr>
              <w:t>Comprehensive Income</w:t>
            </w:r>
          </w:p>
        </w:tc>
        <w:tc>
          <w:tcPr>
            <w:tcW w:w="160" w:type="dxa"/>
            <w:vAlign w:val="bottom"/>
            <w:shd w:val="clear" w:color="auto" w:fill="E5E5E5"/>
          </w:tcPr>
          <w:p>
            <w:pPr>
              <w:spacing w:after="0"/>
              <w:rPr>
                <w:sz w:val="12"/>
                <w:szCs w:val="12"/>
                <w:color w:val="auto"/>
              </w:rPr>
            </w:pPr>
          </w:p>
        </w:tc>
        <w:tc>
          <w:tcPr>
            <w:tcW w:w="40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52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36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420" w:type="dxa"/>
            <w:vAlign w:val="bottom"/>
            <w:shd w:val="clear" w:color="auto" w:fill="E5E5E5"/>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44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E5E5E5"/>
          </w:tcPr>
          <w:p>
            <w:pPr>
              <w:jc w:val="right"/>
              <w:ind w:right="200"/>
              <w:spacing w:after="0" w:line="149" w:lineRule="exact"/>
              <w:rPr>
                <w:sz w:val="20"/>
                <w:szCs w:val="20"/>
                <w:color w:val="auto"/>
              </w:rPr>
            </w:pPr>
            <w:r>
              <w:rPr>
                <w:rFonts w:ascii="Arial" w:cs="Arial" w:eastAsia="Arial" w:hAnsi="Arial"/>
                <w:sz w:val="14"/>
                <w:szCs w:val="14"/>
                <w:color w:val="auto"/>
              </w:rPr>
              <w:t>913</w:t>
            </w:r>
          </w:p>
        </w:tc>
        <w:tc>
          <w:tcPr>
            <w:tcW w:w="1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E5E5E5"/>
          </w:tcPr>
          <w:p>
            <w:pPr>
              <w:jc w:val="right"/>
              <w:ind w:right="120"/>
              <w:spacing w:after="0" w:line="149" w:lineRule="exact"/>
              <w:rPr>
                <w:sz w:val="20"/>
                <w:szCs w:val="20"/>
                <w:color w:val="auto"/>
              </w:rPr>
            </w:pPr>
            <w:r>
              <w:rPr>
                <w:rFonts w:ascii="Arial" w:cs="Arial" w:eastAsia="Arial" w:hAnsi="Arial"/>
                <w:sz w:val="14"/>
                <w:szCs w:val="14"/>
                <w:color w:val="auto"/>
              </w:rPr>
              <w:t>32</w:t>
            </w:r>
          </w:p>
        </w:tc>
        <w:tc>
          <w:tcPr>
            <w:tcW w:w="160" w:type="dxa"/>
            <w:vAlign w:val="bottom"/>
            <w:gridSpan w:val="2"/>
            <w:shd w:val="clear" w:color="auto" w:fill="E5E5E5"/>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E5E5E5"/>
          </w:tcPr>
          <w:p>
            <w:pPr>
              <w:jc w:val="right"/>
              <w:ind w:right="100"/>
              <w:spacing w:after="0" w:line="149" w:lineRule="exact"/>
              <w:rPr>
                <w:sz w:val="20"/>
                <w:szCs w:val="20"/>
                <w:color w:val="auto"/>
              </w:rPr>
            </w:pPr>
            <w:r>
              <w:rPr>
                <w:rFonts w:ascii="Arial" w:cs="Arial" w:eastAsia="Arial" w:hAnsi="Arial"/>
                <w:sz w:val="14"/>
                <w:szCs w:val="14"/>
                <w:color w:val="auto"/>
              </w:rPr>
              <w:t>945</w:t>
            </w:r>
          </w:p>
        </w:tc>
        <w:tc>
          <w:tcPr>
            <w:tcW w:w="0" w:type="dxa"/>
            <w:vAlign w:val="bottom"/>
          </w:tcPr>
          <w:p>
            <w:pPr>
              <w:spacing w:after="0"/>
              <w:rPr>
                <w:sz w:val="1"/>
                <w:szCs w:val="1"/>
                <w:color w:val="auto"/>
              </w:rPr>
            </w:pPr>
          </w:p>
        </w:tc>
      </w:tr>
      <w:tr>
        <w:trPr>
          <w:trHeight w:val="20"/>
        </w:trPr>
        <w:tc>
          <w:tcPr>
            <w:tcW w:w="5240" w:type="dxa"/>
            <w:vAlign w:val="bottom"/>
            <w:gridSpan w:val="3"/>
            <w:vMerge w:val="restart"/>
          </w:tcPr>
          <w:p>
            <w:pPr>
              <w:spacing w:after="0" w:line="176" w:lineRule="exact"/>
              <w:rPr>
                <w:sz w:val="20"/>
                <w:szCs w:val="20"/>
                <w:color w:val="auto"/>
              </w:rPr>
            </w:pPr>
            <w:r>
              <w:rPr>
                <w:rFonts w:ascii="Arial" w:cs="Arial" w:eastAsia="Arial" w:hAnsi="Arial"/>
                <w:sz w:val="13"/>
                <w:szCs w:val="13"/>
                <w:color w:val="auto"/>
              </w:rPr>
              <w:t>Cash dividends declared - common stock</w:t>
            </w:r>
            <w:r>
              <w:rPr>
                <w:rFonts w:ascii="Arial" w:cs="Arial" w:eastAsia="Arial" w:hAnsi="Arial"/>
                <w:sz w:val="20"/>
                <w:szCs w:val="20"/>
                <w:color w:val="auto"/>
                <w:vertAlign w:val="superscript"/>
              </w:rPr>
              <w:t>(3)</w:t>
            </w: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24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8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54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5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(152)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8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(152)</w:t>
            </w:r>
          </w:p>
        </w:tc>
        <w:tc>
          <w:tcPr>
            <w:tcW w:w="120" w:type="dxa"/>
            <w:vAlign w:val="bottom"/>
          </w:tcPr>
          <w:p>
            <w:pPr>
              <w:spacing w:after="0"/>
              <w:rPr>
                <w:sz w:val="13"/>
                <w:szCs w:val="13"/>
                <w:color w:val="auto"/>
              </w:rPr>
            </w:pPr>
          </w:p>
        </w:tc>
        <w:tc>
          <w:tcPr>
            <w:tcW w:w="62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shd w:val="clear" w:color="auto" w:fill="E5E5E5"/>
          </w:tcPr>
          <w:p>
            <w:pPr>
              <w:spacing w:after="0" w:line="149" w:lineRule="exact"/>
              <w:rPr>
                <w:sz w:val="20"/>
                <w:szCs w:val="20"/>
                <w:color w:val="auto"/>
              </w:rPr>
            </w:pPr>
            <w:r>
              <w:rPr>
                <w:rFonts w:ascii="Arial" w:cs="Arial" w:eastAsia="Arial" w:hAnsi="Arial"/>
                <w:sz w:val="14"/>
                <w:szCs w:val="14"/>
                <w:color w:val="auto"/>
              </w:rPr>
              <w:t>Stock option and incentive plans</w:t>
            </w:r>
          </w:p>
        </w:tc>
        <w:tc>
          <w:tcPr>
            <w:tcW w:w="160" w:type="dxa"/>
            <w:vAlign w:val="bottom"/>
            <w:shd w:val="clear" w:color="auto" w:fill="E5E5E5"/>
          </w:tcPr>
          <w:p>
            <w:pPr>
              <w:spacing w:after="0"/>
              <w:rPr>
                <w:sz w:val="12"/>
                <w:szCs w:val="12"/>
                <w:color w:val="auto"/>
              </w:rPr>
            </w:pPr>
          </w:p>
        </w:tc>
        <w:tc>
          <w:tcPr>
            <w:tcW w:w="580" w:type="dxa"/>
            <w:vAlign w:val="bottom"/>
            <w:gridSpan w:val="2"/>
            <w:shd w:val="clear" w:color="auto" w:fill="E5E5E5"/>
          </w:tcPr>
          <w:p>
            <w:pPr>
              <w:jc w:val="right"/>
              <w:ind w:right="180"/>
              <w:spacing w:after="0" w:line="149" w:lineRule="exact"/>
              <w:rPr>
                <w:sz w:val="20"/>
                <w:szCs w:val="20"/>
                <w:color w:val="auto"/>
              </w:rPr>
            </w:pPr>
            <w:r>
              <w:rPr>
                <w:rFonts w:ascii="Arial" w:cs="Arial" w:eastAsia="Arial" w:hAnsi="Arial"/>
                <w:sz w:val="14"/>
                <w:szCs w:val="14"/>
                <w:color w:val="auto"/>
              </w:rPr>
              <w:t>5</w:t>
            </w:r>
          </w:p>
        </w:tc>
        <w:tc>
          <w:tcPr>
            <w:tcW w:w="80" w:type="dxa"/>
            <w:vAlign w:val="bottom"/>
            <w:shd w:val="clear" w:color="auto" w:fill="E5E5E5"/>
          </w:tcPr>
          <w:p>
            <w:pPr>
              <w:spacing w:after="0"/>
              <w:rPr>
                <w:sz w:val="12"/>
                <w:szCs w:val="12"/>
                <w:color w:val="auto"/>
              </w:rPr>
            </w:pPr>
          </w:p>
        </w:tc>
        <w:tc>
          <w:tcPr>
            <w:tcW w:w="680" w:type="dxa"/>
            <w:vAlign w:val="bottom"/>
            <w:gridSpan w:val="2"/>
            <w:shd w:val="clear" w:color="auto" w:fill="E5E5E5"/>
          </w:tcPr>
          <w:p>
            <w:pPr>
              <w:jc w:val="right"/>
              <w:ind w:right="160"/>
              <w:spacing w:after="0" w:line="149" w:lineRule="exact"/>
              <w:rPr>
                <w:sz w:val="20"/>
                <w:szCs w:val="20"/>
                <w:color w:val="auto"/>
              </w:rPr>
            </w:pPr>
            <w:r>
              <w:rPr>
                <w:rFonts w:ascii="Arial" w:cs="Arial" w:eastAsia="Arial" w:hAnsi="Arial"/>
                <w:sz w:val="14"/>
                <w:szCs w:val="14"/>
                <w:color w:val="auto"/>
              </w:rPr>
              <w:t>67</w:t>
            </w:r>
          </w:p>
        </w:tc>
        <w:tc>
          <w:tcPr>
            <w:tcW w:w="180" w:type="dxa"/>
            <w:vAlign w:val="bottom"/>
            <w:shd w:val="clear" w:color="auto" w:fill="E5E5E5"/>
          </w:tcPr>
          <w:p>
            <w:pPr>
              <w:spacing w:after="0"/>
              <w:rPr>
                <w:sz w:val="12"/>
                <w:szCs w:val="12"/>
                <w:color w:val="auto"/>
              </w:rPr>
            </w:pPr>
          </w:p>
        </w:tc>
        <w:tc>
          <w:tcPr>
            <w:tcW w:w="540" w:type="dxa"/>
            <w:vAlign w:val="bottom"/>
            <w:gridSpan w:val="2"/>
            <w:shd w:val="clear" w:color="auto" w:fill="E5E5E5"/>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5E5E5"/>
          </w:tcPr>
          <w:p>
            <w:pPr>
              <w:spacing w:after="0"/>
              <w:rPr>
                <w:sz w:val="12"/>
                <w:szCs w:val="12"/>
                <w:color w:val="auto"/>
              </w:rPr>
            </w:pPr>
          </w:p>
        </w:tc>
        <w:tc>
          <w:tcPr>
            <w:tcW w:w="520" w:type="dxa"/>
            <w:vAlign w:val="bottom"/>
            <w:gridSpan w:val="2"/>
            <w:shd w:val="clear" w:color="auto" w:fill="E5E5E5"/>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5E5E5"/>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600" w:type="dxa"/>
            <w:vAlign w:val="bottom"/>
            <w:gridSpan w:val="2"/>
            <w:shd w:val="clear" w:color="auto" w:fill="E5E5E5"/>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5E5E5"/>
          </w:tcPr>
          <w:p>
            <w:pPr>
              <w:spacing w:after="0"/>
              <w:rPr>
                <w:sz w:val="12"/>
                <w:szCs w:val="12"/>
                <w:color w:val="auto"/>
              </w:rPr>
            </w:pPr>
          </w:p>
        </w:tc>
        <w:tc>
          <w:tcPr>
            <w:tcW w:w="880" w:type="dxa"/>
            <w:vAlign w:val="bottom"/>
            <w:gridSpan w:val="2"/>
            <w:shd w:val="clear" w:color="auto" w:fill="E5E5E5"/>
          </w:tcPr>
          <w:p>
            <w:pPr>
              <w:jc w:val="right"/>
              <w:ind w:right="200"/>
              <w:spacing w:after="0" w:line="149" w:lineRule="exact"/>
              <w:rPr>
                <w:sz w:val="20"/>
                <w:szCs w:val="20"/>
                <w:color w:val="auto"/>
              </w:rPr>
            </w:pPr>
            <w:r>
              <w:rPr>
                <w:rFonts w:ascii="Arial" w:cs="Arial" w:eastAsia="Arial" w:hAnsi="Arial"/>
                <w:sz w:val="14"/>
                <w:szCs w:val="14"/>
                <w:color w:val="auto"/>
              </w:rPr>
              <w:t>72</w:t>
            </w:r>
          </w:p>
        </w:tc>
        <w:tc>
          <w:tcPr>
            <w:tcW w:w="120" w:type="dxa"/>
            <w:vAlign w:val="bottom"/>
            <w:shd w:val="clear" w:color="auto" w:fill="E5E5E5"/>
          </w:tcPr>
          <w:p>
            <w:pPr>
              <w:spacing w:after="0"/>
              <w:rPr>
                <w:sz w:val="12"/>
                <w:szCs w:val="12"/>
                <w:color w:val="auto"/>
              </w:rPr>
            </w:pPr>
          </w:p>
        </w:tc>
        <w:tc>
          <w:tcPr>
            <w:tcW w:w="620" w:type="dxa"/>
            <w:vAlign w:val="bottom"/>
            <w:gridSpan w:val="2"/>
            <w:shd w:val="clear" w:color="auto" w:fill="E5E5E5"/>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E5E5E5"/>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580" w:type="dxa"/>
            <w:vAlign w:val="bottom"/>
            <w:gridSpan w:val="2"/>
            <w:shd w:val="clear" w:color="auto" w:fill="E5E5E5"/>
          </w:tcPr>
          <w:p>
            <w:pPr>
              <w:jc w:val="right"/>
              <w:ind w:right="100"/>
              <w:spacing w:after="0" w:line="149" w:lineRule="exact"/>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tcPr>
          <w:p>
            <w:pPr>
              <w:spacing w:after="0" w:line="149" w:lineRule="exact"/>
              <w:rPr>
                <w:sz w:val="20"/>
                <w:szCs w:val="20"/>
                <w:color w:val="auto"/>
              </w:rPr>
            </w:pPr>
            <w:r>
              <w:rPr>
                <w:rFonts w:ascii="Arial" w:cs="Arial" w:eastAsia="Arial" w:hAnsi="Arial"/>
                <w:sz w:val="14"/>
                <w:szCs w:val="14"/>
                <w:color w:val="auto"/>
              </w:rPr>
              <w:t>Tax loss on stock option and incentive plans, net</w:t>
            </w:r>
          </w:p>
        </w:tc>
        <w:tc>
          <w:tcPr>
            <w:tcW w:w="16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w:t>
            </w:r>
          </w:p>
        </w:tc>
        <w:tc>
          <w:tcPr>
            <w:tcW w:w="180" w:type="dxa"/>
            <w:vAlign w:val="bottom"/>
          </w:tcPr>
          <w:p>
            <w:pPr>
              <w:spacing w:after="0"/>
              <w:rPr>
                <w:sz w:val="12"/>
                <w:szCs w:val="12"/>
                <w:color w:val="auto"/>
              </w:rPr>
            </w:pPr>
          </w:p>
        </w:tc>
        <w:tc>
          <w:tcPr>
            <w:tcW w:w="5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(21)</w:t>
            </w:r>
          </w:p>
        </w:tc>
        <w:tc>
          <w:tcPr>
            <w:tcW w:w="12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shd w:val="clear" w:color="auto" w:fill="E5E5E5"/>
          </w:tcPr>
          <w:p>
            <w:pPr>
              <w:spacing w:after="0" w:line="149" w:lineRule="exact"/>
              <w:rPr>
                <w:sz w:val="20"/>
                <w:szCs w:val="20"/>
                <w:color w:val="auto"/>
              </w:rPr>
            </w:pPr>
            <w:r>
              <w:rPr>
                <w:rFonts w:ascii="Arial" w:cs="Arial" w:eastAsia="Arial" w:hAnsi="Arial"/>
                <w:sz w:val="14"/>
                <w:szCs w:val="14"/>
                <w:color w:val="auto"/>
              </w:rPr>
              <w:t>Distributions to noncontrolling interests</w:t>
            </w:r>
          </w:p>
        </w:tc>
        <w:tc>
          <w:tcPr>
            <w:tcW w:w="160" w:type="dxa"/>
            <w:vAlign w:val="bottom"/>
            <w:shd w:val="clear" w:color="auto" w:fill="E5E5E5"/>
          </w:tcPr>
          <w:p>
            <w:pPr>
              <w:spacing w:after="0"/>
              <w:rPr>
                <w:sz w:val="12"/>
                <w:szCs w:val="12"/>
                <w:color w:val="auto"/>
              </w:rPr>
            </w:pPr>
          </w:p>
        </w:tc>
        <w:tc>
          <w:tcPr>
            <w:tcW w:w="580" w:type="dxa"/>
            <w:vAlign w:val="bottom"/>
            <w:gridSpan w:val="2"/>
            <w:shd w:val="clear" w:color="auto" w:fill="E5E5E5"/>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5E5E5"/>
          </w:tcPr>
          <w:p>
            <w:pPr>
              <w:spacing w:after="0"/>
              <w:rPr>
                <w:sz w:val="12"/>
                <w:szCs w:val="12"/>
                <w:color w:val="auto"/>
              </w:rPr>
            </w:pPr>
          </w:p>
        </w:tc>
        <w:tc>
          <w:tcPr>
            <w:tcW w:w="52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540" w:type="dxa"/>
            <w:vAlign w:val="bottom"/>
            <w:gridSpan w:val="2"/>
            <w:shd w:val="clear" w:color="auto" w:fill="E5E5E5"/>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5E5E5"/>
          </w:tcPr>
          <w:p>
            <w:pPr>
              <w:spacing w:after="0"/>
              <w:rPr>
                <w:sz w:val="12"/>
                <w:szCs w:val="12"/>
                <w:color w:val="auto"/>
              </w:rPr>
            </w:pPr>
          </w:p>
        </w:tc>
        <w:tc>
          <w:tcPr>
            <w:tcW w:w="520" w:type="dxa"/>
            <w:vAlign w:val="bottom"/>
            <w:gridSpan w:val="2"/>
            <w:shd w:val="clear" w:color="auto" w:fill="E5E5E5"/>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5E5E5"/>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600" w:type="dxa"/>
            <w:vAlign w:val="bottom"/>
            <w:gridSpan w:val="2"/>
            <w:shd w:val="clear" w:color="auto" w:fill="E5E5E5"/>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5E5E5"/>
          </w:tcPr>
          <w:p>
            <w:pPr>
              <w:spacing w:after="0"/>
              <w:rPr>
                <w:sz w:val="12"/>
                <w:szCs w:val="12"/>
                <w:color w:val="auto"/>
              </w:rPr>
            </w:pPr>
          </w:p>
        </w:tc>
        <w:tc>
          <w:tcPr>
            <w:tcW w:w="880" w:type="dxa"/>
            <w:vAlign w:val="bottom"/>
            <w:gridSpan w:val="2"/>
            <w:shd w:val="clear" w:color="auto" w:fill="E5E5E5"/>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E5E5E5"/>
          </w:tcPr>
          <w:p>
            <w:pPr>
              <w:spacing w:after="0"/>
              <w:rPr>
                <w:sz w:val="12"/>
                <w:szCs w:val="12"/>
                <w:color w:val="auto"/>
              </w:rPr>
            </w:pPr>
          </w:p>
        </w:tc>
        <w:tc>
          <w:tcPr>
            <w:tcW w:w="620" w:type="dxa"/>
            <w:vAlign w:val="bottom"/>
            <w:gridSpan w:val="2"/>
            <w:shd w:val="clear" w:color="auto" w:fill="E5E5E5"/>
          </w:tcPr>
          <w:p>
            <w:pPr>
              <w:jc w:val="right"/>
              <w:ind w:right="80"/>
              <w:spacing w:after="0" w:line="149" w:lineRule="exact"/>
              <w:rPr>
                <w:sz w:val="20"/>
                <w:szCs w:val="20"/>
                <w:color w:val="auto"/>
              </w:rPr>
            </w:pPr>
            <w:r>
              <w:rPr>
                <w:rFonts w:ascii="Arial" w:cs="Arial" w:eastAsia="Arial" w:hAnsi="Arial"/>
                <w:sz w:val="14"/>
                <w:szCs w:val="14"/>
                <w:color w:val="auto"/>
              </w:rPr>
              <w:t>(11)</w:t>
            </w:r>
          </w:p>
        </w:tc>
        <w:tc>
          <w:tcPr>
            <w:tcW w:w="60" w:type="dxa"/>
            <w:vAlign w:val="bottom"/>
            <w:shd w:val="clear" w:color="auto" w:fill="E5E5E5"/>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580" w:type="dxa"/>
            <w:vAlign w:val="bottom"/>
            <w:gridSpan w:val="2"/>
            <w:shd w:val="clear" w:color="auto" w:fill="E5E5E5"/>
          </w:tcPr>
          <w:p>
            <w:pPr>
              <w:jc w:val="right"/>
              <w:ind w:right="40"/>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0"/>
        </w:trPr>
        <w:tc>
          <w:tcPr>
            <w:tcW w:w="5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Balance at December 31, 2009</w:t>
            </w: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240" w:type="dxa"/>
            <w:vAlign w:val="bottom"/>
            <w:gridSpan w:val="3"/>
            <w:vMerge w:val="continue"/>
          </w:tcPr>
          <w:p>
            <w:pPr>
              <w:spacing w:after="0"/>
              <w:rPr>
                <w:sz w:val="13"/>
                <w:szCs w:val="13"/>
                <w:color w:val="auto"/>
              </w:rPr>
            </w:pPr>
          </w:p>
        </w:tc>
        <w:tc>
          <w:tcPr>
            <w:tcW w:w="16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rPr>
              <w:t>871</w:t>
            </w:r>
          </w:p>
        </w:tc>
        <w:tc>
          <w:tcPr>
            <w:tcW w:w="180" w:type="dxa"/>
            <w:vAlign w:val="bottom"/>
          </w:tcPr>
          <w:p>
            <w:pPr>
              <w:spacing w:after="0"/>
              <w:rPr>
                <w:sz w:val="13"/>
                <w:szCs w:val="13"/>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rPr>
              <w:t>2,493</w:t>
            </w:r>
          </w:p>
        </w:tc>
        <w:tc>
          <w:tcPr>
            <w:tcW w:w="160" w:type="dxa"/>
            <w:vAlign w:val="bottom"/>
          </w:tcPr>
          <w:p>
            <w:pPr>
              <w:spacing w:after="0"/>
              <w:rPr>
                <w:sz w:val="13"/>
                <w:szCs w:val="13"/>
                <w:color w:val="auto"/>
              </w:rPr>
            </w:pPr>
          </w:p>
        </w:tc>
        <w:tc>
          <w:tcPr>
            <w:tcW w:w="18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rPr>
              <w:t>5,674</w:t>
            </w:r>
          </w:p>
        </w:tc>
        <w:tc>
          <w:tcPr>
            <w:tcW w:w="100" w:type="dxa"/>
            <w:vAlign w:val="bottom"/>
          </w:tcPr>
          <w:p>
            <w:pPr>
              <w:spacing w:after="0"/>
              <w:rPr>
                <w:sz w:val="13"/>
                <w:szCs w:val="13"/>
                <w:color w:val="auto"/>
              </w:rPr>
            </w:pPr>
          </w:p>
        </w:tc>
        <w:tc>
          <w:tcPr>
            <w:tcW w:w="1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(1,988)</w:t>
            </w:r>
          </w:p>
        </w:tc>
        <w:tc>
          <w:tcPr>
            <w:tcW w:w="16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7,050</w:t>
            </w:r>
          </w:p>
        </w:tc>
        <w:tc>
          <w:tcPr>
            <w:tcW w:w="1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141</w:t>
            </w:r>
          </w:p>
        </w:tc>
        <w:tc>
          <w:tcPr>
            <w:tcW w:w="1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7,191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20" w:type="dxa"/>
            <w:vAlign w:val="bottom"/>
            <w:gridSpan w:val="2"/>
            <w:shd w:val="clear" w:color="auto" w:fill="E5E5E5"/>
          </w:tcPr>
          <w:p>
            <w:pPr>
              <w:spacing w:after="0" w:line="149" w:lineRule="exact"/>
              <w:rPr>
                <w:sz w:val="20"/>
                <w:szCs w:val="20"/>
                <w:color w:val="auto"/>
              </w:rPr>
            </w:pPr>
            <w:r>
              <w:rPr>
                <w:rFonts w:ascii="Arial" w:cs="Arial" w:eastAsia="Arial" w:hAnsi="Arial"/>
                <w:sz w:val="14"/>
                <w:szCs w:val="14"/>
                <w:color w:val="auto"/>
              </w:rPr>
              <w:t>Net income</w:t>
            </w:r>
          </w:p>
        </w:tc>
        <w:tc>
          <w:tcPr>
            <w:tcW w:w="160" w:type="dxa"/>
            <w:vAlign w:val="bottom"/>
            <w:shd w:val="clear" w:color="auto" w:fill="E5E5E5"/>
          </w:tcPr>
          <w:p>
            <w:pPr>
              <w:spacing w:after="0"/>
              <w:rPr>
                <w:sz w:val="12"/>
                <w:szCs w:val="12"/>
                <w:color w:val="auto"/>
              </w:rPr>
            </w:pPr>
          </w:p>
        </w:tc>
        <w:tc>
          <w:tcPr>
            <w:tcW w:w="580" w:type="dxa"/>
            <w:vAlign w:val="bottom"/>
            <w:gridSpan w:val="2"/>
            <w:shd w:val="clear" w:color="auto" w:fill="E5E5E5"/>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5E5E5"/>
          </w:tcPr>
          <w:p>
            <w:pPr>
              <w:spacing w:after="0"/>
              <w:rPr>
                <w:sz w:val="12"/>
                <w:szCs w:val="12"/>
                <w:color w:val="auto"/>
              </w:rPr>
            </w:pPr>
          </w:p>
        </w:tc>
        <w:tc>
          <w:tcPr>
            <w:tcW w:w="680" w:type="dxa"/>
            <w:vAlign w:val="bottom"/>
            <w:gridSpan w:val="2"/>
            <w:shd w:val="clear" w:color="auto" w:fill="E5E5E5"/>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5E5E5"/>
          </w:tcPr>
          <w:p>
            <w:pPr>
              <w:spacing w:after="0"/>
              <w:rPr>
                <w:sz w:val="12"/>
                <w:szCs w:val="12"/>
                <w:color w:val="auto"/>
              </w:rPr>
            </w:pPr>
          </w:p>
        </w:tc>
        <w:tc>
          <w:tcPr>
            <w:tcW w:w="540" w:type="dxa"/>
            <w:vAlign w:val="bottom"/>
            <w:gridSpan w:val="2"/>
            <w:shd w:val="clear" w:color="auto" w:fill="E5E5E5"/>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5E5E5"/>
          </w:tcPr>
          <w:p>
            <w:pPr>
              <w:spacing w:after="0"/>
              <w:rPr>
                <w:sz w:val="12"/>
                <w:szCs w:val="12"/>
                <w:color w:val="auto"/>
              </w:rPr>
            </w:pPr>
          </w:p>
        </w:tc>
        <w:tc>
          <w:tcPr>
            <w:tcW w:w="520" w:type="dxa"/>
            <w:vAlign w:val="bottom"/>
            <w:gridSpan w:val="2"/>
            <w:shd w:val="clear" w:color="auto" w:fill="E5E5E5"/>
          </w:tcPr>
          <w:p>
            <w:pPr>
              <w:jc w:val="right"/>
              <w:ind w:right="100"/>
              <w:spacing w:after="0" w:line="149" w:lineRule="exact"/>
              <w:rPr>
                <w:sz w:val="20"/>
                <w:szCs w:val="20"/>
                <w:color w:val="auto"/>
              </w:rPr>
            </w:pPr>
            <w:r>
              <w:rPr>
                <w:rFonts w:ascii="Arial" w:cs="Arial" w:eastAsia="Arial" w:hAnsi="Arial"/>
                <w:sz w:val="14"/>
                <w:szCs w:val="14"/>
                <w:color w:val="auto"/>
              </w:rPr>
              <w:t>606</w:t>
            </w:r>
          </w:p>
        </w:tc>
        <w:tc>
          <w:tcPr>
            <w:tcW w:w="80" w:type="dxa"/>
            <w:vAlign w:val="bottom"/>
            <w:shd w:val="clear" w:color="auto" w:fill="E5E5E5"/>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600" w:type="dxa"/>
            <w:vAlign w:val="bottom"/>
            <w:gridSpan w:val="2"/>
            <w:shd w:val="clear" w:color="auto" w:fill="E5E5E5"/>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5E5E5"/>
          </w:tcPr>
          <w:p>
            <w:pPr>
              <w:spacing w:after="0"/>
              <w:rPr>
                <w:sz w:val="12"/>
                <w:szCs w:val="12"/>
                <w:color w:val="auto"/>
              </w:rPr>
            </w:pPr>
          </w:p>
        </w:tc>
        <w:tc>
          <w:tcPr>
            <w:tcW w:w="880" w:type="dxa"/>
            <w:vAlign w:val="bottom"/>
            <w:gridSpan w:val="2"/>
            <w:shd w:val="clear" w:color="auto" w:fill="E5E5E5"/>
          </w:tcPr>
          <w:p>
            <w:pPr>
              <w:jc w:val="right"/>
              <w:ind w:right="200"/>
              <w:spacing w:after="0" w:line="149" w:lineRule="exact"/>
              <w:rPr>
                <w:sz w:val="20"/>
                <w:szCs w:val="20"/>
                <w:color w:val="auto"/>
              </w:rPr>
            </w:pPr>
            <w:r>
              <w:rPr>
                <w:rFonts w:ascii="Arial" w:cs="Arial" w:eastAsia="Arial" w:hAnsi="Arial"/>
                <w:sz w:val="14"/>
                <w:szCs w:val="14"/>
                <w:color w:val="auto"/>
              </w:rPr>
              <w:t>606</w:t>
            </w:r>
          </w:p>
        </w:tc>
        <w:tc>
          <w:tcPr>
            <w:tcW w:w="120" w:type="dxa"/>
            <w:vAlign w:val="bottom"/>
            <w:shd w:val="clear" w:color="auto" w:fill="E5E5E5"/>
          </w:tcPr>
          <w:p>
            <w:pPr>
              <w:spacing w:after="0"/>
              <w:rPr>
                <w:sz w:val="12"/>
                <w:szCs w:val="12"/>
                <w:color w:val="auto"/>
              </w:rPr>
            </w:pPr>
          </w:p>
        </w:tc>
        <w:tc>
          <w:tcPr>
            <w:tcW w:w="620" w:type="dxa"/>
            <w:vAlign w:val="bottom"/>
            <w:gridSpan w:val="2"/>
            <w:shd w:val="clear" w:color="auto" w:fill="E5E5E5"/>
          </w:tcPr>
          <w:p>
            <w:pPr>
              <w:jc w:val="right"/>
              <w:ind w:right="120"/>
              <w:spacing w:after="0" w:line="149" w:lineRule="exact"/>
              <w:rPr>
                <w:sz w:val="20"/>
                <w:szCs w:val="20"/>
                <w:color w:val="auto"/>
              </w:rPr>
            </w:pPr>
            <w:r>
              <w:rPr>
                <w:rFonts w:ascii="Arial" w:cs="Arial" w:eastAsia="Arial" w:hAnsi="Arial"/>
                <w:sz w:val="14"/>
                <w:szCs w:val="14"/>
                <w:color w:val="auto"/>
              </w:rPr>
              <w:t>31</w:t>
            </w:r>
          </w:p>
        </w:tc>
        <w:tc>
          <w:tcPr>
            <w:tcW w:w="60" w:type="dxa"/>
            <w:vAlign w:val="bottom"/>
            <w:shd w:val="clear" w:color="auto" w:fill="E5E5E5"/>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580" w:type="dxa"/>
            <w:vAlign w:val="bottom"/>
            <w:gridSpan w:val="2"/>
            <w:shd w:val="clear" w:color="auto" w:fill="E5E5E5"/>
          </w:tcPr>
          <w:p>
            <w:pPr>
              <w:jc w:val="right"/>
              <w:ind w:right="100"/>
              <w:spacing w:after="0" w:line="149" w:lineRule="exact"/>
              <w:rPr>
                <w:sz w:val="20"/>
                <w:szCs w:val="20"/>
                <w:color w:val="auto"/>
              </w:rPr>
            </w:pPr>
            <w:r>
              <w:rPr>
                <w:rFonts w:ascii="Arial" w:cs="Arial" w:eastAsia="Arial" w:hAnsi="Arial"/>
                <w:sz w:val="14"/>
                <w:szCs w:val="14"/>
                <w:color w:val="auto"/>
              </w:rPr>
              <w:t>637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tcPr>
          <w:p>
            <w:pPr>
              <w:spacing w:after="0" w:line="149" w:lineRule="exact"/>
              <w:rPr>
                <w:sz w:val="20"/>
                <w:szCs w:val="20"/>
                <w:color w:val="auto"/>
              </w:rPr>
            </w:pPr>
            <w:r>
              <w:rPr>
                <w:rFonts w:ascii="Arial" w:cs="Arial" w:eastAsia="Arial" w:hAnsi="Arial"/>
                <w:sz w:val="14"/>
                <w:szCs w:val="14"/>
                <w:color w:val="auto"/>
              </w:rPr>
              <w:t>Translation adjustments</w:t>
            </w:r>
          </w:p>
        </w:tc>
        <w:tc>
          <w:tcPr>
            <w:tcW w:w="16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(35)</w:t>
            </w:r>
          </w:p>
        </w:tc>
        <w:tc>
          <w:tcPr>
            <w:tcW w:w="16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(35)</w:t>
            </w:r>
          </w:p>
        </w:tc>
        <w:tc>
          <w:tcPr>
            <w:tcW w:w="12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shd w:val="clear" w:color="auto" w:fill="E5E5E5"/>
          </w:tcPr>
          <w:p>
            <w:pPr>
              <w:spacing w:after="0" w:line="149" w:lineRule="exact"/>
              <w:rPr>
                <w:sz w:val="20"/>
                <w:szCs w:val="20"/>
                <w:color w:val="auto"/>
              </w:rPr>
            </w:pPr>
            <w:r>
              <w:rPr>
                <w:rFonts w:ascii="Arial" w:cs="Arial" w:eastAsia="Arial" w:hAnsi="Arial"/>
                <w:sz w:val="11"/>
                <w:szCs w:val="11"/>
                <w:color w:val="auto"/>
              </w:rPr>
              <w:t xml:space="preserve">Changes in benefit plans </w:t>
            </w:r>
            <w:r>
              <w:rPr>
                <w:rFonts w:ascii="Arial" w:cs="Arial" w:eastAsia="Arial" w:hAnsi="Arial"/>
                <w:sz w:val="17"/>
                <w:szCs w:val="17"/>
                <w:color w:val="auto"/>
                <w:vertAlign w:val="superscript"/>
              </w:rPr>
              <w:t>(2)</w:t>
            </w:r>
          </w:p>
        </w:tc>
        <w:tc>
          <w:tcPr>
            <w:tcW w:w="160" w:type="dxa"/>
            <w:vAlign w:val="bottom"/>
            <w:shd w:val="clear" w:color="auto" w:fill="E5E5E5"/>
          </w:tcPr>
          <w:p>
            <w:pPr>
              <w:spacing w:after="0"/>
              <w:rPr>
                <w:sz w:val="12"/>
                <w:szCs w:val="12"/>
                <w:color w:val="auto"/>
              </w:rPr>
            </w:pPr>
          </w:p>
        </w:tc>
        <w:tc>
          <w:tcPr>
            <w:tcW w:w="580" w:type="dxa"/>
            <w:vAlign w:val="bottom"/>
            <w:gridSpan w:val="2"/>
            <w:shd w:val="clear" w:color="auto" w:fill="E5E5E5"/>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5E5E5"/>
          </w:tcPr>
          <w:p>
            <w:pPr>
              <w:spacing w:after="0"/>
              <w:rPr>
                <w:sz w:val="12"/>
                <w:szCs w:val="12"/>
                <w:color w:val="auto"/>
              </w:rPr>
            </w:pPr>
          </w:p>
        </w:tc>
        <w:tc>
          <w:tcPr>
            <w:tcW w:w="680" w:type="dxa"/>
            <w:vAlign w:val="bottom"/>
            <w:gridSpan w:val="2"/>
            <w:shd w:val="clear" w:color="auto" w:fill="E5E5E5"/>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5E5E5"/>
          </w:tcPr>
          <w:p>
            <w:pPr>
              <w:spacing w:after="0"/>
              <w:rPr>
                <w:sz w:val="12"/>
                <w:szCs w:val="12"/>
                <w:color w:val="auto"/>
              </w:rPr>
            </w:pPr>
          </w:p>
        </w:tc>
        <w:tc>
          <w:tcPr>
            <w:tcW w:w="540" w:type="dxa"/>
            <w:vAlign w:val="bottom"/>
            <w:gridSpan w:val="2"/>
            <w:shd w:val="clear" w:color="auto" w:fill="E5E5E5"/>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5E5E5"/>
          </w:tcPr>
          <w:p>
            <w:pPr>
              <w:spacing w:after="0"/>
              <w:rPr>
                <w:sz w:val="12"/>
                <w:szCs w:val="12"/>
                <w:color w:val="auto"/>
              </w:rPr>
            </w:pPr>
          </w:p>
        </w:tc>
        <w:tc>
          <w:tcPr>
            <w:tcW w:w="520" w:type="dxa"/>
            <w:vAlign w:val="bottom"/>
            <w:gridSpan w:val="2"/>
            <w:shd w:val="clear" w:color="auto" w:fill="E5E5E5"/>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5E5E5"/>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600" w:type="dxa"/>
            <w:vAlign w:val="bottom"/>
            <w:gridSpan w:val="2"/>
            <w:shd w:val="clear" w:color="auto" w:fill="E5E5E5"/>
          </w:tcPr>
          <w:p>
            <w:pPr>
              <w:jc w:val="right"/>
              <w:ind w:right="160"/>
              <w:spacing w:after="0" w:line="149" w:lineRule="exact"/>
              <w:rPr>
                <w:sz w:val="20"/>
                <w:szCs w:val="20"/>
                <w:color w:val="auto"/>
              </w:rPr>
            </w:pPr>
            <w:r>
              <w:rPr>
                <w:rFonts w:ascii="Arial" w:cs="Arial" w:eastAsia="Arial" w:hAnsi="Arial"/>
                <w:sz w:val="14"/>
                <w:szCs w:val="14"/>
                <w:color w:val="auto"/>
              </w:rPr>
              <w:t>23</w:t>
            </w:r>
          </w:p>
        </w:tc>
        <w:tc>
          <w:tcPr>
            <w:tcW w:w="160" w:type="dxa"/>
            <w:vAlign w:val="bottom"/>
            <w:shd w:val="clear" w:color="auto" w:fill="E5E5E5"/>
          </w:tcPr>
          <w:p>
            <w:pPr>
              <w:spacing w:after="0"/>
              <w:rPr>
                <w:sz w:val="12"/>
                <w:szCs w:val="12"/>
                <w:color w:val="auto"/>
              </w:rPr>
            </w:pPr>
          </w:p>
        </w:tc>
        <w:tc>
          <w:tcPr>
            <w:tcW w:w="880" w:type="dxa"/>
            <w:vAlign w:val="bottom"/>
            <w:gridSpan w:val="2"/>
            <w:shd w:val="clear" w:color="auto" w:fill="E5E5E5"/>
          </w:tcPr>
          <w:p>
            <w:pPr>
              <w:jc w:val="right"/>
              <w:ind w:right="200"/>
              <w:spacing w:after="0" w:line="149" w:lineRule="exact"/>
              <w:rPr>
                <w:sz w:val="20"/>
                <w:szCs w:val="20"/>
                <w:color w:val="auto"/>
              </w:rPr>
            </w:pPr>
            <w:r>
              <w:rPr>
                <w:rFonts w:ascii="Arial" w:cs="Arial" w:eastAsia="Arial" w:hAnsi="Arial"/>
                <w:sz w:val="14"/>
                <w:szCs w:val="14"/>
                <w:color w:val="auto"/>
              </w:rPr>
              <w:t>23</w:t>
            </w:r>
          </w:p>
        </w:tc>
        <w:tc>
          <w:tcPr>
            <w:tcW w:w="120" w:type="dxa"/>
            <w:vAlign w:val="bottom"/>
            <w:shd w:val="clear" w:color="auto" w:fill="E5E5E5"/>
          </w:tcPr>
          <w:p>
            <w:pPr>
              <w:spacing w:after="0"/>
              <w:rPr>
                <w:sz w:val="12"/>
                <w:szCs w:val="12"/>
                <w:color w:val="auto"/>
              </w:rPr>
            </w:pPr>
          </w:p>
        </w:tc>
        <w:tc>
          <w:tcPr>
            <w:tcW w:w="620" w:type="dxa"/>
            <w:vAlign w:val="bottom"/>
            <w:gridSpan w:val="2"/>
            <w:shd w:val="clear" w:color="auto" w:fill="E5E5E5"/>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E5E5E5"/>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580" w:type="dxa"/>
            <w:vAlign w:val="bottom"/>
            <w:gridSpan w:val="2"/>
            <w:shd w:val="clear" w:color="auto" w:fill="E5E5E5"/>
          </w:tcPr>
          <w:p>
            <w:pPr>
              <w:jc w:val="right"/>
              <w:ind w:right="100"/>
              <w:spacing w:after="0" w:line="149"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tcPr>
          <w:p>
            <w:pPr>
              <w:spacing w:after="0" w:line="149" w:lineRule="exact"/>
              <w:rPr>
                <w:sz w:val="20"/>
                <w:szCs w:val="20"/>
                <w:color w:val="auto"/>
              </w:rPr>
            </w:pPr>
            <w:r>
              <w:rPr>
                <w:rFonts w:ascii="Arial" w:cs="Arial" w:eastAsia="Arial" w:hAnsi="Arial"/>
                <w:sz w:val="14"/>
                <w:szCs w:val="14"/>
                <w:color w:val="auto"/>
              </w:rPr>
              <w:t>Other unrealized gains, net</w:t>
            </w:r>
          </w:p>
        </w:tc>
        <w:tc>
          <w:tcPr>
            <w:tcW w:w="16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w:t>
            </w:r>
          </w:p>
        </w:tc>
        <w:tc>
          <w:tcPr>
            <w:tcW w:w="16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w:t>
            </w:r>
          </w:p>
        </w:tc>
        <w:tc>
          <w:tcPr>
            <w:tcW w:w="12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20" w:type="dxa"/>
            <w:vAlign w:val="bottom"/>
            <w:gridSpan w:val="2"/>
            <w:shd w:val="clear" w:color="auto" w:fill="E5E5E5"/>
          </w:tcPr>
          <w:p>
            <w:pPr>
              <w:spacing w:after="0" w:line="149" w:lineRule="exact"/>
              <w:rPr>
                <w:sz w:val="20"/>
                <w:szCs w:val="20"/>
                <w:color w:val="auto"/>
              </w:rPr>
            </w:pPr>
            <w:r>
              <w:rPr>
                <w:rFonts w:ascii="Arial" w:cs="Arial" w:eastAsia="Arial" w:hAnsi="Arial"/>
                <w:sz w:val="14"/>
                <w:szCs w:val="14"/>
                <w:b w:val="1"/>
                <w:bCs w:val="1"/>
                <w:color w:val="auto"/>
              </w:rPr>
              <w:t>Comprehensive Income</w:t>
            </w:r>
          </w:p>
        </w:tc>
        <w:tc>
          <w:tcPr>
            <w:tcW w:w="160" w:type="dxa"/>
            <w:vAlign w:val="bottom"/>
            <w:shd w:val="clear" w:color="auto" w:fill="E5E5E5"/>
          </w:tcPr>
          <w:p>
            <w:pPr>
              <w:spacing w:after="0"/>
              <w:rPr>
                <w:sz w:val="12"/>
                <w:szCs w:val="12"/>
                <w:color w:val="auto"/>
              </w:rPr>
            </w:pPr>
          </w:p>
        </w:tc>
        <w:tc>
          <w:tcPr>
            <w:tcW w:w="40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52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36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420" w:type="dxa"/>
            <w:vAlign w:val="bottom"/>
            <w:shd w:val="clear" w:color="auto" w:fill="E5E5E5"/>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44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E5E5E5"/>
          </w:tcPr>
          <w:p>
            <w:pPr>
              <w:jc w:val="right"/>
              <w:ind w:right="200"/>
              <w:spacing w:after="0" w:line="149" w:lineRule="exact"/>
              <w:rPr>
                <w:sz w:val="20"/>
                <w:szCs w:val="20"/>
                <w:color w:val="auto"/>
              </w:rPr>
            </w:pPr>
            <w:r>
              <w:rPr>
                <w:rFonts w:ascii="Arial" w:cs="Arial" w:eastAsia="Arial" w:hAnsi="Arial"/>
                <w:sz w:val="14"/>
                <w:szCs w:val="14"/>
                <w:color w:val="auto"/>
              </w:rPr>
              <w:t>606</w:t>
            </w:r>
          </w:p>
        </w:tc>
        <w:tc>
          <w:tcPr>
            <w:tcW w:w="1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E5E5E5"/>
          </w:tcPr>
          <w:p>
            <w:pPr>
              <w:jc w:val="right"/>
              <w:ind w:right="120"/>
              <w:spacing w:after="0" w:line="149" w:lineRule="exact"/>
              <w:rPr>
                <w:sz w:val="20"/>
                <w:szCs w:val="20"/>
                <w:color w:val="auto"/>
              </w:rPr>
            </w:pPr>
            <w:r>
              <w:rPr>
                <w:rFonts w:ascii="Arial" w:cs="Arial" w:eastAsia="Arial" w:hAnsi="Arial"/>
                <w:sz w:val="14"/>
                <w:szCs w:val="14"/>
                <w:color w:val="auto"/>
              </w:rPr>
              <w:t>31</w:t>
            </w:r>
          </w:p>
        </w:tc>
        <w:tc>
          <w:tcPr>
            <w:tcW w:w="160" w:type="dxa"/>
            <w:vAlign w:val="bottom"/>
            <w:gridSpan w:val="2"/>
            <w:shd w:val="clear" w:color="auto" w:fill="E5E5E5"/>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E5E5E5"/>
          </w:tcPr>
          <w:p>
            <w:pPr>
              <w:jc w:val="right"/>
              <w:ind w:right="100"/>
              <w:spacing w:after="0" w:line="149" w:lineRule="exact"/>
              <w:rPr>
                <w:sz w:val="20"/>
                <w:szCs w:val="20"/>
                <w:color w:val="auto"/>
              </w:rPr>
            </w:pPr>
            <w:r>
              <w:rPr>
                <w:rFonts w:ascii="Arial" w:cs="Arial" w:eastAsia="Arial" w:hAnsi="Arial"/>
                <w:sz w:val="14"/>
                <w:szCs w:val="14"/>
                <w:color w:val="auto"/>
              </w:rPr>
              <w:t>637</w:t>
            </w:r>
          </w:p>
        </w:tc>
        <w:tc>
          <w:tcPr>
            <w:tcW w:w="0" w:type="dxa"/>
            <w:vAlign w:val="bottom"/>
          </w:tcPr>
          <w:p>
            <w:pPr>
              <w:spacing w:after="0"/>
              <w:rPr>
                <w:sz w:val="1"/>
                <w:szCs w:val="1"/>
                <w:color w:val="auto"/>
              </w:rPr>
            </w:pPr>
          </w:p>
        </w:tc>
      </w:tr>
      <w:tr>
        <w:trPr>
          <w:trHeight w:val="20"/>
        </w:trPr>
        <w:tc>
          <w:tcPr>
            <w:tcW w:w="5240" w:type="dxa"/>
            <w:vAlign w:val="bottom"/>
            <w:gridSpan w:val="3"/>
            <w:vMerge w:val="restart"/>
          </w:tcPr>
          <w:p>
            <w:pPr>
              <w:spacing w:after="0" w:line="176" w:lineRule="exact"/>
              <w:rPr>
                <w:sz w:val="20"/>
                <w:szCs w:val="20"/>
                <w:color w:val="auto"/>
              </w:rPr>
            </w:pPr>
            <w:r>
              <w:rPr>
                <w:rFonts w:ascii="Arial" w:cs="Arial" w:eastAsia="Arial" w:hAnsi="Arial"/>
                <w:sz w:val="13"/>
                <w:szCs w:val="13"/>
                <w:color w:val="auto"/>
              </w:rPr>
              <w:t xml:space="preserve">ACS acquisition </w:t>
            </w:r>
            <w:r>
              <w:rPr>
                <w:rFonts w:ascii="Arial" w:cs="Arial" w:eastAsia="Arial" w:hAnsi="Arial"/>
                <w:sz w:val="20"/>
                <w:szCs w:val="20"/>
                <w:color w:val="auto"/>
                <w:vertAlign w:val="superscript"/>
              </w:rPr>
              <w:t>(4)</w:t>
            </w: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24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rPr>
              <w:t>490</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3,825</w:t>
            </w:r>
          </w:p>
        </w:tc>
        <w:tc>
          <w:tcPr>
            <w:tcW w:w="180" w:type="dxa"/>
            <w:vAlign w:val="bottom"/>
          </w:tcPr>
          <w:p>
            <w:pPr>
              <w:spacing w:after="0"/>
              <w:rPr>
                <w:sz w:val="13"/>
                <w:szCs w:val="13"/>
                <w:color w:val="auto"/>
              </w:rPr>
            </w:pPr>
          </w:p>
        </w:tc>
        <w:tc>
          <w:tcPr>
            <w:tcW w:w="54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52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8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4,315</w:t>
            </w:r>
          </w:p>
        </w:tc>
        <w:tc>
          <w:tcPr>
            <w:tcW w:w="120" w:type="dxa"/>
            <w:vAlign w:val="bottom"/>
          </w:tcPr>
          <w:p>
            <w:pPr>
              <w:spacing w:after="0"/>
              <w:rPr>
                <w:sz w:val="13"/>
                <w:szCs w:val="13"/>
                <w:color w:val="auto"/>
              </w:rPr>
            </w:pPr>
          </w:p>
        </w:tc>
        <w:tc>
          <w:tcPr>
            <w:tcW w:w="62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4,315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shd w:val="clear" w:color="auto" w:fill="E5E5E5"/>
          </w:tcPr>
          <w:p>
            <w:pPr>
              <w:spacing w:after="0" w:line="149" w:lineRule="exact"/>
              <w:rPr>
                <w:sz w:val="20"/>
                <w:szCs w:val="20"/>
                <w:color w:val="auto"/>
              </w:rPr>
            </w:pPr>
            <w:r>
              <w:rPr>
                <w:rFonts w:ascii="Arial" w:cs="Arial" w:eastAsia="Arial" w:hAnsi="Arial"/>
                <w:sz w:val="11"/>
                <w:szCs w:val="11"/>
                <w:color w:val="auto"/>
              </w:rPr>
              <w:t>Cash dividends declared - common stock</w:t>
            </w:r>
            <w:r>
              <w:rPr>
                <w:rFonts w:ascii="Arial" w:cs="Arial" w:eastAsia="Arial" w:hAnsi="Arial"/>
                <w:sz w:val="17"/>
                <w:szCs w:val="17"/>
                <w:color w:val="auto"/>
                <w:vertAlign w:val="superscript"/>
              </w:rPr>
              <w:t>(3)</w:t>
            </w:r>
          </w:p>
        </w:tc>
        <w:tc>
          <w:tcPr>
            <w:tcW w:w="160" w:type="dxa"/>
            <w:vAlign w:val="bottom"/>
            <w:shd w:val="clear" w:color="auto" w:fill="E5E5E5"/>
          </w:tcPr>
          <w:p>
            <w:pPr>
              <w:spacing w:after="0"/>
              <w:rPr>
                <w:sz w:val="12"/>
                <w:szCs w:val="12"/>
                <w:color w:val="auto"/>
              </w:rPr>
            </w:pPr>
          </w:p>
        </w:tc>
        <w:tc>
          <w:tcPr>
            <w:tcW w:w="580" w:type="dxa"/>
            <w:vAlign w:val="bottom"/>
            <w:gridSpan w:val="2"/>
            <w:shd w:val="clear" w:color="auto" w:fill="E5E5E5"/>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5E5E5"/>
          </w:tcPr>
          <w:p>
            <w:pPr>
              <w:spacing w:after="0"/>
              <w:rPr>
                <w:sz w:val="12"/>
                <w:szCs w:val="12"/>
                <w:color w:val="auto"/>
              </w:rPr>
            </w:pPr>
          </w:p>
        </w:tc>
        <w:tc>
          <w:tcPr>
            <w:tcW w:w="680" w:type="dxa"/>
            <w:vAlign w:val="bottom"/>
            <w:gridSpan w:val="2"/>
            <w:shd w:val="clear" w:color="auto" w:fill="E5E5E5"/>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5E5E5"/>
          </w:tcPr>
          <w:p>
            <w:pPr>
              <w:spacing w:after="0"/>
              <w:rPr>
                <w:sz w:val="12"/>
                <w:szCs w:val="12"/>
                <w:color w:val="auto"/>
              </w:rPr>
            </w:pPr>
          </w:p>
        </w:tc>
        <w:tc>
          <w:tcPr>
            <w:tcW w:w="540" w:type="dxa"/>
            <w:vAlign w:val="bottom"/>
            <w:gridSpan w:val="2"/>
            <w:shd w:val="clear" w:color="auto" w:fill="E5E5E5"/>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5E5E5"/>
          </w:tcPr>
          <w:p>
            <w:pPr>
              <w:spacing w:after="0"/>
              <w:rPr>
                <w:sz w:val="12"/>
                <w:szCs w:val="12"/>
                <w:color w:val="auto"/>
              </w:rPr>
            </w:pPr>
          </w:p>
        </w:tc>
        <w:tc>
          <w:tcPr>
            <w:tcW w:w="520" w:type="dxa"/>
            <w:vAlign w:val="bottom"/>
            <w:gridSpan w:val="2"/>
            <w:shd w:val="clear" w:color="auto" w:fill="E5E5E5"/>
          </w:tcPr>
          <w:p>
            <w:pPr>
              <w:jc w:val="right"/>
              <w:ind w:right="60"/>
              <w:spacing w:after="0" w:line="149" w:lineRule="exact"/>
              <w:rPr>
                <w:sz w:val="20"/>
                <w:szCs w:val="20"/>
                <w:color w:val="auto"/>
              </w:rPr>
            </w:pPr>
            <w:r>
              <w:rPr>
                <w:rFonts w:ascii="Arial" w:cs="Arial" w:eastAsia="Arial" w:hAnsi="Arial"/>
                <w:sz w:val="14"/>
                <w:szCs w:val="14"/>
                <w:color w:val="auto"/>
              </w:rPr>
              <w:t>(243)</w:t>
            </w:r>
          </w:p>
        </w:tc>
        <w:tc>
          <w:tcPr>
            <w:tcW w:w="80" w:type="dxa"/>
            <w:vAlign w:val="bottom"/>
            <w:shd w:val="clear" w:color="auto" w:fill="E5E5E5"/>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600" w:type="dxa"/>
            <w:vAlign w:val="bottom"/>
            <w:gridSpan w:val="2"/>
            <w:shd w:val="clear" w:color="auto" w:fill="E5E5E5"/>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5E5E5"/>
          </w:tcPr>
          <w:p>
            <w:pPr>
              <w:spacing w:after="0"/>
              <w:rPr>
                <w:sz w:val="12"/>
                <w:szCs w:val="12"/>
                <w:color w:val="auto"/>
              </w:rPr>
            </w:pPr>
          </w:p>
        </w:tc>
        <w:tc>
          <w:tcPr>
            <w:tcW w:w="880" w:type="dxa"/>
            <w:vAlign w:val="bottom"/>
            <w:gridSpan w:val="2"/>
            <w:shd w:val="clear" w:color="auto" w:fill="E5E5E5"/>
          </w:tcPr>
          <w:p>
            <w:pPr>
              <w:jc w:val="right"/>
              <w:ind w:right="140"/>
              <w:spacing w:after="0" w:line="149" w:lineRule="exact"/>
              <w:rPr>
                <w:sz w:val="20"/>
                <w:szCs w:val="20"/>
                <w:color w:val="auto"/>
              </w:rPr>
            </w:pPr>
            <w:r>
              <w:rPr>
                <w:rFonts w:ascii="Arial" w:cs="Arial" w:eastAsia="Arial" w:hAnsi="Arial"/>
                <w:sz w:val="14"/>
                <w:szCs w:val="14"/>
                <w:color w:val="auto"/>
              </w:rPr>
              <w:t>(243)</w:t>
            </w:r>
          </w:p>
        </w:tc>
        <w:tc>
          <w:tcPr>
            <w:tcW w:w="120" w:type="dxa"/>
            <w:vAlign w:val="bottom"/>
            <w:shd w:val="clear" w:color="auto" w:fill="E5E5E5"/>
          </w:tcPr>
          <w:p>
            <w:pPr>
              <w:spacing w:after="0"/>
              <w:rPr>
                <w:sz w:val="12"/>
                <w:szCs w:val="12"/>
                <w:color w:val="auto"/>
              </w:rPr>
            </w:pPr>
          </w:p>
        </w:tc>
        <w:tc>
          <w:tcPr>
            <w:tcW w:w="620" w:type="dxa"/>
            <w:vAlign w:val="bottom"/>
            <w:gridSpan w:val="2"/>
            <w:shd w:val="clear" w:color="auto" w:fill="E5E5E5"/>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E5E5E5"/>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580" w:type="dxa"/>
            <w:vAlign w:val="bottom"/>
            <w:gridSpan w:val="2"/>
            <w:shd w:val="clear" w:color="auto" w:fill="E5E5E5"/>
          </w:tcPr>
          <w:p>
            <w:pPr>
              <w:jc w:val="right"/>
              <w:ind w:right="40"/>
              <w:spacing w:after="0" w:line="149" w:lineRule="exact"/>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Cash dividends declared - preferred stock </w:t>
            </w:r>
            <w:r>
              <w:rPr>
                <w:rFonts w:ascii="Arial" w:cs="Arial" w:eastAsia="Arial" w:hAnsi="Arial"/>
                <w:sz w:val="17"/>
                <w:szCs w:val="17"/>
                <w:color w:val="auto"/>
                <w:vertAlign w:val="superscript"/>
              </w:rPr>
              <w:t>(5)</w:t>
            </w:r>
          </w:p>
        </w:tc>
        <w:tc>
          <w:tcPr>
            <w:tcW w:w="16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(21)</w:t>
            </w:r>
          </w:p>
        </w:tc>
        <w:tc>
          <w:tcPr>
            <w:tcW w:w="12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shd w:val="clear" w:color="auto" w:fill="E5E5E5"/>
          </w:tcPr>
          <w:p>
            <w:pPr>
              <w:spacing w:after="0" w:line="149" w:lineRule="exact"/>
              <w:rPr>
                <w:sz w:val="20"/>
                <w:szCs w:val="20"/>
                <w:color w:val="auto"/>
              </w:rPr>
            </w:pPr>
            <w:r>
              <w:rPr>
                <w:rFonts w:ascii="Arial" w:cs="Arial" w:eastAsia="Arial" w:hAnsi="Arial"/>
                <w:sz w:val="14"/>
                <w:szCs w:val="14"/>
                <w:color w:val="auto"/>
              </w:rPr>
              <w:t>Stock option and incentive plans</w:t>
            </w:r>
          </w:p>
        </w:tc>
        <w:tc>
          <w:tcPr>
            <w:tcW w:w="160" w:type="dxa"/>
            <w:vAlign w:val="bottom"/>
            <w:shd w:val="clear" w:color="auto" w:fill="E5E5E5"/>
          </w:tcPr>
          <w:p>
            <w:pPr>
              <w:spacing w:after="0"/>
              <w:rPr>
                <w:sz w:val="12"/>
                <w:szCs w:val="12"/>
                <w:color w:val="auto"/>
              </w:rPr>
            </w:pPr>
          </w:p>
        </w:tc>
        <w:tc>
          <w:tcPr>
            <w:tcW w:w="580" w:type="dxa"/>
            <w:vAlign w:val="bottom"/>
            <w:gridSpan w:val="2"/>
            <w:shd w:val="clear" w:color="auto" w:fill="E5E5E5"/>
          </w:tcPr>
          <w:p>
            <w:pPr>
              <w:jc w:val="right"/>
              <w:ind w:right="180"/>
              <w:spacing w:after="0" w:line="149" w:lineRule="exact"/>
              <w:rPr>
                <w:sz w:val="20"/>
                <w:szCs w:val="20"/>
                <w:color w:val="auto"/>
              </w:rPr>
            </w:pPr>
            <w:r>
              <w:rPr>
                <w:rFonts w:ascii="Arial" w:cs="Arial" w:eastAsia="Arial" w:hAnsi="Arial"/>
                <w:sz w:val="14"/>
                <w:szCs w:val="14"/>
                <w:color w:val="auto"/>
              </w:rPr>
              <w:t>37</w:t>
            </w:r>
          </w:p>
        </w:tc>
        <w:tc>
          <w:tcPr>
            <w:tcW w:w="80" w:type="dxa"/>
            <w:vAlign w:val="bottom"/>
            <w:shd w:val="clear" w:color="auto" w:fill="E5E5E5"/>
          </w:tcPr>
          <w:p>
            <w:pPr>
              <w:spacing w:after="0"/>
              <w:rPr>
                <w:sz w:val="12"/>
                <w:szCs w:val="12"/>
                <w:color w:val="auto"/>
              </w:rPr>
            </w:pPr>
          </w:p>
        </w:tc>
        <w:tc>
          <w:tcPr>
            <w:tcW w:w="680" w:type="dxa"/>
            <w:vAlign w:val="bottom"/>
            <w:gridSpan w:val="2"/>
            <w:shd w:val="clear" w:color="auto" w:fill="E5E5E5"/>
          </w:tcPr>
          <w:p>
            <w:pPr>
              <w:jc w:val="right"/>
              <w:ind w:right="160"/>
              <w:spacing w:after="0" w:line="149" w:lineRule="exact"/>
              <w:rPr>
                <w:sz w:val="20"/>
                <w:szCs w:val="20"/>
                <w:color w:val="auto"/>
              </w:rPr>
            </w:pPr>
            <w:r>
              <w:rPr>
                <w:rFonts w:ascii="Arial" w:cs="Arial" w:eastAsia="Arial" w:hAnsi="Arial"/>
                <w:sz w:val="14"/>
                <w:szCs w:val="14"/>
                <w:color w:val="auto"/>
              </w:rPr>
              <w:t>256</w:t>
            </w:r>
          </w:p>
        </w:tc>
        <w:tc>
          <w:tcPr>
            <w:tcW w:w="180" w:type="dxa"/>
            <w:vAlign w:val="bottom"/>
            <w:shd w:val="clear" w:color="auto" w:fill="E5E5E5"/>
          </w:tcPr>
          <w:p>
            <w:pPr>
              <w:spacing w:after="0"/>
              <w:rPr>
                <w:sz w:val="12"/>
                <w:szCs w:val="12"/>
                <w:color w:val="auto"/>
              </w:rPr>
            </w:pPr>
          </w:p>
        </w:tc>
        <w:tc>
          <w:tcPr>
            <w:tcW w:w="540" w:type="dxa"/>
            <w:vAlign w:val="bottom"/>
            <w:gridSpan w:val="2"/>
            <w:shd w:val="clear" w:color="auto" w:fill="E5E5E5"/>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5E5E5"/>
          </w:tcPr>
          <w:p>
            <w:pPr>
              <w:spacing w:after="0"/>
              <w:rPr>
                <w:sz w:val="12"/>
                <w:szCs w:val="12"/>
                <w:color w:val="auto"/>
              </w:rPr>
            </w:pPr>
          </w:p>
        </w:tc>
        <w:tc>
          <w:tcPr>
            <w:tcW w:w="520" w:type="dxa"/>
            <w:vAlign w:val="bottom"/>
            <w:gridSpan w:val="2"/>
            <w:shd w:val="clear" w:color="auto" w:fill="E5E5E5"/>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5E5E5"/>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600" w:type="dxa"/>
            <w:vAlign w:val="bottom"/>
            <w:gridSpan w:val="2"/>
            <w:shd w:val="clear" w:color="auto" w:fill="E5E5E5"/>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5E5E5"/>
          </w:tcPr>
          <w:p>
            <w:pPr>
              <w:spacing w:after="0"/>
              <w:rPr>
                <w:sz w:val="12"/>
                <w:szCs w:val="12"/>
                <w:color w:val="auto"/>
              </w:rPr>
            </w:pPr>
          </w:p>
        </w:tc>
        <w:tc>
          <w:tcPr>
            <w:tcW w:w="880" w:type="dxa"/>
            <w:vAlign w:val="bottom"/>
            <w:gridSpan w:val="2"/>
            <w:shd w:val="clear" w:color="auto" w:fill="E5E5E5"/>
          </w:tcPr>
          <w:p>
            <w:pPr>
              <w:jc w:val="right"/>
              <w:ind w:right="200"/>
              <w:spacing w:after="0" w:line="149" w:lineRule="exact"/>
              <w:rPr>
                <w:sz w:val="20"/>
                <w:szCs w:val="20"/>
                <w:color w:val="auto"/>
              </w:rPr>
            </w:pPr>
            <w:r>
              <w:rPr>
                <w:rFonts w:ascii="Arial" w:cs="Arial" w:eastAsia="Arial" w:hAnsi="Arial"/>
                <w:sz w:val="14"/>
                <w:szCs w:val="14"/>
                <w:color w:val="auto"/>
              </w:rPr>
              <w:t>293</w:t>
            </w:r>
          </w:p>
        </w:tc>
        <w:tc>
          <w:tcPr>
            <w:tcW w:w="120" w:type="dxa"/>
            <w:vAlign w:val="bottom"/>
            <w:shd w:val="clear" w:color="auto" w:fill="E5E5E5"/>
          </w:tcPr>
          <w:p>
            <w:pPr>
              <w:spacing w:after="0"/>
              <w:rPr>
                <w:sz w:val="12"/>
                <w:szCs w:val="12"/>
                <w:color w:val="auto"/>
              </w:rPr>
            </w:pPr>
          </w:p>
        </w:tc>
        <w:tc>
          <w:tcPr>
            <w:tcW w:w="620" w:type="dxa"/>
            <w:vAlign w:val="bottom"/>
            <w:gridSpan w:val="2"/>
            <w:shd w:val="clear" w:color="auto" w:fill="E5E5E5"/>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E5E5E5"/>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580" w:type="dxa"/>
            <w:vAlign w:val="bottom"/>
            <w:gridSpan w:val="2"/>
            <w:shd w:val="clear" w:color="auto" w:fill="E5E5E5"/>
          </w:tcPr>
          <w:p>
            <w:pPr>
              <w:jc w:val="right"/>
              <w:ind w:right="100"/>
              <w:spacing w:after="0" w:line="149" w:lineRule="exact"/>
              <w:rPr>
                <w:sz w:val="20"/>
                <w:szCs w:val="20"/>
                <w:color w:val="auto"/>
              </w:rPr>
            </w:pPr>
            <w:r>
              <w:rPr>
                <w:rFonts w:ascii="Arial" w:cs="Arial" w:eastAsia="Arial" w:hAnsi="Arial"/>
                <w:sz w:val="14"/>
                <w:szCs w:val="14"/>
                <w:color w:val="auto"/>
              </w:rPr>
              <w:t>293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tcPr>
          <w:p>
            <w:pPr>
              <w:spacing w:after="0" w:line="149" w:lineRule="exact"/>
              <w:rPr>
                <w:sz w:val="20"/>
                <w:szCs w:val="20"/>
                <w:color w:val="auto"/>
              </w:rPr>
            </w:pPr>
            <w:r>
              <w:rPr>
                <w:rFonts w:ascii="Arial" w:cs="Arial" w:eastAsia="Arial" w:hAnsi="Arial"/>
                <w:sz w:val="14"/>
                <w:szCs w:val="14"/>
                <w:color w:val="auto"/>
              </w:rPr>
              <w:t>Tax benefit on stock option and incentive plans, net</w:t>
            </w:r>
          </w:p>
        </w:tc>
        <w:tc>
          <w:tcPr>
            <w:tcW w:w="16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w:t>
            </w:r>
          </w:p>
        </w:tc>
        <w:tc>
          <w:tcPr>
            <w:tcW w:w="180" w:type="dxa"/>
            <w:vAlign w:val="bottom"/>
          </w:tcPr>
          <w:p>
            <w:pPr>
              <w:spacing w:after="0"/>
              <w:rPr>
                <w:sz w:val="12"/>
                <w:szCs w:val="12"/>
                <w:color w:val="auto"/>
              </w:rPr>
            </w:pPr>
          </w:p>
        </w:tc>
        <w:tc>
          <w:tcPr>
            <w:tcW w:w="5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w:t>
            </w:r>
          </w:p>
        </w:tc>
        <w:tc>
          <w:tcPr>
            <w:tcW w:w="12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shd w:val="clear" w:color="auto" w:fill="E5E5E5"/>
          </w:tcPr>
          <w:p>
            <w:pPr>
              <w:spacing w:after="0" w:line="149" w:lineRule="exact"/>
              <w:rPr>
                <w:sz w:val="20"/>
                <w:szCs w:val="20"/>
                <w:color w:val="auto"/>
              </w:rPr>
            </w:pPr>
            <w:r>
              <w:rPr>
                <w:rFonts w:ascii="Arial" w:cs="Arial" w:eastAsia="Arial" w:hAnsi="Arial"/>
                <w:sz w:val="14"/>
                <w:szCs w:val="14"/>
                <w:color w:val="auto"/>
              </w:rPr>
              <w:t>Distributions to noncontrolling interests</w:t>
            </w:r>
          </w:p>
        </w:tc>
        <w:tc>
          <w:tcPr>
            <w:tcW w:w="160" w:type="dxa"/>
            <w:vAlign w:val="bottom"/>
            <w:shd w:val="clear" w:color="auto" w:fill="E5E5E5"/>
          </w:tcPr>
          <w:p>
            <w:pPr>
              <w:spacing w:after="0"/>
              <w:rPr>
                <w:sz w:val="12"/>
                <w:szCs w:val="12"/>
                <w:color w:val="auto"/>
              </w:rPr>
            </w:pPr>
          </w:p>
        </w:tc>
        <w:tc>
          <w:tcPr>
            <w:tcW w:w="580" w:type="dxa"/>
            <w:vAlign w:val="bottom"/>
            <w:gridSpan w:val="2"/>
            <w:shd w:val="clear" w:color="auto" w:fill="E5E5E5"/>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5E5E5"/>
          </w:tcPr>
          <w:p>
            <w:pPr>
              <w:spacing w:after="0"/>
              <w:rPr>
                <w:sz w:val="12"/>
                <w:szCs w:val="12"/>
                <w:color w:val="auto"/>
              </w:rPr>
            </w:pPr>
          </w:p>
        </w:tc>
        <w:tc>
          <w:tcPr>
            <w:tcW w:w="52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540" w:type="dxa"/>
            <w:vAlign w:val="bottom"/>
            <w:gridSpan w:val="2"/>
            <w:shd w:val="clear" w:color="auto" w:fill="E5E5E5"/>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5E5E5"/>
          </w:tcPr>
          <w:p>
            <w:pPr>
              <w:spacing w:after="0"/>
              <w:rPr>
                <w:sz w:val="12"/>
                <w:szCs w:val="12"/>
                <w:color w:val="auto"/>
              </w:rPr>
            </w:pPr>
          </w:p>
        </w:tc>
        <w:tc>
          <w:tcPr>
            <w:tcW w:w="520" w:type="dxa"/>
            <w:vAlign w:val="bottom"/>
            <w:gridSpan w:val="2"/>
            <w:shd w:val="clear" w:color="auto" w:fill="E5E5E5"/>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5E5E5"/>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600" w:type="dxa"/>
            <w:vAlign w:val="bottom"/>
            <w:gridSpan w:val="2"/>
            <w:shd w:val="clear" w:color="auto" w:fill="E5E5E5"/>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5E5E5"/>
          </w:tcPr>
          <w:p>
            <w:pPr>
              <w:spacing w:after="0"/>
              <w:rPr>
                <w:sz w:val="12"/>
                <w:szCs w:val="12"/>
                <w:color w:val="auto"/>
              </w:rPr>
            </w:pPr>
          </w:p>
        </w:tc>
        <w:tc>
          <w:tcPr>
            <w:tcW w:w="880" w:type="dxa"/>
            <w:vAlign w:val="bottom"/>
            <w:gridSpan w:val="2"/>
            <w:shd w:val="clear" w:color="auto" w:fill="E5E5E5"/>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E5E5E5"/>
          </w:tcPr>
          <w:p>
            <w:pPr>
              <w:spacing w:after="0"/>
              <w:rPr>
                <w:sz w:val="12"/>
                <w:szCs w:val="12"/>
                <w:color w:val="auto"/>
              </w:rPr>
            </w:pPr>
          </w:p>
        </w:tc>
        <w:tc>
          <w:tcPr>
            <w:tcW w:w="620" w:type="dxa"/>
            <w:vAlign w:val="bottom"/>
            <w:gridSpan w:val="2"/>
            <w:shd w:val="clear" w:color="auto" w:fill="E5E5E5"/>
          </w:tcPr>
          <w:p>
            <w:pPr>
              <w:jc w:val="right"/>
              <w:ind w:right="80"/>
              <w:spacing w:after="0" w:line="149" w:lineRule="exact"/>
              <w:rPr>
                <w:sz w:val="20"/>
                <w:szCs w:val="20"/>
                <w:color w:val="auto"/>
              </w:rPr>
            </w:pPr>
            <w:r>
              <w:rPr>
                <w:rFonts w:ascii="Arial" w:cs="Arial" w:eastAsia="Arial" w:hAnsi="Arial"/>
                <w:sz w:val="14"/>
                <w:szCs w:val="14"/>
                <w:color w:val="auto"/>
              </w:rPr>
              <w:t>(19)</w:t>
            </w:r>
          </w:p>
        </w:tc>
        <w:tc>
          <w:tcPr>
            <w:tcW w:w="60" w:type="dxa"/>
            <w:vAlign w:val="bottom"/>
            <w:shd w:val="clear" w:color="auto" w:fill="E5E5E5"/>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580" w:type="dxa"/>
            <w:vAlign w:val="bottom"/>
            <w:gridSpan w:val="2"/>
            <w:shd w:val="clear" w:color="auto" w:fill="E5E5E5"/>
          </w:tcPr>
          <w:p>
            <w:pPr>
              <w:jc w:val="right"/>
              <w:ind w:right="40"/>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0"/>
        </w:trPr>
        <w:tc>
          <w:tcPr>
            <w:tcW w:w="5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Balance at December 31, 2010</w:t>
            </w: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240" w:type="dxa"/>
            <w:vAlign w:val="bottom"/>
            <w:gridSpan w:val="3"/>
            <w:vMerge w:val="continue"/>
          </w:tcPr>
          <w:p>
            <w:pPr>
              <w:spacing w:after="0"/>
              <w:rPr>
                <w:sz w:val="13"/>
                <w:szCs w:val="13"/>
                <w:color w:val="auto"/>
              </w:rPr>
            </w:pPr>
          </w:p>
        </w:tc>
        <w:tc>
          <w:tcPr>
            <w:tcW w:w="16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rPr>
              <w:t>1,398</w:t>
            </w:r>
          </w:p>
        </w:tc>
        <w:tc>
          <w:tcPr>
            <w:tcW w:w="180" w:type="dxa"/>
            <w:vAlign w:val="bottom"/>
          </w:tcPr>
          <w:p>
            <w:pPr>
              <w:spacing w:after="0"/>
              <w:rPr>
                <w:sz w:val="13"/>
                <w:szCs w:val="13"/>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rPr>
              <w:t>6,580</w:t>
            </w:r>
          </w:p>
        </w:tc>
        <w:tc>
          <w:tcPr>
            <w:tcW w:w="160" w:type="dxa"/>
            <w:vAlign w:val="bottom"/>
          </w:tcPr>
          <w:p>
            <w:pPr>
              <w:spacing w:after="0"/>
              <w:rPr>
                <w:sz w:val="13"/>
                <w:szCs w:val="13"/>
                <w:color w:val="auto"/>
              </w:rPr>
            </w:pPr>
          </w:p>
        </w:tc>
        <w:tc>
          <w:tcPr>
            <w:tcW w:w="18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rPr>
              <w:t>6,016</w:t>
            </w:r>
          </w:p>
        </w:tc>
        <w:tc>
          <w:tcPr>
            <w:tcW w:w="100" w:type="dxa"/>
            <w:vAlign w:val="bottom"/>
          </w:tcPr>
          <w:p>
            <w:pPr>
              <w:spacing w:after="0"/>
              <w:rPr>
                <w:sz w:val="13"/>
                <w:szCs w:val="13"/>
                <w:color w:val="auto"/>
              </w:rPr>
            </w:pPr>
          </w:p>
        </w:tc>
        <w:tc>
          <w:tcPr>
            <w:tcW w:w="1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(1,988)</w:t>
            </w:r>
          </w:p>
        </w:tc>
        <w:tc>
          <w:tcPr>
            <w:tcW w:w="16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12,006</w:t>
            </w:r>
          </w:p>
        </w:tc>
        <w:tc>
          <w:tcPr>
            <w:tcW w:w="1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153</w:t>
            </w:r>
          </w:p>
        </w:tc>
        <w:tc>
          <w:tcPr>
            <w:tcW w:w="120" w:type="dxa"/>
            <w:vAlign w:val="bottom"/>
          </w:tcPr>
          <w:p>
            <w:pPr>
              <w:spacing w:after="0"/>
              <w:rPr>
                <w:sz w:val="13"/>
                <w:szCs w:val="13"/>
                <w:color w:val="auto"/>
              </w:rPr>
            </w:pPr>
          </w:p>
        </w:tc>
        <w:tc>
          <w:tcPr>
            <w:tcW w:w="1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12,159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9" w:lineRule="exact"/>
        <w:rPr>
          <w:sz w:val="20"/>
          <w:szCs w:val="20"/>
          <w:color w:val="auto"/>
        </w:rPr>
      </w:pPr>
    </w:p>
    <w:p>
      <w:pPr>
        <w:ind w:left="340" w:hanging="332"/>
        <w:spacing w:after="0"/>
        <w:tabs>
          <w:tab w:leader="none" w:pos="34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Refer to Note 1 “Accumulated Other Comprehensive Loss (AOCL)” section for additional information.</w:t>
      </w:r>
    </w:p>
    <w:p>
      <w:pPr>
        <w:ind w:left="340" w:hanging="332"/>
        <w:spacing w:after="0" w:line="221" w:lineRule="auto"/>
        <w:tabs>
          <w:tab w:leader="none" w:pos="34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Refer to Note 15 - Employee Benefit Plans for additional information.</w:t>
      </w:r>
    </w:p>
    <w:p>
      <w:pPr>
        <w:ind w:left="340" w:hanging="332"/>
        <w:spacing w:after="0" w:line="221" w:lineRule="auto"/>
        <w:tabs>
          <w:tab w:leader="none" w:pos="34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Cash dividends declared on common stock of $0.0425 in each of the four quarters in 2008, 2009 and 2010.</w:t>
      </w:r>
    </w:p>
    <w:p>
      <w:pPr>
        <w:ind w:left="340" w:hanging="332"/>
        <w:spacing w:after="0" w:line="221" w:lineRule="auto"/>
        <w:tabs>
          <w:tab w:leader="none" w:pos="34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Refer to Note 3 – Acquisitions for additional information.</w:t>
      </w:r>
    </w:p>
    <w:p>
      <w:pPr>
        <w:ind w:left="340" w:hanging="332"/>
        <w:spacing w:after="0" w:line="221" w:lineRule="auto"/>
        <w:tabs>
          <w:tab w:leader="none" w:pos="34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Cash dividends declared on preferred stock of $12.22 per share in the first quarter of 2010 and $20 per share in each of the second, third and fourth quarters of 2010.</w:t>
      </w:r>
    </w:p>
    <w:p>
      <w:pPr>
        <w:ind w:left="340" w:hanging="332"/>
        <w:spacing w:after="0"/>
        <w:tabs>
          <w:tab w:leader="none" w:pos="34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Refer to Note 19 – Shareholders’ Equity for rollforward of shares.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136" w:lineRule="exact"/>
        <w:rPr>
          <w:sz w:val="20"/>
          <w:szCs w:val="20"/>
          <w:color w:val="auto"/>
        </w:rPr>
      </w:pPr>
    </w:p>
    <w:p>
      <w:pPr>
        <w:ind w:left="9600"/>
        <w:spacing w:after="0"/>
        <w:rPr>
          <w:sz w:val="20"/>
          <w:szCs w:val="20"/>
          <w:color w:val="auto"/>
        </w:rPr>
      </w:pPr>
      <w:r>
        <w:rPr>
          <w:rFonts w:ascii="Arial" w:cs="Arial" w:eastAsia="Arial" w:hAnsi="Arial"/>
          <w:sz w:val="12"/>
          <w:szCs w:val="12"/>
          <w:color w:val="4C9F40"/>
        </w:rPr>
        <w:t>Xerox 2010 Annual Report 39</w:t>
      </w:r>
    </w:p>
    <w:p>
      <w:pPr>
        <w:sectPr>
          <w:pgSz w:w="11900" w:h="16838" w:orient="portrait"/>
          <w:cols w:equalWidth="0" w:num="1">
            <w:col w:w="11420"/>
          </w:cols>
          <w:pgMar w:left="240" w:top="310" w:right="239" w:bottom="1440" w:gutter="0" w:footer="0" w:header="0"/>
        </w:sectPr>
      </w:pPr>
    </w:p>
    <w:bookmarkStart w:id="116" w:name="page117"/>
    <w:bookmarkEnd w:id="116"/>
    <w:p>
      <w:pPr>
        <w:spacing w:after="0"/>
        <w:rPr>
          <w:sz w:val="20"/>
          <w:szCs w:val="20"/>
          <w:color w:val="auto"/>
        </w:rPr>
      </w:pPr>
      <w:r>
        <w:rPr>
          <w:rFonts w:ascii="Arial" w:cs="Arial" w:eastAsia="Arial" w:hAnsi="Arial"/>
          <w:sz w:val="24"/>
          <w:szCs w:val="24"/>
          <w:b w:val="1"/>
          <w:bCs w:val="1"/>
          <w:color w:val="4C9F40"/>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NOTES TO THE CONSOLIDATED FINANCIAL STATEMENTS</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b w:val="1"/>
          <w:bCs w:val="1"/>
          <w:color w:val="4C9F40"/>
        </w:rPr>
        <w:t>Dollars in millions, except per share data and unless otherwise indicated.</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4C9F40"/>
        </w:rPr>
        <w:t>Note 1 – Summary of Significant Accounting Policies</w:t>
      </w:r>
    </w:p>
    <w:p>
      <w:pPr>
        <w:spacing w:after="0" w:line="188"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References herein to “we,” “us,” “our,” the “Company,” and Xerox refer to Xerox Corporation and its consolidated subsidiaries unless the context specifically requires otherwise.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Description of Business and Basis of Presentation</w:t>
      </w:r>
    </w:p>
    <w:p>
      <w:pPr>
        <w:spacing w:after="0" w:line="1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are a $22 billion global enterprise for business process and document management. We provide essential back-office support through our broad portfolio of technology, services and outsourcing offerings. We also offer extensive business process outsourcing and information technology outsourcing services through Affiliated Computer Services, Inc. (“ACS”), which we acquired in February 2010. We develop, manufacture, market, service and finance a complete range of document equipment, software, solutions and services.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Basis of Consolidation</w:t>
      </w:r>
    </w:p>
    <w:p>
      <w:pPr>
        <w:spacing w:after="0" w:line="18"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The Consolidated Financial Statements include the accounts of Xerox Corporation and all of our controlled subsidiary companies. All significant intercompany accounts and transactions have been eliminated. Investments in business entities in which we do not have control, but we have the ability to exercise significant influence over operating and financial policies (generally 20% to 50% ownership) are accounted for using the equity method of accounting. Operating results of acquired businesses are included in the Consolidated Statements of Income from the date of acquisition.</w:t>
      </w:r>
    </w:p>
    <w:p>
      <w:pPr>
        <w:spacing w:after="0" w:line="157" w:lineRule="exact"/>
        <w:rPr>
          <w:sz w:val="20"/>
          <w:szCs w:val="20"/>
          <w:color w:val="auto"/>
        </w:rPr>
      </w:pPr>
    </w:p>
    <w:p>
      <w:pPr>
        <w:jc w:val="both"/>
        <w:ind w:right="80"/>
        <w:spacing w:after="0" w:line="238" w:lineRule="auto"/>
        <w:rPr>
          <w:sz w:val="20"/>
          <w:szCs w:val="20"/>
          <w:color w:val="auto"/>
        </w:rPr>
      </w:pPr>
      <w:r>
        <w:rPr>
          <w:rFonts w:ascii="Arial" w:cs="Arial" w:eastAsia="Arial" w:hAnsi="Arial"/>
          <w:sz w:val="18"/>
          <w:szCs w:val="18"/>
          <w:color w:val="auto"/>
        </w:rPr>
        <w:t>We consolidate variable interest entities if we are deemed to be the primary beneficiary of the entity. Operating results for variable interest entities in which we are determined to be the primary beneficiary are included in the Consolidated Statements of Income from the date such determination is made.</w:t>
      </w:r>
    </w:p>
    <w:p>
      <w:pPr>
        <w:spacing w:after="0" w:line="154"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For convenience and ease of reference, we refer to the financial statement caption “Income (Loss) before Income Taxes and Equity Income” as “pre-tax income” or “pre-tax loss” throughout the Notes to the Consolidated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Use of Estimates</w:t>
      </w:r>
    </w:p>
    <w:p>
      <w:pPr>
        <w:spacing w:after="0" w:line="18" w:lineRule="exact"/>
        <w:rPr>
          <w:sz w:val="20"/>
          <w:szCs w:val="20"/>
          <w:color w:val="auto"/>
        </w:rPr>
      </w:pPr>
    </w:p>
    <w:p>
      <w:pPr>
        <w:ind w:right="100"/>
        <w:spacing w:after="0" w:line="267" w:lineRule="auto"/>
        <w:rPr>
          <w:sz w:val="20"/>
          <w:szCs w:val="20"/>
          <w:color w:val="auto"/>
        </w:rPr>
      </w:pPr>
      <w:r>
        <w:rPr>
          <w:rFonts w:ascii="Arial" w:cs="Arial" w:eastAsia="Arial" w:hAnsi="Arial"/>
          <w:sz w:val="16"/>
          <w:szCs w:val="16"/>
          <w:color w:val="auto"/>
        </w:rPr>
        <w:t>The preparation of our Consolidated Financial Statements, in accordance with accounting principles generally accepted in the United States of America, requires that we make estimates and assumptions that affect the reported amounts of assets and liabilities, as well as the disclosure of contingent assets and liabilities at the date of the financial statements, and the reported amounts of revenues and expenses during the reporting period. Significant estimates and assumptions are used for, but not limited to: (i) allocation of revenues and fair values in leases and other multiple element arrangements; (ii) accounting for residual values; (iii) economic lives of leased assets; (iv) revenue recognition for services under the percentage-of-completion method; (v) allowance for doubtful accounts; (vi) inventory valuation; (vii) restructuring and related charges; (viii) asset impairments; (ix) depreciable lives of assets; (x) useful lives of intangible assets; (xi) amortization period for customer contract costs (xii) pension and post-retirement benefit plans; (xiii) income tax reserves and valuation allowances; and (xiv) contingency and litigation reserves. Future events and their effects cannot be predicted with certainty; accordingly, our accounting estimates require the exercise of judgment. The accounting estimates used in the preparation of our Consolidated Financial Statements will change as new events occur, as more experience is acquired, as additional information is obtained and as our operating environment changes. Actual results could differ from those estimates.</w:t>
      </w:r>
    </w:p>
    <w:p>
      <w:pPr>
        <w:spacing w:after="0" w:line="122" w:lineRule="exact"/>
        <w:rPr>
          <w:sz w:val="20"/>
          <w:szCs w:val="20"/>
          <w:color w:val="auto"/>
        </w:rPr>
      </w:pPr>
    </w:p>
    <w:p>
      <w:pPr>
        <w:jc w:val="right"/>
        <w:spacing w:after="0"/>
        <w:rPr>
          <w:sz w:val="20"/>
          <w:szCs w:val="20"/>
          <w:color w:val="auto"/>
        </w:rPr>
      </w:pPr>
      <w:r>
        <w:rPr>
          <w:rFonts w:ascii="Arial" w:cs="Arial" w:eastAsia="Arial" w:hAnsi="Arial"/>
          <w:sz w:val="14"/>
          <w:szCs w:val="14"/>
          <w:color w:val="4C9F40"/>
        </w:rPr>
        <w:t>Xerox 2010 Annual Report 40</w:t>
      </w:r>
    </w:p>
    <w:p>
      <w:pPr>
        <w:sectPr>
          <w:pgSz w:w="11900" w:h="16838" w:orient="portrait"/>
          <w:cols w:equalWidth="0" w:num="1">
            <w:col w:w="11420"/>
          </w:cols>
          <w:pgMar w:left="240" w:top="389" w:right="2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following table summarizes certain significant charges that require management estimates for the three years ended December 31, 2010:</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Expense/(Income)</w:t>
            </w:r>
          </w:p>
        </w:tc>
        <w:tc>
          <w:tcPr>
            <w:tcW w:w="2180" w:type="dxa"/>
            <w:vAlign w:val="bottom"/>
            <w:gridSpan w:val="7"/>
          </w:tcPr>
          <w:p>
            <w:pPr>
              <w:ind w:left="200"/>
              <w:spacing w:after="0"/>
              <w:rPr>
                <w:sz w:val="20"/>
                <w:szCs w:val="20"/>
                <w:color w:val="auto"/>
              </w:rPr>
            </w:pPr>
            <w:r>
              <w:rPr>
                <w:rFonts w:ascii="Arial" w:cs="Arial" w:eastAsia="Arial" w:hAnsi="Arial"/>
                <w:sz w:val="14"/>
                <w:szCs w:val="14"/>
                <w:color w:val="auto"/>
              </w:rPr>
              <w:t>Years Ended December 31,</w:t>
            </w:r>
          </w:p>
        </w:tc>
        <w:tc>
          <w:tcPr>
            <w:tcW w:w="0" w:type="dxa"/>
            <w:vAlign w:val="bottom"/>
          </w:tcPr>
          <w:p>
            <w:pPr>
              <w:spacing w:after="0"/>
              <w:rPr>
                <w:sz w:val="1"/>
                <w:szCs w:val="1"/>
                <w:color w:val="auto"/>
              </w:rPr>
            </w:pPr>
          </w:p>
        </w:tc>
      </w:tr>
      <w:tr>
        <w:trPr>
          <w:trHeight w:val="196"/>
        </w:trPr>
        <w:tc>
          <w:tcPr>
            <w:tcW w:w="9240" w:type="dxa"/>
            <w:vAlign w:val="bottom"/>
            <w:gridSpan w:val="2"/>
            <w:vMerge w:val="continue"/>
          </w:tcPr>
          <w:p>
            <w:pPr>
              <w:spacing w:after="0"/>
              <w:rPr>
                <w:sz w:val="17"/>
                <w:szCs w:val="17"/>
                <w:color w:val="auto"/>
              </w:rPr>
            </w:pPr>
          </w:p>
        </w:tc>
        <w:tc>
          <w:tcPr>
            <w:tcW w:w="500" w:type="dxa"/>
            <w:vAlign w:val="bottom"/>
            <w:tcBorders>
              <w:top w:val="single" w:sz="8" w:color="auto"/>
            </w:tcBorders>
          </w:tcPr>
          <w:p>
            <w:pPr>
              <w:jc w:val="right"/>
              <w:ind w:right="15"/>
              <w:spacing w:after="0"/>
              <w:rPr>
                <w:sz w:val="20"/>
                <w:szCs w:val="20"/>
                <w:color w:val="auto"/>
              </w:rPr>
            </w:pPr>
            <w:r>
              <w:rPr>
                <w:rFonts w:ascii="Arial" w:cs="Arial" w:eastAsia="Arial" w:hAnsi="Arial"/>
                <w:sz w:val="14"/>
                <w:szCs w:val="14"/>
                <w:color w:val="auto"/>
              </w:rPr>
              <w:t>2010</w:t>
            </w:r>
          </w:p>
        </w:tc>
        <w:tc>
          <w:tcPr>
            <w:tcW w:w="32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2009</w:t>
            </w: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gridSpan w:val="2"/>
          </w:tcPr>
          <w:p>
            <w:pPr>
              <w:jc w:val="right"/>
              <w:ind w:right="12"/>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20" w:type="dxa"/>
            <w:vAlign w:val="bottom"/>
            <w:shd w:val="clear" w:color="auto" w:fill="000000"/>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40" w:type="dxa"/>
            <w:vAlign w:val="bottom"/>
            <w:gridSpan w:val="2"/>
            <w:shd w:val="clear" w:color="auto" w:fill="E5E5E5"/>
          </w:tcPr>
          <w:p>
            <w:pPr>
              <w:spacing w:after="0" w:line="196" w:lineRule="exact"/>
              <w:rPr>
                <w:sz w:val="20"/>
                <w:szCs w:val="20"/>
                <w:color w:val="auto"/>
              </w:rPr>
            </w:pPr>
            <w:r>
              <w:rPr>
                <w:rFonts w:ascii="Arial" w:cs="Arial" w:eastAsia="Arial" w:hAnsi="Arial"/>
                <w:sz w:val="18"/>
                <w:szCs w:val="18"/>
                <w:color w:val="auto"/>
              </w:rPr>
              <w:t>Restructuring provisions and asset impairments</w:t>
            </w:r>
          </w:p>
        </w:tc>
        <w:tc>
          <w:tcPr>
            <w:tcW w:w="50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rPr>
              <w:t>$ 483</w:t>
            </w:r>
          </w:p>
        </w:tc>
        <w:tc>
          <w:tcPr>
            <w:tcW w:w="320" w:type="dxa"/>
            <w:vAlign w:val="bottom"/>
            <w:shd w:val="clear" w:color="auto" w:fill="E5E5E5"/>
          </w:tcPr>
          <w:p>
            <w:pPr>
              <w:spacing w:after="0"/>
              <w:rPr>
                <w:sz w:val="17"/>
                <w:szCs w:val="17"/>
                <w:color w:val="auto"/>
              </w:rPr>
            </w:pPr>
          </w:p>
        </w:tc>
        <w:tc>
          <w:tcPr>
            <w:tcW w:w="600" w:type="dxa"/>
            <w:vAlign w:val="bottom"/>
            <w:gridSpan w:val="2"/>
            <w:shd w:val="clear" w:color="auto" w:fill="E5E5E5"/>
          </w:tcPr>
          <w:p>
            <w:pPr>
              <w:jc w:val="right"/>
              <w:ind w:right="180"/>
              <w:spacing w:after="0" w:line="196" w:lineRule="exact"/>
              <w:rPr>
                <w:sz w:val="20"/>
                <w:szCs w:val="20"/>
                <w:color w:val="auto"/>
              </w:rPr>
            </w:pPr>
            <w:r>
              <w:rPr>
                <w:rFonts w:ascii="Arial" w:cs="Arial" w:eastAsia="Arial" w:hAnsi="Arial"/>
                <w:sz w:val="18"/>
                <w:szCs w:val="18"/>
                <w:color w:val="auto"/>
              </w:rPr>
              <w:t>$ (8)</w:t>
            </w:r>
          </w:p>
        </w:tc>
        <w:tc>
          <w:tcPr>
            <w:tcW w:w="760" w:type="dxa"/>
            <w:vAlign w:val="bottom"/>
            <w:gridSpan w:val="3"/>
            <w:shd w:val="clear" w:color="auto" w:fill="E5E5E5"/>
          </w:tcPr>
          <w:p>
            <w:pPr>
              <w:jc w:val="right"/>
              <w:ind w:right="100"/>
              <w:spacing w:after="0" w:line="196" w:lineRule="exact"/>
              <w:rPr>
                <w:sz w:val="20"/>
                <w:szCs w:val="20"/>
                <w:color w:val="auto"/>
              </w:rPr>
            </w:pPr>
            <w:r>
              <w:rPr>
                <w:rFonts w:ascii="Arial" w:cs="Arial" w:eastAsia="Arial" w:hAnsi="Arial"/>
                <w:sz w:val="18"/>
                <w:szCs w:val="18"/>
                <w:color w:val="auto"/>
              </w:rPr>
              <w:t>$ 429</w:t>
            </w:r>
          </w:p>
        </w:tc>
        <w:tc>
          <w:tcPr>
            <w:tcW w:w="0" w:type="dxa"/>
            <w:vAlign w:val="bottom"/>
          </w:tcPr>
          <w:p>
            <w:pPr>
              <w:spacing w:after="0"/>
              <w:rPr>
                <w:sz w:val="1"/>
                <w:szCs w:val="1"/>
                <w:color w:val="auto"/>
              </w:rPr>
            </w:pPr>
          </w:p>
        </w:tc>
      </w:tr>
      <w:tr>
        <w:trPr>
          <w:trHeight w:val="203"/>
        </w:trPr>
        <w:tc>
          <w:tcPr>
            <w:tcW w:w="9240" w:type="dxa"/>
            <w:vAlign w:val="bottom"/>
            <w:gridSpan w:val="2"/>
          </w:tcPr>
          <w:p>
            <w:pPr>
              <w:spacing w:after="0" w:line="203" w:lineRule="exact"/>
              <w:rPr>
                <w:sz w:val="20"/>
                <w:szCs w:val="20"/>
                <w:color w:val="auto"/>
              </w:rPr>
            </w:pPr>
            <w:r>
              <w:rPr>
                <w:rFonts w:ascii="Arial" w:cs="Arial" w:eastAsia="Arial" w:hAnsi="Arial"/>
                <w:sz w:val="18"/>
                <w:szCs w:val="18"/>
                <w:color w:val="auto"/>
              </w:rPr>
              <w:t>Provisions for receivables</w:t>
            </w:r>
            <w:r>
              <w:rPr>
                <w:rFonts w:ascii="Arial" w:cs="Arial" w:eastAsia="Arial" w:hAnsi="Arial"/>
                <w:sz w:val="22"/>
                <w:szCs w:val="22"/>
                <w:color w:val="auto"/>
                <w:vertAlign w:val="superscript"/>
              </w:rPr>
              <w:t>(1)</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180</w:t>
            </w:r>
          </w:p>
        </w:tc>
        <w:tc>
          <w:tcPr>
            <w:tcW w:w="32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289</w:t>
            </w:r>
          </w:p>
        </w:tc>
        <w:tc>
          <w:tcPr>
            <w:tcW w:w="18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4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Provisions for litigation and regulatory matters</w:t>
            </w:r>
          </w:p>
        </w:tc>
        <w:tc>
          <w:tcPr>
            <w:tcW w:w="820" w:type="dxa"/>
            <w:vAlign w:val="bottom"/>
            <w:gridSpan w:val="2"/>
            <w:shd w:val="clear" w:color="auto" w:fill="E5E5E5"/>
          </w:tcPr>
          <w:p>
            <w:pPr>
              <w:jc w:val="right"/>
              <w:ind w:right="320"/>
              <w:spacing w:after="0" w:line="202" w:lineRule="exact"/>
              <w:rPr>
                <w:sz w:val="20"/>
                <w:szCs w:val="20"/>
                <w:color w:val="auto"/>
              </w:rPr>
            </w:pPr>
            <w:r>
              <w:rPr>
                <w:rFonts w:ascii="Arial" w:cs="Arial" w:eastAsia="Arial" w:hAnsi="Arial"/>
                <w:sz w:val="18"/>
                <w:szCs w:val="18"/>
                <w:color w:val="auto"/>
              </w:rPr>
              <w:t>(4)</w:t>
            </w:r>
          </w:p>
        </w:tc>
        <w:tc>
          <w:tcPr>
            <w:tcW w:w="60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9</w:t>
            </w:r>
          </w:p>
        </w:tc>
        <w:tc>
          <w:tcPr>
            <w:tcW w:w="66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781</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40" w:type="dxa"/>
            <w:vAlign w:val="bottom"/>
            <w:gridSpan w:val="2"/>
          </w:tcPr>
          <w:p>
            <w:pPr>
              <w:spacing w:after="0" w:line="202" w:lineRule="exact"/>
              <w:rPr>
                <w:sz w:val="20"/>
                <w:szCs w:val="20"/>
                <w:color w:val="auto"/>
              </w:rPr>
            </w:pPr>
            <w:r>
              <w:rPr>
                <w:rFonts w:ascii="Arial" w:cs="Arial" w:eastAsia="Arial" w:hAnsi="Arial"/>
                <w:sz w:val="18"/>
                <w:szCs w:val="18"/>
                <w:color w:val="auto"/>
              </w:rPr>
              <w:t>Provisions for obsolete and excess inventory</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31</w:t>
            </w:r>
          </w:p>
        </w:tc>
        <w:tc>
          <w:tcPr>
            <w:tcW w:w="320" w:type="dxa"/>
            <w:vAlign w:val="bottom"/>
          </w:tcPr>
          <w:p>
            <w:pPr>
              <w:spacing w:after="0"/>
              <w:rPr>
                <w:sz w:val="17"/>
                <w:szCs w:val="17"/>
                <w:color w:val="auto"/>
              </w:rPr>
            </w:pPr>
          </w:p>
        </w:tc>
        <w:tc>
          <w:tcPr>
            <w:tcW w:w="6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52</w:t>
            </w: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4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Depreciation and obsolescence of equipment on operating leases</w:t>
            </w:r>
          </w:p>
        </w:tc>
        <w:tc>
          <w:tcPr>
            <w:tcW w:w="5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313</w:t>
            </w:r>
          </w:p>
        </w:tc>
        <w:tc>
          <w:tcPr>
            <w:tcW w:w="320" w:type="dxa"/>
            <w:vAlign w:val="bottom"/>
            <w:shd w:val="clear" w:color="auto" w:fill="E5E5E5"/>
          </w:tcPr>
          <w:p>
            <w:pPr>
              <w:spacing w:after="0"/>
              <w:rPr>
                <w:sz w:val="17"/>
                <w:szCs w:val="17"/>
                <w:color w:val="auto"/>
              </w:rPr>
            </w:pPr>
          </w:p>
        </w:tc>
        <w:tc>
          <w:tcPr>
            <w:tcW w:w="4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329</w:t>
            </w:r>
          </w:p>
        </w:tc>
        <w:tc>
          <w:tcPr>
            <w:tcW w:w="180" w:type="dxa"/>
            <w:vAlign w:val="bottom"/>
            <w:shd w:val="clear" w:color="auto" w:fill="E5E5E5"/>
          </w:tcPr>
          <w:p>
            <w:pPr>
              <w:spacing w:after="0"/>
              <w:rPr>
                <w:sz w:val="17"/>
                <w:szCs w:val="17"/>
                <w:color w:val="auto"/>
              </w:rPr>
            </w:pPr>
          </w:p>
        </w:tc>
        <w:tc>
          <w:tcPr>
            <w:tcW w:w="66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298</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40" w:type="dxa"/>
            <w:vAlign w:val="bottom"/>
            <w:gridSpan w:val="2"/>
          </w:tcPr>
          <w:p>
            <w:pPr>
              <w:spacing w:after="0" w:line="202" w:lineRule="exact"/>
              <w:rPr>
                <w:sz w:val="20"/>
                <w:szCs w:val="20"/>
                <w:color w:val="auto"/>
              </w:rPr>
            </w:pPr>
            <w:r>
              <w:rPr>
                <w:rFonts w:ascii="Arial" w:cs="Arial" w:eastAsia="Arial" w:hAnsi="Arial"/>
                <w:sz w:val="18"/>
                <w:szCs w:val="18"/>
                <w:color w:val="auto"/>
              </w:rPr>
              <w:t>Depreciation of buildings and equipment</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379</w:t>
            </w:r>
          </w:p>
        </w:tc>
        <w:tc>
          <w:tcPr>
            <w:tcW w:w="32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247</w:t>
            </w:r>
          </w:p>
        </w:tc>
        <w:tc>
          <w:tcPr>
            <w:tcW w:w="18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4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Amortization of internal use software</w:t>
            </w:r>
          </w:p>
        </w:tc>
        <w:tc>
          <w:tcPr>
            <w:tcW w:w="5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70</w:t>
            </w:r>
          </w:p>
        </w:tc>
        <w:tc>
          <w:tcPr>
            <w:tcW w:w="320" w:type="dxa"/>
            <w:vAlign w:val="bottom"/>
            <w:shd w:val="clear" w:color="auto" w:fill="E5E5E5"/>
          </w:tcPr>
          <w:p>
            <w:pPr>
              <w:spacing w:after="0"/>
              <w:rPr>
                <w:sz w:val="17"/>
                <w:szCs w:val="17"/>
                <w:color w:val="auto"/>
              </w:rPr>
            </w:pPr>
          </w:p>
        </w:tc>
        <w:tc>
          <w:tcPr>
            <w:tcW w:w="60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53</w:t>
            </w:r>
          </w:p>
        </w:tc>
        <w:tc>
          <w:tcPr>
            <w:tcW w:w="760" w:type="dxa"/>
            <w:vAlign w:val="bottom"/>
            <w:gridSpan w:val="3"/>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3"/>
        </w:trPr>
        <w:tc>
          <w:tcPr>
            <w:tcW w:w="9240" w:type="dxa"/>
            <w:vAlign w:val="bottom"/>
            <w:gridSpan w:val="2"/>
          </w:tcPr>
          <w:p>
            <w:pPr>
              <w:spacing w:after="0" w:line="202" w:lineRule="exact"/>
              <w:rPr>
                <w:sz w:val="20"/>
                <w:szCs w:val="20"/>
                <w:color w:val="auto"/>
              </w:rPr>
            </w:pPr>
            <w:r>
              <w:rPr>
                <w:rFonts w:ascii="Arial" w:cs="Arial" w:eastAsia="Arial" w:hAnsi="Arial"/>
                <w:sz w:val="18"/>
                <w:szCs w:val="18"/>
                <w:color w:val="auto"/>
              </w:rPr>
              <w:t>Amortization of product software</w:t>
            </w:r>
          </w:p>
        </w:tc>
        <w:tc>
          <w:tcPr>
            <w:tcW w:w="8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7</w:t>
            </w:r>
          </w:p>
        </w:tc>
        <w:tc>
          <w:tcPr>
            <w:tcW w:w="6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w:t>
            </w:r>
          </w:p>
        </w:tc>
        <w:tc>
          <w:tcPr>
            <w:tcW w:w="160" w:type="dxa"/>
            <w:vAlign w:val="bottom"/>
          </w:tcPr>
          <w:p>
            <w:pPr>
              <w:spacing w:after="0"/>
              <w:rPr>
                <w:sz w:val="17"/>
                <w:szCs w:val="17"/>
                <w:color w:val="auto"/>
              </w:rPr>
            </w:pPr>
          </w:p>
        </w:tc>
        <w:tc>
          <w:tcPr>
            <w:tcW w:w="6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9240" w:type="dxa"/>
            <w:vAlign w:val="bottom"/>
            <w:gridSpan w:val="2"/>
            <w:shd w:val="clear" w:color="auto" w:fill="E5E5E5"/>
          </w:tcPr>
          <w:p>
            <w:pPr>
              <w:spacing w:after="0" w:line="243" w:lineRule="exact"/>
              <w:rPr>
                <w:sz w:val="20"/>
                <w:szCs w:val="20"/>
                <w:color w:val="auto"/>
              </w:rPr>
            </w:pPr>
            <w:r>
              <w:rPr>
                <w:rFonts w:ascii="Arial" w:cs="Arial" w:eastAsia="Arial" w:hAnsi="Arial"/>
                <w:sz w:val="18"/>
                <w:szCs w:val="18"/>
                <w:color w:val="auto"/>
              </w:rPr>
              <w:t>Amortization of acquired intangible assets</w:t>
            </w:r>
            <w:r>
              <w:rPr>
                <w:rFonts w:ascii="Arial" w:cs="Arial" w:eastAsia="Arial" w:hAnsi="Arial"/>
                <w:sz w:val="22"/>
                <w:szCs w:val="22"/>
                <w:color w:val="auto"/>
                <w:vertAlign w:val="superscript"/>
              </w:rPr>
              <w:t>(2 )</w:t>
            </w: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316</w:t>
            </w:r>
          </w:p>
        </w:tc>
        <w:tc>
          <w:tcPr>
            <w:tcW w:w="320" w:type="dxa"/>
            <w:vAlign w:val="bottom"/>
            <w:shd w:val="clear" w:color="auto" w:fill="E5E5E5"/>
          </w:tcPr>
          <w:p>
            <w:pPr>
              <w:spacing w:after="0"/>
              <w:rPr>
                <w:sz w:val="21"/>
                <w:szCs w:val="21"/>
                <w:color w:val="auto"/>
              </w:rPr>
            </w:pPr>
          </w:p>
        </w:tc>
        <w:tc>
          <w:tcPr>
            <w:tcW w:w="600" w:type="dxa"/>
            <w:vAlign w:val="bottom"/>
            <w:gridSpan w:val="2"/>
            <w:shd w:val="clear" w:color="auto" w:fill="E5E5E5"/>
          </w:tcPr>
          <w:p>
            <w:pPr>
              <w:jc w:val="right"/>
              <w:ind w:right="180"/>
              <w:spacing w:after="0"/>
              <w:rPr>
                <w:sz w:val="20"/>
                <w:szCs w:val="20"/>
                <w:color w:val="auto"/>
              </w:rPr>
            </w:pPr>
            <w:r>
              <w:rPr>
                <w:rFonts w:ascii="Arial" w:cs="Arial" w:eastAsia="Arial" w:hAnsi="Arial"/>
                <w:sz w:val="18"/>
                <w:szCs w:val="18"/>
                <w:color w:val="auto"/>
              </w:rPr>
              <w:t>64</w:t>
            </w:r>
          </w:p>
        </w:tc>
        <w:tc>
          <w:tcPr>
            <w:tcW w:w="760" w:type="dxa"/>
            <w:vAlign w:val="bottom"/>
            <w:gridSpan w:val="3"/>
            <w:shd w:val="clear" w:color="auto" w:fill="E5E5E5"/>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3"/>
        </w:trPr>
        <w:tc>
          <w:tcPr>
            <w:tcW w:w="9240" w:type="dxa"/>
            <w:vAlign w:val="bottom"/>
            <w:gridSpan w:val="2"/>
          </w:tcPr>
          <w:p>
            <w:pPr>
              <w:spacing w:after="0" w:line="202" w:lineRule="exact"/>
              <w:rPr>
                <w:sz w:val="20"/>
                <w:szCs w:val="20"/>
                <w:color w:val="auto"/>
              </w:rPr>
            </w:pPr>
            <w:r>
              <w:rPr>
                <w:rFonts w:ascii="Arial" w:cs="Arial" w:eastAsia="Arial" w:hAnsi="Arial"/>
                <w:sz w:val="18"/>
                <w:szCs w:val="18"/>
                <w:color w:val="auto"/>
              </w:rPr>
              <w:t>Amortization of customer contract costs</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320" w:type="dxa"/>
            <w:vAlign w:val="bottom"/>
          </w:tcPr>
          <w:p>
            <w:pPr>
              <w:spacing w:after="0"/>
              <w:rPr>
                <w:sz w:val="17"/>
                <w:szCs w:val="17"/>
                <w:color w:val="auto"/>
              </w:rPr>
            </w:pPr>
          </w:p>
        </w:tc>
        <w:tc>
          <w:tcPr>
            <w:tcW w:w="6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924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Defined pension benefits – net periodic benefit cost</w:t>
            </w:r>
          </w:p>
        </w:tc>
        <w:tc>
          <w:tcPr>
            <w:tcW w:w="5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304</w:t>
            </w:r>
          </w:p>
        </w:tc>
        <w:tc>
          <w:tcPr>
            <w:tcW w:w="320" w:type="dxa"/>
            <w:vAlign w:val="bottom"/>
            <w:shd w:val="clear" w:color="auto" w:fill="E5E5E5"/>
          </w:tcPr>
          <w:p>
            <w:pPr>
              <w:spacing w:after="0"/>
              <w:rPr>
                <w:sz w:val="17"/>
                <w:szCs w:val="17"/>
                <w:color w:val="auto"/>
              </w:rPr>
            </w:pPr>
          </w:p>
        </w:tc>
        <w:tc>
          <w:tcPr>
            <w:tcW w:w="4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232</w:t>
            </w:r>
          </w:p>
        </w:tc>
        <w:tc>
          <w:tcPr>
            <w:tcW w:w="180" w:type="dxa"/>
            <w:vAlign w:val="bottom"/>
            <w:shd w:val="clear" w:color="auto" w:fill="E5E5E5"/>
          </w:tcPr>
          <w:p>
            <w:pPr>
              <w:spacing w:after="0"/>
              <w:rPr>
                <w:sz w:val="17"/>
                <w:szCs w:val="17"/>
                <w:color w:val="auto"/>
              </w:rPr>
            </w:pPr>
          </w:p>
        </w:tc>
        <w:tc>
          <w:tcPr>
            <w:tcW w:w="66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174</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40" w:type="dxa"/>
            <w:vAlign w:val="bottom"/>
            <w:gridSpan w:val="2"/>
          </w:tcPr>
          <w:p>
            <w:pPr>
              <w:spacing w:after="0" w:line="202" w:lineRule="exact"/>
              <w:rPr>
                <w:sz w:val="20"/>
                <w:szCs w:val="20"/>
                <w:color w:val="auto"/>
              </w:rPr>
            </w:pPr>
            <w:r>
              <w:rPr>
                <w:rFonts w:ascii="Arial" w:cs="Arial" w:eastAsia="Arial" w:hAnsi="Arial"/>
                <w:sz w:val="18"/>
                <w:szCs w:val="18"/>
                <w:color w:val="auto"/>
              </w:rPr>
              <w:t>Other post-retirement benefits – net periodic benefit cost</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32</w:t>
            </w:r>
          </w:p>
        </w:tc>
        <w:tc>
          <w:tcPr>
            <w:tcW w:w="320" w:type="dxa"/>
            <w:vAlign w:val="bottom"/>
          </w:tcPr>
          <w:p>
            <w:pPr>
              <w:spacing w:after="0"/>
              <w:rPr>
                <w:sz w:val="17"/>
                <w:szCs w:val="17"/>
                <w:color w:val="auto"/>
              </w:rPr>
            </w:pPr>
          </w:p>
        </w:tc>
        <w:tc>
          <w:tcPr>
            <w:tcW w:w="6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26</w:t>
            </w:r>
          </w:p>
        </w:tc>
        <w:tc>
          <w:tcPr>
            <w:tcW w:w="76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3"/>
        </w:trPr>
        <w:tc>
          <w:tcPr>
            <w:tcW w:w="924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Deferred tax asset valuation allowance provisions</w:t>
            </w:r>
          </w:p>
        </w:tc>
        <w:tc>
          <w:tcPr>
            <w:tcW w:w="5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22</w:t>
            </w:r>
          </w:p>
        </w:tc>
        <w:tc>
          <w:tcPr>
            <w:tcW w:w="320" w:type="dxa"/>
            <w:vAlign w:val="bottom"/>
            <w:shd w:val="clear" w:color="auto" w:fill="E5E5E5"/>
          </w:tcPr>
          <w:p>
            <w:pPr>
              <w:spacing w:after="0"/>
              <w:rPr>
                <w:sz w:val="17"/>
                <w:szCs w:val="17"/>
                <w:color w:val="auto"/>
              </w:rPr>
            </w:pPr>
          </w:p>
        </w:tc>
        <w:tc>
          <w:tcPr>
            <w:tcW w:w="60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(11)</w:t>
            </w:r>
          </w:p>
        </w:tc>
        <w:tc>
          <w:tcPr>
            <w:tcW w:w="760" w:type="dxa"/>
            <w:vAlign w:val="bottom"/>
            <w:gridSpan w:val="3"/>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5" w:lineRule="exact"/>
        <w:rPr>
          <w:sz w:val="20"/>
          <w:szCs w:val="20"/>
          <w:color w:val="auto"/>
        </w:rPr>
      </w:pPr>
    </w:p>
    <w:p>
      <w:pPr>
        <w:ind w:left="340" w:hanging="332"/>
        <w:spacing w:after="0"/>
        <w:tabs>
          <w:tab w:leader="none" w:pos="340" w:val="left"/>
        </w:tabs>
        <w:numPr>
          <w:ilvl w:val="0"/>
          <w:numId w:val="136"/>
        </w:numPr>
        <w:rPr>
          <w:rFonts w:ascii="Arial" w:cs="Arial" w:eastAsia="Arial" w:hAnsi="Arial"/>
          <w:sz w:val="14"/>
          <w:szCs w:val="14"/>
          <w:color w:val="auto"/>
        </w:rPr>
      </w:pPr>
      <w:r>
        <w:rPr>
          <w:rFonts w:ascii="Arial" w:cs="Arial" w:eastAsia="Arial" w:hAnsi="Arial"/>
          <w:sz w:val="14"/>
          <w:szCs w:val="14"/>
          <w:color w:val="auto"/>
        </w:rPr>
        <w:t>Includes net receivable adjustments of $(8), $(2) and $11 for 2010, 2009 and 2008, respectively.</w:t>
      </w:r>
    </w:p>
    <w:p>
      <w:pPr>
        <w:ind w:left="340" w:hanging="332"/>
        <w:spacing w:after="0"/>
        <w:tabs>
          <w:tab w:leader="none" w:pos="340" w:val="left"/>
        </w:tabs>
        <w:numPr>
          <w:ilvl w:val="0"/>
          <w:numId w:val="136"/>
        </w:numPr>
        <w:rPr>
          <w:rFonts w:ascii="Arial" w:cs="Arial" w:eastAsia="Arial" w:hAnsi="Arial"/>
          <w:sz w:val="14"/>
          <w:szCs w:val="14"/>
          <w:color w:val="auto"/>
        </w:rPr>
      </w:pPr>
      <w:r>
        <w:rPr>
          <w:rFonts w:ascii="Arial" w:cs="Arial" w:eastAsia="Arial" w:hAnsi="Arial"/>
          <w:sz w:val="14"/>
          <w:szCs w:val="14"/>
          <w:color w:val="auto"/>
        </w:rPr>
        <w:t>Includes amortization of $4 for patents, which is included in cost of sales for each period presented.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Changes in Estimates</w:t>
      </w:r>
    </w:p>
    <w:p>
      <w:pPr>
        <w:spacing w:after="0" w:line="18" w:lineRule="exact"/>
        <w:rPr>
          <w:sz w:val="20"/>
          <w:szCs w:val="20"/>
          <w:color w:val="auto"/>
        </w:rPr>
      </w:pPr>
    </w:p>
    <w:p>
      <w:pPr>
        <w:ind w:right="520"/>
        <w:spacing w:after="0" w:line="237" w:lineRule="auto"/>
        <w:rPr>
          <w:sz w:val="20"/>
          <w:szCs w:val="20"/>
          <w:color w:val="auto"/>
        </w:rPr>
      </w:pPr>
      <w:r>
        <w:rPr>
          <w:rFonts w:ascii="Arial" w:cs="Arial" w:eastAsia="Arial" w:hAnsi="Arial"/>
          <w:sz w:val="18"/>
          <w:szCs w:val="18"/>
          <w:color w:val="auto"/>
        </w:rPr>
        <w:t>In the ordinary course of accounting for items discussed above, we make changes in estimates as appropriate and as we become aware of circumstances surrounding those estimates. Such changes and refinements in estimation methodologies are reflected in reported results of operations in the period in which the changes are made and, if material, their effects are disclosed in the Notes to the Consolidated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New Accounting Standards and Accounting Changes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FASB Establishes Accounting Standards Codification™</w:t>
      </w:r>
    </w:p>
    <w:p>
      <w:pPr>
        <w:spacing w:after="0" w:line="18"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In 2009, the FASB established the Accounting Standards Codification (“the Codification” or “ASC”) as the official single source of authoritative U.S. generally accepted accounting principles (“GAAP”). All existing accounting standards are superseded. All other accounting guidance not included in the Codification is considered non-authoritative. The Codification also includes all relevant Securities and Exchange Commission (“SEC”) guidance organized using the same topical structure in separate sections within the Codification. The FASB updates the Codification by issuing Accounting Standard Updates (“ASU’s”).</w:t>
      </w:r>
    </w:p>
    <w:p>
      <w:pPr>
        <w:spacing w:after="0" w:line="157"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The Codification did not change GAAP, but only the way GAAP is organized and presented. In order to ease the transition to the Codification, we are providing the Codification cross-reference alongside the references to the standards issued and adopted prior to the adoption of the Codification.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Fair Value Accounting</w:t>
      </w:r>
    </w:p>
    <w:p>
      <w:pPr>
        <w:spacing w:after="0" w:line="1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In 2010, the FASB issued ASU No. 2010-06 which amended Fair Value Measurements and Disclosures – Overall (ASC Topic 820-10). This update required a gross presentation of activities within the Level 3 rollforward and added a new requirement to disclose transfers in and out of Level 1 and 2 measurements. The update also clarified the following existing disclosure requirements in ASC 820-10 regarding: i) the level of disaggregation of fair value measurements; and ii) the disclosures regarding inputs and valuation techniques. This update was effective for our fiscal year beginning January 1, 2010 except for the gross presentation of the Level 3 rollforward information, which is effective for our fiscal year beginning January 1, 2011. The principle impact from this update is to expand disclosures regarding our fair value measurements.</w:t>
      </w:r>
    </w:p>
    <w:p>
      <w:pPr>
        <w:spacing w:after="0" w:line="139" w:lineRule="exact"/>
        <w:rPr>
          <w:sz w:val="20"/>
          <w:szCs w:val="20"/>
          <w:color w:val="auto"/>
        </w:rPr>
      </w:pPr>
    </w:p>
    <w:p>
      <w:pPr>
        <w:ind w:left="9600"/>
        <w:spacing w:after="0"/>
        <w:rPr>
          <w:sz w:val="20"/>
          <w:szCs w:val="20"/>
          <w:color w:val="auto"/>
        </w:rPr>
      </w:pPr>
      <w:r>
        <w:rPr>
          <w:rFonts w:ascii="Arial" w:cs="Arial" w:eastAsia="Arial" w:hAnsi="Arial"/>
          <w:sz w:val="12"/>
          <w:szCs w:val="12"/>
          <w:color w:val="4C9F40"/>
        </w:rPr>
        <w:t>Xerox 2010 Annual Report 41</w:t>
      </w:r>
    </w:p>
    <w:p>
      <w:pPr>
        <w:sectPr>
          <w:pgSz w:w="11900" w:h="16838" w:orient="portrait"/>
          <w:cols w:equalWidth="0" w:num="1">
            <w:col w:w="11420"/>
          </w:cols>
          <w:pgMar w:left="240" w:top="345" w:right="239" w:bottom="1440" w:gutter="0" w:footer="0" w:header="0"/>
        </w:sectPr>
      </w:pPr>
    </w:p>
    <w:bookmarkStart w:id="118" w:name="page119"/>
    <w:bookmarkEnd w:id="118"/>
    <w:p>
      <w:pPr>
        <w:ind w:right="80"/>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2009, the FASB issued the following updates that provide additional application guidance and require enhanced disclosures regarding fair value measurements:</w:t>
      </w:r>
    </w:p>
    <w:p>
      <w:pPr>
        <w:spacing w:after="0" w:line="195" w:lineRule="exact"/>
        <w:rPr>
          <w:sz w:val="20"/>
          <w:szCs w:val="20"/>
          <w:color w:val="auto"/>
        </w:rPr>
      </w:pPr>
    </w:p>
    <w:p>
      <w:pPr>
        <w:ind w:left="340" w:right="320" w:hanging="332"/>
        <w:spacing w:after="0" w:line="234" w:lineRule="auto"/>
        <w:tabs>
          <w:tab w:leader="none" w:pos="3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FSP FAS 157-4, “Determining Fair Value When the Volume and Level of Activity for the Asset or Liability Have Significantly Decreased and Identifying Transactions That Are Not Orderly” (ASC Topic 820-10-65).</w:t>
      </w:r>
    </w:p>
    <w:p>
      <w:pPr>
        <w:spacing w:after="0" w:line="1" w:lineRule="exact"/>
        <w:rPr>
          <w:rFonts w:ascii="Arial" w:cs="Arial" w:eastAsia="Arial" w:hAnsi="Arial"/>
          <w:sz w:val="18"/>
          <w:szCs w:val="18"/>
          <w:color w:val="auto"/>
        </w:rPr>
      </w:pPr>
    </w:p>
    <w:p>
      <w:pPr>
        <w:ind w:left="340" w:hanging="332"/>
        <w:spacing w:after="0" w:line="234" w:lineRule="auto"/>
        <w:tabs>
          <w:tab w:leader="none" w:pos="3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FSP FAS 115-2 and FAS 124-2, “Recognition and Presentation of Other-Than-Temporary Impairments” (ASC Topic 320-10-65).</w:t>
      </w:r>
    </w:p>
    <w:p>
      <w:pPr>
        <w:ind w:left="340" w:hanging="332"/>
        <w:spacing w:after="0" w:line="234" w:lineRule="auto"/>
        <w:tabs>
          <w:tab w:leader="none" w:pos="3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FSP FAS 107-1 and APB 28-1, “Interim Disclosures about Fair Value of Financial Instruments” (ASC Topic 320-10-65).</w:t>
      </w:r>
    </w:p>
    <w:p>
      <w:pPr>
        <w:ind w:left="340" w:hanging="332"/>
        <w:spacing w:after="0"/>
        <w:tabs>
          <w:tab w:leader="none" w:pos="3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ASU No. 2009-05, “Fair Value Measurements and Disclosures (Topic 820)—Measuring Liabilities at Fair Value.”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 adopted these updates in 2009 and the adoptions did not have a material effect on our financial condition or results of operations.</w:t>
      </w:r>
    </w:p>
    <w:p>
      <w:pPr>
        <w:spacing w:after="0" w:line="158" w:lineRule="exact"/>
        <w:rPr>
          <w:sz w:val="20"/>
          <w:szCs w:val="20"/>
          <w:color w:val="auto"/>
        </w:rPr>
      </w:pPr>
    </w:p>
    <w:p>
      <w:pPr>
        <w:ind w:right="120"/>
        <w:spacing w:after="0" w:line="271" w:lineRule="auto"/>
        <w:rPr>
          <w:sz w:val="20"/>
          <w:szCs w:val="20"/>
          <w:color w:val="auto"/>
        </w:rPr>
      </w:pPr>
      <w:r>
        <w:rPr>
          <w:rFonts w:ascii="Arial" w:cs="Arial" w:eastAsia="Arial" w:hAnsi="Arial"/>
          <w:sz w:val="16"/>
          <w:szCs w:val="16"/>
          <w:color w:val="auto"/>
        </w:rPr>
        <w:t>In 2006, the FASB issued SFAS No. 157, “Fair Value Measurements” (ASC Topic 820) which defined fair value, established a market-based framework or hierarchy for measuring fair value and expanded disclosures about fair value measurements. This guidance is applicable whenever another accounting pronouncement requires or permits assets and liabilities to be measured at fair value. It did not expand or require any new fair value measures; however the application of this statement may change current practice. We adopted this guidance for financial assets and liabilities effective January 1, 2008 and for non-financial assets and liabilities effective January 1, 2009. The adoption of this guidance, which primarily affected the valuation of our derivative contracts, did not have a material effect on our financial condition or results of operations.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Business Combinations</w:t>
      </w:r>
    </w:p>
    <w:p>
      <w:pPr>
        <w:spacing w:after="0" w:line="1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2007, the FASB issued SFAS No. 141 (revised 2007), “Business Combinations” (ASC Topic 805). This guidance requires the acquiring entity in a business combination to recognize the full fair value of assets acquired and liabilities assumed in the transaction (whether a full or partial acquisition); establishes the acquisition date fair value as the measurement objective for all assets acquired and liabilities assumed; requires expensing of most transaction and restructuring costs; and requires the acquirer to disclose the information needed to evaluate and understand the nature and financial effect of the business combination. We adopted this guidance effective January 1, 2009 and have applied it to all business combinations prospectively from that date. The impact of ASC Topic 805 on our consolidated financial statements depends upon the nature, terms and size of the acquisitions we consummate in the future.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Revenue Recognition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In 2009, the FASB issued the following ASUs:</w:t>
      </w:r>
    </w:p>
    <w:p>
      <w:pPr>
        <w:spacing w:after="0" w:line="77" w:lineRule="exact"/>
        <w:rPr>
          <w:sz w:val="20"/>
          <w:szCs w:val="20"/>
          <w:color w:val="auto"/>
        </w:rPr>
      </w:pPr>
    </w:p>
    <w:p>
      <w:pPr>
        <w:ind w:left="340" w:right="20" w:hanging="332"/>
        <w:spacing w:after="0" w:line="236" w:lineRule="auto"/>
        <w:tabs>
          <w:tab w:leader="none" w:pos="3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ASU No. 2009-13, Revenue Recognition (ASC Topic 605) - Multiple-Deliverable Revenue Arrangements, a consensus of the FASB Emerging Issues Task Force. This guidance modified previous requirements by allowing the use of the “best estimate of selling price” in the absence of vendor-specific objective evidence (“VSOE”) or verifiable objective evidence (“VOE”) (now referred to as TPE standing for third-party evidence) for determining the selling price of a deliverable. A vendor is now required to use its best estimate of the selling price when more objective evidence of the selling price cannot be determined. In addition, the residual method of allocating arrangement consideration is no longer permitted.</w:t>
      </w:r>
    </w:p>
    <w:p>
      <w:pPr>
        <w:spacing w:after="0" w:line="196" w:lineRule="exact"/>
        <w:rPr>
          <w:rFonts w:ascii="Arial" w:cs="Arial" w:eastAsia="Arial" w:hAnsi="Arial"/>
          <w:sz w:val="18"/>
          <w:szCs w:val="18"/>
          <w:color w:val="auto"/>
        </w:rPr>
      </w:pPr>
    </w:p>
    <w:p>
      <w:pPr>
        <w:ind w:left="340" w:right="40" w:hanging="332"/>
        <w:spacing w:after="0" w:line="236" w:lineRule="auto"/>
        <w:tabs>
          <w:tab w:leader="none" w:pos="3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ASU No. 2009-14, Software (ASC Topic 985) - Certain Revenue Arrangements That Include Software Elements, a consensus of the FASB Emerging Issues Task Force. This guidance modified the scope of ASC subtopic 985-605 Software-Revenue Recognition to exclude from its requirements (a) non-software components of tangible products and (b) software components of tangible products that are sold, licensed or leased with tangible products when the software components and non-software components of the tangible product function together to deliver the tangible product’s essential functionality.</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4"/>
          <w:szCs w:val="14"/>
          <w:color w:val="4C9F40"/>
        </w:rPr>
        <w:t>Xerox 2010 Annual Report 42</w:t>
      </w:r>
    </w:p>
    <w:p>
      <w:pPr>
        <w:sectPr>
          <w:pgSz w:w="11900" w:h="16838" w:orient="portrait"/>
          <w:cols w:equalWidth="0" w:num="1">
            <w:col w:w="11420"/>
          </w:cols>
          <w:pgMar w:left="240" w:top="345" w:right="239" w:bottom="1440" w:gutter="0" w:footer="0" w:header="0"/>
        </w:sectPr>
      </w:pPr>
    </w:p>
    <w:bookmarkStart w:id="119" w:name="page120"/>
    <w:bookmarkEnd w:id="119"/>
    <w:p>
      <w:pPr>
        <w:ind w:right="180"/>
        <w:spacing w:after="0" w:line="23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adopted these updates effective for our fiscal year beginning January 1, 2010 and are applying them prospectively from that date for new or materially modified arrangements. The adoption of these updates did not have a material effect on our financial condition or results of operations. See “Summary of Accounting Policies- Revenue recognition – Multiple Element Arrangements” for further information regarding our adoption of ASU No. 2009-13.</w:t>
      </w:r>
    </w:p>
    <w:p>
      <w:pPr>
        <w:spacing w:after="0" w:line="15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With respect to the new software guidance in ASU No. 2009-14, the modification in the scope of the industry-specific software revenue recognition guidance did not result in a change in the recognition of revenue for our equipment and services. Software included within our equipment and services has generally been considered incidental and therefore has been, and will continue to be, accounted for as part of the sale of equipment or services. Most of our equipment have both software and non-software components that function together to deliver the equipment’s essential functionality. The software scope modification is also not expected to change the recognition of revenue for software accessories sold in connection with our equipment or free-standing software sales as these transactions will continue to be accounted for under the industry-specific software revenue recognition guidance as separate software elements. See “Summary of Accounting Policies- Revenue recognition – Software” for further information.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Other Accounting Changes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In 2010, the FASB issued the following codification updates:</w:t>
      </w:r>
    </w:p>
    <w:p>
      <w:pPr>
        <w:spacing w:after="0" w:line="198" w:lineRule="exact"/>
        <w:rPr>
          <w:sz w:val="20"/>
          <w:szCs w:val="20"/>
          <w:color w:val="auto"/>
        </w:rPr>
      </w:pPr>
    </w:p>
    <w:p>
      <w:pPr>
        <w:ind w:left="340" w:right="340" w:hanging="332"/>
        <w:spacing w:after="0" w:line="238" w:lineRule="auto"/>
        <w:tabs>
          <w:tab w:leader="none" w:pos="340"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4C9F40"/>
        </w:rPr>
        <w:t>ASU 2010-19</w:t>
      </w:r>
      <w:r>
        <w:rPr>
          <w:rFonts w:ascii="Arial" w:cs="Arial" w:eastAsia="Arial" w:hAnsi="Arial"/>
          <w:sz w:val="18"/>
          <w:szCs w:val="18"/>
          <w:color w:val="4C9F40"/>
        </w:rPr>
        <w:t xml:space="preserve"> </w:t>
      </w:r>
      <w:r>
        <w:rPr>
          <w:rFonts w:ascii="Arial" w:cs="Arial" w:eastAsia="Arial" w:hAnsi="Arial"/>
          <w:sz w:val="18"/>
          <w:szCs w:val="18"/>
          <w:color w:val="000000"/>
        </w:rPr>
        <w:t>which amended Foreign Currency (ASC Topic 830). The purpose of this update was to codify the SEC staff’s view on certain</w:t>
      </w:r>
      <w:r>
        <w:rPr>
          <w:rFonts w:ascii="Arial" w:cs="Arial" w:eastAsia="Arial" w:hAnsi="Arial"/>
          <w:sz w:val="18"/>
          <w:szCs w:val="18"/>
          <w:color w:val="4C9F40"/>
        </w:rPr>
        <w:t xml:space="preserve"> </w:t>
      </w:r>
      <w:r>
        <w:rPr>
          <w:rFonts w:ascii="Arial" w:cs="Arial" w:eastAsia="Arial" w:hAnsi="Arial"/>
          <w:sz w:val="18"/>
          <w:szCs w:val="18"/>
          <w:color w:val="000000"/>
        </w:rPr>
        <w:t>foreign currency issues related to investments in Venezuela. See “Foreign Currency Translation and Re-measurement” section below for further information regarding our operations in Venezuela.</w:t>
      </w:r>
    </w:p>
    <w:p>
      <w:pPr>
        <w:spacing w:after="0" w:line="194" w:lineRule="exact"/>
        <w:rPr>
          <w:rFonts w:ascii="Arial" w:cs="Arial" w:eastAsia="Arial" w:hAnsi="Arial"/>
          <w:sz w:val="18"/>
          <w:szCs w:val="18"/>
          <w:color w:val="auto"/>
        </w:rPr>
      </w:pPr>
    </w:p>
    <w:p>
      <w:pPr>
        <w:ind w:left="340" w:right="160" w:hanging="332"/>
        <w:spacing w:after="0" w:line="236" w:lineRule="auto"/>
        <w:tabs>
          <w:tab w:leader="none" w:pos="340"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4C9F40"/>
        </w:rPr>
        <w:t>ASU 2010-20</w:t>
      </w:r>
      <w:r>
        <w:rPr>
          <w:rFonts w:ascii="Arial" w:cs="Arial" w:eastAsia="Arial" w:hAnsi="Arial"/>
          <w:sz w:val="18"/>
          <w:szCs w:val="18"/>
          <w:color w:val="4C9F40"/>
        </w:rPr>
        <w:t xml:space="preserve"> </w:t>
      </w:r>
      <w:r>
        <w:rPr>
          <w:rFonts w:ascii="Arial" w:cs="Arial" w:eastAsia="Arial" w:hAnsi="Arial"/>
          <w:sz w:val="18"/>
          <w:szCs w:val="18"/>
          <w:color w:val="000000"/>
        </w:rPr>
        <w:t>which amended Receivables (ASC Topic 310) and requires significantly increased disclosures regarding the credit quality of an</w:t>
      </w:r>
      <w:r>
        <w:rPr>
          <w:rFonts w:ascii="Arial" w:cs="Arial" w:eastAsia="Arial" w:hAnsi="Arial"/>
          <w:sz w:val="18"/>
          <w:szCs w:val="18"/>
          <w:color w:val="4C9F40"/>
        </w:rPr>
        <w:t xml:space="preserve"> </w:t>
      </w:r>
      <w:r>
        <w:rPr>
          <w:rFonts w:ascii="Arial" w:cs="Arial" w:eastAsia="Arial" w:hAnsi="Arial"/>
          <w:sz w:val="18"/>
          <w:szCs w:val="18"/>
          <w:color w:val="000000"/>
        </w:rPr>
        <w:t>entity’s financing receivables and its allowance for credit losses. In addition, this update requires an entity to disclose credit quality indicators past due information, and modifications of its financing receivables. The disclosures are first effective for our 2010 Annual Report. The principal impact from this update was increased disclosures concerning the details of finance receivables and the related provisions and reserves for credit losses. See Note 4 – Receivables, Net for the disclosures required by this update.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In 2009, the FASB issued the following codification updates:</w:t>
      </w:r>
    </w:p>
    <w:p>
      <w:pPr>
        <w:spacing w:after="0" w:line="198" w:lineRule="exact"/>
        <w:rPr>
          <w:sz w:val="20"/>
          <w:szCs w:val="20"/>
          <w:color w:val="auto"/>
        </w:rPr>
      </w:pPr>
    </w:p>
    <w:p>
      <w:pPr>
        <w:ind w:left="340" w:right="240" w:hanging="332"/>
        <w:spacing w:after="0" w:line="236" w:lineRule="auto"/>
        <w:tabs>
          <w:tab w:leader="none" w:pos="340"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4C9F40"/>
        </w:rPr>
        <w:t>ASU 2009-16</w:t>
      </w:r>
      <w:r>
        <w:rPr>
          <w:rFonts w:ascii="Arial" w:cs="Arial" w:eastAsia="Arial" w:hAnsi="Arial"/>
          <w:sz w:val="18"/>
          <w:szCs w:val="18"/>
          <w:color w:val="4C9F40"/>
        </w:rPr>
        <w:t xml:space="preserve"> </w:t>
      </w:r>
      <w:r>
        <w:rPr>
          <w:rFonts w:ascii="Arial" w:cs="Arial" w:eastAsia="Arial" w:hAnsi="Arial"/>
          <w:sz w:val="18"/>
          <w:szCs w:val="18"/>
          <w:color w:val="000000"/>
        </w:rPr>
        <w:t>which amended Transfers and Servicing (ASC Topic 860): Accounting for Transfers of Financial Assets. This update removed</w:t>
      </w:r>
      <w:r>
        <w:rPr>
          <w:rFonts w:ascii="Arial" w:cs="Arial" w:eastAsia="Arial" w:hAnsi="Arial"/>
          <w:sz w:val="18"/>
          <w:szCs w:val="18"/>
          <w:color w:val="4C9F40"/>
        </w:rPr>
        <w:t xml:space="preserve"> </w:t>
      </w:r>
      <w:r>
        <w:rPr>
          <w:rFonts w:ascii="Arial" w:cs="Arial" w:eastAsia="Arial" w:hAnsi="Arial"/>
          <w:sz w:val="18"/>
          <w:szCs w:val="18"/>
          <w:color w:val="000000"/>
        </w:rPr>
        <w:t>the concept of a qualifying special-purpose entity and removed the exception from applying consolidation guidance to these entities. This update also clarified the requirements for isolation and limitations on portions of financial assets that are eligible for sale accounting. We adopted this update effective for our fiscal year beginning January 1, 2010. Certain accounts receivable sale arrangements were modified in order to qualify for sale accounting under this updated guidance. The adoption of this update did not have a material effect on our financial condition or results of operations.</w:t>
      </w:r>
    </w:p>
    <w:p>
      <w:pPr>
        <w:spacing w:after="0" w:line="196" w:lineRule="exact"/>
        <w:rPr>
          <w:rFonts w:ascii="Arial" w:cs="Arial" w:eastAsia="Arial" w:hAnsi="Arial"/>
          <w:sz w:val="18"/>
          <w:szCs w:val="18"/>
          <w:color w:val="auto"/>
        </w:rPr>
      </w:pPr>
    </w:p>
    <w:p>
      <w:pPr>
        <w:ind w:left="340" w:right="120" w:hanging="332"/>
        <w:spacing w:after="0" w:line="236" w:lineRule="auto"/>
        <w:tabs>
          <w:tab w:leader="none" w:pos="340"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4C9F40"/>
        </w:rPr>
        <w:t>ASU 2009-17</w:t>
      </w:r>
      <w:r>
        <w:rPr>
          <w:rFonts w:ascii="Arial" w:cs="Arial" w:eastAsia="Arial" w:hAnsi="Arial"/>
          <w:sz w:val="18"/>
          <w:szCs w:val="18"/>
          <w:color w:val="4C9F40"/>
        </w:rPr>
        <w:t xml:space="preserve"> </w:t>
      </w:r>
      <w:r>
        <w:rPr>
          <w:rFonts w:ascii="Arial" w:cs="Arial" w:eastAsia="Arial" w:hAnsi="Arial"/>
          <w:sz w:val="18"/>
          <w:szCs w:val="18"/>
          <w:color w:val="000000"/>
        </w:rPr>
        <w:t>which amended Consolidations (ASC Topic 810): Improvements to Financial Reporting by Enterprises Involved with Variable</w:t>
      </w:r>
      <w:r>
        <w:rPr>
          <w:rFonts w:ascii="Arial" w:cs="Arial" w:eastAsia="Arial" w:hAnsi="Arial"/>
          <w:sz w:val="18"/>
          <w:szCs w:val="18"/>
          <w:color w:val="4C9F40"/>
        </w:rPr>
        <w:t xml:space="preserve"> </w:t>
      </w:r>
      <w:r>
        <w:rPr>
          <w:rFonts w:ascii="Arial" w:cs="Arial" w:eastAsia="Arial" w:hAnsi="Arial"/>
          <w:sz w:val="18"/>
          <w:szCs w:val="18"/>
          <w:color w:val="000000"/>
        </w:rPr>
        <w:t>Interest Entities. This update required an analysis to determine whether a variable interest gives the entity a controlling financial interest in a variable interest entity. It also required an ongoing reassessment and eliminates the quantitative approach previously required for determining whether an entity is the primary beneficiary. We adopted this update effective for our fiscal year beginning January 1, 2010 and the adoption did not have a material effect on our financial condition or results of operations.</w:t>
      </w:r>
    </w:p>
    <w:p>
      <w:pPr>
        <w:spacing w:after="0" w:line="157" w:lineRule="exact"/>
        <w:rPr>
          <w:sz w:val="20"/>
          <w:szCs w:val="20"/>
          <w:color w:val="auto"/>
        </w:rPr>
      </w:pPr>
    </w:p>
    <w:p>
      <w:pPr>
        <w:jc w:val="both"/>
        <w:ind w:right="380"/>
        <w:spacing w:after="0" w:line="238" w:lineRule="auto"/>
        <w:rPr>
          <w:sz w:val="20"/>
          <w:szCs w:val="20"/>
          <w:color w:val="auto"/>
        </w:rPr>
      </w:pPr>
      <w:r>
        <w:rPr>
          <w:rFonts w:ascii="Arial" w:cs="Arial" w:eastAsia="Arial" w:hAnsi="Arial"/>
          <w:sz w:val="18"/>
          <w:szCs w:val="18"/>
          <w:color w:val="auto"/>
        </w:rPr>
        <w:t>Since the implementation of the codification, the FASB has issued several ASU’s. Except for the ASU’s discussed above, the remaining ASU’s issued by the FASB entail technical corrections to existing guidance or affect guidance related to unique/infrequent transactions or specialized industries/entities and therefore have minimal, if any, impact on the Company.</w:t>
      </w:r>
    </w:p>
    <w:p>
      <w:pPr>
        <w:spacing w:after="0" w:line="137" w:lineRule="exact"/>
        <w:rPr>
          <w:sz w:val="20"/>
          <w:szCs w:val="20"/>
          <w:color w:val="auto"/>
        </w:rPr>
      </w:pPr>
    </w:p>
    <w:p>
      <w:pPr>
        <w:jc w:val="right"/>
        <w:spacing w:after="0"/>
        <w:rPr>
          <w:sz w:val="20"/>
          <w:szCs w:val="20"/>
          <w:color w:val="auto"/>
        </w:rPr>
      </w:pPr>
      <w:r>
        <w:rPr>
          <w:rFonts w:ascii="Arial" w:cs="Arial" w:eastAsia="Arial" w:hAnsi="Arial"/>
          <w:sz w:val="14"/>
          <w:szCs w:val="14"/>
          <w:color w:val="4C9F40"/>
        </w:rPr>
        <w:t>Xerox 2010 Annual Report 43</w:t>
      </w:r>
    </w:p>
    <w:p>
      <w:pPr>
        <w:sectPr>
          <w:pgSz w:w="11900" w:h="16838" w:orient="portrait"/>
          <w:cols w:equalWidth="0" w:num="1">
            <w:col w:w="11420"/>
          </w:cols>
          <w:pgMar w:left="240" w:top="345" w:right="2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color w:val="4C9F40"/>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Summary of Accounting Policies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Revenue Recognition</w:t>
      </w:r>
    </w:p>
    <w:p>
      <w:pPr>
        <w:spacing w:after="0" w:line="18" w:lineRule="exact"/>
        <w:rPr>
          <w:sz w:val="20"/>
          <w:szCs w:val="20"/>
          <w:color w:val="auto"/>
        </w:rPr>
      </w:pPr>
    </w:p>
    <w:p>
      <w:pPr>
        <w:ind w:right="420"/>
        <w:spacing w:after="0" w:line="299" w:lineRule="auto"/>
        <w:rPr>
          <w:sz w:val="20"/>
          <w:szCs w:val="20"/>
          <w:color w:val="auto"/>
        </w:rPr>
      </w:pPr>
      <w:r>
        <w:rPr>
          <w:rFonts w:ascii="Arial" w:cs="Arial" w:eastAsia="Arial" w:hAnsi="Arial"/>
          <w:sz w:val="16"/>
          <w:szCs w:val="16"/>
          <w:color w:val="auto"/>
        </w:rPr>
        <w:t>We generate revenue through services, the sale and rental of equipment, supplies and income associated with the financing of our equipment sales. Revenue is recognized when earned. More specifically, revenue related to services and sales of our products is recognized as follows:</w:t>
      </w:r>
    </w:p>
    <w:p>
      <w:pPr>
        <w:spacing w:after="0" w:line="87" w:lineRule="exact"/>
        <w:rPr>
          <w:sz w:val="20"/>
          <w:szCs w:val="20"/>
          <w:color w:val="auto"/>
        </w:rPr>
      </w:pPr>
    </w:p>
    <w:p>
      <w:pPr>
        <w:ind w:right="80"/>
        <w:spacing w:after="0" w:line="280" w:lineRule="auto"/>
        <w:rPr>
          <w:sz w:val="20"/>
          <w:szCs w:val="20"/>
          <w:color w:val="auto"/>
        </w:rPr>
      </w:pPr>
      <w:r>
        <w:rPr>
          <w:rFonts w:ascii="Arial" w:cs="Arial" w:eastAsia="Arial" w:hAnsi="Arial"/>
          <w:sz w:val="16"/>
          <w:szCs w:val="16"/>
          <w:b w:val="1"/>
          <w:bCs w:val="1"/>
          <w:color w:val="4C9F40"/>
        </w:rPr>
        <w:t xml:space="preserve">Equipment: </w:t>
      </w:r>
      <w:r>
        <w:rPr>
          <w:rFonts w:ascii="Arial" w:cs="Arial" w:eastAsia="Arial" w:hAnsi="Arial"/>
          <w:sz w:val="16"/>
          <w:szCs w:val="16"/>
          <w:color w:val="000000"/>
        </w:rPr>
        <w:t>Revenues from the sale of equipment, including those from sales-type leases, are recognized at the time of sale or at the inception of</w:t>
      </w:r>
      <w:r>
        <w:rPr>
          <w:rFonts w:ascii="Arial" w:cs="Arial" w:eastAsia="Arial" w:hAnsi="Arial"/>
          <w:sz w:val="16"/>
          <w:szCs w:val="16"/>
          <w:b w:val="1"/>
          <w:bCs w:val="1"/>
          <w:color w:val="4C9F40"/>
        </w:rPr>
        <w:t xml:space="preserve"> </w:t>
      </w:r>
      <w:r>
        <w:rPr>
          <w:rFonts w:ascii="Arial" w:cs="Arial" w:eastAsia="Arial" w:hAnsi="Arial"/>
          <w:sz w:val="16"/>
          <w:szCs w:val="16"/>
          <w:color w:val="000000"/>
        </w:rPr>
        <w:t>the lease, as appropriate. For equipment sales that require us to install the product at the customer location, revenue is recognized when the equipment has been delivered and installed at the customer location. Sales of customer installable products are recognized upon shipment or receipt by the customer according to the customer’s shipping terms. Revenues from equipment under other leases and similar arrangements are accounted for by the operating lease method and are recognized as earned over the lease term, which is generally on a straight-line basis.</w:t>
      </w:r>
    </w:p>
    <w:p>
      <w:pPr>
        <w:spacing w:after="0" w:line="102" w:lineRule="exact"/>
        <w:rPr>
          <w:sz w:val="20"/>
          <w:szCs w:val="20"/>
          <w:color w:val="auto"/>
        </w:rPr>
      </w:pPr>
    </w:p>
    <w:p>
      <w:pPr>
        <w:ind w:right="220"/>
        <w:spacing w:after="0" w:line="242" w:lineRule="auto"/>
        <w:rPr>
          <w:sz w:val="20"/>
          <w:szCs w:val="20"/>
          <w:color w:val="auto"/>
        </w:rPr>
      </w:pPr>
      <w:r>
        <w:rPr>
          <w:rFonts w:ascii="Arial" w:cs="Arial" w:eastAsia="Arial" w:hAnsi="Arial"/>
          <w:sz w:val="18"/>
          <w:szCs w:val="18"/>
          <w:b w:val="1"/>
          <w:bCs w:val="1"/>
          <w:color w:val="4C9F40"/>
        </w:rPr>
        <w:t xml:space="preserve">Services: </w:t>
      </w:r>
      <w:r>
        <w:rPr>
          <w:rFonts w:ascii="Arial" w:cs="Arial" w:eastAsia="Arial" w:hAnsi="Arial"/>
          <w:sz w:val="18"/>
          <w:szCs w:val="18"/>
          <w:color w:val="000000"/>
        </w:rPr>
        <w:t>Technical service revenues are derived primarily from maintenance contracts on our equipment sold to customers and are recognized</w:t>
      </w:r>
      <w:r>
        <w:rPr>
          <w:rFonts w:ascii="Arial" w:cs="Arial" w:eastAsia="Arial" w:hAnsi="Arial"/>
          <w:sz w:val="18"/>
          <w:szCs w:val="18"/>
          <w:b w:val="1"/>
          <w:bCs w:val="1"/>
          <w:color w:val="4C9F40"/>
        </w:rPr>
        <w:t xml:space="preserve"> </w:t>
      </w:r>
      <w:r>
        <w:rPr>
          <w:rFonts w:ascii="Arial" w:cs="Arial" w:eastAsia="Arial" w:hAnsi="Arial"/>
          <w:sz w:val="18"/>
          <w:szCs w:val="18"/>
          <w:color w:val="000000"/>
        </w:rPr>
        <w:t>over the term of the contracts. A substantial portion of our products are sold with full service maintenance agreements for which the customer typically pays a base service fee plus a variable amount based on usage. As a consequence, other than the product warranty obligations associated with certain of our low end products, we do not have any significant product warranty obligations, including any obligations under customer satisfaction programs.</w:t>
      </w:r>
    </w:p>
    <w:p>
      <w:pPr>
        <w:spacing w:after="0" w:line="153" w:lineRule="exact"/>
        <w:rPr>
          <w:sz w:val="20"/>
          <w:szCs w:val="20"/>
          <w:color w:val="auto"/>
        </w:rPr>
      </w:pPr>
    </w:p>
    <w:p>
      <w:pPr>
        <w:ind w:right="100"/>
        <w:spacing w:after="0" w:line="270" w:lineRule="auto"/>
        <w:rPr>
          <w:sz w:val="20"/>
          <w:szCs w:val="20"/>
          <w:color w:val="auto"/>
        </w:rPr>
      </w:pPr>
      <w:r>
        <w:rPr>
          <w:rFonts w:ascii="Arial" w:cs="Arial" w:eastAsia="Arial" w:hAnsi="Arial"/>
          <w:sz w:val="16"/>
          <w:szCs w:val="16"/>
          <w:color w:val="auto"/>
        </w:rPr>
        <w:t>Revenues associated with outsourcing services are generally recognized as services are rendered, which is generally on the basis of the number of accounts or transactions processed. Information technology processing revenues are recognized as services are provided to the customer, generally at the contractual selling prices of resources consumed or capacity utilized by our customers. In those service arrangements where final acceptance of a system or solution by the customer is required, revenue is deferred until all acceptance criteria have been met. Revenues on cost reimbursable contracts are recognized by applying an estimated factor to costs as incurred, determined by the contract provisions and prior experience. Revenues on unit-price contracts are recognized at the contractual selling prices as work is completed and accepted by the customer. Revenues on time and material contracts are recognized at the contractual rates as the labor hours and direct expenses are incurred.</w:t>
      </w:r>
    </w:p>
    <w:p>
      <w:pPr>
        <w:spacing w:after="0" w:line="131"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In connection with our services arrangements, we incur costs to originate these long-term contracts and to perform the migration, transition and setup activities necessary to enable us to perform under the terms of the arrangement. We capitalize certain incremental direct costs that are related to the contract origination or transition, implementation and setup activities and amortize them over the term of the arrangement. From time to time, we also provide certain inducements to customers in the form of various arrangements, including contractual credits, which are capitalized and amortized as a reduction of revenue over the term of the contract. Customer-related deferred set-up/transition and inducement costs are being amortized over a weighted average period of approximately 8 years. Initial direct costs of an arrangement are capitalized and amortized over the contractual service period.</w:t>
      </w:r>
    </w:p>
    <w:p>
      <w:pPr>
        <w:spacing w:after="0" w:line="155"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Long-lived assets used in the fulfillment of the arrangements are capitalized and depreciated over the shorter of their useful life or the term of the contract if an asset is contract specific.</w:t>
      </w:r>
    </w:p>
    <w:p>
      <w:pPr>
        <w:spacing w:after="0" w:line="155"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Revenues on certain fixed price contracts where we provide information technology system development and implementation services are recognized over the contract term based on the percentage of development and implementation services that are provided during the period compared with the total estimated development and implementation services to be provided over the entire contract. These services require that we perform significant, extensive and complex design, development, modification or implementation of our customers’ systems. Performance will often extend over long periods, and our right to receive future payment depends on our future performance in accordance with the agreement. During 2010, we recognized approximately $270 of revenue using the percentage-of-completion accounting method.</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4"/>
          <w:szCs w:val="14"/>
          <w:color w:val="4C9F40"/>
        </w:rPr>
        <w:t>Xerox 2010 Annual Report 44</w:t>
      </w:r>
    </w:p>
    <w:p>
      <w:pPr>
        <w:sectPr>
          <w:pgSz w:w="11900" w:h="16838" w:orient="portrait"/>
          <w:cols w:equalWidth="0" w:num="1">
            <w:col w:w="11420"/>
          </w:cols>
          <w:pgMar w:left="240" w:top="485" w:right="239" w:bottom="1440" w:gutter="0" w:footer="0" w:header="0"/>
        </w:sectPr>
      </w:pPr>
    </w:p>
    <w:bookmarkStart w:id="121" w:name="page122"/>
    <w:bookmarkEnd w:id="121"/>
    <w:p>
      <w:pPr>
        <w:ind w:right="100"/>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percentage-of-completion methodology involves recognizing probable and reasonably estimable revenue using the percentage of services completed, on a current cumulative cost to estimated total cost basis, using a reasonably consistent profit margin over the period. Due to the long-term nature of these projects, developing the estimates of costs often requires significant judgment. Factors that must be considered in estimating the progress of work completed and ultimate cost of the projects include, but are not limited to, the availability of labor and labor productivity, the nature and complexity of the work to be performed and the impact of delayed performance. If changes occur in delivery, productivity or other factors used in developing the estimates of costs or revenues, we revise our cost and revenue estimates, which may result in increases or decreases in revenues and costs, and such revisions are reflected in income in the period in which the facts that give rise to that revision become known.</w:t>
      </w:r>
    </w:p>
    <w:p>
      <w:pPr>
        <w:spacing w:after="0" w:line="154"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Revenues earned in excess of related billings are accrued, whereas billings in excess of revenues earned are deferred until the related services are provided. We recognize revenues for non-refundable, upfront implementation fees on a straight-line basis over the period between the initiations of the ongoing services through the end of the contract term.</w:t>
      </w:r>
    </w:p>
    <w:p>
      <w:pPr>
        <w:spacing w:after="0" w:line="132"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b w:val="1"/>
          <w:bCs w:val="1"/>
          <w:color w:val="4C9F40"/>
        </w:rPr>
        <w:t xml:space="preserve">Sales to distributors and resellers: </w:t>
      </w:r>
      <w:r>
        <w:rPr>
          <w:rFonts w:ascii="Arial" w:cs="Arial" w:eastAsia="Arial" w:hAnsi="Arial"/>
          <w:sz w:val="18"/>
          <w:szCs w:val="18"/>
          <w:color w:val="000000"/>
        </w:rPr>
        <w:t>We utilize distributors and resellers to sell certain of our products to end-user customers. We refer to our</w:t>
      </w:r>
      <w:r>
        <w:rPr>
          <w:rFonts w:ascii="Arial" w:cs="Arial" w:eastAsia="Arial" w:hAnsi="Arial"/>
          <w:sz w:val="18"/>
          <w:szCs w:val="18"/>
          <w:b w:val="1"/>
          <w:bCs w:val="1"/>
          <w:color w:val="4C9F40"/>
        </w:rPr>
        <w:t xml:space="preserve"> </w:t>
      </w:r>
      <w:r>
        <w:rPr>
          <w:rFonts w:ascii="Arial" w:cs="Arial" w:eastAsia="Arial" w:hAnsi="Arial"/>
          <w:sz w:val="18"/>
          <w:szCs w:val="18"/>
          <w:color w:val="000000"/>
        </w:rPr>
        <w:t>distributor and reseller network as our two-tier distribution model. Sales to distributors and resellers are generally recognized as revenue when products are sold to such distributors and resellers. Distributors and resellers participate in various cooperative marketing and other programs, and we record provisions for these programs as a reduction to revenue when the sales occur. Similarly, we account for our estimates of sales returns and other allowances when the sales occur based on our historical experience.</w:t>
      </w:r>
    </w:p>
    <w:p>
      <w:pPr>
        <w:spacing w:after="0" w:line="153" w:lineRule="exact"/>
        <w:rPr>
          <w:sz w:val="20"/>
          <w:szCs w:val="20"/>
          <w:color w:val="auto"/>
        </w:rPr>
      </w:pPr>
    </w:p>
    <w:p>
      <w:pPr>
        <w:ind w:right="420"/>
        <w:spacing w:after="0" w:line="239" w:lineRule="auto"/>
        <w:rPr>
          <w:sz w:val="20"/>
          <w:szCs w:val="20"/>
          <w:color w:val="auto"/>
        </w:rPr>
      </w:pPr>
      <w:r>
        <w:rPr>
          <w:rFonts w:ascii="Arial" w:cs="Arial" w:eastAsia="Arial" w:hAnsi="Arial"/>
          <w:sz w:val="18"/>
          <w:szCs w:val="18"/>
          <w:color w:val="auto"/>
        </w:rPr>
        <w:t>In certain instances, we may provide lease financing to end-user customers who purchased equipment we sold to distributors or resellers. We compete with other third party leasing companies with respect to the lease financing provided to these end-user customers.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 xml:space="preserve">Supplies: </w:t>
      </w:r>
      <w:r>
        <w:rPr>
          <w:rFonts w:ascii="Arial" w:cs="Arial" w:eastAsia="Arial" w:hAnsi="Arial"/>
          <w:sz w:val="18"/>
          <w:szCs w:val="18"/>
          <w:color w:val="000000"/>
        </w:rPr>
        <w:t>Supplies revenue generally is recognized upon shipment or utilization by customers in accordance with the sales terms.</w:t>
      </w:r>
    </w:p>
    <w:p>
      <w:pPr>
        <w:spacing w:after="0" w:line="158" w:lineRule="exact"/>
        <w:rPr>
          <w:sz w:val="20"/>
          <w:szCs w:val="20"/>
          <w:color w:val="auto"/>
        </w:rPr>
      </w:pPr>
    </w:p>
    <w:p>
      <w:pPr>
        <w:ind w:right="200"/>
        <w:spacing w:after="0" w:line="272" w:lineRule="auto"/>
        <w:rPr>
          <w:sz w:val="20"/>
          <w:szCs w:val="20"/>
          <w:color w:val="auto"/>
        </w:rPr>
      </w:pPr>
      <w:r>
        <w:rPr>
          <w:rFonts w:ascii="Arial" w:cs="Arial" w:eastAsia="Arial" w:hAnsi="Arial"/>
          <w:sz w:val="16"/>
          <w:szCs w:val="16"/>
          <w:b w:val="1"/>
          <w:bCs w:val="1"/>
          <w:color w:val="4C9F40"/>
        </w:rPr>
        <w:t xml:space="preserve">Software: </w:t>
      </w:r>
      <w:r>
        <w:rPr>
          <w:rFonts w:ascii="Arial" w:cs="Arial" w:eastAsia="Arial" w:hAnsi="Arial"/>
          <w:sz w:val="16"/>
          <w:szCs w:val="16"/>
          <w:color w:val="000000"/>
        </w:rPr>
        <w:t>Most of our equipment has both software and non-software components that function together to deliver the equipment’s essential</w:t>
      </w:r>
      <w:r>
        <w:rPr>
          <w:rFonts w:ascii="Arial" w:cs="Arial" w:eastAsia="Arial" w:hAnsi="Arial"/>
          <w:sz w:val="16"/>
          <w:szCs w:val="16"/>
          <w:b w:val="1"/>
          <w:bCs w:val="1"/>
          <w:color w:val="4C9F40"/>
        </w:rPr>
        <w:t xml:space="preserve"> </w:t>
      </w:r>
      <w:r>
        <w:rPr>
          <w:rFonts w:ascii="Arial" w:cs="Arial" w:eastAsia="Arial" w:hAnsi="Arial"/>
          <w:sz w:val="16"/>
          <w:szCs w:val="16"/>
          <w:color w:val="000000"/>
        </w:rPr>
        <w:t>functionality and therefore they are accounted for together as part of the equipment sales or services revenues. Software accessories sold in connection with our equipment sales, as well as free-standing software sales are accounted for as separate deliverables or elements. In most cases, these software products are sold as part of multiple element arrangements and include software maintenance agreements for the delivery of technical service, as well as unspecified upgrades or enhancements on a when-and-if-available basis. In those software accessory and free-standing software arrangements that include more than one element, we allocate the revenue among the elements based on vendor-specific objective evidence (“VSOE”) of fair value. VSOE of fair value is based on the price charged when the deliverable is sold separately by us on a regular basis and not as part of the multiple-element arrangement. Revenue allocated to software is normally recognized upon delivery while revenue allocated to the software maintenance element is recognized ratably over the term of the arrangement.</w:t>
      </w:r>
    </w:p>
    <w:p>
      <w:pPr>
        <w:spacing w:after="0" w:line="317"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b w:val="1"/>
          <w:bCs w:val="1"/>
          <w:color w:val="4C9F40"/>
        </w:rPr>
        <w:t xml:space="preserve">Leases: </w:t>
      </w:r>
      <w:r>
        <w:rPr>
          <w:rFonts w:ascii="Arial" w:cs="Arial" w:eastAsia="Arial" w:hAnsi="Arial"/>
          <w:sz w:val="18"/>
          <w:szCs w:val="18"/>
          <w:color w:val="000000"/>
        </w:rPr>
        <w:t>The two primary accounting provisions which we use to classify transactions as sales-type or operating leases are: 1) a review of the</w:t>
      </w:r>
      <w:r>
        <w:rPr>
          <w:rFonts w:ascii="Arial" w:cs="Arial" w:eastAsia="Arial" w:hAnsi="Arial"/>
          <w:sz w:val="18"/>
          <w:szCs w:val="18"/>
          <w:b w:val="1"/>
          <w:bCs w:val="1"/>
          <w:color w:val="4C9F40"/>
        </w:rPr>
        <w:t xml:space="preserve"> </w:t>
      </w:r>
      <w:r>
        <w:rPr>
          <w:rFonts w:ascii="Arial" w:cs="Arial" w:eastAsia="Arial" w:hAnsi="Arial"/>
          <w:sz w:val="18"/>
          <w:szCs w:val="18"/>
          <w:color w:val="000000"/>
        </w:rPr>
        <w:t>lease term to determine if it is equal to or greater than 75% of the economic life of the equipment and 2) a review of the present value of the minimum lease payments to determine if they are equal to or greater than 90% of the fair market value of the equipment at the inception of the lease. Our leases in our Latin America operations have historically been recorded as operating leases given the cancellable nature of the contract or because the recoverability of the lease investment is deemed not to be predictable at lease inception.</w:t>
      </w:r>
    </w:p>
    <w:p>
      <w:pPr>
        <w:spacing w:after="0" w:line="153" w:lineRule="exact"/>
        <w:rPr>
          <w:sz w:val="20"/>
          <w:szCs w:val="20"/>
          <w:color w:val="auto"/>
        </w:rPr>
      </w:pPr>
    </w:p>
    <w:p>
      <w:pPr>
        <w:ind w:right="220"/>
        <w:spacing w:after="0" w:line="236" w:lineRule="auto"/>
        <w:rPr>
          <w:sz w:val="20"/>
          <w:szCs w:val="20"/>
          <w:color w:val="auto"/>
        </w:rPr>
      </w:pPr>
      <w:r>
        <w:rPr>
          <w:rFonts w:ascii="Arial" w:cs="Arial" w:eastAsia="Arial" w:hAnsi="Arial"/>
          <w:sz w:val="18"/>
          <w:szCs w:val="18"/>
          <w:color w:val="auto"/>
        </w:rPr>
        <w:t>For purposes of determining the economic life, we consider the most objective measure to be the original contract term, since most equipment is returned by lessees at or near the end of the contracted term. The economic life of most of our products is five years, since this represents the most frequent contractual lease term for our principal products and only a small percentage of our leases have original terms longer than five years. We continually evaluate the economic life of both existing and newly introduced products for purposes of this determination. Residual values, if any, are established at lease inception using estimates of fair value at the end of the lease term.</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4"/>
          <w:szCs w:val="14"/>
          <w:color w:val="4C9F40"/>
        </w:rPr>
        <w:t>Xerox 2010 Annual Report 45</w:t>
      </w:r>
    </w:p>
    <w:p>
      <w:pPr>
        <w:sectPr>
          <w:pgSz w:w="11900" w:h="16838" w:orient="portrait"/>
          <w:cols w:equalWidth="0" w:num="1">
            <w:col w:w="11420"/>
          </w:cols>
          <w:pgMar w:left="240" w:top="345" w:right="239" w:bottom="1440" w:gutter="0" w:footer="0" w:header="0"/>
        </w:sectPr>
      </w:pPr>
    </w:p>
    <w:bookmarkStart w:id="122" w:name="page123"/>
    <w:bookmarkEnd w:id="122"/>
    <w:p>
      <w:pPr>
        <w:ind w:right="40"/>
        <w:spacing w:after="0" w:line="26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vast majority of our leases that qualify as sales-type are non-cancelable and include cancellation penalties approximately equal to the full value of the lease receivables. A portion of our business involves sales to governmental units. Governmental units are those entities that have statutorily defined funding or annual budgets that are determined by their legislative bodies. Certain of our governmental contracts may have cancellation provisions or renewal clauses that are required by law, such as 1) those dependant on fiscal funding outside of a governmental unit’s control, 2) those that can be cancelled if deemed in the best interest of the governmental unit’s taxpayers or 3) those that must be renewed each fiscal year, given limitations that may exist on entering into multi-year contracts that are imposed by statute. In these circumstances, we carefully evaluate these contracts to assess whether cancellation is remote. The evaluation of a lease agreement with a renewal option includes an assessment as to whether the renewal is reasonably assured based on the apparent intent and our experience of such governmental unit. We further ensure that the contract provisions described above are offered only in instances where required by law. Where such contract terms are not legally required, we consider the arrangement to be cancelable and account for the lease as an operating lease.</w:t>
      </w: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After the initial lease of equipment to our customers, we may enter subsequent transactions with the same customer whereby we extend the term.</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Revenue from such lease extensions is typically recognized over the extension period.</w:t>
      </w:r>
    </w:p>
    <w:p>
      <w:pPr>
        <w:spacing w:after="0" w:line="136"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b w:val="1"/>
          <w:bCs w:val="1"/>
          <w:color w:val="4C9F40"/>
        </w:rPr>
        <w:t xml:space="preserve">Bundled Lease Arrangements: </w:t>
      </w:r>
      <w:r>
        <w:rPr>
          <w:rFonts w:ascii="Arial" w:cs="Arial" w:eastAsia="Arial" w:hAnsi="Arial"/>
          <w:sz w:val="18"/>
          <w:szCs w:val="18"/>
          <w:color w:val="000000"/>
        </w:rPr>
        <w:t>We sell our products and services under bundled lease arrangements, which typically include equipment, service,</w:t>
      </w:r>
      <w:r>
        <w:rPr>
          <w:rFonts w:ascii="Arial" w:cs="Arial" w:eastAsia="Arial" w:hAnsi="Arial"/>
          <w:sz w:val="18"/>
          <w:szCs w:val="18"/>
          <w:b w:val="1"/>
          <w:bCs w:val="1"/>
          <w:color w:val="4C9F40"/>
        </w:rPr>
        <w:t xml:space="preserve"> </w:t>
      </w:r>
      <w:r>
        <w:rPr>
          <w:rFonts w:ascii="Arial" w:cs="Arial" w:eastAsia="Arial" w:hAnsi="Arial"/>
          <w:sz w:val="18"/>
          <w:szCs w:val="18"/>
          <w:color w:val="000000"/>
        </w:rPr>
        <w:t>supplies and financing components for which the customer pays a single negotiated fixed minimum monthly payment for all elements over the contractual lease term. Approximately 40% of our equipment sales revenue is related to sales made under bundled lease arrangements. These arrangements also typically include an incremental, variable component for page volumes in excess of contractual page volume minimums, which are often expressed in terms of price-per-page. The fixed minimum monthly payments are multiplied by the number of months in the contract term to arrive at the total fixed minimum payments that the customer is obligated to make (“fixed payments”) over the lease term. The payments associated with page volumes in excess of the minimums are contingent on whether or not such minimums are exceeded (“contingent payments”). In applying our lease accounting methodology, we only consider the fixed payments for purposes of allocating to the relative fair value elements of the contract. Contingent payments, if any, are recognized as revenue in the period when the customer exceeds the minimum copy volumes specified in the contract. Revenues under bundled arrangements are allocated considering the relative selling prices of the lease and non-lease deliverables included in the bundled arrangement. Lease deliverables include maintenance and executory costs, equipment and financing, while non-lease deliverables generally consist of the supplies and non-maintenance services. The allocation for the lease deliverables begins by allocating revenues to the maintenance and executory costs plus profit thereon. These elements are generally recognized over the term of the lease as service revenue. The remaining amounts are allocated to the equipment and financing elements which are subjected to the accounting estimates noted above under “Leases.”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 xml:space="preserve">Multiple Element Arrangements: </w:t>
      </w:r>
      <w:r>
        <w:rPr>
          <w:rFonts w:ascii="Arial" w:cs="Arial" w:eastAsia="Arial" w:hAnsi="Arial"/>
          <w:sz w:val="18"/>
          <w:szCs w:val="18"/>
          <w:color w:val="000000"/>
        </w:rPr>
        <w:t>We enter into the following revenue arrangements that may consist of multiple deliverables:</w:t>
      </w:r>
    </w:p>
    <w:p>
      <w:pPr>
        <w:spacing w:after="0" w:line="216" w:lineRule="exact"/>
        <w:rPr>
          <w:sz w:val="20"/>
          <w:szCs w:val="20"/>
          <w:color w:val="auto"/>
        </w:rPr>
      </w:pPr>
    </w:p>
    <w:p>
      <w:pPr>
        <w:ind w:left="340" w:hanging="332"/>
        <w:spacing w:after="0"/>
        <w:tabs>
          <w:tab w:leader="none" w:pos="3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Bundled lease arrangements, which typically include both lease deliverables and non-lease deliverables as described above.</w:t>
      </w:r>
    </w:p>
    <w:p>
      <w:pPr>
        <w:ind w:left="340" w:hanging="332"/>
        <w:spacing w:after="0" w:line="234" w:lineRule="auto"/>
        <w:tabs>
          <w:tab w:leader="none" w:pos="3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Sales of equipment with a related full-service maintenance agreement.</w:t>
      </w:r>
    </w:p>
    <w:p>
      <w:pPr>
        <w:ind w:left="340" w:right="260" w:hanging="332"/>
        <w:spacing w:after="0" w:line="238" w:lineRule="auto"/>
        <w:tabs>
          <w:tab w:leader="none" w:pos="3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Contracts for multiple types of outsourcing services, as well as professional and value-added services. For instance, we may contract for an implementation or development project and also provide services to operate the system over a period of time; or we may contract to scan, manage and store customer documents.</w:t>
      </w:r>
    </w:p>
    <w:p>
      <w:pPr>
        <w:spacing w:after="0" w:line="154"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If a deliverable in a multiple-element arrangement is subject to specific guidance, such as leased equipment in our bundled lease arrangements (which is subject to specific leasing guidance) or accessory software (which is subject to software revenue recognition guidance), that deliverable is separated from the arrangement based on its relative selling price (the relative selling price method – see below) and accounted for in accordance with such specific guidance. The remaining deliverables in a multiple-element arrangement are accounted for based on the following guidance.</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4"/>
          <w:szCs w:val="14"/>
          <w:color w:val="4C9F40"/>
        </w:rPr>
        <w:t>Xerox 2010 Annual Report 46</w:t>
      </w:r>
    </w:p>
    <w:p>
      <w:pPr>
        <w:sectPr>
          <w:pgSz w:w="11900" w:h="16838" w:orient="portrait"/>
          <w:cols w:equalWidth="0" w:num="1">
            <w:col w:w="11420"/>
          </w:cols>
          <w:pgMar w:left="240" w:top="345" w:right="2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multiple-element arrangement is separated into more than one unit of accounting if both of the following criteria are met:</w:t>
      </w:r>
    </w:p>
    <w:p>
      <w:pPr>
        <w:spacing w:after="0" w:line="194" w:lineRule="exact"/>
        <w:rPr>
          <w:sz w:val="20"/>
          <w:szCs w:val="20"/>
          <w:color w:val="auto"/>
        </w:rPr>
      </w:pPr>
    </w:p>
    <w:p>
      <w:pPr>
        <w:ind w:left="340" w:hanging="332"/>
        <w:spacing w:after="0"/>
        <w:tabs>
          <w:tab w:leader="none" w:pos="3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delivered item(s) has value to the customer on a stand-alone basis; and</w:t>
      </w:r>
    </w:p>
    <w:p>
      <w:pPr>
        <w:ind w:left="340" w:right="220" w:hanging="332"/>
        <w:spacing w:after="0" w:line="237" w:lineRule="auto"/>
        <w:tabs>
          <w:tab w:leader="none" w:pos="3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If the arrangement includes a general right of return relative to the delivered item(s), delivery or performance of the undelivered item(s) is considered probable and substantially in our control. If these criteria are not met, the arrangement is accounted for as one unit of accounting and the recognition of revenue is generally upon delivery/completion or ratably as a single unit of accounting over the contractual service period.</w:t>
      </w:r>
    </w:p>
    <w:p>
      <w:pPr>
        <w:spacing w:after="0" w:line="155"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Consideration in a multiple-element arrangement is allocated at the inception of the arrangement to all deliverables on the basis of the relative selling price. When applying the relative selling price method, the selling price for each deliverable is determined using VSOE of the selling price, or TPE of the selling price. If neither VSOE nor TPE of the selling price exists for a deliverable, we will use our best estimate of the selling price for that deliverable.</w:t>
      </w:r>
    </w:p>
    <w:p>
      <w:pPr>
        <w:spacing w:after="0" w:line="155"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new guidance with respect to multiple-element arrangements did not change the allocation of arrangement consideration to the units of accounting or the pattern and timing of revenue recognition for those units. Normally our equipment and services will qualify as separate units of accounting, which are the majority of our multiple-element arrangements. In addition, under previous guidance, consideration for multiple-element arrangements was allocated based on VSOE or TPE, since products and services are generally sold separately or the selling price is determinable based on competitor prices for similar deliverables. As a result, for substantially all of our multiple-element arrangements, we will continue using VSOE or TPE to allocate the arrangement consideration to each respective deliverable.</w:t>
      </w:r>
    </w:p>
    <w:p>
      <w:pPr>
        <w:spacing w:after="0" w:line="156"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Although infrequent, under previous guidance with respect to multiple-element arrangements, if we were unable to establish the selling price using VSOE or TPE, arrangement consideration was allocated using the residual method or recognized ratably over the contractual service period. However, since the new guidance allows for the use of our best estimate of the selling price in our allocation of arrangement consideration if VSOE or TPE is not determinable, we now use our best estimate of selling price in those infrequent situations. The objective of using estimated selling price based methodology is to determine the price at which we would transact a sale if the product or service were sold on a stand-alone basis. Accordingly, we determine our best estimate of selling price considering multiple factors including, but not limited to, geographies, market conditions, competitive landscape, internal costs, gross margin objectives and pricing practices. Estimated selling price based methodology generally will apply to an insignificant proportion of our arrangements with multiple deliverables.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Cash and Cash Equivalents</w:t>
      </w:r>
    </w:p>
    <w:p>
      <w:pPr>
        <w:spacing w:after="0" w:line="18"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Cash and cash equivalents consist of cash on hand, including money-market funds, and investments with original maturities of three months or less.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Restricted Cash and Investments</w:t>
      </w:r>
    </w:p>
    <w:p>
      <w:pPr>
        <w:spacing w:after="0" w:line="18"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As more fully discussed in Note 17 – Contingencies, various litigation matters in Brazil require us to make cash deposits as a condition of continuing the litigation. In addition, several of our secured financing arrangements and other contracts require us to post cash collateral or maintain minimum cash balances in escrow. These cash amounts are classified in our Consolidated Balance Sheets based on when the cash will be contractually or judicially released (refer to Note 10 – Supplementary Financial Information for classification of amounts).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Restricted cash amounts at December 31, 2010 and 2009 were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w w:val="89"/>
              </w:rPr>
              <w:t>2010</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w w:val="89"/>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980" w:type="dxa"/>
            <w:vAlign w:val="bottom"/>
            <w:shd w:val="clear" w:color="auto" w:fill="E5E5E5"/>
          </w:tcPr>
          <w:p>
            <w:pPr>
              <w:spacing w:after="0" w:line="196" w:lineRule="exact"/>
              <w:rPr>
                <w:sz w:val="20"/>
                <w:szCs w:val="20"/>
                <w:color w:val="auto"/>
              </w:rPr>
            </w:pPr>
            <w:r>
              <w:rPr>
                <w:rFonts w:ascii="Arial" w:cs="Arial" w:eastAsia="Arial" w:hAnsi="Arial"/>
                <w:sz w:val="18"/>
                <w:szCs w:val="18"/>
                <w:color w:val="auto"/>
              </w:rPr>
              <w:t>Tax and labor litigation deposits in Brazil</w:t>
            </w:r>
          </w:p>
        </w:tc>
        <w:tc>
          <w:tcPr>
            <w:tcW w:w="10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E5E5E5"/>
          </w:tcPr>
          <w:p>
            <w:pPr>
              <w:jc w:val="right"/>
              <w:ind w:right="180"/>
              <w:spacing w:after="0" w:line="196" w:lineRule="exact"/>
              <w:rPr>
                <w:sz w:val="20"/>
                <w:szCs w:val="20"/>
                <w:color w:val="auto"/>
              </w:rPr>
            </w:pPr>
            <w:r>
              <w:rPr>
                <w:rFonts w:ascii="Arial" w:cs="Arial" w:eastAsia="Arial" w:hAnsi="Arial"/>
                <w:sz w:val="18"/>
                <w:szCs w:val="18"/>
                <w:color w:val="auto"/>
              </w:rPr>
              <w:t>276</w:t>
            </w:r>
          </w:p>
        </w:tc>
        <w:tc>
          <w:tcPr>
            <w:tcW w:w="260" w:type="dxa"/>
            <w:vAlign w:val="bottom"/>
            <w:gridSpan w:val="2"/>
            <w:shd w:val="clear" w:color="auto" w:fill="E5E5E5"/>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500" w:type="dxa"/>
            <w:vAlign w:val="bottom"/>
            <w:gridSpan w:val="2"/>
            <w:shd w:val="clear" w:color="auto" w:fill="E5E5E5"/>
          </w:tcPr>
          <w:p>
            <w:pPr>
              <w:jc w:val="right"/>
              <w:ind w:right="100"/>
              <w:spacing w:after="0" w:line="196" w:lineRule="exact"/>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03"/>
        </w:trPr>
        <w:tc>
          <w:tcPr>
            <w:tcW w:w="9980" w:type="dxa"/>
            <w:vAlign w:val="bottom"/>
          </w:tcPr>
          <w:p>
            <w:pPr>
              <w:spacing w:after="0" w:line="202" w:lineRule="exact"/>
              <w:rPr>
                <w:sz w:val="20"/>
                <w:szCs w:val="20"/>
                <w:color w:val="auto"/>
              </w:rPr>
            </w:pPr>
            <w:r>
              <w:rPr>
                <w:rFonts w:ascii="Arial" w:cs="Arial" w:eastAsia="Arial" w:hAnsi="Arial"/>
                <w:sz w:val="18"/>
                <w:szCs w:val="18"/>
                <w:color w:val="auto"/>
              </w:rPr>
              <w:t>Escrow and cash collections related to receivable sales</w:t>
            </w:r>
          </w:p>
        </w:tc>
        <w:tc>
          <w:tcPr>
            <w:tcW w:w="100" w:type="dxa"/>
            <w:vAlign w:val="bottom"/>
          </w:tcPr>
          <w:p>
            <w:pPr>
              <w:spacing w:after="0"/>
              <w:rPr>
                <w:sz w:val="17"/>
                <w:szCs w:val="17"/>
                <w:color w:val="auto"/>
              </w:rPr>
            </w:pPr>
          </w:p>
        </w:tc>
        <w:tc>
          <w:tcPr>
            <w:tcW w:w="5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88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3"/>
        </w:trPr>
        <w:tc>
          <w:tcPr>
            <w:tcW w:w="99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Other restricted cash</w:t>
            </w:r>
          </w:p>
        </w:tc>
        <w:tc>
          <w:tcPr>
            <w:tcW w:w="100" w:type="dxa"/>
            <w:vAlign w:val="bottom"/>
            <w:shd w:val="clear" w:color="auto" w:fill="E5E5E5"/>
          </w:tcPr>
          <w:p>
            <w:pPr>
              <w:spacing w:after="0"/>
              <w:rPr>
                <w:sz w:val="17"/>
                <w:szCs w:val="17"/>
                <w:color w:val="auto"/>
              </w:rPr>
            </w:pPr>
          </w:p>
        </w:tc>
        <w:tc>
          <w:tcPr>
            <w:tcW w:w="58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7</w:t>
            </w:r>
          </w:p>
        </w:tc>
        <w:tc>
          <w:tcPr>
            <w:tcW w:w="1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5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9980" w:type="dxa"/>
            <w:vAlign w:val="bottom"/>
            <w:vMerge w:val="restart"/>
          </w:tcPr>
          <w:p>
            <w:pPr>
              <w:spacing w:after="0"/>
              <w:rPr>
                <w:sz w:val="20"/>
                <w:szCs w:val="20"/>
                <w:color w:val="auto"/>
              </w:rPr>
            </w:pPr>
            <w:r>
              <w:rPr>
                <w:rFonts w:ascii="Arial" w:cs="Arial" w:eastAsia="Arial" w:hAnsi="Arial"/>
                <w:sz w:val="18"/>
                <w:szCs w:val="18"/>
                <w:b w:val="1"/>
                <w:bCs w:val="1"/>
                <w:color w:val="auto"/>
              </w:rPr>
              <w:t>Total Restricted Cash and Investments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98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371</w:t>
            </w:r>
          </w:p>
        </w:tc>
        <w:tc>
          <w:tcPr>
            <w:tcW w:w="18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right"/>
        <w:spacing w:after="0"/>
        <w:rPr>
          <w:sz w:val="20"/>
          <w:szCs w:val="20"/>
          <w:color w:val="auto"/>
        </w:rPr>
      </w:pPr>
      <w:r>
        <w:rPr>
          <w:rFonts w:ascii="Arial" w:cs="Arial" w:eastAsia="Arial" w:hAnsi="Arial"/>
          <w:sz w:val="14"/>
          <w:szCs w:val="14"/>
          <w:color w:val="4C9F40"/>
        </w:rPr>
        <w:t>Xerox 2010 Annual Report 47</w:t>
      </w:r>
    </w:p>
    <w:p>
      <w:pPr>
        <w:sectPr>
          <w:pgSz w:w="11900" w:h="16838" w:orient="portrait"/>
          <w:cols w:equalWidth="0" w:num="1">
            <w:col w:w="11420"/>
          </w:cols>
          <w:pgMar w:left="240" w:top="345" w:right="2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color w:val="4C9F40"/>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Inventories</w:t>
      </w:r>
    </w:p>
    <w:p>
      <w:pPr>
        <w:spacing w:after="0" w:line="18"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Inventories are carried at the lower of average cost or market. Inventories also include equipment that is returned at the end of the lease term. Returned equipment is recorded at the lower of remaining net book value or salvage value. Salvage value consists of the estimated market value (generally determined based on replacement cost) of the salvageable component parts, which are expected to be used in the remanufacturing process. We regularly review inventory quantities and record a provision for excess and/or obsolete inventory based primarily on our estimated forecast of product demand, production requirements and servicing commitments. Several factors may influence the realizability of our inventories, including our decision to exit a product line, technological changes and new product development. The provision for excess and/or obsolete raw materials and equipment inventories is based primarily on near term forecasts of product demand and include consideration of new product introductions, as well as changes in remanufacturing strategies. The provision for excess and/or obsolete service parts inventory is based primarily on projected servicing requirements over the life of the related equipment populations.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Land, Buildings and Equipment and Equipment on Operating Leases</w:t>
      </w:r>
    </w:p>
    <w:p>
      <w:pPr>
        <w:spacing w:after="0" w:line="18"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Land, buildings and equipment are recorded at cost. Buildings and equipment are depreciated over their estimated useful lives. Leasehold improvements are depreciated over the shorter of the lease term or the estimated useful life. Equipment on operating leases is depreciated to estimated salvage value over the lease term. Depreciation is computed using the straight-line method. Significant improvements are capitalized and maintenance and repairs are expensed. Refer to Note 5 – Inventories and Equipment on Operating Leases, Net and Note 6 – Land, Buildings and Equipment, Net for further discussion.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Software – Internal Use and Product</w:t>
      </w:r>
    </w:p>
    <w:p>
      <w:pPr>
        <w:spacing w:after="0" w:line="18"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We capitalize direct costs associated with developing, purchasing or otherwise acquiring software for internal use and amortize these costs on a straight-line basis over the expected useful life of the software, beginning when the software is implemented (“Internal Use Software”). Costs incurred for upgrades and enhancements that will not result in additional functionality are expensed as incurred. Useful lives of Internal Use Software generally vary from three to ten years.</w:t>
      </w:r>
    </w:p>
    <w:p>
      <w:pPr>
        <w:spacing w:after="0" w:line="155"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We also capitalize certain costs related to the development of software solutions to be sold to our customers upon reaching technological feasibility and amortize these costs based on estimated future revenues (“Product Software”). In recognition of the uncertainties involved in estimating revenue, that amortization is not less than straight-line amortization over the software’s remaining estimated economic life. Useful lives of Product Software generally vary from three to ten years. Amounts capitalized for Product Software are included in Cash Flows from Operations.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Additions to:</w:t>
            </w:r>
          </w:p>
        </w:tc>
        <w:tc>
          <w:tcPr>
            <w:tcW w:w="3800" w:type="dxa"/>
            <w:vAlign w:val="bottom"/>
            <w:gridSpan w:val="2"/>
          </w:tcPr>
          <w:p>
            <w:pPr>
              <w:spacing w:after="0"/>
              <w:rPr>
                <w:sz w:val="18"/>
                <w:szCs w:val="18"/>
                <w:color w:val="auto"/>
              </w:rPr>
            </w:pPr>
          </w:p>
        </w:tc>
        <w:tc>
          <w:tcPr>
            <w:tcW w:w="3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2010</w:t>
            </w:r>
          </w:p>
        </w:tc>
        <w:tc>
          <w:tcPr>
            <w:tcW w:w="1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900" w:type="dxa"/>
            <w:vAlign w:val="bottom"/>
            <w:gridSpan w:val="3"/>
            <w:shd w:val="clear" w:color="auto" w:fill="E5E5E5"/>
          </w:tcPr>
          <w:p>
            <w:pPr>
              <w:spacing w:after="0" w:line="202" w:lineRule="exact"/>
              <w:rPr>
                <w:sz w:val="20"/>
                <w:szCs w:val="20"/>
                <w:color w:val="auto"/>
              </w:rPr>
            </w:pPr>
            <w:r>
              <w:rPr>
                <w:rFonts w:ascii="Arial" w:cs="Arial" w:eastAsia="Arial" w:hAnsi="Arial"/>
                <w:sz w:val="18"/>
                <w:szCs w:val="18"/>
                <w:color w:val="auto"/>
              </w:rPr>
              <w:t>Internal use software</w:t>
            </w:r>
          </w:p>
        </w:tc>
        <w:tc>
          <w:tcPr>
            <w:tcW w:w="3040" w:type="dxa"/>
            <w:vAlign w:val="bottom"/>
            <w:shd w:val="clear" w:color="auto" w:fill="E5E5E5"/>
          </w:tcPr>
          <w:p>
            <w:pPr>
              <w:spacing w:after="0"/>
              <w:rPr>
                <w:sz w:val="17"/>
                <w:szCs w:val="17"/>
                <w:color w:val="auto"/>
              </w:rPr>
            </w:pPr>
          </w:p>
        </w:tc>
        <w:tc>
          <w:tcPr>
            <w:tcW w:w="50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18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tcBorders>
              <w:right w:val="single" w:sz="8" w:color="E5E5E5"/>
            </w:tcBorders>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164</w:t>
            </w:r>
          </w:p>
        </w:tc>
        <w:tc>
          <w:tcPr>
            <w:tcW w:w="260" w:type="dxa"/>
            <w:vAlign w:val="bottom"/>
            <w:shd w:val="clear" w:color="auto" w:fill="E5E5E5"/>
          </w:tcPr>
          <w:p>
            <w:pPr>
              <w:spacing w:after="0"/>
              <w:rPr>
                <w:sz w:val="17"/>
                <w:szCs w:val="17"/>
                <w:color w:val="auto"/>
              </w:rPr>
            </w:pPr>
          </w:p>
        </w:tc>
        <w:tc>
          <w:tcPr>
            <w:tcW w:w="58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$ 98</w:t>
            </w:r>
          </w:p>
        </w:tc>
        <w:tc>
          <w:tcPr>
            <w:tcW w:w="760" w:type="dxa"/>
            <w:vAlign w:val="bottom"/>
            <w:gridSpan w:val="3"/>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$ 129</w:t>
            </w:r>
          </w:p>
        </w:tc>
        <w:tc>
          <w:tcPr>
            <w:tcW w:w="0" w:type="dxa"/>
            <w:vAlign w:val="bottom"/>
          </w:tcPr>
          <w:p>
            <w:pPr>
              <w:spacing w:after="0"/>
              <w:rPr>
                <w:sz w:val="1"/>
                <w:szCs w:val="1"/>
                <w:color w:val="auto"/>
              </w:rPr>
            </w:pPr>
          </w:p>
        </w:tc>
      </w:tr>
      <w:tr>
        <w:trPr>
          <w:trHeight w:val="214"/>
        </w:trPr>
        <w:tc>
          <w:tcPr>
            <w:tcW w:w="4900" w:type="dxa"/>
            <w:vAlign w:val="bottom"/>
            <w:gridSpan w:val="3"/>
          </w:tcPr>
          <w:p>
            <w:pPr>
              <w:spacing w:after="0"/>
              <w:rPr>
                <w:sz w:val="20"/>
                <w:szCs w:val="20"/>
                <w:color w:val="auto"/>
              </w:rPr>
            </w:pPr>
            <w:r>
              <w:rPr>
                <w:rFonts w:ascii="Arial" w:cs="Arial" w:eastAsia="Arial" w:hAnsi="Arial"/>
                <w:sz w:val="18"/>
                <w:szCs w:val="18"/>
                <w:color w:val="auto"/>
              </w:rPr>
              <w:t>Product software</w:t>
            </w:r>
          </w:p>
        </w:tc>
        <w:tc>
          <w:tcPr>
            <w:tcW w:w="3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70</w:t>
            </w:r>
          </w:p>
        </w:tc>
        <w:tc>
          <w:tcPr>
            <w:tcW w:w="26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40"/>
        </w:trPr>
        <w:tc>
          <w:tcPr>
            <w:tcW w:w="49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Capitalized costs, net:</w:t>
            </w:r>
          </w:p>
        </w:tc>
        <w:tc>
          <w:tcPr>
            <w:tcW w:w="3040" w:type="dxa"/>
            <w:vAlign w:val="bottom"/>
          </w:tcPr>
          <w:p>
            <w:pPr>
              <w:spacing w:after="0"/>
              <w:rPr>
                <w:sz w:val="24"/>
                <w:szCs w:val="24"/>
                <w:color w:val="auto"/>
              </w:rPr>
            </w:pPr>
          </w:p>
        </w:tc>
        <w:tc>
          <w:tcPr>
            <w:tcW w:w="13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w w:val="98"/>
              </w:rPr>
              <w:t>As of December 31,</w:t>
            </w:r>
          </w:p>
        </w:tc>
        <w:tc>
          <w:tcPr>
            <w:tcW w:w="380" w:type="dxa"/>
            <w:vAlign w:val="bottom"/>
            <w:gridSpan w:val="2"/>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900" w:type="dxa"/>
            <w:vAlign w:val="bottom"/>
            <w:gridSpan w:val="3"/>
            <w:vMerge w:val="continue"/>
          </w:tcPr>
          <w:p>
            <w:pPr>
              <w:spacing w:after="0"/>
              <w:rPr>
                <w:sz w:val="14"/>
                <w:szCs w:val="14"/>
                <w:color w:val="auto"/>
              </w:rPr>
            </w:pPr>
          </w:p>
        </w:tc>
        <w:tc>
          <w:tcPr>
            <w:tcW w:w="3540" w:type="dxa"/>
            <w:vAlign w:val="bottom"/>
            <w:gridSpan w:val="2"/>
          </w:tcPr>
          <w:p>
            <w:pPr>
              <w:jc w:val="right"/>
              <w:ind w:right="32"/>
              <w:spacing w:after="0"/>
              <w:rPr>
                <w:sz w:val="20"/>
                <w:szCs w:val="20"/>
                <w:color w:val="auto"/>
              </w:rPr>
            </w:pPr>
            <w:r>
              <w:rPr>
                <w:rFonts w:ascii="Arial" w:cs="Arial" w:eastAsia="Arial" w:hAnsi="Arial"/>
                <w:sz w:val="14"/>
                <w:szCs w:val="14"/>
                <w:color w:val="auto"/>
              </w:rPr>
              <w:t>2010</w:t>
            </w:r>
          </w:p>
        </w:tc>
        <w:tc>
          <w:tcPr>
            <w:tcW w:w="280" w:type="dxa"/>
            <w:vAlign w:val="bottom"/>
          </w:tcPr>
          <w:p>
            <w:pPr>
              <w:spacing w:after="0"/>
              <w:rPr>
                <w:sz w:val="14"/>
                <w:szCs w:val="14"/>
                <w:color w:val="auto"/>
              </w:rPr>
            </w:pPr>
          </w:p>
        </w:tc>
        <w:tc>
          <w:tcPr>
            <w:tcW w:w="520" w:type="dxa"/>
            <w:vAlign w:val="bottom"/>
            <w:gridSpan w:val="3"/>
          </w:tcPr>
          <w:p>
            <w:pPr>
              <w:jc w:val="right"/>
              <w:ind w:right="16"/>
              <w:spacing w:after="0"/>
              <w:rPr>
                <w:sz w:val="20"/>
                <w:szCs w:val="20"/>
                <w:color w:val="auto"/>
              </w:rPr>
            </w:pPr>
            <w:r>
              <w:rPr>
                <w:rFonts w:ascii="Arial" w:cs="Arial" w:eastAsia="Arial" w:hAnsi="Arial"/>
                <w:sz w:val="14"/>
                <w:szCs w:val="14"/>
                <w:color w:val="auto"/>
              </w:rPr>
              <w:t>2009</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40" w:type="dxa"/>
            <w:vAlign w:val="bottom"/>
          </w:tcPr>
          <w:p>
            <w:pPr>
              <w:spacing w:after="0"/>
              <w:rPr>
                <w:sz w:val="2"/>
                <w:szCs w:val="2"/>
                <w:color w:val="auto"/>
              </w:rPr>
            </w:pPr>
          </w:p>
        </w:tc>
        <w:tc>
          <w:tcPr>
            <w:tcW w:w="30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86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Internal use software</w:t>
            </w:r>
          </w:p>
        </w:tc>
        <w:tc>
          <w:tcPr>
            <w:tcW w:w="3040" w:type="dxa"/>
            <w:vAlign w:val="bottom"/>
            <w:shd w:val="clear" w:color="auto" w:fill="E5E5E5"/>
          </w:tcPr>
          <w:p>
            <w:pPr>
              <w:spacing w:after="0"/>
              <w:rPr>
                <w:sz w:val="17"/>
                <w:szCs w:val="17"/>
                <w:color w:val="auto"/>
              </w:rPr>
            </w:pPr>
          </w:p>
        </w:tc>
        <w:tc>
          <w:tcPr>
            <w:tcW w:w="3820" w:type="dxa"/>
            <w:vAlign w:val="bottom"/>
            <w:gridSpan w:val="3"/>
            <w:shd w:val="clear" w:color="auto" w:fill="E5E5E5"/>
          </w:tcPr>
          <w:p>
            <w:pPr>
              <w:jc w:val="right"/>
              <w:ind w:right="280"/>
              <w:spacing w:after="0" w:line="202" w:lineRule="exact"/>
              <w:rPr>
                <w:sz w:val="20"/>
                <w:szCs w:val="20"/>
                <w:color w:val="auto"/>
              </w:rPr>
            </w:pPr>
            <w:r>
              <w:rPr>
                <w:rFonts w:ascii="Arial" w:cs="Arial" w:eastAsia="Arial" w:hAnsi="Arial"/>
                <w:sz w:val="18"/>
                <w:szCs w:val="18"/>
                <w:color w:val="auto"/>
              </w:rPr>
              <w:t>$ 468</w:t>
            </w:r>
          </w:p>
        </w:tc>
        <w:tc>
          <w:tcPr>
            <w:tcW w:w="18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w w:val="79"/>
              </w:rPr>
              <w:t>$</w:t>
            </w:r>
          </w:p>
        </w:tc>
        <w:tc>
          <w:tcPr>
            <w:tcW w:w="3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354</w:t>
            </w:r>
          </w:p>
        </w:tc>
        <w:tc>
          <w:tcPr>
            <w:tcW w:w="120" w:type="dxa"/>
            <w:vAlign w:val="bottom"/>
            <w:tcBorders>
              <w:right w:val="single" w:sz="8" w:color="E5E5E5"/>
            </w:tcBorders>
            <w:shd w:val="clear" w:color="auto" w:fill="E5E5E5"/>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900" w:type="dxa"/>
            <w:vAlign w:val="bottom"/>
            <w:gridSpan w:val="3"/>
          </w:tcPr>
          <w:p>
            <w:pPr>
              <w:spacing w:after="0"/>
              <w:rPr>
                <w:sz w:val="20"/>
                <w:szCs w:val="20"/>
                <w:color w:val="auto"/>
              </w:rPr>
            </w:pPr>
            <w:r>
              <w:rPr>
                <w:rFonts w:ascii="Arial" w:cs="Arial" w:eastAsia="Arial" w:hAnsi="Arial"/>
                <w:sz w:val="18"/>
                <w:szCs w:val="18"/>
                <w:color w:val="auto"/>
              </w:rPr>
              <w:t>Product software</w:t>
            </w:r>
          </w:p>
        </w:tc>
        <w:tc>
          <w:tcPr>
            <w:tcW w:w="3540" w:type="dxa"/>
            <w:vAlign w:val="bottom"/>
            <w:gridSpan w:val="2"/>
          </w:tcPr>
          <w:p>
            <w:pPr>
              <w:jc w:val="right"/>
              <w:spacing w:after="0"/>
              <w:rPr>
                <w:sz w:val="20"/>
                <w:szCs w:val="20"/>
                <w:color w:val="auto"/>
              </w:rPr>
            </w:pPr>
            <w:r>
              <w:rPr>
                <w:rFonts w:ascii="Arial" w:cs="Arial" w:eastAsia="Arial" w:hAnsi="Arial"/>
                <w:sz w:val="18"/>
                <w:szCs w:val="18"/>
                <w:color w:val="auto"/>
              </w:rPr>
              <w:t>145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Goodwill and Other Intangible Assets</w:t>
      </w:r>
    </w:p>
    <w:p>
      <w:pPr>
        <w:spacing w:after="0" w:line="18"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Goodwill is tested for impairment annually or more frequently if an event or circumstance indicates that an impairment loss may have been incurred. Application of the goodwill impairment test requires judgment, including the identification of reporting units, assignment of assets and liabilities to reporting units, assignment of goodwill to reporting units and determination of the fair value of each reporting unit. We estimate the fair value of each reporting unit using a discounted cash flow methodology. This requires us to use significant judgment including estimation of future cash flows, which is dependent on internal forecasts, estimation of the long-term rate of growth for our business, the useful life over which cash flows will occur, determination of our weighted average cost of capital and relevant market data.</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4"/>
          <w:szCs w:val="14"/>
          <w:color w:val="4C9F40"/>
        </w:rPr>
        <w:t>Xerox 2010 Annual Report 48</w:t>
      </w:r>
    </w:p>
    <w:p>
      <w:pPr>
        <w:sectPr>
          <w:pgSz w:w="11900" w:h="16838" w:orient="portrait"/>
          <w:cols w:equalWidth="0" w:num="1">
            <w:col w:w="11420"/>
          </w:cols>
          <w:pgMar w:left="240" w:top="404" w:right="239" w:bottom="1440" w:gutter="0" w:footer="0" w:header="0"/>
        </w:sectPr>
      </w:pPr>
    </w:p>
    <w:bookmarkStart w:id="125" w:name="page126"/>
    <w:bookmarkEnd w:id="125"/>
    <w:p>
      <w:pPr>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intangible assets primarily consist of assets obtained in connection with business acquisitions, including installed customer base and distribution network relationships, patents on existing technology and trademarks. We apply an impairment evaluation whenever events or changes in business circumstances indicate that the carrying value of our intangible assets may not be recoverable. Other intangible assets are amortized on a straight-line basis over their estimated economic lives. We believe that the straight-line method of amortization reflects an appropriate allocation of the cost of the intangible assets to earnings in proportion to the amount of economic benefits obtained annually by the Company. Refer to Note 8 – Goodwill and Intangible Assets, Net for further information.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Impairment of Long-Lived Assets</w:t>
      </w:r>
    </w:p>
    <w:p>
      <w:pPr>
        <w:spacing w:after="0" w:line="18"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color w:val="auto"/>
        </w:rPr>
        <w:t>We review the recoverability of our long-lived assets, including buildings, equipment, internal-use software and other intangible assets, when events or changes in circumstances occur that indicate that the carrying value of the asset may not be recoverable. The assessment of possible impairment is based on our ability to recover the carrying value of the asset from the expected future pre-tax cash flows (undiscounted and without interest charges) of the related operations. If these cash flows are less than the carrying value of such asset, an impairment loss is recognized for the difference between estimated fair value and carrying value. Our primary measure of fair value is based on discounted cash flows.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Treasury Stock</w:t>
      </w:r>
    </w:p>
    <w:p>
      <w:pPr>
        <w:spacing w:after="0" w:line="18"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We account for repurchased common stock under the cost method and include such treasury stock as a component of our Common shareholders’ equity. Retirement of Treasury stock is recorded as a reduction of Common stock and Additional paid-in capital at the time such retirement is approved by our Board of Directors.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Research, Development and Engineering (“RD&amp;E”)</w:t>
      </w:r>
    </w:p>
    <w:p>
      <w:pPr>
        <w:spacing w:after="0" w:line="18"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Research, development and engineering costs are expensed as incurred. Sustaining engineering costs are incurred with respect to on-going product improvements or environmental compliance after initial product launch. Our RD&amp;E expense for the three years ended December 31, 2010 was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color w:val="auto"/>
                <w:w w:val="89"/>
              </w:rPr>
              <w:t>2010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color w:val="auto"/>
                <w:w w:val="89"/>
              </w:rPr>
              <w:t>2009</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color w:val="auto"/>
                <w:w w:val="89"/>
              </w:rPr>
              <w:t>2008</w:t>
            </w:r>
          </w:p>
        </w:tc>
        <w:tc>
          <w:tcPr>
            <w:tcW w:w="10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5220" w:type="dxa"/>
            <w:vAlign w:val="bottom"/>
            <w:shd w:val="clear" w:color="auto" w:fill="E5E5E5"/>
          </w:tcPr>
          <w:p>
            <w:pPr>
              <w:spacing w:after="0" w:line="196" w:lineRule="exact"/>
              <w:rPr>
                <w:sz w:val="20"/>
                <w:szCs w:val="20"/>
                <w:color w:val="auto"/>
              </w:rPr>
            </w:pPr>
            <w:r>
              <w:rPr>
                <w:rFonts w:ascii="Arial" w:cs="Arial" w:eastAsia="Arial" w:hAnsi="Arial"/>
                <w:sz w:val="18"/>
                <w:szCs w:val="18"/>
                <w:color w:val="auto"/>
              </w:rPr>
              <w:t>R&amp;D</w:t>
            </w:r>
          </w:p>
        </w:tc>
        <w:tc>
          <w:tcPr>
            <w:tcW w:w="3560" w:type="dxa"/>
            <w:vAlign w:val="bottom"/>
            <w:gridSpan w:val="2"/>
            <w:shd w:val="clear" w:color="auto" w:fill="E5E5E5"/>
          </w:tcPr>
          <w:p>
            <w:pPr>
              <w:jc w:val="right"/>
              <w:spacing w:after="0" w:line="196" w:lineRule="exact"/>
              <w:rPr>
                <w:sz w:val="20"/>
                <w:szCs w:val="20"/>
                <w:color w:val="auto"/>
              </w:rPr>
            </w:pPr>
            <w:r>
              <w:rPr>
                <w:rFonts w:ascii="Arial" w:cs="Arial" w:eastAsia="Arial" w:hAnsi="Arial"/>
                <w:sz w:val="18"/>
                <w:szCs w:val="18"/>
                <w:color w:val="auto"/>
              </w:rPr>
              <w:t>$</w:t>
            </w:r>
          </w:p>
        </w:tc>
        <w:tc>
          <w:tcPr>
            <w:tcW w:w="560" w:type="dxa"/>
            <w:vAlign w:val="bottom"/>
            <w:gridSpan w:val="2"/>
            <w:shd w:val="clear" w:color="auto" w:fill="E5E5E5"/>
          </w:tcPr>
          <w:p>
            <w:pPr>
              <w:jc w:val="right"/>
              <w:ind w:right="160"/>
              <w:spacing w:after="0" w:line="196" w:lineRule="exact"/>
              <w:rPr>
                <w:sz w:val="20"/>
                <w:szCs w:val="20"/>
                <w:color w:val="auto"/>
              </w:rPr>
            </w:pPr>
            <w:r>
              <w:rPr>
                <w:rFonts w:ascii="Arial" w:cs="Arial" w:eastAsia="Arial" w:hAnsi="Arial"/>
                <w:sz w:val="18"/>
                <w:szCs w:val="18"/>
                <w:color w:val="auto"/>
              </w:rPr>
              <w:t>653</w:t>
            </w:r>
          </w:p>
        </w:tc>
        <w:tc>
          <w:tcPr>
            <w:tcW w:w="260" w:type="dxa"/>
            <w:vAlign w:val="bottom"/>
            <w:gridSpan w:val="2"/>
            <w:shd w:val="clear" w:color="auto" w:fill="E5E5E5"/>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gridSpan w:val="2"/>
            <w:shd w:val="clear" w:color="auto" w:fill="E5E5E5"/>
          </w:tcPr>
          <w:p>
            <w:pPr>
              <w:ind w:left="120"/>
              <w:spacing w:after="0" w:line="196" w:lineRule="exact"/>
              <w:rPr>
                <w:sz w:val="20"/>
                <w:szCs w:val="20"/>
                <w:color w:val="auto"/>
              </w:rPr>
            </w:pPr>
            <w:r>
              <w:rPr>
                <w:rFonts w:ascii="Arial" w:cs="Arial" w:eastAsia="Arial" w:hAnsi="Arial"/>
                <w:sz w:val="18"/>
                <w:szCs w:val="18"/>
                <w:color w:val="auto"/>
              </w:rPr>
              <w:t>713</w:t>
            </w:r>
          </w:p>
        </w:tc>
        <w:tc>
          <w:tcPr>
            <w:tcW w:w="260" w:type="dxa"/>
            <w:vAlign w:val="bottom"/>
            <w:gridSpan w:val="2"/>
            <w:shd w:val="clear" w:color="auto" w:fill="E5E5E5"/>
          </w:tcPr>
          <w:p>
            <w:pPr>
              <w:jc w:val="right"/>
              <w:spacing w:after="0" w:line="196" w:lineRule="exact"/>
              <w:rPr>
                <w:sz w:val="20"/>
                <w:szCs w:val="20"/>
                <w:color w:val="auto"/>
              </w:rPr>
            </w:pPr>
            <w:r>
              <w:rPr>
                <w:rFonts w:ascii="Arial" w:cs="Arial" w:eastAsia="Arial" w:hAnsi="Arial"/>
                <w:sz w:val="18"/>
                <w:szCs w:val="18"/>
                <w:color w:val="auto"/>
              </w:rPr>
              <w:t>$</w:t>
            </w:r>
          </w:p>
        </w:tc>
        <w:tc>
          <w:tcPr>
            <w:tcW w:w="500" w:type="dxa"/>
            <w:vAlign w:val="bottom"/>
            <w:gridSpan w:val="2"/>
            <w:shd w:val="clear" w:color="auto" w:fill="E5E5E5"/>
          </w:tcPr>
          <w:p>
            <w:pPr>
              <w:jc w:val="right"/>
              <w:ind w:right="100"/>
              <w:spacing w:after="0" w:line="196" w:lineRule="exact"/>
              <w:rPr>
                <w:sz w:val="20"/>
                <w:szCs w:val="20"/>
                <w:color w:val="auto"/>
              </w:rPr>
            </w:pPr>
            <w:r>
              <w:rPr>
                <w:rFonts w:ascii="Arial" w:cs="Arial" w:eastAsia="Arial" w:hAnsi="Arial"/>
                <w:sz w:val="18"/>
                <w:szCs w:val="18"/>
                <w:color w:val="auto"/>
              </w:rPr>
              <w:t>750</w:t>
            </w:r>
          </w:p>
        </w:tc>
      </w:tr>
      <w:tr>
        <w:trPr>
          <w:trHeight w:val="210"/>
        </w:trPr>
        <w:tc>
          <w:tcPr>
            <w:tcW w:w="5240" w:type="dxa"/>
            <w:vAlign w:val="bottom"/>
            <w:gridSpan w:val="2"/>
          </w:tcPr>
          <w:p>
            <w:pPr>
              <w:spacing w:after="0" w:line="202" w:lineRule="exact"/>
              <w:rPr>
                <w:sz w:val="20"/>
                <w:szCs w:val="20"/>
                <w:color w:val="auto"/>
              </w:rPr>
            </w:pPr>
            <w:r>
              <w:rPr>
                <w:rFonts w:ascii="Arial" w:cs="Arial" w:eastAsia="Arial" w:hAnsi="Arial"/>
                <w:sz w:val="18"/>
                <w:szCs w:val="18"/>
                <w:color w:val="auto"/>
              </w:rPr>
              <w:t>Sustaining engineering</w:t>
            </w:r>
          </w:p>
        </w:tc>
        <w:tc>
          <w:tcPr>
            <w:tcW w:w="34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ind w:left="120"/>
              <w:spacing w:after="0" w:line="202" w:lineRule="exact"/>
              <w:rPr>
                <w:sz w:val="20"/>
                <w:szCs w:val="20"/>
                <w:color w:val="auto"/>
              </w:rPr>
            </w:pPr>
            <w:r>
              <w:rPr>
                <w:rFonts w:ascii="Arial" w:cs="Arial" w:eastAsia="Arial" w:hAnsi="Arial"/>
                <w:sz w:val="18"/>
                <w:szCs w:val="18"/>
                <w:color w:val="auto"/>
                <w:w w:val="86"/>
              </w:rPr>
              <w:t>127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134</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22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Total RD&amp;E Expense</w:t>
            </w:r>
          </w:p>
        </w:tc>
        <w:tc>
          <w:tcPr>
            <w:tcW w:w="356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781</w:t>
            </w:r>
          </w:p>
        </w:tc>
        <w:tc>
          <w:tcPr>
            <w:tcW w:w="160" w:type="dxa"/>
            <w:vAlign w:val="bottom"/>
            <w:shd w:val="clear" w:color="auto" w:fill="E5E5E5"/>
          </w:tcPr>
          <w:p>
            <w:pPr>
              <w:spacing w:after="0"/>
              <w:rPr>
                <w:sz w:val="17"/>
                <w:szCs w:val="17"/>
                <w:color w:val="auto"/>
              </w:rPr>
            </w:pPr>
          </w:p>
        </w:tc>
        <w:tc>
          <w:tcPr>
            <w:tcW w:w="26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ind w:left="120"/>
              <w:spacing w:after="0" w:line="202" w:lineRule="exact"/>
              <w:rPr>
                <w:sz w:val="20"/>
                <w:szCs w:val="20"/>
                <w:color w:val="auto"/>
              </w:rPr>
            </w:pPr>
            <w:r>
              <w:rPr>
                <w:rFonts w:ascii="Arial" w:cs="Arial" w:eastAsia="Arial" w:hAnsi="Arial"/>
                <w:sz w:val="18"/>
                <w:szCs w:val="18"/>
                <w:color w:val="auto"/>
                <w:w w:val="86"/>
              </w:rPr>
              <w:t>840</w:t>
            </w:r>
          </w:p>
        </w:tc>
        <w:tc>
          <w:tcPr>
            <w:tcW w:w="180" w:type="dxa"/>
            <w:vAlign w:val="bottom"/>
            <w:shd w:val="clear" w:color="auto" w:fill="E5E5E5"/>
          </w:tcPr>
          <w:p>
            <w:pPr>
              <w:spacing w:after="0"/>
              <w:rPr>
                <w:sz w:val="17"/>
                <w:szCs w:val="17"/>
                <w:color w:val="auto"/>
              </w:rPr>
            </w:pPr>
          </w:p>
        </w:tc>
        <w:tc>
          <w:tcPr>
            <w:tcW w:w="26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884</w:t>
            </w:r>
          </w:p>
        </w:tc>
        <w:tc>
          <w:tcPr>
            <w:tcW w:w="100" w:type="dxa"/>
            <w:vAlign w:val="bottom"/>
            <w:shd w:val="clear" w:color="auto" w:fill="E5E5E5"/>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Restructuring Charges</w:t>
      </w:r>
    </w:p>
    <w:p>
      <w:pPr>
        <w:spacing w:after="0" w:line="18"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Costs associated with exit or disposal activities, including lease termination costs and certain employee severance costs associated with restructuring, plant closing or other activity, are recognized when they are incurred. In those geographies where we have either a formal severance plan or a history of consistently providing severance benefits representing a substantive plan, we recognize severance costs when they are both probable and reasonably estimable. Refer to Note 9 – Restructuring and Asset Impairment Charges for further information.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Pension and Post-Retirement Benefit Obligations</w:t>
      </w:r>
    </w:p>
    <w:p>
      <w:pPr>
        <w:spacing w:after="0" w:line="18"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We sponsor defined benefit pension plans in various forms in several countries covering employees who meet eligibility requirements. Retiree health benefit plans cover U.S. and Canadian employees for retiree medical costs. We employ a delayed recognition feature in measuring the costs of pension and post-retirement benefit plans. This requires changes in the benefit obligations and changes in the value of assets set aside to meet those obligations to be recognized not as they occur, but systematically and gradually over subsequent periods. All changes are ultimately recognized as components of net periodic benefit cost, except to the extent they may be offset by subsequent changes. At any point, changes that have been identified and quantified but not recognized as components of net periodic benefit cost, are recognized in Accumulated Other Comprehensive Loss, Net of tax.</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4"/>
          <w:szCs w:val="14"/>
          <w:color w:val="4C9F40"/>
        </w:rPr>
        <w:t>Xerox 2010 Annual Report 49</w:t>
      </w:r>
    </w:p>
    <w:p>
      <w:pPr>
        <w:sectPr>
          <w:pgSz w:w="11900" w:h="16838" w:orient="portrait"/>
          <w:cols w:equalWidth="0" w:num="1">
            <w:col w:w="11420"/>
          </w:cols>
          <w:pgMar w:left="240" w:top="345" w:right="239" w:bottom="1440" w:gutter="0" w:footer="0" w:header="0"/>
        </w:sectPr>
      </w:pPr>
    </w:p>
    <w:bookmarkStart w:id="126" w:name="page127"/>
    <w:bookmarkEnd w:id="126"/>
    <w:p>
      <w:pPr>
        <w:ind w:right="20"/>
        <w:spacing w:after="0" w:line="27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Several statistical and other factors that attempt to anticipate future events are used in calculating the expense, liability and asset values related to our pension and retiree health benefit plans. These factors include assumptions we make about the discount rate, expected return on plan assets, rate of increase in healthcare costs, the rate of future compensation increases, and mortality. Actual returns on plan assets are not immediately recognized in our income statement, due to the delayed recognition requirement. In calculating the expected return on the plan asset component of our net periodic pension cost, we apply our estimate of the long-term rate of return to the plan assets that support our pension obligations, after deducting assets that are specifically allocated to Transitional Retirement Accounts (which are accounted for based on specific plan terms).</w:t>
      </w:r>
    </w:p>
    <w:p>
      <w:pPr>
        <w:spacing w:after="0" w:line="13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For purposes of determining the expected return on plan assets, we utilize a calculated value approach in determining the value of the pension plan assets, rather than a fair market value approach. The primary difference between the two methods relates to systematic recognition of changes in fair value over time (generally two years) versus immediate recognition of changes in fair value. Our expected rate of return on plan assets is applied to the calculated asset value to determine the amount of the expected return on plan assets to be used in the determination of the net periodic pension cost. The calculated value approach reduces the volatility in net periodic pension cost that would result from using the fair market value approach.</w:t>
      </w:r>
    </w:p>
    <w:p>
      <w:pPr>
        <w:spacing w:after="0" w:line="15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discount rate is used to present value our future anticipated benefit obligations. In estimating our discount rate, we consider rates of return on high-quality fixed-income investments included in various published bond indexes, adjusted to eliminate the effects of call provisions and differences in the timing and amounts of cash outflows related to the bonds, as well as the expected timing of pension and other benefit payments. In the U.S. and the U.K., which comprise approximately 75% of our projected benefit obligation, we consider the Moody’s Aa Corporate Bond Index and the International Index Company’s iBoxx Sterling Corporate AA Cash Bond Index, respectively, in the determination of the appropriate discount rate assumptions. Refer to Note 15 - Employee Benefit Plans for further information.</w:t>
      </w:r>
    </w:p>
    <w:p>
      <w:pPr>
        <w:spacing w:after="0" w:line="156"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Each year, the difference between the actual return on plan assets and the expected return on plan assets, as well as increases or decreases in the benefit obligation as a result of changes in the discount rate are added to or subtracted from any cumulative actuarial gain or loss that arose in prior years. This resultant amount is the net actuarial gain or loss recognized in Accumulated other comprehensive loss and is subject to subsequent amortization to net periodic pension cost in future periods over the remaining service lives of the employees participating in the pension plan.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Foreign Currency Translation and Re-measurement</w:t>
      </w:r>
    </w:p>
    <w:p>
      <w:pPr>
        <w:spacing w:after="0" w:line="18" w:lineRule="exact"/>
        <w:rPr>
          <w:sz w:val="20"/>
          <w:szCs w:val="20"/>
          <w:color w:val="auto"/>
        </w:rPr>
      </w:pPr>
    </w:p>
    <w:p>
      <w:pPr>
        <w:jc w:val="both"/>
        <w:ind w:right="500"/>
        <w:spacing w:after="0" w:line="238" w:lineRule="auto"/>
        <w:rPr>
          <w:sz w:val="20"/>
          <w:szCs w:val="20"/>
          <w:color w:val="auto"/>
        </w:rPr>
      </w:pPr>
      <w:r>
        <w:rPr>
          <w:rFonts w:ascii="Arial" w:cs="Arial" w:eastAsia="Arial" w:hAnsi="Arial"/>
          <w:sz w:val="18"/>
          <w:szCs w:val="18"/>
          <w:color w:val="auto"/>
        </w:rPr>
        <w:t>The functional currency for most foreign operations is the local currency. Net assets are translated at current rates of exchange and income, expense and cash flow items are translated at average exchange rates for the applicable period. The translation adjustments are recorded in Accumulated other comprehensive loss.</w:t>
      </w:r>
    </w:p>
    <w:p>
      <w:pPr>
        <w:spacing w:after="0" w:line="154" w:lineRule="exact"/>
        <w:rPr>
          <w:sz w:val="20"/>
          <w:szCs w:val="20"/>
          <w:color w:val="auto"/>
        </w:rPr>
      </w:pPr>
    </w:p>
    <w:p>
      <w:pPr>
        <w:jc w:val="both"/>
        <w:ind w:right="440"/>
        <w:spacing w:after="0" w:line="238" w:lineRule="auto"/>
        <w:rPr>
          <w:sz w:val="20"/>
          <w:szCs w:val="20"/>
          <w:color w:val="auto"/>
        </w:rPr>
      </w:pPr>
      <w:r>
        <w:rPr>
          <w:rFonts w:ascii="Arial" w:cs="Arial" w:eastAsia="Arial" w:hAnsi="Arial"/>
          <w:sz w:val="18"/>
          <w:szCs w:val="18"/>
          <w:color w:val="auto"/>
        </w:rPr>
        <w:t>The U.S. Dollar is used as the functional currency for certain foreign subsidiaries that conduct their business in U.S. Dollars. A combination of current and historical exchange rates is used in re-measuring the local currency transactions of these subsidiaries and the resulting exchange adjustments are included in income.</w:t>
      </w:r>
    </w:p>
    <w:p>
      <w:pPr>
        <w:spacing w:after="0" w:line="154" w:lineRule="exact"/>
        <w:rPr>
          <w:sz w:val="20"/>
          <w:szCs w:val="20"/>
          <w:color w:val="auto"/>
        </w:rPr>
      </w:pPr>
    </w:p>
    <w:p>
      <w:pPr>
        <w:ind w:right="1100"/>
        <w:spacing w:after="0" w:line="239" w:lineRule="auto"/>
        <w:rPr>
          <w:sz w:val="20"/>
          <w:szCs w:val="20"/>
          <w:color w:val="auto"/>
        </w:rPr>
      </w:pPr>
      <w:r>
        <w:rPr>
          <w:rFonts w:ascii="Arial" w:cs="Arial" w:eastAsia="Arial" w:hAnsi="Arial"/>
          <w:sz w:val="18"/>
          <w:szCs w:val="18"/>
          <w:color w:val="auto"/>
        </w:rPr>
        <w:t>Foreign currency losses were $11, $26 and $34 in 2010, 2009 and 2008, respectively, and are included in Other expenses, net in the accompanying Consolidated Statements of Income.</w:t>
      </w:r>
    </w:p>
    <w:p>
      <w:pPr>
        <w:spacing w:after="0" w:line="15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sold our Venezuelan subsidiary during the fourth quarter of 2010 as part of our restructuring actions – refer to Note 9 – Restructuring and Asset Impairment Charges for further information. Prior to the sale, the U.S. Dollar was the functional currency of our Venezuelan operations. In January 2010, Venezuela announced a devaluation of the Bolivar to an official rate of 4.30 Bolivars to the U.S. Dollar for the majority of our products. As a result of this devaluation, we recorded a currency loss of $21 in the first quarter of 2010 for the re-measurement of our net Bolivar denominated monetary assets. During 2010, the ability to obtain U.S. Dollars remained severely restricted. As a result, during 2010 we re-measured our net Bolivar denominated monetary transactions based on exchange rates available through alternative markets. The average rate during 2010 was approximately 5.77 Bolivars to the U.S. Dollar. The impact of this change in the exchange rate was not material to our results for the year since we derived less than 0.5% of our total revenues from Venezuela.</w:t>
      </w:r>
    </w:p>
    <w:p>
      <w:pPr>
        <w:spacing w:after="0" w:line="137" w:lineRule="exact"/>
        <w:rPr>
          <w:sz w:val="20"/>
          <w:szCs w:val="20"/>
          <w:color w:val="auto"/>
        </w:rPr>
      </w:pPr>
    </w:p>
    <w:p>
      <w:pPr>
        <w:jc w:val="right"/>
        <w:spacing w:after="0"/>
        <w:rPr>
          <w:sz w:val="20"/>
          <w:szCs w:val="20"/>
          <w:color w:val="auto"/>
        </w:rPr>
      </w:pPr>
      <w:r>
        <w:rPr>
          <w:rFonts w:ascii="Arial" w:cs="Arial" w:eastAsia="Arial" w:hAnsi="Arial"/>
          <w:sz w:val="14"/>
          <w:szCs w:val="14"/>
          <w:color w:val="4C9F40"/>
        </w:rPr>
        <w:t>Xerox 2010 Annual Report 50</w:t>
      </w:r>
    </w:p>
    <w:p>
      <w:pPr>
        <w:sectPr>
          <w:pgSz w:w="11900" w:h="16838" w:orient="portrait"/>
          <w:cols w:equalWidth="0" w:num="1">
            <w:col w:w="11420"/>
          </w:cols>
          <w:pgMar w:left="240" w:top="345" w:right="2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color w:val="4C9F40"/>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Accumulated Other Comprehensive Loss (“AOCL”)</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AOCL is composed of the following for the three years ending December 31, 2010:</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color w:val="auto"/>
              </w:rPr>
              <w:t>2010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color w:val="auto"/>
              </w:rPr>
              <w:t>2009</w:t>
            </w: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4"/>
                <w:szCs w:val="14"/>
                <w:color w:val="auto"/>
              </w:rPr>
            </w:pPr>
          </w:p>
        </w:tc>
      </w:tr>
      <w:tr>
        <w:trPr>
          <w:trHeight w:val="196"/>
        </w:trPr>
        <w:tc>
          <w:tcPr>
            <w:tcW w:w="8060" w:type="dxa"/>
            <w:vAlign w:val="bottom"/>
            <w:shd w:val="clear" w:color="auto" w:fill="E5E5E5"/>
          </w:tcPr>
          <w:p>
            <w:pPr>
              <w:spacing w:after="0" w:line="196" w:lineRule="exact"/>
              <w:rPr>
                <w:sz w:val="20"/>
                <w:szCs w:val="20"/>
                <w:color w:val="auto"/>
              </w:rPr>
            </w:pPr>
            <w:r>
              <w:rPr>
                <w:rFonts w:ascii="Arial" w:cs="Arial" w:eastAsia="Arial" w:hAnsi="Arial"/>
                <w:sz w:val="18"/>
                <w:szCs w:val="18"/>
                <w:color w:val="auto"/>
              </w:rPr>
              <w:t>Cumulative translation adjustments</w:t>
            </w:r>
          </w:p>
        </w:tc>
        <w:tc>
          <w:tcPr>
            <w:tcW w:w="14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E5E5E5"/>
          </w:tcPr>
          <w:p>
            <w:pPr>
              <w:jc w:val="right"/>
              <w:ind w:right="120"/>
              <w:spacing w:after="0" w:line="196" w:lineRule="exact"/>
              <w:rPr>
                <w:sz w:val="20"/>
                <w:szCs w:val="20"/>
                <w:color w:val="auto"/>
              </w:rPr>
            </w:pPr>
            <w:r>
              <w:rPr>
                <w:rFonts w:ascii="Arial" w:cs="Arial" w:eastAsia="Arial" w:hAnsi="Arial"/>
                <w:sz w:val="18"/>
                <w:szCs w:val="18"/>
                <w:color w:val="auto"/>
              </w:rPr>
              <w:t>(835)</w:t>
            </w:r>
          </w:p>
        </w:tc>
        <w:tc>
          <w:tcPr>
            <w:tcW w:w="280" w:type="dxa"/>
            <w:vAlign w:val="bottom"/>
            <w:gridSpan w:val="2"/>
            <w:shd w:val="clear" w:color="auto" w:fill="E5E5E5"/>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E5E5E5"/>
          </w:tcPr>
          <w:p>
            <w:pPr>
              <w:jc w:val="right"/>
              <w:ind w:right="260"/>
              <w:spacing w:after="0" w:line="196" w:lineRule="exact"/>
              <w:rPr>
                <w:sz w:val="20"/>
                <w:szCs w:val="20"/>
                <w:color w:val="auto"/>
              </w:rPr>
            </w:pPr>
            <w:r>
              <w:rPr>
                <w:rFonts w:ascii="Arial" w:cs="Arial" w:eastAsia="Arial" w:hAnsi="Arial"/>
                <w:sz w:val="18"/>
                <w:szCs w:val="18"/>
                <w:color w:val="auto"/>
              </w:rPr>
              <w:t>(800)</w:t>
            </w:r>
          </w:p>
        </w:tc>
        <w:tc>
          <w:tcPr>
            <w:tcW w:w="14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E5E5E5"/>
          </w:tcPr>
          <w:p>
            <w:pPr>
              <w:jc w:val="right"/>
              <w:ind w:right="40"/>
              <w:spacing w:after="0" w:line="196" w:lineRule="exact"/>
              <w:rPr>
                <w:sz w:val="20"/>
                <w:szCs w:val="20"/>
                <w:color w:val="auto"/>
              </w:rPr>
            </w:pPr>
            <w:r>
              <w:rPr>
                <w:rFonts w:ascii="Arial" w:cs="Arial" w:eastAsia="Arial" w:hAnsi="Arial"/>
                <w:sz w:val="18"/>
                <w:szCs w:val="18"/>
                <w:color w:val="auto"/>
              </w:rPr>
              <w:t>(1,395)</w:t>
            </w:r>
          </w:p>
        </w:tc>
      </w:tr>
      <w:tr>
        <w:trPr>
          <w:trHeight w:val="203"/>
        </w:trPr>
        <w:tc>
          <w:tcPr>
            <w:tcW w:w="8060" w:type="dxa"/>
            <w:vAlign w:val="bottom"/>
          </w:tcPr>
          <w:p>
            <w:pPr>
              <w:spacing w:after="0" w:line="203" w:lineRule="exact"/>
              <w:rPr>
                <w:sz w:val="20"/>
                <w:szCs w:val="20"/>
                <w:color w:val="auto"/>
              </w:rPr>
            </w:pPr>
            <w:r>
              <w:rPr>
                <w:rFonts w:ascii="Arial" w:cs="Arial" w:eastAsia="Arial" w:hAnsi="Arial"/>
                <w:sz w:val="18"/>
                <w:szCs w:val="18"/>
                <w:color w:val="auto"/>
              </w:rPr>
              <w:t>Benefit plans net actuarial losses and prior service credits</w:t>
            </w:r>
            <w:r>
              <w:rPr>
                <w:rFonts w:ascii="Arial" w:cs="Arial" w:eastAsia="Arial" w:hAnsi="Arial"/>
                <w:sz w:val="22"/>
                <w:szCs w:val="22"/>
                <w:color w:val="auto"/>
                <w:vertAlign w:val="superscript"/>
              </w:rPr>
              <w:t>(1)</w:t>
            </w:r>
          </w:p>
        </w:tc>
        <w:tc>
          <w:tcPr>
            <w:tcW w:w="140" w:type="dxa"/>
            <w:vAlign w:val="bottom"/>
          </w:tcPr>
          <w:p>
            <w:pPr>
              <w:spacing w:after="0"/>
              <w:rPr>
                <w:sz w:val="17"/>
                <w:szCs w:val="17"/>
                <w:color w:val="auto"/>
              </w:rPr>
            </w:pPr>
          </w:p>
        </w:tc>
        <w:tc>
          <w:tcPr>
            <w:tcW w:w="7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(1,167)</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(1,190)</w:t>
            </w:r>
          </w:p>
        </w:tc>
        <w:tc>
          <w:tcPr>
            <w:tcW w:w="140" w:type="dxa"/>
            <w:vAlign w:val="bottom"/>
          </w:tcPr>
          <w:p>
            <w:pPr>
              <w:spacing w:after="0"/>
              <w:rPr>
                <w:sz w:val="17"/>
                <w:szCs w:val="17"/>
                <w:color w:val="auto"/>
              </w:rPr>
            </w:pPr>
          </w:p>
        </w:tc>
        <w:tc>
          <w:tcPr>
            <w:tcW w:w="6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(1,021)</w:t>
            </w:r>
          </w:p>
        </w:tc>
      </w:tr>
      <w:tr>
        <w:trPr>
          <w:trHeight w:val="203"/>
        </w:trPr>
        <w:tc>
          <w:tcPr>
            <w:tcW w:w="80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Other unrealized gains, net</w:t>
            </w:r>
          </w:p>
        </w:tc>
        <w:tc>
          <w:tcPr>
            <w:tcW w:w="140" w:type="dxa"/>
            <w:vAlign w:val="bottom"/>
            <w:tcBorders>
              <w:bottom w:val="single" w:sz="8" w:color="auto"/>
            </w:tcBorders>
            <w:shd w:val="clear" w:color="auto" w:fill="E5E5E5"/>
          </w:tcPr>
          <w:p>
            <w:pPr>
              <w:spacing w:after="0"/>
              <w:rPr>
                <w:sz w:val="17"/>
                <w:szCs w:val="17"/>
                <w:color w:val="auto"/>
              </w:rPr>
            </w:pPr>
          </w:p>
        </w:tc>
        <w:tc>
          <w:tcPr>
            <w:tcW w:w="580" w:type="dxa"/>
            <w:vAlign w:val="bottom"/>
            <w:tcBorders>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14</w:t>
            </w:r>
          </w:p>
        </w:tc>
        <w:tc>
          <w:tcPr>
            <w:tcW w:w="1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40" w:type="dxa"/>
            <w:vAlign w:val="bottom"/>
            <w:tcBorders>
              <w:bottom w:val="single" w:sz="8" w:color="auto"/>
            </w:tcBorders>
            <w:shd w:val="clear" w:color="auto" w:fill="E5E5E5"/>
          </w:tcPr>
          <w:p>
            <w:pPr>
              <w:spacing w:after="0"/>
              <w:rPr>
                <w:sz w:val="17"/>
                <w:szCs w:val="17"/>
                <w:color w:val="auto"/>
              </w:rPr>
            </w:pPr>
          </w:p>
        </w:tc>
        <w:tc>
          <w:tcPr>
            <w:tcW w:w="580" w:type="dxa"/>
            <w:vAlign w:val="bottom"/>
            <w:tcBorders>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2</w:t>
            </w:r>
          </w:p>
        </w:tc>
        <w:tc>
          <w:tcPr>
            <w:tcW w:w="320" w:type="dxa"/>
            <w:vAlign w:val="bottom"/>
            <w:shd w:val="clear" w:color="auto" w:fill="E5E5E5"/>
          </w:tcPr>
          <w:p>
            <w:pPr>
              <w:spacing w:after="0"/>
              <w:rPr>
                <w:sz w:val="17"/>
                <w:szCs w:val="17"/>
                <w:color w:val="auto"/>
              </w:rPr>
            </w:pPr>
          </w:p>
        </w:tc>
        <w:tc>
          <w:tcPr>
            <w:tcW w:w="140" w:type="dxa"/>
            <w:vAlign w:val="bottom"/>
            <w:tcBorders>
              <w:bottom w:val="single" w:sz="8" w:color="auto"/>
            </w:tcBorders>
            <w:shd w:val="clear" w:color="auto" w:fill="E5E5E5"/>
          </w:tcPr>
          <w:p>
            <w:pPr>
              <w:spacing w:after="0"/>
              <w:rPr>
                <w:sz w:val="17"/>
                <w:szCs w:val="17"/>
                <w:color w:val="auto"/>
              </w:rPr>
            </w:pPr>
          </w:p>
        </w:tc>
        <w:tc>
          <w:tcPr>
            <w:tcW w:w="580" w:type="dxa"/>
            <w:vAlign w:val="bottom"/>
            <w:tcBorders>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E5E5E5"/>
          </w:tcPr>
          <w:p>
            <w:pPr>
              <w:spacing w:after="0"/>
              <w:rPr>
                <w:sz w:val="17"/>
                <w:szCs w:val="17"/>
                <w:color w:val="auto"/>
              </w:rPr>
            </w:pPr>
          </w:p>
        </w:tc>
      </w:tr>
      <w:tr>
        <w:trPr>
          <w:trHeight w:val="318"/>
        </w:trPr>
        <w:tc>
          <w:tcPr>
            <w:tcW w:w="8060" w:type="dxa"/>
            <w:vAlign w:val="bottom"/>
          </w:tcPr>
          <w:p>
            <w:pPr>
              <w:spacing w:after="0"/>
              <w:rPr>
                <w:sz w:val="20"/>
                <w:szCs w:val="20"/>
                <w:color w:val="auto"/>
              </w:rPr>
            </w:pPr>
            <w:r>
              <w:rPr>
                <w:rFonts w:ascii="Arial" w:cs="Arial" w:eastAsia="Arial" w:hAnsi="Arial"/>
                <w:sz w:val="18"/>
                <w:szCs w:val="18"/>
                <w:b w:val="1"/>
                <w:bCs w:val="1"/>
                <w:color w:val="auto"/>
              </w:rPr>
              <w:t>Total Accumulated Other Comprehensive Loss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(1,988)</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(1,988)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(2,416)</w:t>
            </w:r>
          </w:p>
        </w:tc>
      </w:tr>
      <w:tr>
        <w:trPr>
          <w:trHeight w:val="20"/>
        </w:trPr>
        <w:tc>
          <w:tcPr>
            <w:tcW w:w="8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1"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(1)</w:t>
        <w:tab/>
        <w:t>Includes our share of Fuji Xerox.</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4C9F40"/>
        </w:rPr>
        <w:t>Note 2 – Segment Reporting</w:t>
      </w:r>
    </w:p>
    <w:p>
      <w:pPr>
        <w:spacing w:after="0" w:line="188" w:lineRule="exact"/>
        <w:rPr>
          <w:sz w:val="20"/>
          <w:szCs w:val="20"/>
          <w:color w:val="auto"/>
        </w:rPr>
      </w:pPr>
    </w:p>
    <w:p>
      <w:pPr>
        <w:ind w:right="180"/>
        <w:spacing w:after="0" w:line="268" w:lineRule="auto"/>
        <w:rPr>
          <w:sz w:val="20"/>
          <w:szCs w:val="20"/>
          <w:color w:val="auto"/>
        </w:rPr>
      </w:pPr>
      <w:r>
        <w:rPr>
          <w:rFonts w:ascii="Arial" w:cs="Arial" w:eastAsia="Arial" w:hAnsi="Arial"/>
          <w:sz w:val="16"/>
          <w:szCs w:val="16"/>
          <w:color w:val="auto"/>
        </w:rPr>
        <w:t xml:space="preserve">Our reportable segments are aligned with how we manage the business and view the markets we serve. In 2010, as a result of our acquisition of ACS, we realigned our internal financial reporting structure (refer to Note 3 – Acquisitions for information regarding the ACS acquisition). We now report our financial performance based on the following two primary reportable segments – </w:t>
      </w:r>
      <w:r>
        <w:rPr>
          <w:rFonts w:ascii="Arial" w:cs="Arial" w:eastAsia="Arial" w:hAnsi="Arial"/>
          <w:sz w:val="16"/>
          <w:szCs w:val="16"/>
          <w:b w:val="1"/>
          <w:bCs w:val="1"/>
          <w:color w:val="4C9F40"/>
        </w:rPr>
        <w:t>Technology</w:t>
      </w:r>
      <w:r>
        <w:rPr>
          <w:rFonts w:ascii="Arial" w:cs="Arial" w:eastAsia="Arial" w:hAnsi="Arial"/>
          <w:sz w:val="16"/>
          <w:szCs w:val="16"/>
          <w:color w:val="auto"/>
        </w:rPr>
        <w:t xml:space="preserve"> and </w:t>
      </w:r>
      <w:r>
        <w:rPr>
          <w:rFonts w:ascii="Arial" w:cs="Arial" w:eastAsia="Arial" w:hAnsi="Arial"/>
          <w:sz w:val="16"/>
          <w:szCs w:val="16"/>
          <w:b w:val="1"/>
          <w:bCs w:val="1"/>
          <w:color w:val="4C9F40"/>
        </w:rPr>
        <w:t>Services</w:t>
      </w:r>
      <w:r>
        <w:rPr>
          <w:rFonts w:ascii="Arial" w:cs="Arial" w:eastAsia="Arial" w:hAnsi="Arial"/>
          <w:sz w:val="16"/>
          <w:szCs w:val="16"/>
          <w:color w:val="auto"/>
        </w:rPr>
        <w:t>. The Technology segment represents the combination of our former Production and Office segments excluding the document outsourcing business, which was previously included in these reportable segments. The Services segment represents the combination of our document outsourcing business and ACS’s business process outsourcing (“BPO”) and information technology outsourcing (“ITO”) businesses. We believe this realignment will help us to better manage our business and view the markets we serve, which are primarily centered around equipment systems and outsourcing services. Our Technology segment operations involve the sale and support of a broad range of document systems from entry level to the high-end. Our Services segment operations involve delivery of a broad range of outsourcing services including document, business processing and IT outsourcing services. Our 2009 and 2008 segment disclosures have been restated to reflect our new 2010 internal reporting structure.</w:t>
      </w:r>
    </w:p>
    <w:p>
      <w:pPr>
        <w:spacing w:after="0" w:line="11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b w:val="1"/>
          <w:bCs w:val="1"/>
          <w:color w:val="4C9F40"/>
        </w:rPr>
        <w:t>Technology</w:t>
      </w:r>
      <w:r>
        <w:rPr>
          <w:rFonts w:ascii="Arial" w:cs="Arial" w:eastAsia="Arial" w:hAnsi="Arial"/>
          <w:sz w:val="18"/>
          <w:szCs w:val="18"/>
          <w:color w:val="auto"/>
        </w:rPr>
        <w:t xml:space="preserve"> segment is centered on strategic product groups, which share common technology, manufacturing and product platforms. This segment includes the sale of document systems and supplies, technical services and product financing. Our products range from:</w:t>
      </w:r>
    </w:p>
    <w:p>
      <w:pPr>
        <w:spacing w:after="0" w:line="170" w:lineRule="exact"/>
        <w:rPr>
          <w:sz w:val="20"/>
          <w:szCs w:val="20"/>
          <w:color w:val="auto"/>
        </w:rPr>
      </w:pPr>
    </w:p>
    <w:p>
      <w:pPr>
        <w:ind w:left="340" w:hanging="332"/>
        <w:spacing w:after="0"/>
        <w:tabs>
          <w:tab w:leader="none" w:pos="3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“Entry,” which includes A4 devices and desktop printers.</w:t>
      </w:r>
    </w:p>
    <w:p>
      <w:pPr>
        <w:ind w:left="340" w:right="280" w:hanging="332"/>
        <w:spacing w:after="0" w:line="234" w:lineRule="auto"/>
        <w:tabs>
          <w:tab w:leader="none" w:pos="3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“Mid-Range,” which includes A3 devices that generally serve workgroup environments in mid to large enterprises. Mid-Range includes products that fall into the following market categories: Color 41+ ppm priced at less than $100K and Light Production 91+ppm priced at less than $100K.</w:t>
      </w:r>
    </w:p>
    <w:p>
      <w:pPr>
        <w:spacing w:after="0" w:line="2" w:lineRule="exact"/>
        <w:rPr>
          <w:rFonts w:ascii="Arial" w:cs="Arial" w:eastAsia="Arial" w:hAnsi="Arial"/>
          <w:sz w:val="18"/>
          <w:szCs w:val="18"/>
          <w:color w:val="auto"/>
        </w:rPr>
      </w:pPr>
    </w:p>
    <w:p>
      <w:pPr>
        <w:ind w:left="340" w:right="40" w:hanging="332"/>
        <w:spacing w:after="0" w:line="239" w:lineRule="auto"/>
        <w:tabs>
          <w:tab w:leader="none" w:pos="3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“High-End,” which includes production printing and publishing systems that generally serve the graphic communications marketplace and large enterprises.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4C9F40"/>
        </w:rPr>
        <w:t>Services</w:t>
      </w:r>
      <w:r>
        <w:rPr>
          <w:rFonts w:ascii="Arial" w:cs="Arial" w:eastAsia="Arial" w:hAnsi="Arial"/>
          <w:sz w:val="18"/>
          <w:szCs w:val="18"/>
          <w:color w:val="auto"/>
        </w:rPr>
        <w:t xml:space="preserve"> segment comprises three outsourcing service offerings:</w:t>
      </w:r>
    </w:p>
    <w:p>
      <w:pPr>
        <w:spacing w:after="0" w:line="13" w:lineRule="exact"/>
        <w:rPr>
          <w:sz w:val="20"/>
          <w:szCs w:val="20"/>
          <w:color w:val="auto"/>
        </w:rPr>
      </w:pPr>
    </w:p>
    <w:p>
      <w:pPr>
        <w:ind w:left="340" w:hanging="332"/>
        <w:spacing w:after="0"/>
        <w:tabs>
          <w:tab w:leader="none" w:pos="3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Document Outsourcing (which includes Managed Print Services)</w:t>
      </w:r>
    </w:p>
    <w:p>
      <w:pPr>
        <w:ind w:left="340" w:hanging="332"/>
        <w:spacing w:after="0" w:line="234" w:lineRule="auto"/>
        <w:tabs>
          <w:tab w:leader="none" w:pos="3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Business Process Outsourcing</w:t>
      </w:r>
    </w:p>
    <w:p>
      <w:pPr>
        <w:ind w:left="340" w:hanging="332"/>
        <w:spacing w:after="0"/>
        <w:tabs>
          <w:tab w:leader="none" w:pos="3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Information Technology Outsourcing.</w:t>
      </w:r>
    </w:p>
    <w:p>
      <w:pPr>
        <w:spacing w:after="0" w:line="158"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Document outsourcing services include service arrangements that allow customers to streamline, simplify and digitize their document-intensive business processes through automation and deployment of software applications and tools and the management of their printing needs. Business process outsourcing services include service arrangements where we manage a customer’s business activity or process. Information technology outsourcing services include service arrangements where we manage a customer’s IT-related activities, such as application management and application development, data center operations or testing and quality assurance.</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4"/>
          <w:szCs w:val="14"/>
          <w:color w:val="4C9F40"/>
        </w:rPr>
        <w:t>Xerox 2010 Annual Report 51</w:t>
      </w:r>
    </w:p>
    <w:p>
      <w:pPr>
        <w:sectPr>
          <w:pgSz w:w="11900" w:h="16838" w:orient="portrait"/>
          <w:cols w:equalWidth="0" w:num="1">
            <w:col w:w="11420"/>
          </w:cols>
          <w:pgMar w:left="240" w:top="323" w:right="239" w:bottom="1440" w:gutter="0" w:footer="0" w:header="0"/>
        </w:sectPr>
      </w:pPr>
    </w:p>
    <w:bookmarkStart w:id="128" w:name="page129"/>
    <w:bookmarkEnd w:id="128"/>
    <w:p>
      <w:pPr>
        <w:ind w:right="280"/>
        <w:spacing w:after="0" w:line="24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segment classified as </w:t>
      </w:r>
      <w:r>
        <w:rPr>
          <w:rFonts w:ascii="Arial" w:cs="Arial" w:eastAsia="Arial" w:hAnsi="Arial"/>
          <w:sz w:val="18"/>
          <w:szCs w:val="18"/>
          <w:b w:val="1"/>
          <w:bCs w:val="1"/>
          <w:color w:val="4C9F40"/>
        </w:rPr>
        <w:t>Other</w:t>
      </w:r>
      <w:r>
        <w:rPr>
          <w:rFonts w:ascii="Arial" w:cs="Arial" w:eastAsia="Arial" w:hAnsi="Arial"/>
          <w:sz w:val="18"/>
          <w:szCs w:val="18"/>
          <w:color w:val="auto"/>
        </w:rPr>
        <w:t xml:space="preserve"> includes several units, none of which meets the threshold for separate segment reporting. This group primarily includes Xerox Supplies Business Group (predominantly paper sales), Wide Format Systems, licensing revenues, GIS network integration solutions and electronic presentation systems, non-allocated Corporate items including non-financing interest, as well as other items included in Other expenses, net.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information for our Operating segments for the three years ended December 31, 2010 was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4"/>
                <w:szCs w:val="14"/>
                <w:color w:val="auto"/>
                <w:w w:val="96"/>
              </w:rPr>
              <w:t>Technology</w:t>
            </w:r>
          </w:p>
        </w:tc>
        <w:tc>
          <w:tcPr>
            <w:tcW w:w="160" w:type="dxa"/>
            <w:vAlign w:val="bottom"/>
          </w:tcPr>
          <w:p>
            <w:pPr>
              <w:spacing w:after="0"/>
              <w:rPr>
                <w:sz w:val="14"/>
                <w:szCs w:val="14"/>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4"/>
                <w:szCs w:val="14"/>
                <w:color w:val="auto"/>
              </w:rPr>
              <w:t>Services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4"/>
                <w:szCs w:val="14"/>
                <w:color w:val="auto"/>
                <w:w w:val="96"/>
              </w:rPr>
              <w:t>Other</w:t>
            </w:r>
          </w:p>
        </w:tc>
        <w:tc>
          <w:tcPr>
            <w:tcW w:w="16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20" w:type="dxa"/>
            <w:vAlign w:val="bottom"/>
            <w:shd w:val="clear" w:color="auto" w:fill="E5E5E5"/>
          </w:tcPr>
          <w:p>
            <w:pPr>
              <w:spacing w:after="0" w:line="197" w:lineRule="exact"/>
              <w:rPr>
                <w:sz w:val="20"/>
                <w:szCs w:val="20"/>
                <w:color w:val="auto"/>
              </w:rPr>
            </w:pPr>
            <w:r>
              <w:rPr>
                <w:rFonts w:ascii="Arial" w:cs="Arial" w:eastAsia="Arial" w:hAnsi="Arial"/>
                <w:sz w:val="22"/>
                <w:szCs w:val="22"/>
                <w:b w:val="1"/>
                <w:bCs w:val="1"/>
                <w:color w:val="4C9F40"/>
                <w:vertAlign w:val="subscript"/>
              </w:rPr>
              <w:t>2010</w:t>
            </w:r>
            <w:r>
              <w:rPr>
                <w:rFonts w:ascii="Arial" w:cs="Arial" w:eastAsia="Arial" w:hAnsi="Arial"/>
                <w:sz w:val="9"/>
                <w:szCs w:val="9"/>
                <w:b w:val="1"/>
                <w:bCs w:val="1"/>
                <w:color w:val="auto"/>
              </w:rPr>
              <w:t>(</w:t>
            </w:r>
            <w:r>
              <w:rPr>
                <w:rFonts w:ascii="Arial" w:cs="Arial" w:eastAsia="Arial" w:hAnsi="Arial"/>
                <w:sz w:val="13"/>
                <w:szCs w:val="13"/>
                <w:b w:val="1"/>
                <w:bCs w:val="1"/>
                <w:color w:val="auto"/>
                <w:vertAlign w:val="superscript"/>
              </w:rPr>
              <w:t>1)</w:t>
            </w:r>
          </w:p>
        </w:tc>
        <w:tc>
          <w:tcPr>
            <w:tcW w:w="1940" w:type="dxa"/>
            <w:vAlign w:val="bottom"/>
            <w:shd w:val="clear" w:color="auto" w:fill="E5E5E5"/>
          </w:tcPr>
          <w:p>
            <w:pPr>
              <w:spacing w:after="0"/>
              <w:rPr>
                <w:sz w:val="17"/>
                <w:szCs w:val="17"/>
                <w:color w:val="auto"/>
              </w:rPr>
            </w:pPr>
          </w:p>
        </w:tc>
        <w:tc>
          <w:tcPr>
            <w:tcW w:w="160" w:type="dxa"/>
            <w:vAlign w:val="bottom"/>
            <w:tcBorders>
              <w:top w:val="single" w:sz="8" w:color="auto"/>
            </w:tcBorders>
            <w:shd w:val="clear" w:color="auto" w:fill="E5E5E5"/>
          </w:tcPr>
          <w:p>
            <w:pPr>
              <w:spacing w:after="0"/>
              <w:rPr>
                <w:sz w:val="17"/>
                <w:szCs w:val="17"/>
                <w:color w:val="auto"/>
              </w:rPr>
            </w:pPr>
          </w:p>
        </w:tc>
        <w:tc>
          <w:tcPr>
            <w:tcW w:w="580" w:type="dxa"/>
            <w:vAlign w:val="bottom"/>
            <w:tcBorders>
              <w:top w:val="single" w:sz="8" w:color="auto"/>
            </w:tcBorders>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60" w:type="dxa"/>
            <w:vAlign w:val="bottom"/>
            <w:tcBorders>
              <w:top w:val="single" w:sz="8" w:color="auto"/>
            </w:tcBorders>
            <w:shd w:val="clear" w:color="auto" w:fill="E5E5E5"/>
          </w:tcPr>
          <w:p>
            <w:pPr>
              <w:spacing w:after="0"/>
              <w:rPr>
                <w:sz w:val="17"/>
                <w:szCs w:val="17"/>
                <w:color w:val="auto"/>
              </w:rPr>
            </w:pPr>
          </w:p>
        </w:tc>
        <w:tc>
          <w:tcPr>
            <w:tcW w:w="480" w:type="dxa"/>
            <w:vAlign w:val="bottom"/>
            <w:tcBorders>
              <w:top w:val="single" w:sz="8" w:color="auto"/>
            </w:tcBorders>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120" w:type="dxa"/>
            <w:vAlign w:val="bottom"/>
            <w:tcBorders>
              <w:top w:val="single" w:sz="8" w:color="auto"/>
            </w:tcBorders>
            <w:shd w:val="clear" w:color="auto" w:fill="E5E5E5"/>
          </w:tcPr>
          <w:p>
            <w:pPr>
              <w:spacing w:after="0"/>
              <w:rPr>
                <w:sz w:val="17"/>
                <w:szCs w:val="17"/>
                <w:color w:val="auto"/>
              </w:rPr>
            </w:pPr>
          </w:p>
        </w:tc>
        <w:tc>
          <w:tcPr>
            <w:tcW w:w="520" w:type="dxa"/>
            <w:vAlign w:val="bottom"/>
            <w:tcBorders>
              <w:top w:val="single" w:sz="8" w:color="auto"/>
            </w:tcBorders>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60" w:type="dxa"/>
            <w:vAlign w:val="bottom"/>
            <w:tcBorders>
              <w:top w:val="single" w:sz="8" w:color="auto"/>
            </w:tcBorders>
            <w:shd w:val="clear" w:color="auto" w:fill="E5E5E5"/>
          </w:tcPr>
          <w:p>
            <w:pPr>
              <w:spacing w:after="0"/>
              <w:rPr>
                <w:sz w:val="17"/>
                <w:szCs w:val="17"/>
                <w:color w:val="auto"/>
              </w:rPr>
            </w:pPr>
          </w:p>
        </w:tc>
        <w:tc>
          <w:tcPr>
            <w:tcW w:w="600" w:type="dxa"/>
            <w:vAlign w:val="bottom"/>
            <w:tcBorders>
              <w:top w:val="single" w:sz="8" w:color="auto"/>
            </w:tcBorders>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40" w:type="dxa"/>
            <w:vAlign w:val="bottom"/>
            <w:gridSpan w:val="2"/>
          </w:tcPr>
          <w:p>
            <w:pPr>
              <w:spacing w:after="0" w:line="202" w:lineRule="exact"/>
              <w:rPr>
                <w:sz w:val="20"/>
                <w:szCs w:val="20"/>
                <w:color w:val="auto"/>
              </w:rPr>
            </w:pPr>
            <w:r>
              <w:rPr>
                <w:rFonts w:ascii="Arial" w:cs="Arial" w:eastAsia="Arial" w:hAnsi="Arial"/>
                <w:sz w:val="18"/>
                <w:szCs w:val="18"/>
                <w:color w:val="auto"/>
              </w:rPr>
              <w:t>Revenues</w:t>
            </w:r>
          </w:p>
        </w:tc>
        <w:tc>
          <w:tcPr>
            <w:tcW w:w="2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9,790</w:t>
            </w:r>
          </w:p>
        </w:tc>
        <w:tc>
          <w:tcPr>
            <w:tcW w:w="160" w:type="dxa"/>
            <w:vAlign w:val="bottom"/>
          </w:tcPr>
          <w:p>
            <w:pPr>
              <w:spacing w:after="0"/>
              <w:rPr>
                <w:sz w:val="17"/>
                <w:szCs w:val="17"/>
                <w:color w:val="auto"/>
              </w:rPr>
            </w:pP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9,548</w:t>
            </w:r>
          </w:p>
        </w:tc>
        <w:tc>
          <w:tcPr>
            <w:tcW w:w="3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1,635</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20,973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Finance income</w:t>
            </w:r>
          </w:p>
        </w:tc>
        <w:tc>
          <w:tcPr>
            <w:tcW w:w="194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5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559</w:t>
            </w:r>
          </w:p>
        </w:tc>
        <w:tc>
          <w:tcPr>
            <w:tcW w:w="1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64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89</w:t>
            </w:r>
          </w:p>
        </w:tc>
        <w:tc>
          <w:tcPr>
            <w:tcW w:w="18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820" w:type="dxa"/>
            <w:vAlign w:val="bottom"/>
            <w:gridSpan w:val="2"/>
            <w:shd w:val="clear" w:color="auto" w:fill="E5E5E5"/>
          </w:tcPr>
          <w:p>
            <w:pPr>
              <w:jc w:val="right"/>
              <w:ind w:right="300"/>
              <w:spacing w:after="0" w:line="202" w:lineRule="exact"/>
              <w:rPr>
                <w:sz w:val="20"/>
                <w:szCs w:val="20"/>
                <w:color w:val="auto"/>
              </w:rPr>
            </w:pPr>
            <w:r>
              <w:rPr>
                <w:rFonts w:ascii="Arial" w:cs="Arial" w:eastAsia="Arial" w:hAnsi="Arial"/>
                <w:sz w:val="18"/>
                <w:szCs w:val="18"/>
                <w:color w:val="auto"/>
              </w:rPr>
              <w:t>12</w:t>
            </w:r>
          </w:p>
        </w:tc>
        <w:tc>
          <w:tcPr>
            <w:tcW w:w="160" w:type="dxa"/>
            <w:vAlign w:val="bottom"/>
            <w:shd w:val="clear" w:color="auto" w:fill="E5E5E5"/>
          </w:tcPr>
          <w:p>
            <w:pPr>
              <w:spacing w:after="0"/>
              <w:rPr>
                <w:sz w:val="17"/>
                <w:szCs w:val="17"/>
                <w:color w:val="auto"/>
              </w:rPr>
            </w:pPr>
          </w:p>
        </w:tc>
        <w:tc>
          <w:tcPr>
            <w:tcW w:w="6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660</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Segment Revenues</w:t>
            </w:r>
          </w:p>
        </w:tc>
        <w:tc>
          <w:tcPr>
            <w:tcW w:w="19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40" w:type="dxa"/>
            <w:vAlign w:val="bottom"/>
            <w:gridSpan w:val="2"/>
            <w:vMerge w:val="continue"/>
          </w:tcPr>
          <w:p>
            <w:pPr>
              <w:spacing w:after="0"/>
              <w:rPr>
                <w:sz w:val="18"/>
                <w:szCs w:val="18"/>
                <w:color w:val="auto"/>
              </w:rPr>
            </w:pPr>
          </w:p>
        </w:tc>
        <w:tc>
          <w:tcPr>
            <w:tcW w:w="19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10,349</w:t>
            </w:r>
          </w:p>
        </w:tc>
        <w:tc>
          <w:tcPr>
            <w:tcW w:w="1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9,637</w:t>
            </w:r>
          </w:p>
        </w:tc>
        <w:tc>
          <w:tcPr>
            <w:tcW w:w="160" w:type="dxa"/>
            <w:vAlign w:val="bottom"/>
          </w:tcPr>
          <w:p>
            <w:pPr>
              <w:spacing w:after="0"/>
              <w:rPr>
                <w:sz w:val="18"/>
                <w:szCs w:val="18"/>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1,647</w:t>
            </w:r>
          </w:p>
        </w:tc>
        <w:tc>
          <w:tcPr>
            <w:tcW w:w="3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21,633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Interest expense</w:t>
            </w:r>
          </w:p>
        </w:tc>
        <w:tc>
          <w:tcPr>
            <w:tcW w:w="210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212</w:t>
            </w:r>
          </w:p>
        </w:tc>
        <w:tc>
          <w:tcPr>
            <w:tcW w:w="160" w:type="dxa"/>
            <w:vAlign w:val="bottom"/>
            <w:shd w:val="clear" w:color="auto" w:fill="E5E5E5"/>
          </w:tcPr>
          <w:p>
            <w:pPr>
              <w:spacing w:after="0"/>
              <w:rPr>
                <w:sz w:val="17"/>
                <w:szCs w:val="17"/>
                <w:color w:val="auto"/>
              </w:rPr>
            </w:pPr>
          </w:p>
        </w:tc>
        <w:tc>
          <w:tcPr>
            <w:tcW w:w="32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28</w:t>
            </w:r>
          </w:p>
        </w:tc>
        <w:tc>
          <w:tcPr>
            <w:tcW w:w="30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352</w:t>
            </w:r>
          </w:p>
        </w:tc>
        <w:tc>
          <w:tcPr>
            <w:tcW w:w="300" w:type="dxa"/>
            <w:vAlign w:val="bottom"/>
            <w:shd w:val="clear" w:color="auto" w:fill="E5E5E5"/>
          </w:tcPr>
          <w:p>
            <w:pPr>
              <w:spacing w:after="0"/>
              <w:rPr>
                <w:sz w:val="17"/>
                <w:szCs w:val="17"/>
                <w:color w:val="auto"/>
              </w:rPr>
            </w:pPr>
          </w:p>
        </w:tc>
        <w:tc>
          <w:tcPr>
            <w:tcW w:w="1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592</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40" w:type="dxa"/>
            <w:vAlign w:val="bottom"/>
            <w:gridSpan w:val="2"/>
          </w:tcPr>
          <w:p>
            <w:pPr>
              <w:spacing w:after="0" w:line="203" w:lineRule="exact"/>
              <w:rPr>
                <w:sz w:val="20"/>
                <w:szCs w:val="20"/>
                <w:color w:val="auto"/>
              </w:rPr>
            </w:pPr>
            <w:r>
              <w:rPr>
                <w:rFonts w:ascii="Arial" w:cs="Arial" w:eastAsia="Arial" w:hAnsi="Arial"/>
                <w:sz w:val="18"/>
                <w:szCs w:val="18"/>
                <w:color w:val="auto"/>
              </w:rPr>
              <w:t xml:space="preserve">Segment profit (loss) </w:t>
            </w:r>
            <w:r>
              <w:rPr>
                <w:rFonts w:ascii="Arial" w:cs="Arial" w:eastAsia="Arial" w:hAnsi="Arial"/>
                <w:sz w:val="22"/>
                <w:szCs w:val="22"/>
                <w:color w:val="auto"/>
                <w:vertAlign w:val="superscript"/>
              </w:rPr>
              <w:t>(2)</w:t>
            </w:r>
          </w:p>
        </w:tc>
        <w:tc>
          <w:tcPr>
            <w:tcW w:w="1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1,085</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1,132</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(342)</w:t>
            </w:r>
          </w:p>
        </w:tc>
        <w:tc>
          <w:tcPr>
            <w:tcW w:w="1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1,875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Equity in net income of unconsolidated affiliates</w:t>
            </w:r>
          </w:p>
        </w:tc>
        <w:tc>
          <w:tcPr>
            <w:tcW w:w="194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5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62</w:t>
            </w:r>
          </w:p>
        </w:tc>
        <w:tc>
          <w:tcPr>
            <w:tcW w:w="1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64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16</w:t>
            </w:r>
          </w:p>
        </w:tc>
        <w:tc>
          <w:tcPr>
            <w:tcW w:w="18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820" w:type="dxa"/>
            <w:vAlign w:val="bottom"/>
            <w:gridSpan w:val="2"/>
            <w:shd w:val="clear" w:color="auto" w:fill="E5E5E5"/>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E5E5E5"/>
          </w:tcPr>
          <w:p>
            <w:pPr>
              <w:spacing w:after="0"/>
              <w:rPr>
                <w:sz w:val="17"/>
                <w:szCs w:val="17"/>
                <w:color w:val="auto"/>
              </w:rPr>
            </w:pPr>
          </w:p>
        </w:tc>
        <w:tc>
          <w:tcPr>
            <w:tcW w:w="7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311"/>
        </w:trPr>
        <w:tc>
          <w:tcPr>
            <w:tcW w:w="5640" w:type="dxa"/>
            <w:vAlign w:val="bottom"/>
            <w:gridSpan w:val="2"/>
          </w:tcPr>
          <w:p>
            <w:pPr>
              <w:spacing w:after="0"/>
              <w:rPr>
                <w:sz w:val="20"/>
                <w:szCs w:val="20"/>
                <w:color w:val="auto"/>
              </w:rPr>
            </w:pPr>
            <w:r>
              <w:rPr>
                <w:rFonts w:ascii="Arial" w:cs="Arial" w:eastAsia="Arial" w:hAnsi="Arial"/>
                <w:sz w:val="18"/>
                <w:szCs w:val="18"/>
                <w:b w:val="1"/>
                <w:bCs w:val="1"/>
                <w:color w:val="auto"/>
              </w:rPr>
              <w:t>2009</w:t>
            </w:r>
            <w:r>
              <w:rPr>
                <w:rFonts w:ascii="Arial" w:cs="Arial" w:eastAsia="Arial" w:hAnsi="Arial"/>
                <w:sz w:val="22"/>
                <w:szCs w:val="22"/>
                <w:b w:val="1"/>
                <w:bCs w:val="1"/>
                <w:color w:val="auto"/>
                <w:vertAlign w:val="superscript"/>
              </w:rPr>
              <w:t>(1)</w:t>
            </w:r>
          </w:p>
        </w:tc>
        <w:tc>
          <w:tcPr>
            <w:tcW w:w="1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Revenues</w:t>
            </w:r>
          </w:p>
        </w:tc>
        <w:tc>
          <w:tcPr>
            <w:tcW w:w="210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9,470</w:t>
            </w:r>
          </w:p>
        </w:tc>
        <w:tc>
          <w:tcPr>
            <w:tcW w:w="160" w:type="dxa"/>
            <w:vAlign w:val="bottom"/>
            <w:shd w:val="clear" w:color="auto" w:fill="E5E5E5"/>
          </w:tcPr>
          <w:p>
            <w:pPr>
              <w:spacing w:after="0"/>
              <w:rPr>
                <w:sz w:val="17"/>
                <w:szCs w:val="17"/>
                <w:color w:val="auto"/>
              </w:rPr>
            </w:pPr>
          </w:p>
        </w:tc>
        <w:tc>
          <w:tcPr>
            <w:tcW w:w="32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3,373</w:t>
            </w:r>
          </w:p>
        </w:tc>
        <w:tc>
          <w:tcPr>
            <w:tcW w:w="160" w:type="dxa"/>
            <w:vAlign w:val="bottom"/>
            <w:shd w:val="clear" w:color="auto" w:fill="E5E5E5"/>
          </w:tcPr>
          <w:p>
            <w:pPr>
              <w:spacing w:after="0"/>
              <w:rPr>
                <w:sz w:val="17"/>
                <w:szCs w:val="17"/>
                <w:color w:val="auto"/>
              </w:rPr>
            </w:pPr>
          </w:p>
        </w:tc>
        <w:tc>
          <w:tcPr>
            <w:tcW w:w="30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1,623</w:t>
            </w:r>
          </w:p>
        </w:tc>
        <w:tc>
          <w:tcPr>
            <w:tcW w:w="300" w:type="dxa"/>
            <w:vAlign w:val="bottom"/>
            <w:shd w:val="clear" w:color="auto" w:fill="E5E5E5"/>
          </w:tcPr>
          <w:p>
            <w:pPr>
              <w:spacing w:after="0"/>
              <w:rPr>
                <w:sz w:val="17"/>
                <w:szCs w:val="17"/>
                <w:color w:val="auto"/>
              </w:rPr>
            </w:pPr>
          </w:p>
        </w:tc>
        <w:tc>
          <w:tcPr>
            <w:tcW w:w="1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14,466</w:t>
            </w:r>
          </w:p>
        </w:tc>
        <w:tc>
          <w:tcPr>
            <w:tcW w:w="0" w:type="dxa"/>
            <w:vAlign w:val="bottom"/>
          </w:tcPr>
          <w:p>
            <w:pPr>
              <w:spacing w:after="0"/>
              <w:rPr>
                <w:sz w:val="1"/>
                <w:szCs w:val="1"/>
                <w:color w:val="auto"/>
              </w:rPr>
            </w:pPr>
          </w:p>
        </w:tc>
      </w:tr>
      <w:tr>
        <w:trPr>
          <w:trHeight w:val="210"/>
        </w:trPr>
        <w:tc>
          <w:tcPr>
            <w:tcW w:w="5640" w:type="dxa"/>
            <w:vAlign w:val="bottom"/>
            <w:gridSpan w:val="2"/>
          </w:tcPr>
          <w:p>
            <w:pPr>
              <w:spacing w:after="0" w:line="202" w:lineRule="exact"/>
              <w:rPr>
                <w:sz w:val="20"/>
                <w:szCs w:val="20"/>
                <w:color w:val="auto"/>
              </w:rPr>
            </w:pPr>
            <w:r>
              <w:rPr>
                <w:rFonts w:ascii="Arial" w:cs="Arial" w:eastAsia="Arial" w:hAnsi="Arial"/>
                <w:sz w:val="18"/>
                <w:szCs w:val="18"/>
                <w:color w:val="auto"/>
              </w:rPr>
              <w:t>Finance income</w:t>
            </w:r>
          </w:p>
        </w:tc>
        <w:tc>
          <w:tcPr>
            <w:tcW w:w="19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597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w:t>
            </w:r>
          </w:p>
        </w:tc>
        <w:tc>
          <w:tcPr>
            <w:tcW w:w="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Total Segment Revenues</w:t>
            </w:r>
          </w:p>
        </w:tc>
        <w:tc>
          <w:tcPr>
            <w:tcW w:w="1940" w:type="dxa"/>
            <w:vAlign w:val="bottom"/>
            <w:shd w:val="clear" w:color="auto" w:fill="E5E5E5"/>
          </w:tcPr>
          <w:p>
            <w:pPr>
              <w:spacing w:after="0"/>
              <w:rPr>
                <w:sz w:val="17"/>
                <w:szCs w:val="17"/>
                <w:color w:val="auto"/>
              </w:rPr>
            </w:pPr>
          </w:p>
        </w:tc>
        <w:tc>
          <w:tcPr>
            <w:tcW w:w="1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10,067</w:t>
            </w:r>
          </w:p>
        </w:tc>
        <w:tc>
          <w:tcPr>
            <w:tcW w:w="32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3,476</w:t>
            </w:r>
          </w:p>
        </w:tc>
        <w:tc>
          <w:tcPr>
            <w:tcW w:w="160" w:type="dxa"/>
            <w:vAlign w:val="bottom"/>
            <w:shd w:val="clear" w:color="auto" w:fill="E5E5E5"/>
          </w:tcPr>
          <w:p>
            <w:pPr>
              <w:spacing w:after="0"/>
              <w:rPr>
                <w:sz w:val="17"/>
                <w:szCs w:val="17"/>
                <w:color w:val="auto"/>
              </w:rPr>
            </w:pPr>
          </w:p>
        </w:tc>
        <w:tc>
          <w:tcPr>
            <w:tcW w:w="30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1,636</w:t>
            </w:r>
          </w:p>
        </w:tc>
        <w:tc>
          <w:tcPr>
            <w:tcW w:w="300" w:type="dxa"/>
            <w:vAlign w:val="bottom"/>
            <w:shd w:val="clear" w:color="auto" w:fill="E5E5E5"/>
          </w:tcPr>
          <w:p>
            <w:pPr>
              <w:spacing w:after="0"/>
              <w:rPr>
                <w:sz w:val="17"/>
                <w:szCs w:val="17"/>
                <w:color w:val="auto"/>
              </w:rPr>
            </w:pPr>
          </w:p>
        </w:tc>
        <w:tc>
          <w:tcPr>
            <w:tcW w:w="1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15,179</w:t>
            </w:r>
          </w:p>
        </w:tc>
        <w:tc>
          <w:tcPr>
            <w:tcW w:w="0" w:type="dxa"/>
            <w:vAlign w:val="bottom"/>
          </w:tcPr>
          <w:p>
            <w:pPr>
              <w:spacing w:after="0"/>
              <w:rPr>
                <w:sz w:val="1"/>
                <w:szCs w:val="1"/>
                <w:color w:val="auto"/>
              </w:rPr>
            </w:pPr>
          </w:p>
        </w:tc>
      </w:tr>
      <w:tr>
        <w:trPr>
          <w:trHeight w:val="20"/>
        </w:trPr>
        <w:tc>
          <w:tcPr>
            <w:tcW w:w="564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6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9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229</w:t>
            </w:r>
          </w:p>
        </w:tc>
        <w:tc>
          <w:tcPr>
            <w:tcW w:w="16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36</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262</w:t>
            </w:r>
          </w:p>
        </w:tc>
        <w:tc>
          <w:tcPr>
            <w:tcW w:w="3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shd w:val="clear" w:color="auto" w:fill="E5E5E5"/>
          </w:tcPr>
          <w:p>
            <w:pPr>
              <w:spacing w:after="0" w:line="203" w:lineRule="exact"/>
              <w:rPr>
                <w:sz w:val="20"/>
                <w:szCs w:val="20"/>
                <w:color w:val="auto"/>
              </w:rPr>
            </w:pPr>
            <w:r>
              <w:rPr>
                <w:rFonts w:ascii="Arial" w:cs="Arial" w:eastAsia="Arial" w:hAnsi="Arial"/>
                <w:sz w:val="18"/>
                <w:szCs w:val="18"/>
                <w:color w:val="auto"/>
              </w:rPr>
              <w:t xml:space="preserve">Segment profit (loss) </w:t>
            </w:r>
            <w:r>
              <w:rPr>
                <w:rFonts w:ascii="Arial" w:cs="Arial" w:eastAsia="Arial" w:hAnsi="Arial"/>
                <w:sz w:val="22"/>
                <w:szCs w:val="22"/>
                <w:color w:val="auto"/>
                <w:vertAlign w:val="superscript"/>
              </w:rPr>
              <w:t>(2)</w:t>
            </w:r>
          </w:p>
        </w:tc>
        <w:tc>
          <w:tcPr>
            <w:tcW w:w="194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5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949</w:t>
            </w:r>
          </w:p>
        </w:tc>
        <w:tc>
          <w:tcPr>
            <w:tcW w:w="1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4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231</w:t>
            </w:r>
          </w:p>
        </w:tc>
        <w:tc>
          <w:tcPr>
            <w:tcW w:w="16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82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color w:val="auto"/>
              </w:rPr>
              <w:t>(342)</w:t>
            </w:r>
          </w:p>
        </w:tc>
        <w:tc>
          <w:tcPr>
            <w:tcW w:w="160" w:type="dxa"/>
            <w:vAlign w:val="bottom"/>
            <w:shd w:val="clear" w:color="auto" w:fill="E5E5E5"/>
          </w:tcPr>
          <w:p>
            <w:pPr>
              <w:spacing w:after="0"/>
              <w:rPr>
                <w:sz w:val="17"/>
                <w:szCs w:val="17"/>
                <w:color w:val="auto"/>
              </w:rPr>
            </w:pPr>
          </w:p>
        </w:tc>
        <w:tc>
          <w:tcPr>
            <w:tcW w:w="6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838</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640" w:type="dxa"/>
            <w:vAlign w:val="bottom"/>
            <w:gridSpan w:val="2"/>
          </w:tcPr>
          <w:p>
            <w:pPr>
              <w:spacing w:after="0"/>
              <w:rPr>
                <w:sz w:val="20"/>
                <w:szCs w:val="20"/>
                <w:color w:val="auto"/>
              </w:rPr>
            </w:pPr>
            <w:r>
              <w:rPr>
                <w:rFonts w:ascii="Arial" w:cs="Arial" w:eastAsia="Arial" w:hAnsi="Arial"/>
                <w:sz w:val="18"/>
                <w:szCs w:val="18"/>
                <w:color w:val="auto"/>
              </w:rPr>
              <w:t>Equity in net income of unconsolidated affiliates</w:t>
            </w: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56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620" w:type="dxa"/>
            <w:vAlign w:val="bottom"/>
            <w:shd w:val="clear" w:color="auto" w:fill="E5E5E5"/>
          </w:tcPr>
          <w:p>
            <w:pPr>
              <w:spacing w:after="0" w:line="203" w:lineRule="exact"/>
              <w:rPr>
                <w:sz w:val="20"/>
                <w:szCs w:val="20"/>
                <w:color w:val="auto"/>
              </w:rPr>
            </w:pPr>
            <w:r>
              <w:rPr>
                <w:rFonts w:ascii="Arial" w:cs="Arial" w:eastAsia="Arial" w:hAnsi="Arial"/>
                <w:sz w:val="18"/>
                <w:szCs w:val="18"/>
                <w:b w:val="1"/>
                <w:bCs w:val="1"/>
                <w:color w:val="auto"/>
              </w:rPr>
              <w:t>2008</w:t>
            </w:r>
            <w:r>
              <w:rPr>
                <w:rFonts w:ascii="Arial" w:cs="Arial" w:eastAsia="Arial" w:hAnsi="Arial"/>
                <w:sz w:val="22"/>
                <w:szCs w:val="22"/>
                <w:b w:val="1"/>
                <w:bCs w:val="1"/>
                <w:color w:val="auto"/>
                <w:vertAlign w:val="superscript"/>
              </w:rPr>
              <w:t>(1)</w:t>
            </w:r>
          </w:p>
        </w:tc>
        <w:tc>
          <w:tcPr>
            <w:tcW w:w="194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48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52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6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40" w:type="dxa"/>
            <w:vAlign w:val="bottom"/>
            <w:gridSpan w:val="2"/>
          </w:tcPr>
          <w:p>
            <w:pPr>
              <w:spacing w:after="0" w:line="202" w:lineRule="exact"/>
              <w:rPr>
                <w:sz w:val="20"/>
                <w:szCs w:val="20"/>
                <w:color w:val="auto"/>
              </w:rPr>
            </w:pPr>
            <w:r>
              <w:rPr>
                <w:rFonts w:ascii="Arial" w:cs="Arial" w:eastAsia="Arial" w:hAnsi="Arial"/>
                <w:sz w:val="18"/>
                <w:szCs w:val="18"/>
                <w:color w:val="auto"/>
              </w:rPr>
              <w:t>Revenues</w:t>
            </w:r>
          </w:p>
        </w:tc>
        <w:tc>
          <w:tcPr>
            <w:tcW w:w="2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11,041</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3,718</w:t>
            </w:r>
          </w:p>
        </w:tc>
        <w:tc>
          <w:tcPr>
            <w:tcW w:w="160" w:type="dxa"/>
            <w:vAlign w:val="bottom"/>
          </w:tcPr>
          <w:p>
            <w:pPr>
              <w:spacing w:after="0"/>
              <w:rPr>
                <w:sz w:val="17"/>
                <w:szCs w:val="17"/>
                <w:color w:val="auto"/>
              </w:rPr>
            </w:pPr>
          </w:p>
        </w:tc>
        <w:tc>
          <w:tcPr>
            <w:tcW w:w="3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2,051</w:t>
            </w:r>
          </w:p>
        </w:tc>
        <w:tc>
          <w:tcPr>
            <w:tcW w:w="30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16,810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Finance income</w:t>
            </w:r>
          </w:p>
        </w:tc>
        <w:tc>
          <w:tcPr>
            <w:tcW w:w="1940" w:type="dxa"/>
            <w:vAlign w:val="bottom"/>
            <w:shd w:val="clear" w:color="auto" w:fill="E5E5E5"/>
          </w:tcPr>
          <w:p>
            <w:pPr>
              <w:spacing w:after="0"/>
              <w:rPr>
                <w:sz w:val="17"/>
                <w:szCs w:val="17"/>
                <w:color w:val="auto"/>
              </w:rPr>
            </w:pPr>
          </w:p>
        </w:tc>
        <w:tc>
          <w:tcPr>
            <w:tcW w:w="160" w:type="dxa"/>
            <w:vAlign w:val="bottom"/>
            <w:tcBorders>
              <w:bottom w:val="single" w:sz="8" w:color="auto"/>
            </w:tcBorders>
            <w:shd w:val="clear" w:color="auto" w:fill="E5E5E5"/>
          </w:tcPr>
          <w:p>
            <w:pPr>
              <w:spacing w:after="0"/>
              <w:rPr>
                <w:sz w:val="17"/>
                <w:szCs w:val="17"/>
                <w:color w:val="auto"/>
              </w:rPr>
            </w:pPr>
          </w:p>
        </w:tc>
        <w:tc>
          <w:tcPr>
            <w:tcW w:w="580" w:type="dxa"/>
            <w:vAlign w:val="bottom"/>
            <w:tcBorders>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673</w:t>
            </w:r>
          </w:p>
        </w:tc>
        <w:tc>
          <w:tcPr>
            <w:tcW w:w="1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60" w:type="dxa"/>
            <w:vAlign w:val="bottom"/>
            <w:tcBorders>
              <w:bottom w:val="single" w:sz="8" w:color="auto"/>
            </w:tcBorders>
            <w:shd w:val="clear" w:color="auto" w:fill="E5E5E5"/>
          </w:tcPr>
          <w:p>
            <w:pPr>
              <w:spacing w:after="0"/>
              <w:rPr>
                <w:sz w:val="17"/>
                <w:szCs w:val="17"/>
                <w:color w:val="auto"/>
              </w:rPr>
            </w:pPr>
          </w:p>
        </w:tc>
        <w:tc>
          <w:tcPr>
            <w:tcW w:w="480" w:type="dxa"/>
            <w:vAlign w:val="bottom"/>
            <w:tcBorders>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110</w:t>
            </w:r>
          </w:p>
        </w:tc>
        <w:tc>
          <w:tcPr>
            <w:tcW w:w="16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120" w:type="dxa"/>
            <w:vAlign w:val="bottom"/>
            <w:tcBorders>
              <w:bottom w:val="single" w:sz="8" w:color="auto"/>
            </w:tcBorders>
            <w:shd w:val="clear" w:color="auto" w:fill="E5E5E5"/>
          </w:tcPr>
          <w:p>
            <w:pPr>
              <w:spacing w:after="0"/>
              <w:rPr>
                <w:sz w:val="17"/>
                <w:szCs w:val="17"/>
                <w:color w:val="auto"/>
              </w:rPr>
            </w:pPr>
          </w:p>
        </w:tc>
        <w:tc>
          <w:tcPr>
            <w:tcW w:w="520" w:type="dxa"/>
            <w:vAlign w:val="bottom"/>
            <w:tcBorders>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15</w:t>
            </w:r>
          </w:p>
        </w:tc>
        <w:tc>
          <w:tcPr>
            <w:tcW w:w="300" w:type="dxa"/>
            <w:vAlign w:val="bottom"/>
            <w:shd w:val="clear" w:color="auto" w:fill="E5E5E5"/>
          </w:tcPr>
          <w:p>
            <w:pPr>
              <w:spacing w:after="0"/>
              <w:rPr>
                <w:sz w:val="17"/>
                <w:szCs w:val="17"/>
                <w:color w:val="auto"/>
              </w:rPr>
            </w:pPr>
          </w:p>
        </w:tc>
        <w:tc>
          <w:tcPr>
            <w:tcW w:w="160" w:type="dxa"/>
            <w:vAlign w:val="bottom"/>
            <w:tcBorders>
              <w:bottom w:val="single" w:sz="8" w:color="auto"/>
            </w:tcBorders>
            <w:shd w:val="clear" w:color="auto" w:fill="E5E5E5"/>
          </w:tcPr>
          <w:p>
            <w:pPr>
              <w:spacing w:after="0"/>
              <w:rPr>
                <w:sz w:val="17"/>
                <w:szCs w:val="17"/>
                <w:color w:val="auto"/>
              </w:rPr>
            </w:pPr>
          </w:p>
        </w:tc>
        <w:tc>
          <w:tcPr>
            <w:tcW w:w="600" w:type="dxa"/>
            <w:vAlign w:val="bottom"/>
            <w:tcBorders>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798</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640" w:type="dxa"/>
            <w:vAlign w:val="bottom"/>
            <w:gridSpan w:val="2"/>
          </w:tcPr>
          <w:p>
            <w:pPr>
              <w:spacing w:after="0"/>
              <w:rPr>
                <w:sz w:val="20"/>
                <w:szCs w:val="20"/>
                <w:color w:val="auto"/>
              </w:rPr>
            </w:pPr>
            <w:r>
              <w:rPr>
                <w:rFonts w:ascii="Arial" w:cs="Arial" w:eastAsia="Arial" w:hAnsi="Arial"/>
                <w:sz w:val="18"/>
                <w:szCs w:val="18"/>
                <w:b w:val="1"/>
                <w:bCs w:val="1"/>
                <w:color w:val="auto"/>
              </w:rPr>
              <w:t>Total Segment Revenues</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11,714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3,828</w:t>
            </w:r>
          </w:p>
        </w:tc>
        <w:tc>
          <w:tcPr>
            <w:tcW w:w="160" w:type="dxa"/>
            <w:vAlign w:val="bottom"/>
          </w:tcPr>
          <w:p>
            <w:pPr>
              <w:spacing w:after="0"/>
              <w:rPr>
                <w:sz w:val="18"/>
                <w:szCs w:val="18"/>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2,066</w:t>
            </w:r>
          </w:p>
        </w:tc>
        <w:tc>
          <w:tcPr>
            <w:tcW w:w="3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17,608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Interest expense</w:t>
            </w:r>
          </w:p>
        </w:tc>
        <w:tc>
          <w:tcPr>
            <w:tcW w:w="210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293</w:t>
            </w:r>
          </w:p>
        </w:tc>
        <w:tc>
          <w:tcPr>
            <w:tcW w:w="160" w:type="dxa"/>
            <w:vAlign w:val="bottom"/>
            <w:shd w:val="clear" w:color="auto" w:fill="E5E5E5"/>
          </w:tcPr>
          <w:p>
            <w:pPr>
              <w:spacing w:after="0"/>
              <w:rPr>
                <w:sz w:val="17"/>
                <w:szCs w:val="17"/>
                <w:color w:val="auto"/>
              </w:rPr>
            </w:pPr>
          </w:p>
        </w:tc>
        <w:tc>
          <w:tcPr>
            <w:tcW w:w="32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5</w:t>
            </w:r>
          </w:p>
        </w:tc>
        <w:tc>
          <w:tcPr>
            <w:tcW w:w="30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269</w:t>
            </w:r>
          </w:p>
        </w:tc>
        <w:tc>
          <w:tcPr>
            <w:tcW w:w="300" w:type="dxa"/>
            <w:vAlign w:val="bottom"/>
            <w:shd w:val="clear" w:color="auto" w:fill="E5E5E5"/>
          </w:tcPr>
          <w:p>
            <w:pPr>
              <w:spacing w:after="0"/>
              <w:rPr>
                <w:sz w:val="17"/>
                <w:szCs w:val="17"/>
                <w:color w:val="auto"/>
              </w:rPr>
            </w:pPr>
          </w:p>
        </w:tc>
        <w:tc>
          <w:tcPr>
            <w:tcW w:w="1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567</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40" w:type="dxa"/>
            <w:vAlign w:val="bottom"/>
            <w:gridSpan w:val="2"/>
          </w:tcPr>
          <w:p>
            <w:pPr>
              <w:spacing w:after="0" w:line="203" w:lineRule="exact"/>
              <w:rPr>
                <w:sz w:val="20"/>
                <w:szCs w:val="20"/>
                <w:color w:val="auto"/>
              </w:rPr>
            </w:pPr>
            <w:r>
              <w:rPr>
                <w:rFonts w:ascii="Arial" w:cs="Arial" w:eastAsia="Arial" w:hAnsi="Arial"/>
                <w:sz w:val="18"/>
                <w:szCs w:val="18"/>
                <w:color w:val="auto"/>
              </w:rPr>
              <w:t xml:space="preserve">Segment profit (loss) </w:t>
            </w:r>
            <w:r>
              <w:rPr>
                <w:rFonts w:ascii="Arial" w:cs="Arial" w:eastAsia="Arial" w:hAnsi="Arial"/>
                <w:sz w:val="22"/>
                <w:szCs w:val="22"/>
                <w:color w:val="auto"/>
                <w:vertAlign w:val="superscript"/>
              </w:rPr>
              <w:t>(2)</w:t>
            </w:r>
          </w:p>
        </w:tc>
        <w:tc>
          <w:tcPr>
            <w:tcW w:w="1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1,288</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302</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(245)</w:t>
            </w:r>
          </w:p>
        </w:tc>
        <w:tc>
          <w:tcPr>
            <w:tcW w:w="1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1,345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Equity in net income of unconsolidated affiliates</w:t>
            </w:r>
          </w:p>
        </w:tc>
        <w:tc>
          <w:tcPr>
            <w:tcW w:w="194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5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90</w:t>
            </w:r>
          </w:p>
        </w:tc>
        <w:tc>
          <w:tcPr>
            <w:tcW w:w="1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64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23</w:t>
            </w:r>
          </w:p>
        </w:tc>
        <w:tc>
          <w:tcPr>
            <w:tcW w:w="18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820" w:type="dxa"/>
            <w:vAlign w:val="bottom"/>
            <w:gridSpan w:val="2"/>
            <w:shd w:val="clear" w:color="auto" w:fill="E5E5E5"/>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E5E5E5"/>
          </w:tcPr>
          <w:p>
            <w:pPr>
              <w:spacing w:after="0"/>
              <w:rPr>
                <w:sz w:val="17"/>
                <w:szCs w:val="17"/>
                <w:color w:val="auto"/>
              </w:rPr>
            </w:pPr>
          </w:p>
        </w:tc>
        <w:tc>
          <w:tcPr>
            <w:tcW w:w="6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113</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5" w:lineRule="exact"/>
        <w:rPr>
          <w:sz w:val="20"/>
          <w:szCs w:val="20"/>
          <w:color w:val="auto"/>
        </w:rPr>
      </w:pPr>
    </w:p>
    <w:p>
      <w:pPr>
        <w:ind w:left="340" w:hanging="332"/>
        <w:spacing w:after="0"/>
        <w:tabs>
          <w:tab w:leader="none" w:pos="340" w:val="left"/>
        </w:tabs>
        <w:numPr>
          <w:ilvl w:val="0"/>
          <w:numId w:val="145"/>
        </w:numPr>
        <w:rPr>
          <w:rFonts w:ascii="Arial" w:cs="Arial" w:eastAsia="Arial" w:hAnsi="Arial"/>
          <w:sz w:val="14"/>
          <w:szCs w:val="14"/>
          <w:color w:val="auto"/>
        </w:rPr>
      </w:pPr>
      <w:r>
        <w:rPr>
          <w:rFonts w:ascii="Arial" w:cs="Arial" w:eastAsia="Arial" w:hAnsi="Arial"/>
          <w:sz w:val="14"/>
          <w:szCs w:val="14"/>
          <w:color w:val="auto"/>
        </w:rPr>
        <w:t>Asset information on a segment basis is not disclosed as this information is not separately identified and internally reported to our chief executive officer.</w:t>
      </w:r>
    </w:p>
    <w:p>
      <w:pPr>
        <w:jc w:val="both"/>
        <w:ind w:left="340" w:right="380" w:hanging="332"/>
        <w:spacing w:after="0" w:line="228" w:lineRule="auto"/>
        <w:tabs>
          <w:tab w:leader="none" w:pos="340" w:val="left"/>
        </w:tabs>
        <w:numPr>
          <w:ilvl w:val="0"/>
          <w:numId w:val="145"/>
        </w:numPr>
        <w:rPr>
          <w:rFonts w:ascii="Arial" w:cs="Arial" w:eastAsia="Arial" w:hAnsi="Arial"/>
          <w:sz w:val="14"/>
          <w:szCs w:val="14"/>
          <w:color w:val="auto"/>
        </w:rPr>
      </w:pPr>
      <w:r>
        <w:rPr>
          <w:rFonts w:ascii="Arial" w:cs="Arial" w:eastAsia="Arial" w:hAnsi="Arial"/>
          <w:sz w:val="14"/>
          <w:szCs w:val="14"/>
          <w:color w:val="auto"/>
        </w:rPr>
        <w:t>Depreciation and amortization expense, which is recorded in cost of sales, RD&amp;E and SAG are included in segment profit above. This information is neither identified nor internally reported to our chief executive officer. The separate identification of this information for purposes of segment disclosure is impracticable, as it is not readily available and the cost to develop it would be excessive.</w:t>
      </w:r>
    </w:p>
    <w:p>
      <w:pPr>
        <w:spacing w:after="0" w:line="135" w:lineRule="exact"/>
        <w:rPr>
          <w:sz w:val="20"/>
          <w:szCs w:val="20"/>
          <w:color w:val="auto"/>
        </w:rPr>
      </w:pPr>
    </w:p>
    <w:p>
      <w:pPr>
        <w:ind w:left="9600"/>
        <w:spacing w:after="0"/>
        <w:rPr>
          <w:sz w:val="20"/>
          <w:szCs w:val="20"/>
          <w:color w:val="auto"/>
        </w:rPr>
      </w:pPr>
      <w:r>
        <w:rPr>
          <w:rFonts w:ascii="Arial" w:cs="Arial" w:eastAsia="Arial" w:hAnsi="Arial"/>
          <w:sz w:val="12"/>
          <w:szCs w:val="12"/>
          <w:color w:val="4C9F40"/>
        </w:rPr>
        <w:t>Xerox 2010 Annual Report 52</w:t>
      </w:r>
    </w:p>
    <w:p>
      <w:pPr>
        <w:sectPr>
          <w:pgSz w:w="11900" w:h="16838" w:orient="portrait"/>
          <w:cols w:equalWidth="0" w:num="1">
            <w:col w:w="11420"/>
          </w:cols>
          <w:pgMar w:left="240" w:top="323" w:right="2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is a reconciliation of segment profit to pre-tax income (loss) for the three years ended December 31, 2010:</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rPr>
              <w:t>2010</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w w:val="89"/>
              </w:rPr>
              <w:t>2009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60" w:type="dxa"/>
            <w:vAlign w:val="bottom"/>
            <w:shd w:val="clear" w:color="auto" w:fill="E5E5E5"/>
          </w:tcPr>
          <w:p>
            <w:pPr>
              <w:spacing w:after="0" w:line="196" w:lineRule="exact"/>
              <w:rPr>
                <w:sz w:val="20"/>
                <w:szCs w:val="20"/>
                <w:color w:val="auto"/>
              </w:rPr>
            </w:pPr>
            <w:r>
              <w:rPr>
                <w:rFonts w:ascii="Arial" w:cs="Arial" w:eastAsia="Arial" w:hAnsi="Arial"/>
                <w:sz w:val="18"/>
                <w:szCs w:val="18"/>
                <w:b w:val="1"/>
                <w:bCs w:val="1"/>
                <w:color w:val="auto"/>
              </w:rPr>
              <w:t>Total Segment Profit</w:t>
            </w:r>
          </w:p>
        </w:tc>
        <w:tc>
          <w:tcPr>
            <w:tcW w:w="14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rPr>
              <w:t>1,875</w:t>
            </w:r>
          </w:p>
        </w:tc>
        <w:tc>
          <w:tcPr>
            <w:tcW w:w="300" w:type="dxa"/>
            <w:vAlign w:val="bottom"/>
            <w:gridSpan w:val="2"/>
            <w:shd w:val="clear" w:color="auto" w:fill="E5E5E5"/>
          </w:tcPr>
          <w:p>
            <w:pPr>
              <w:jc w:val="right"/>
              <w:spacing w:after="0" w:line="196" w:lineRule="exact"/>
              <w:rPr>
                <w:sz w:val="20"/>
                <w:szCs w:val="20"/>
                <w:color w:val="auto"/>
              </w:rPr>
            </w:pPr>
            <w:r>
              <w:rPr>
                <w:rFonts w:ascii="Arial" w:cs="Arial" w:eastAsia="Arial" w:hAnsi="Arial"/>
                <w:sz w:val="18"/>
                <w:szCs w:val="18"/>
                <w:color w:val="auto"/>
              </w:rPr>
              <w:t>$</w:t>
            </w:r>
          </w:p>
        </w:tc>
        <w:tc>
          <w:tcPr>
            <w:tcW w:w="520" w:type="dxa"/>
            <w:vAlign w:val="bottom"/>
            <w:gridSpan w:val="2"/>
            <w:shd w:val="clear" w:color="auto" w:fill="E5E5E5"/>
          </w:tcPr>
          <w:p>
            <w:pPr>
              <w:jc w:val="right"/>
              <w:ind w:right="120"/>
              <w:spacing w:after="0" w:line="196" w:lineRule="exact"/>
              <w:rPr>
                <w:sz w:val="20"/>
                <w:szCs w:val="20"/>
                <w:color w:val="auto"/>
              </w:rPr>
            </w:pPr>
            <w:r>
              <w:rPr>
                <w:rFonts w:ascii="Arial" w:cs="Arial" w:eastAsia="Arial" w:hAnsi="Arial"/>
                <w:sz w:val="18"/>
                <w:szCs w:val="18"/>
                <w:color w:val="auto"/>
              </w:rPr>
              <w:t>838</w:t>
            </w:r>
          </w:p>
        </w:tc>
        <w:tc>
          <w:tcPr>
            <w:tcW w:w="240" w:type="dxa"/>
            <w:vAlign w:val="bottom"/>
            <w:gridSpan w:val="2"/>
            <w:shd w:val="clear" w:color="auto" w:fill="E5E5E5"/>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E5E5E5"/>
          </w:tcPr>
          <w:p>
            <w:pPr>
              <w:jc w:val="right"/>
              <w:ind w:right="100"/>
              <w:spacing w:after="0" w:line="196" w:lineRule="exact"/>
              <w:rPr>
                <w:sz w:val="20"/>
                <w:szCs w:val="20"/>
                <w:color w:val="auto"/>
              </w:rPr>
            </w:pPr>
            <w:r>
              <w:rPr>
                <w:rFonts w:ascii="Arial" w:cs="Arial" w:eastAsia="Arial" w:hAnsi="Arial"/>
                <w:sz w:val="18"/>
                <w:szCs w:val="18"/>
                <w:color w:val="auto"/>
              </w:rPr>
              <w:t>1,345</w:t>
            </w:r>
          </w:p>
        </w:tc>
        <w:tc>
          <w:tcPr>
            <w:tcW w:w="0" w:type="dxa"/>
            <w:vAlign w:val="bottom"/>
          </w:tcPr>
          <w:p>
            <w:pPr>
              <w:spacing w:after="0"/>
              <w:rPr>
                <w:sz w:val="1"/>
                <w:szCs w:val="1"/>
                <w:color w:val="auto"/>
              </w:rPr>
            </w:pPr>
          </w:p>
        </w:tc>
      </w:tr>
      <w:tr>
        <w:trPr>
          <w:trHeight w:val="203"/>
        </w:trPr>
        <w:tc>
          <w:tcPr>
            <w:tcW w:w="9080" w:type="dxa"/>
            <w:vAlign w:val="bottom"/>
            <w:gridSpan w:val="2"/>
          </w:tcPr>
          <w:p>
            <w:pPr>
              <w:spacing w:after="0" w:line="202" w:lineRule="exact"/>
              <w:rPr>
                <w:sz w:val="20"/>
                <w:szCs w:val="20"/>
                <w:color w:val="auto"/>
              </w:rPr>
            </w:pPr>
            <w:r>
              <w:rPr>
                <w:rFonts w:ascii="Arial" w:cs="Arial" w:eastAsia="Arial" w:hAnsi="Arial"/>
                <w:sz w:val="18"/>
                <w:szCs w:val="18"/>
                <w:color w:val="auto"/>
              </w:rPr>
              <w:t>Reconciling items:</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6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Restructuring and asset impairment charges</w:t>
            </w:r>
          </w:p>
        </w:tc>
        <w:tc>
          <w:tcPr>
            <w:tcW w:w="140" w:type="dxa"/>
            <w:vAlign w:val="bottom"/>
            <w:shd w:val="clear" w:color="auto" w:fill="E5E5E5"/>
          </w:tcPr>
          <w:p>
            <w:pPr>
              <w:spacing w:after="0"/>
              <w:rPr>
                <w:sz w:val="17"/>
                <w:szCs w:val="17"/>
                <w:color w:val="auto"/>
              </w:rPr>
            </w:pPr>
          </w:p>
        </w:tc>
        <w:tc>
          <w:tcPr>
            <w:tcW w:w="5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(483)</w:t>
            </w:r>
          </w:p>
        </w:tc>
        <w:tc>
          <w:tcPr>
            <w:tcW w:w="2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5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8</w:t>
            </w:r>
          </w:p>
        </w:tc>
        <w:tc>
          <w:tcPr>
            <w:tcW w:w="10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5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(429)</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60" w:type="dxa"/>
            <w:vAlign w:val="bottom"/>
          </w:tcPr>
          <w:p>
            <w:pPr>
              <w:ind w:left="80"/>
              <w:spacing w:after="0" w:line="202" w:lineRule="exact"/>
              <w:rPr>
                <w:sz w:val="20"/>
                <w:szCs w:val="20"/>
                <w:color w:val="auto"/>
              </w:rPr>
            </w:pPr>
            <w:r>
              <w:rPr>
                <w:rFonts w:ascii="Arial" w:cs="Arial" w:eastAsia="Arial" w:hAnsi="Arial"/>
                <w:sz w:val="18"/>
                <w:szCs w:val="18"/>
                <w:color w:val="auto"/>
              </w:rPr>
              <w:t>Restructuring charges of Fuji Xerox</w:t>
            </w:r>
          </w:p>
        </w:tc>
        <w:tc>
          <w:tcPr>
            <w:tcW w:w="14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(38)</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6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Acquisition-related costs</w:t>
            </w:r>
          </w:p>
        </w:tc>
        <w:tc>
          <w:tcPr>
            <w:tcW w:w="140" w:type="dxa"/>
            <w:vAlign w:val="bottom"/>
            <w:shd w:val="clear" w:color="auto" w:fill="E5E5E5"/>
          </w:tcPr>
          <w:p>
            <w:pPr>
              <w:spacing w:after="0"/>
              <w:rPr>
                <w:sz w:val="17"/>
                <w:szCs w:val="17"/>
                <w:color w:val="auto"/>
              </w:rPr>
            </w:pPr>
          </w:p>
        </w:tc>
        <w:tc>
          <w:tcPr>
            <w:tcW w:w="5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(77)</w:t>
            </w:r>
          </w:p>
        </w:tc>
        <w:tc>
          <w:tcPr>
            <w:tcW w:w="2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5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(72)</w:t>
            </w:r>
          </w:p>
        </w:tc>
        <w:tc>
          <w:tcPr>
            <w:tcW w:w="10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6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60" w:type="dxa"/>
            <w:vAlign w:val="bottom"/>
          </w:tcPr>
          <w:p>
            <w:pPr>
              <w:ind w:left="80"/>
              <w:spacing w:after="0" w:line="202" w:lineRule="exact"/>
              <w:rPr>
                <w:sz w:val="20"/>
                <w:szCs w:val="20"/>
                <w:color w:val="auto"/>
              </w:rPr>
            </w:pPr>
            <w:r>
              <w:rPr>
                <w:rFonts w:ascii="Arial" w:cs="Arial" w:eastAsia="Arial" w:hAnsi="Arial"/>
                <w:sz w:val="18"/>
                <w:szCs w:val="18"/>
                <w:color w:val="auto"/>
              </w:rPr>
              <w:t>Amortization of intangible assets</w:t>
            </w:r>
          </w:p>
        </w:tc>
        <w:tc>
          <w:tcPr>
            <w:tcW w:w="14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(312)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6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Venezuelan devaluation costs</w:t>
            </w:r>
          </w:p>
        </w:tc>
        <w:tc>
          <w:tcPr>
            <w:tcW w:w="140" w:type="dxa"/>
            <w:vAlign w:val="bottom"/>
            <w:shd w:val="clear" w:color="auto" w:fill="E5E5E5"/>
          </w:tcPr>
          <w:p>
            <w:pPr>
              <w:spacing w:after="0"/>
              <w:rPr>
                <w:sz w:val="17"/>
                <w:szCs w:val="17"/>
                <w:color w:val="auto"/>
              </w:rPr>
            </w:pPr>
          </w:p>
        </w:tc>
        <w:tc>
          <w:tcPr>
            <w:tcW w:w="5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(21)</w:t>
            </w:r>
          </w:p>
        </w:tc>
        <w:tc>
          <w:tcPr>
            <w:tcW w:w="2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5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6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60" w:type="dxa"/>
            <w:vAlign w:val="bottom"/>
          </w:tcPr>
          <w:p>
            <w:pPr>
              <w:ind w:left="80"/>
              <w:spacing w:after="0" w:line="202" w:lineRule="exact"/>
              <w:rPr>
                <w:sz w:val="20"/>
                <w:szCs w:val="20"/>
                <w:color w:val="auto"/>
              </w:rPr>
            </w:pPr>
            <w:r>
              <w:rPr>
                <w:rFonts w:ascii="Arial" w:cs="Arial" w:eastAsia="Arial" w:hAnsi="Arial"/>
                <w:sz w:val="18"/>
                <w:szCs w:val="18"/>
                <w:color w:val="auto"/>
              </w:rPr>
              <w:t>ACS shareholders’ litigation settlement</w:t>
            </w:r>
          </w:p>
        </w:tc>
        <w:tc>
          <w:tcPr>
            <w:tcW w:w="14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(36)</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60" w:type="dxa"/>
            <w:vAlign w:val="bottom"/>
            <w:shd w:val="clear" w:color="auto" w:fill="E5E5E5"/>
          </w:tcPr>
          <w:p>
            <w:pPr>
              <w:ind w:left="80"/>
              <w:spacing w:after="0" w:line="203" w:lineRule="exact"/>
              <w:rPr>
                <w:sz w:val="20"/>
                <w:szCs w:val="20"/>
                <w:color w:val="auto"/>
              </w:rPr>
            </w:pPr>
            <w:r>
              <w:rPr>
                <w:rFonts w:ascii="Arial" w:cs="Arial" w:eastAsia="Arial" w:hAnsi="Arial"/>
                <w:sz w:val="18"/>
                <w:szCs w:val="18"/>
                <w:color w:val="auto"/>
              </w:rPr>
              <w:t xml:space="preserve">Litigation matters </w:t>
            </w:r>
            <w:r>
              <w:rPr>
                <w:rFonts w:ascii="Arial" w:cs="Arial" w:eastAsia="Arial" w:hAnsi="Arial"/>
                <w:sz w:val="22"/>
                <w:szCs w:val="22"/>
                <w:color w:val="auto"/>
                <w:vertAlign w:val="superscript"/>
              </w:rPr>
              <w:t>(1)</w:t>
            </w:r>
          </w:p>
        </w:tc>
        <w:tc>
          <w:tcPr>
            <w:tcW w:w="140" w:type="dxa"/>
            <w:vAlign w:val="bottom"/>
            <w:shd w:val="clear" w:color="auto" w:fill="E5E5E5"/>
          </w:tcPr>
          <w:p>
            <w:pPr>
              <w:spacing w:after="0"/>
              <w:rPr>
                <w:sz w:val="17"/>
                <w:szCs w:val="17"/>
                <w:color w:val="auto"/>
              </w:rPr>
            </w:pPr>
          </w:p>
        </w:tc>
        <w:tc>
          <w:tcPr>
            <w:tcW w:w="5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5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5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(774)</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60" w:type="dxa"/>
            <w:vAlign w:val="bottom"/>
          </w:tcPr>
          <w:p>
            <w:pPr>
              <w:ind w:left="80"/>
              <w:spacing w:after="0" w:line="202" w:lineRule="exact"/>
              <w:rPr>
                <w:sz w:val="20"/>
                <w:szCs w:val="20"/>
                <w:color w:val="auto"/>
              </w:rPr>
            </w:pPr>
            <w:r>
              <w:rPr>
                <w:rFonts w:ascii="Arial" w:cs="Arial" w:eastAsia="Arial" w:hAnsi="Arial"/>
                <w:sz w:val="18"/>
                <w:szCs w:val="18"/>
                <w:color w:val="auto"/>
              </w:rPr>
              <w:t>Loss on early extinguishment of debt</w:t>
            </w:r>
          </w:p>
        </w:tc>
        <w:tc>
          <w:tcPr>
            <w:tcW w:w="14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6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Equity in net income of unconsolidated affiliates</w:t>
            </w:r>
          </w:p>
        </w:tc>
        <w:tc>
          <w:tcPr>
            <w:tcW w:w="140" w:type="dxa"/>
            <w:vAlign w:val="bottom"/>
            <w:shd w:val="clear" w:color="auto" w:fill="E5E5E5"/>
          </w:tcPr>
          <w:p>
            <w:pPr>
              <w:spacing w:after="0"/>
              <w:rPr>
                <w:sz w:val="17"/>
                <w:szCs w:val="17"/>
                <w:color w:val="auto"/>
              </w:rPr>
            </w:pPr>
          </w:p>
        </w:tc>
        <w:tc>
          <w:tcPr>
            <w:tcW w:w="5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(78)</w:t>
            </w:r>
          </w:p>
        </w:tc>
        <w:tc>
          <w:tcPr>
            <w:tcW w:w="2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5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(41)</w:t>
            </w:r>
          </w:p>
        </w:tc>
        <w:tc>
          <w:tcPr>
            <w:tcW w:w="10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5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(113)</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60" w:type="dxa"/>
            <w:vAlign w:val="bottom"/>
          </w:tcPr>
          <w:p>
            <w:pPr>
              <w:ind w:left="80"/>
              <w:spacing w:after="0" w:line="202" w:lineRule="exact"/>
              <w:rPr>
                <w:sz w:val="20"/>
                <w:szCs w:val="20"/>
                <w:color w:val="auto"/>
              </w:rPr>
            </w:pPr>
            <w:r>
              <w:rPr>
                <w:rFonts w:ascii="Arial" w:cs="Arial" w:eastAsia="Arial" w:hAnsi="Arial"/>
                <w:sz w:val="18"/>
                <w:szCs w:val="18"/>
                <w:color w:val="auto"/>
              </w:rPr>
              <w:t>Equipment write-off and other</w:t>
            </w:r>
          </w:p>
        </w:tc>
        <w:tc>
          <w:tcPr>
            <w:tcW w:w="14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906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Pre-tax Income (Loss)</w:t>
            </w:r>
          </w:p>
        </w:tc>
        <w:tc>
          <w:tcPr>
            <w:tcW w:w="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815</w:t>
            </w:r>
          </w:p>
        </w:tc>
        <w:tc>
          <w:tcPr>
            <w:tcW w:w="200" w:type="dxa"/>
            <w:vAlign w:val="bottom"/>
            <w:shd w:val="clear" w:color="auto" w:fill="E5E5E5"/>
          </w:tcPr>
          <w:p>
            <w:pPr>
              <w:spacing w:after="0"/>
              <w:rPr>
                <w:sz w:val="17"/>
                <w:szCs w:val="17"/>
                <w:color w:val="auto"/>
              </w:rPr>
            </w:pPr>
          </w:p>
        </w:tc>
        <w:tc>
          <w:tcPr>
            <w:tcW w:w="1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627</w:t>
            </w:r>
          </w:p>
        </w:tc>
        <w:tc>
          <w:tcPr>
            <w:tcW w:w="24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7" w:lineRule="exact"/>
        <w:rPr>
          <w:sz w:val="20"/>
          <w:szCs w:val="20"/>
          <w:color w:val="auto"/>
        </w:rPr>
      </w:pPr>
    </w:p>
    <w:p>
      <w:pPr>
        <w:ind w:left="340" w:right="260" w:hanging="332"/>
        <w:spacing w:after="0" w:line="244" w:lineRule="auto"/>
        <w:tabs>
          <w:tab w:leader="none" w:pos="340" w:val="left"/>
        </w:tabs>
        <w:numPr>
          <w:ilvl w:val="0"/>
          <w:numId w:val="146"/>
        </w:numPr>
        <w:rPr>
          <w:rFonts w:ascii="Arial" w:cs="Arial" w:eastAsia="Arial" w:hAnsi="Arial"/>
          <w:sz w:val="14"/>
          <w:szCs w:val="14"/>
          <w:color w:val="auto"/>
        </w:rPr>
      </w:pPr>
      <w:r>
        <w:rPr>
          <w:rFonts w:ascii="Arial" w:cs="Arial" w:eastAsia="Arial" w:hAnsi="Arial"/>
          <w:sz w:val="14"/>
          <w:szCs w:val="14"/>
          <w:color w:val="auto"/>
        </w:rPr>
        <w:t xml:space="preserve">The 2008 provision for litigation represents $670 for the </w:t>
      </w:r>
      <w:r>
        <w:rPr>
          <w:rFonts w:ascii="Arial" w:cs="Arial" w:eastAsia="Arial" w:hAnsi="Arial"/>
          <w:sz w:val="14"/>
          <w:szCs w:val="14"/>
          <w:i w:val="1"/>
          <w:iCs w:val="1"/>
          <w:color w:val="auto"/>
        </w:rPr>
        <w:t>Carlson v. Xerox Corporation</w:t>
      </w:r>
      <w:r>
        <w:rPr>
          <w:rFonts w:ascii="Arial" w:cs="Arial" w:eastAsia="Arial" w:hAnsi="Arial"/>
          <w:sz w:val="14"/>
          <w:szCs w:val="14"/>
          <w:color w:val="auto"/>
        </w:rPr>
        <w:t xml:space="preserve"> court approved settlement, as well as provisions for other litigation matters including $36 for the probable loss related to the Brazil labor related contingencies.</w:t>
      </w:r>
    </w:p>
    <w:p>
      <w:pPr>
        <w:spacing w:after="0" w:line="150"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Geographic area data is based upon the location of the subsidiary reporting the revenue or long-lived assets and is as follows for the three years ended December 31, 2010:</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spacing w:after="0"/>
              <w:rPr>
                <w:sz w:val="21"/>
                <w:szCs w:val="21"/>
                <w:color w:val="auto"/>
              </w:rPr>
            </w:pPr>
          </w:p>
        </w:tc>
        <w:tc>
          <w:tcPr>
            <w:tcW w:w="49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Revenues</w:t>
            </w:r>
          </w:p>
        </w:tc>
        <w:tc>
          <w:tcPr>
            <w:tcW w:w="2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8"/>
          </w:tcPr>
          <w:p>
            <w:pPr>
              <w:jc w:val="right"/>
              <w:ind w:right="20"/>
              <w:spacing w:after="0"/>
              <w:rPr>
                <w:sz w:val="20"/>
                <w:szCs w:val="20"/>
                <w:color w:val="auto"/>
              </w:rPr>
            </w:pPr>
            <w:r>
              <w:rPr>
                <w:rFonts w:ascii="Arial" w:cs="Arial" w:eastAsia="Arial" w:hAnsi="Arial"/>
                <w:sz w:val="14"/>
                <w:szCs w:val="14"/>
                <w:color w:val="auto"/>
              </w:rPr>
              <w:t xml:space="preserve">Long-Lived Assets </w:t>
            </w:r>
            <w:r>
              <w:rPr>
                <w:rFonts w:ascii="Arial" w:cs="Arial" w:eastAsia="Arial" w:hAnsi="Arial"/>
                <w:sz w:val="22"/>
                <w:szCs w:val="22"/>
                <w:color w:val="auto"/>
                <w:vertAlign w:val="superscript"/>
              </w:rPr>
              <w:t>(1)</w:t>
            </w:r>
          </w:p>
        </w:tc>
        <w:tc>
          <w:tcPr>
            <w:tcW w:w="5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42"/>
        </w:trPr>
        <w:tc>
          <w:tcPr>
            <w:tcW w:w="116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color w:val="auto"/>
              </w:rPr>
              <w:t>2010</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color w:val="auto"/>
              </w:rPr>
              <w:t>2009</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color w:val="auto"/>
              </w:rPr>
              <w:t>2008</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color w:val="auto"/>
              </w:rPr>
              <w:t>2010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color w:val="auto"/>
              </w:rPr>
              <w:t>2009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color w:val="auto"/>
              </w:rPr>
              <w:t>2008</w:t>
            </w:r>
          </w:p>
        </w:tc>
        <w:tc>
          <w:tcPr>
            <w:tcW w:w="100" w:type="dxa"/>
            <w:vAlign w:val="bottom"/>
          </w:tcPr>
          <w:p>
            <w:pPr>
              <w:spacing w:after="0"/>
              <w:rPr>
                <w:sz w:val="12"/>
                <w:szCs w:val="12"/>
                <w:color w:val="auto"/>
              </w:rPr>
            </w:pPr>
          </w:p>
        </w:tc>
      </w:tr>
      <w:tr>
        <w:trPr>
          <w:trHeight w:val="196"/>
        </w:trPr>
        <w:tc>
          <w:tcPr>
            <w:tcW w:w="6120" w:type="dxa"/>
            <w:vAlign w:val="bottom"/>
            <w:gridSpan w:val="2"/>
            <w:shd w:val="clear" w:color="auto" w:fill="E5E5E5"/>
          </w:tcPr>
          <w:p>
            <w:pPr>
              <w:spacing w:after="0" w:line="196" w:lineRule="exact"/>
              <w:rPr>
                <w:sz w:val="20"/>
                <w:szCs w:val="20"/>
                <w:color w:val="auto"/>
              </w:rPr>
            </w:pPr>
            <w:r>
              <w:rPr>
                <w:rFonts w:ascii="Arial" w:cs="Arial" w:eastAsia="Arial" w:hAnsi="Arial"/>
                <w:sz w:val="18"/>
                <w:szCs w:val="18"/>
                <w:color w:val="auto"/>
              </w:rPr>
              <w:t>United States</w:t>
            </w:r>
          </w:p>
        </w:tc>
        <w:tc>
          <w:tcPr>
            <w:tcW w:w="16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rPr>
              <w:t>13,801</w:t>
            </w:r>
          </w:p>
        </w:tc>
        <w:tc>
          <w:tcPr>
            <w:tcW w:w="360" w:type="dxa"/>
            <w:vAlign w:val="bottom"/>
            <w:gridSpan w:val="2"/>
            <w:shd w:val="clear" w:color="auto" w:fill="E5E5E5"/>
          </w:tcPr>
          <w:p>
            <w:pPr>
              <w:jc w:val="right"/>
              <w:spacing w:after="0" w:line="196" w:lineRule="exact"/>
              <w:rPr>
                <w:sz w:val="20"/>
                <w:szCs w:val="20"/>
                <w:color w:val="auto"/>
              </w:rPr>
            </w:pPr>
            <w:r>
              <w:rPr>
                <w:rFonts w:ascii="Arial" w:cs="Arial" w:eastAsia="Arial" w:hAnsi="Arial"/>
                <w:sz w:val="18"/>
                <w:szCs w:val="18"/>
                <w:color w:val="auto"/>
              </w:rPr>
              <w:t>$</w:t>
            </w:r>
          </w:p>
        </w:tc>
        <w:tc>
          <w:tcPr>
            <w:tcW w:w="60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rPr>
              <w:t>8,156</w:t>
            </w:r>
          </w:p>
        </w:tc>
        <w:tc>
          <w:tcPr>
            <w:tcW w:w="340" w:type="dxa"/>
            <w:vAlign w:val="bottom"/>
            <w:gridSpan w:val="2"/>
            <w:shd w:val="clear" w:color="auto" w:fill="E5E5E5"/>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60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rPr>
              <w:t>9,122</w:t>
            </w:r>
          </w:p>
        </w:tc>
        <w:tc>
          <w:tcPr>
            <w:tcW w:w="340" w:type="dxa"/>
            <w:vAlign w:val="bottom"/>
            <w:gridSpan w:val="2"/>
            <w:shd w:val="clear" w:color="auto" w:fill="E5E5E5"/>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E5E5E5"/>
          </w:tcPr>
          <w:p>
            <w:pPr>
              <w:jc w:val="right"/>
              <w:ind w:right="100"/>
              <w:spacing w:after="0" w:line="196" w:lineRule="exact"/>
              <w:rPr>
                <w:sz w:val="20"/>
                <w:szCs w:val="20"/>
                <w:color w:val="auto"/>
              </w:rPr>
            </w:pPr>
            <w:r>
              <w:rPr>
                <w:rFonts w:ascii="Arial" w:cs="Arial" w:eastAsia="Arial" w:hAnsi="Arial"/>
                <w:sz w:val="18"/>
                <w:szCs w:val="18"/>
                <w:color w:val="auto"/>
              </w:rPr>
              <w:t>1,764</w:t>
            </w:r>
          </w:p>
        </w:tc>
        <w:tc>
          <w:tcPr>
            <w:tcW w:w="220" w:type="dxa"/>
            <w:vAlign w:val="bottom"/>
            <w:gridSpan w:val="2"/>
            <w:shd w:val="clear" w:color="auto" w:fill="E5E5E5"/>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E5E5E5"/>
          </w:tcPr>
          <w:p>
            <w:pPr>
              <w:jc w:val="right"/>
              <w:ind w:right="100"/>
              <w:spacing w:after="0" w:line="196" w:lineRule="exact"/>
              <w:rPr>
                <w:sz w:val="20"/>
                <w:szCs w:val="20"/>
                <w:color w:val="auto"/>
              </w:rPr>
            </w:pPr>
            <w:r>
              <w:rPr>
                <w:rFonts w:ascii="Arial" w:cs="Arial" w:eastAsia="Arial" w:hAnsi="Arial"/>
                <w:sz w:val="18"/>
                <w:szCs w:val="18"/>
                <w:color w:val="auto"/>
              </w:rPr>
              <w:t>1,245</w:t>
            </w:r>
          </w:p>
        </w:tc>
        <w:tc>
          <w:tcPr>
            <w:tcW w:w="240" w:type="dxa"/>
            <w:vAlign w:val="bottom"/>
            <w:gridSpan w:val="2"/>
            <w:shd w:val="clear" w:color="auto" w:fill="E5E5E5"/>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E5E5E5"/>
          </w:tcPr>
          <w:p>
            <w:pPr>
              <w:jc w:val="right"/>
              <w:ind w:right="100"/>
              <w:spacing w:after="0" w:line="196" w:lineRule="exact"/>
              <w:rPr>
                <w:sz w:val="20"/>
                <w:szCs w:val="20"/>
                <w:color w:val="auto"/>
              </w:rPr>
            </w:pPr>
            <w:r>
              <w:rPr>
                <w:rFonts w:ascii="Arial" w:cs="Arial" w:eastAsia="Arial" w:hAnsi="Arial"/>
                <w:sz w:val="18"/>
                <w:szCs w:val="18"/>
                <w:color w:val="auto"/>
              </w:rPr>
              <w:t>1,386</w:t>
            </w:r>
          </w:p>
        </w:tc>
      </w:tr>
      <w:tr>
        <w:trPr>
          <w:trHeight w:val="203"/>
        </w:trPr>
        <w:tc>
          <w:tcPr>
            <w:tcW w:w="6120" w:type="dxa"/>
            <w:vAlign w:val="bottom"/>
            <w:gridSpan w:val="2"/>
          </w:tcPr>
          <w:p>
            <w:pPr>
              <w:spacing w:after="0" w:line="202" w:lineRule="exact"/>
              <w:rPr>
                <w:sz w:val="20"/>
                <w:szCs w:val="20"/>
                <w:color w:val="auto"/>
              </w:rPr>
            </w:pPr>
            <w:r>
              <w:rPr>
                <w:rFonts w:ascii="Arial" w:cs="Arial" w:eastAsia="Arial" w:hAnsi="Arial"/>
                <w:sz w:val="18"/>
                <w:szCs w:val="18"/>
                <w:color w:val="auto"/>
              </w:rPr>
              <w:t>Europe</w:t>
            </w:r>
          </w:p>
        </w:tc>
        <w:tc>
          <w:tcPr>
            <w:tcW w:w="1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5,332</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4,971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6,011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741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717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680</w:t>
            </w:r>
          </w:p>
        </w:tc>
        <w:tc>
          <w:tcPr>
            <w:tcW w:w="100" w:type="dxa"/>
            <w:vAlign w:val="bottom"/>
          </w:tcPr>
          <w:p>
            <w:pPr>
              <w:spacing w:after="0"/>
              <w:rPr>
                <w:sz w:val="17"/>
                <w:szCs w:val="17"/>
                <w:color w:val="auto"/>
              </w:rPr>
            </w:pPr>
          </w:p>
        </w:tc>
      </w:tr>
      <w:tr>
        <w:trPr>
          <w:trHeight w:val="203"/>
        </w:trPr>
        <w:tc>
          <w:tcPr>
            <w:tcW w:w="612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Other areas</w:t>
            </w:r>
          </w:p>
        </w:tc>
        <w:tc>
          <w:tcPr>
            <w:tcW w:w="160" w:type="dxa"/>
            <w:vAlign w:val="bottom"/>
            <w:tcBorders>
              <w:bottom w:val="single" w:sz="8" w:color="auto"/>
            </w:tcBorders>
            <w:shd w:val="clear" w:color="auto" w:fill="E5E5E5"/>
          </w:tcPr>
          <w:p>
            <w:pPr>
              <w:spacing w:after="0"/>
              <w:rPr>
                <w:sz w:val="17"/>
                <w:szCs w:val="17"/>
                <w:color w:val="auto"/>
              </w:rPr>
            </w:pPr>
          </w:p>
        </w:tc>
        <w:tc>
          <w:tcPr>
            <w:tcW w:w="580" w:type="dxa"/>
            <w:vAlign w:val="bottom"/>
            <w:tcBorders>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2,500</w:t>
            </w:r>
          </w:p>
        </w:tc>
        <w:tc>
          <w:tcPr>
            <w:tcW w:w="220" w:type="dxa"/>
            <w:vAlign w:val="bottom"/>
            <w:shd w:val="clear" w:color="auto" w:fill="E5E5E5"/>
          </w:tcPr>
          <w:p>
            <w:pPr>
              <w:spacing w:after="0"/>
              <w:rPr>
                <w:sz w:val="17"/>
                <w:szCs w:val="17"/>
                <w:color w:val="auto"/>
              </w:rPr>
            </w:pPr>
          </w:p>
        </w:tc>
        <w:tc>
          <w:tcPr>
            <w:tcW w:w="140" w:type="dxa"/>
            <w:vAlign w:val="bottom"/>
            <w:tcBorders>
              <w:bottom w:val="single" w:sz="8" w:color="auto"/>
            </w:tcBorders>
            <w:shd w:val="clear" w:color="auto" w:fill="E5E5E5"/>
          </w:tcPr>
          <w:p>
            <w:pPr>
              <w:spacing w:after="0"/>
              <w:rPr>
                <w:sz w:val="17"/>
                <w:szCs w:val="17"/>
                <w:color w:val="auto"/>
              </w:rPr>
            </w:pPr>
          </w:p>
        </w:tc>
        <w:tc>
          <w:tcPr>
            <w:tcW w:w="600" w:type="dxa"/>
            <w:vAlign w:val="bottom"/>
            <w:tcBorders>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2,052</w:t>
            </w:r>
          </w:p>
        </w:tc>
        <w:tc>
          <w:tcPr>
            <w:tcW w:w="200" w:type="dxa"/>
            <w:vAlign w:val="bottom"/>
            <w:shd w:val="clear" w:color="auto" w:fill="E5E5E5"/>
          </w:tcPr>
          <w:p>
            <w:pPr>
              <w:spacing w:after="0"/>
              <w:rPr>
                <w:sz w:val="17"/>
                <w:szCs w:val="17"/>
                <w:color w:val="auto"/>
              </w:rPr>
            </w:pPr>
          </w:p>
        </w:tc>
        <w:tc>
          <w:tcPr>
            <w:tcW w:w="140" w:type="dxa"/>
            <w:vAlign w:val="bottom"/>
            <w:tcBorders>
              <w:bottom w:val="single" w:sz="8" w:color="auto"/>
            </w:tcBorders>
            <w:shd w:val="clear" w:color="auto" w:fill="E5E5E5"/>
          </w:tcPr>
          <w:p>
            <w:pPr>
              <w:spacing w:after="0"/>
              <w:rPr>
                <w:sz w:val="17"/>
                <w:szCs w:val="17"/>
                <w:color w:val="auto"/>
              </w:rPr>
            </w:pPr>
          </w:p>
        </w:tc>
        <w:tc>
          <w:tcPr>
            <w:tcW w:w="600" w:type="dxa"/>
            <w:vAlign w:val="bottom"/>
            <w:tcBorders>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2,475</w:t>
            </w:r>
          </w:p>
        </w:tc>
        <w:tc>
          <w:tcPr>
            <w:tcW w:w="200" w:type="dxa"/>
            <w:vAlign w:val="bottom"/>
            <w:shd w:val="clear" w:color="auto" w:fill="E5E5E5"/>
          </w:tcPr>
          <w:p>
            <w:pPr>
              <w:spacing w:after="0"/>
              <w:rPr>
                <w:sz w:val="17"/>
                <w:szCs w:val="17"/>
                <w:color w:val="auto"/>
              </w:rPr>
            </w:pPr>
          </w:p>
        </w:tc>
        <w:tc>
          <w:tcPr>
            <w:tcW w:w="140" w:type="dxa"/>
            <w:vAlign w:val="bottom"/>
            <w:tcBorders>
              <w:bottom w:val="single" w:sz="8" w:color="auto"/>
            </w:tcBorders>
            <w:shd w:val="clear" w:color="auto" w:fill="E5E5E5"/>
          </w:tcPr>
          <w:p>
            <w:pPr>
              <w:spacing w:after="0"/>
              <w:rPr>
                <w:sz w:val="17"/>
                <w:szCs w:val="17"/>
                <w:color w:val="auto"/>
              </w:rPr>
            </w:pPr>
          </w:p>
        </w:tc>
        <w:tc>
          <w:tcPr>
            <w:tcW w:w="520" w:type="dxa"/>
            <w:vAlign w:val="bottom"/>
            <w:tcBorders>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309</w:t>
            </w:r>
          </w:p>
        </w:tc>
        <w:tc>
          <w:tcPr>
            <w:tcW w:w="1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20" w:type="dxa"/>
            <w:vAlign w:val="bottom"/>
            <w:tcBorders>
              <w:bottom w:val="single" w:sz="8" w:color="auto"/>
            </w:tcBorders>
            <w:shd w:val="clear" w:color="auto" w:fill="E5E5E5"/>
          </w:tcPr>
          <w:p>
            <w:pPr>
              <w:spacing w:after="0"/>
              <w:rPr>
                <w:sz w:val="17"/>
                <w:szCs w:val="17"/>
                <w:color w:val="auto"/>
              </w:rPr>
            </w:pPr>
          </w:p>
        </w:tc>
        <w:tc>
          <w:tcPr>
            <w:tcW w:w="520" w:type="dxa"/>
            <w:vAlign w:val="bottom"/>
            <w:tcBorders>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262</w:t>
            </w:r>
          </w:p>
        </w:tc>
        <w:tc>
          <w:tcPr>
            <w:tcW w:w="1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40" w:type="dxa"/>
            <w:vAlign w:val="bottom"/>
            <w:tcBorders>
              <w:bottom w:val="single" w:sz="8" w:color="auto"/>
            </w:tcBorders>
            <w:shd w:val="clear" w:color="auto" w:fill="E5E5E5"/>
          </w:tcPr>
          <w:p>
            <w:pPr>
              <w:spacing w:after="0"/>
              <w:rPr>
                <w:sz w:val="17"/>
                <w:szCs w:val="17"/>
                <w:color w:val="auto"/>
              </w:rPr>
            </w:pPr>
          </w:p>
        </w:tc>
        <w:tc>
          <w:tcPr>
            <w:tcW w:w="520" w:type="dxa"/>
            <w:vAlign w:val="bottom"/>
            <w:tcBorders>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248</w:t>
            </w:r>
          </w:p>
        </w:tc>
        <w:tc>
          <w:tcPr>
            <w:tcW w:w="100" w:type="dxa"/>
            <w:vAlign w:val="bottom"/>
            <w:shd w:val="clear" w:color="auto" w:fill="E5E5E5"/>
          </w:tcPr>
          <w:p>
            <w:pPr>
              <w:spacing w:after="0"/>
              <w:rPr>
                <w:sz w:val="17"/>
                <w:szCs w:val="17"/>
                <w:color w:val="auto"/>
              </w:rPr>
            </w:pPr>
          </w:p>
        </w:tc>
      </w:tr>
      <w:tr>
        <w:trPr>
          <w:trHeight w:val="210"/>
        </w:trPr>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Total Revenues and Long-Lived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21,633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15,179</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17,608</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2,814</w:t>
            </w:r>
          </w:p>
        </w:tc>
        <w:tc>
          <w:tcPr>
            <w:tcW w:w="10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2,224</w:t>
            </w:r>
          </w:p>
        </w:tc>
        <w:tc>
          <w:tcPr>
            <w:tcW w:w="10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2,314</w:t>
            </w:r>
          </w:p>
        </w:tc>
        <w:tc>
          <w:tcPr>
            <w:tcW w:w="10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9"/>
        </w:trPr>
        <w:tc>
          <w:tcPr>
            <w:tcW w:w="1160" w:type="dxa"/>
            <w:vAlign w:val="bottom"/>
            <w:tcBorders>
              <w:bottom w:val="single" w:sz="8" w:color="auto"/>
            </w:tcBorders>
          </w:tcPr>
          <w:p>
            <w:pPr>
              <w:spacing w:after="0"/>
              <w:rPr>
                <w:sz w:val="7"/>
                <w:szCs w:val="7"/>
                <w:color w:val="auto"/>
              </w:rPr>
            </w:pPr>
          </w:p>
        </w:tc>
        <w:tc>
          <w:tcPr>
            <w:tcW w:w="4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r>
    </w:tbl>
    <w:p>
      <w:pPr>
        <w:spacing w:after="0" w:line="26" w:lineRule="exact"/>
        <w:rPr>
          <w:sz w:val="20"/>
          <w:szCs w:val="20"/>
          <w:color w:val="auto"/>
        </w:rPr>
      </w:pPr>
    </w:p>
    <w:p>
      <w:pPr>
        <w:ind w:left="340" w:hanging="332"/>
        <w:spacing w:after="0"/>
        <w:tabs>
          <w:tab w:leader="none" w:pos="340" w:val="left"/>
        </w:tabs>
        <w:numPr>
          <w:ilvl w:val="0"/>
          <w:numId w:val="147"/>
        </w:numPr>
        <w:rPr>
          <w:rFonts w:ascii="Arial" w:cs="Arial" w:eastAsia="Arial" w:hAnsi="Arial"/>
          <w:sz w:val="14"/>
          <w:szCs w:val="14"/>
          <w:color w:val="auto"/>
        </w:rPr>
      </w:pPr>
      <w:r>
        <w:rPr>
          <w:rFonts w:ascii="Arial" w:cs="Arial" w:eastAsia="Arial" w:hAnsi="Arial"/>
          <w:sz w:val="14"/>
          <w:szCs w:val="14"/>
          <w:color w:val="auto"/>
        </w:rPr>
        <w:t>Long-lived assets are comprised of (i) land, buildings and equipment, net, (ii) equipment on operating leases, net, (iii) internal use software, net and (iv) product software, net.</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4C9F40"/>
        </w:rPr>
        <w:t>Note 3 – Acquisitions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Affiliated Computer Services, Inc.</w:t>
      </w:r>
    </w:p>
    <w:p>
      <w:pPr>
        <w:spacing w:after="0" w:line="180"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On February 5, 2010 (“the acquisition date”), we acquired all of the outstanding equity of ACS in a cash-and-stock transaction valued at approximately $6.5 billion. ACS provides business process outsourcing and information technology (“ITO”) services and solutions to commercial and government clients worldwide. ACS delivers a full range of BPO and IT services, as well as end-to-end solutions to the public and private sectors and supports a variety of industries including education, energy, financial, government, healthcare, retail and transportation. ACS’s revenues for the calendar year ended December 31, 2009 were $6.6 billion and they employed 78,000 people and operated in over 100 countries on the acquisition date.</w:t>
      </w:r>
    </w:p>
    <w:p>
      <w:pPr>
        <w:spacing w:after="0" w:line="134" w:lineRule="exact"/>
        <w:rPr>
          <w:sz w:val="20"/>
          <w:szCs w:val="20"/>
          <w:color w:val="auto"/>
        </w:rPr>
      </w:pPr>
    </w:p>
    <w:p>
      <w:pPr>
        <w:ind w:right="160"/>
        <w:spacing w:after="0" w:line="285" w:lineRule="auto"/>
        <w:rPr>
          <w:sz w:val="20"/>
          <w:szCs w:val="20"/>
          <w:color w:val="auto"/>
        </w:rPr>
      </w:pPr>
      <w:r>
        <w:rPr>
          <w:rFonts w:ascii="Arial" w:cs="Arial" w:eastAsia="Arial" w:hAnsi="Arial"/>
          <w:sz w:val="16"/>
          <w:szCs w:val="16"/>
          <w:b w:val="1"/>
          <w:bCs w:val="1"/>
          <w:color w:val="4C9F40"/>
        </w:rPr>
        <w:t xml:space="preserve">Equity transaction: </w:t>
      </w:r>
      <w:r>
        <w:rPr>
          <w:rFonts w:ascii="Arial" w:cs="Arial" w:eastAsia="Arial" w:hAnsi="Arial"/>
          <w:sz w:val="16"/>
          <w:szCs w:val="16"/>
          <w:color w:val="000000"/>
        </w:rPr>
        <w:t>Each outstanding share of ACS Class A and Class B common stock was converted into a combination of 4.935 shares of</w:t>
      </w:r>
      <w:r>
        <w:rPr>
          <w:rFonts w:ascii="Arial" w:cs="Arial" w:eastAsia="Arial" w:hAnsi="Arial"/>
          <w:sz w:val="16"/>
          <w:szCs w:val="16"/>
          <w:b w:val="1"/>
          <w:bCs w:val="1"/>
          <w:color w:val="4C9F40"/>
        </w:rPr>
        <w:t xml:space="preserve"> </w:t>
      </w:r>
      <w:r>
        <w:rPr>
          <w:rFonts w:ascii="Arial" w:cs="Arial" w:eastAsia="Arial" w:hAnsi="Arial"/>
          <w:sz w:val="16"/>
          <w:szCs w:val="16"/>
          <w:color w:val="000000"/>
        </w:rPr>
        <w:t>Xerox common stock and $18.60 in cash for a combined value of $60.40 per share, or approximately $6.0 billion based on the closing price of Xerox common stock of $8.47 on the acquisition date. 489,802 thousand shares of Xerox common stock were issued. We also issued convertible preferred stock with a liquidation value of $300 and a fair value of $349 as of the acquisition date to ACS’s Class B shareholder.</w:t>
      </w:r>
    </w:p>
    <w:p>
      <w:pPr>
        <w:spacing w:after="0" w:line="120"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All ACS stock options outstanding at closing were assumed by Xerox and converted into Xerox stock options. ACS stock options issued prior to August 2009, whether or not then vested and exercisable, became fully vested and exercisable in accordance with preexisting change-in-control provisions. ACS stock options issued in August 2009 will continue to vest and become exercisable for Xerox common stock in accordance with their original terms. For the August 2009 options, the portion of the estimated fair value associated with service prior to the close was recorded as part of the acquisition fair value with the remainder to be recorded as future compensation cost over the remaining vesting period. Each assumed ACS option became exercisable for 7.085289 Xerox common shares for a total of 96,662 thousand shares at a weighted average exercise price of $6.79 per option. The estimated fair value associated with the Xerox options issued in exchange for the ACS options was approximately $222 based on a Black-Scholes valuation model (refer to Note 19 – Shareholders’ Equity for assumptions). Approximately $168 of the estimated fair value is associated with options issued prior to August 2009, which became fully vested and exercisable upon the acquisition in accordance with preexisting change-in-control provisions, was recorded as part of the acquisition fair value. The remaining $54 is associated with options issued in August 2009 which continue to vest according to their original terms and therefore is being expensed as compensation cost over the remaining vesting period which is estimated to be approximately 3.9 years.</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4"/>
          <w:szCs w:val="14"/>
          <w:color w:val="4C9F40"/>
        </w:rPr>
        <w:t>Xerox 2010 Annual Report 53</w:t>
      </w:r>
    </w:p>
    <w:p>
      <w:pPr>
        <w:sectPr>
          <w:pgSz w:w="11900" w:h="16838" w:orient="portrait"/>
          <w:cols w:equalWidth="0" w:num="1">
            <w:col w:w="11420"/>
          </w:cols>
          <w:pgMar w:left="240" w:top="345" w:right="239" w:bottom="1440" w:gutter="0" w:footer="0" w:header="0"/>
        </w:sectPr>
      </w:pPr>
    </w:p>
    <w:bookmarkStart w:id="130" w:name="page131"/>
    <w:bookmarkEnd w:id="130"/>
    <w:p>
      <w:pPr>
        <w:ind w:right="180"/>
        <w:spacing w:after="0" w:line="264" w:lineRule="auto"/>
        <w:rPr>
          <w:sz w:val="20"/>
          <w:szCs w:val="20"/>
          <w:color w:val="auto"/>
        </w:rPr>
      </w:pPr>
      <w:r>
        <w:rPr>
          <w:rFonts w:ascii="Arial" w:cs="Arial" w:eastAsia="Arial" w:hAnsi="Arial"/>
          <w:sz w:val="18"/>
          <w:szCs w:val="18"/>
          <w:b w:val="1"/>
          <w:bCs w:val="1"/>
          <w:color w:val="4C9F40"/>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Fair value of consideration transferred: </w:t>
      </w:r>
      <w:r>
        <w:rPr>
          <w:rFonts w:ascii="Arial" w:cs="Arial" w:eastAsia="Arial" w:hAnsi="Arial"/>
          <w:sz w:val="18"/>
          <w:szCs w:val="18"/>
          <w:color w:val="000000"/>
        </w:rPr>
        <w:t>The table below details the consideration transferred to acquire ACS (certain amounts reflect rounding</w:t>
      </w:r>
      <w:r>
        <w:rPr>
          <w:rFonts w:ascii="Arial" w:cs="Arial" w:eastAsia="Arial" w:hAnsi="Arial"/>
          <w:sz w:val="18"/>
          <w:szCs w:val="18"/>
          <w:b w:val="1"/>
          <w:bCs w:val="1"/>
          <w:color w:val="4C9F40"/>
        </w:rPr>
        <w:t xml:space="preserve"> </w:t>
      </w:r>
      <w:r>
        <w:rPr>
          <w:rFonts w:ascii="Arial" w:cs="Arial" w:eastAsia="Arial" w:hAnsi="Arial"/>
          <w:sz w:val="18"/>
          <w:szCs w:val="18"/>
          <w:color w:val="000000"/>
        </w:rPr>
        <w:t>adjustments):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Conversion</w:t>
            </w:r>
          </w:p>
        </w:tc>
        <w:tc>
          <w:tcPr>
            <w:tcW w:w="660" w:type="dxa"/>
            <w:vAlign w:val="bottom"/>
            <w:gridSpan w:val="2"/>
          </w:tcPr>
          <w:p>
            <w:pPr>
              <w:ind w:left="40"/>
              <w:spacing w:after="0"/>
              <w:rPr>
                <w:sz w:val="20"/>
                <w:szCs w:val="20"/>
                <w:color w:val="auto"/>
              </w:rPr>
            </w:pPr>
            <w:r>
              <w:rPr>
                <w:rFonts w:ascii="Arial" w:cs="Arial" w:eastAsia="Arial" w:hAnsi="Arial"/>
                <w:sz w:val="14"/>
                <w:szCs w:val="14"/>
                <w:color w:val="auto"/>
                <w:w w:val="96"/>
              </w:rPr>
              <w:t>Estimated</w:t>
            </w:r>
          </w:p>
        </w:tc>
        <w:tc>
          <w:tcPr>
            <w:tcW w:w="220" w:type="dxa"/>
            <w:vAlign w:val="bottom"/>
          </w:tcPr>
          <w:p>
            <w:pPr>
              <w:spacing w:after="0"/>
              <w:rPr>
                <w:sz w:val="14"/>
                <w:szCs w:val="14"/>
                <w:color w:val="auto"/>
              </w:rPr>
            </w:pPr>
          </w:p>
        </w:tc>
        <w:tc>
          <w:tcPr>
            <w:tcW w:w="1680" w:type="dxa"/>
            <w:vAlign w:val="bottom"/>
            <w:vMerge w:val="restart"/>
          </w:tcPr>
          <w:p>
            <w:pPr>
              <w:ind w:left="160"/>
              <w:spacing w:after="0"/>
              <w:rPr>
                <w:sz w:val="20"/>
                <w:szCs w:val="20"/>
                <w:color w:val="auto"/>
              </w:rPr>
            </w:pPr>
            <w:r>
              <w:rPr>
                <w:rFonts w:ascii="Arial" w:cs="Arial" w:eastAsia="Arial" w:hAnsi="Arial"/>
                <w:sz w:val="14"/>
                <w:szCs w:val="14"/>
                <w:color w:val="auto"/>
              </w:rPr>
              <w:t>Form of Consideration</w:t>
            </w:r>
          </w:p>
        </w:tc>
        <w:tc>
          <w:tcPr>
            <w:tcW w:w="0" w:type="dxa"/>
            <w:vAlign w:val="bottom"/>
          </w:tcPr>
          <w:p>
            <w:pPr>
              <w:spacing w:after="0"/>
              <w:rPr>
                <w:sz w:val="1"/>
                <w:szCs w:val="1"/>
                <w:color w:val="auto"/>
              </w:rPr>
            </w:pPr>
          </w:p>
        </w:tc>
      </w:tr>
      <w:tr>
        <w:trPr>
          <w:trHeight w:val="149"/>
        </w:trPr>
        <w:tc>
          <w:tcPr>
            <w:tcW w:w="6400" w:type="dxa"/>
            <w:vAlign w:val="bottom"/>
            <w:gridSpan w:val="3"/>
          </w:tcPr>
          <w:p>
            <w:pPr>
              <w:spacing w:after="0" w:line="149" w:lineRule="exact"/>
              <w:rPr>
                <w:sz w:val="20"/>
                <w:szCs w:val="20"/>
                <w:color w:val="auto"/>
              </w:rPr>
            </w:pPr>
            <w:r>
              <w:rPr>
                <w:rFonts w:ascii="Arial" w:cs="Arial" w:eastAsia="Arial" w:hAnsi="Arial"/>
                <w:sz w:val="14"/>
                <w:szCs w:val="14"/>
                <w:color w:val="auto"/>
              </w:rPr>
              <w:t>(shares in millions)</w:t>
            </w: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Calculation</w:t>
            </w:r>
          </w:p>
        </w:tc>
        <w:tc>
          <w:tcPr>
            <w:tcW w:w="660" w:type="dxa"/>
            <w:vAlign w:val="bottom"/>
            <w:gridSpan w:val="2"/>
          </w:tcPr>
          <w:p>
            <w:pPr>
              <w:ind w:left="20"/>
              <w:spacing w:after="0" w:line="149" w:lineRule="exact"/>
              <w:rPr>
                <w:sz w:val="20"/>
                <w:szCs w:val="20"/>
                <w:color w:val="auto"/>
              </w:rPr>
            </w:pPr>
            <w:r>
              <w:rPr>
                <w:rFonts w:ascii="Arial" w:cs="Arial" w:eastAsia="Arial" w:hAnsi="Arial"/>
                <w:sz w:val="14"/>
                <w:szCs w:val="14"/>
                <w:color w:val="auto"/>
                <w:w w:val="97"/>
              </w:rPr>
              <w:t>Fair Value</w:t>
            </w:r>
          </w:p>
        </w:tc>
        <w:tc>
          <w:tcPr>
            <w:tcW w:w="22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380" w:type="dxa"/>
            <w:vAlign w:val="bottom"/>
            <w:gridSpan w:val="2"/>
            <w:shd w:val="clear" w:color="auto" w:fill="E5E5E5"/>
          </w:tcPr>
          <w:p>
            <w:pPr>
              <w:spacing w:after="0" w:line="196" w:lineRule="exact"/>
              <w:rPr>
                <w:sz w:val="20"/>
                <w:szCs w:val="20"/>
                <w:color w:val="auto"/>
              </w:rPr>
            </w:pPr>
            <w:r>
              <w:rPr>
                <w:rFonts w:ascii="Arial" w:cs="Arial" w:eastAsia="Arial" w:hAnsi="Arial"/>
                <w:sz w:val="18"/>
                <w:szCs w:val="18"/>
                <w:color w:val="auto"/>
              </w:rPr>
              <w:t>ACS Class A shares outstanding as of the acquisition date</w:t>
            </w:r>
          </w:p>
        </w:tc>
        <w:tc>
          <w:tcPr>
            <w:tcW w:w="13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200"/>
              <w:spacing w:after="0" w:line="196" w:lineRule="exact"/>
              <w:rPr>
                <w:sz w:val="20"/>
                <w:szCs w:val="20"/>
                <w:color w:val="auto"/>
              </w:rPr>
            </w:pPr>
            <w:r>
              <w:rPr>
                <w:rFonts w:ascii="Arial" w:cs="Arial" w:eastAsia="Arial" w:hAnsi="Arial"/>
                <w:sz w:val="18"/>
                <w:szCs w:val="18"/>
                <w:color w:val="auto"/>
              </w:rPr>
              <w:t>92.7</w:t>
            </w:r>
          </w:p>
        </w:tc>
        <w:tc>
          <w:tcPr>
            <w:tcW w:w="160" w:type="dxa"/>
            <w:vAlign w:val="bottom"/>
            <w:shd w:val="clear" w:color="auto" w:fill="E5E5E5"/>
          </w:tcPr>
          <w:p>
            <w:pPr>
              <w:spacing w:after="0"/>
              <w:rPr>
                <w:sz w:val="17"/>
                <w:szCs w:val="17"/>
                <w:color w:val="auto"/>
              </w:rPr>
            </w:pPr>
          </w:p>
        </w:tc>
        <w:tc>
          <w:tcPr>
            <w:tcW w:w="5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6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400" w:type="dxa"/>
            <w:vAlign w:val="bottom"/>
            <w:gridSpan w:val="3"/>
          </w:tcPr>
          <w:p>
            <w:pPr>
              <w:spacing w:after="0" w:line="202" w:lineRule="exact"/>
              <w:rPr>
                <w:sz w:val="20"/>
                <w:szCs w:val="20"/>
                <w:color w:val="auto"/>
              </w:rPr>
            </w:pPr>
            <w:r>
              <w:rPr>
                <w:rFonts w:ascii="Arial" w:cs="Arial" w:eastAsia="Arial" w:hAnsi="Arial"/>
                <w:sz w:val="18"/>
                <w:szCs w:val="18"/>
                <w:color w:val="auto"/>
              </w:rPr>
              <w:t>ACS Class B shares outstanding as of the acquisition date</w:t>
            </w:r>
          </w:p>
        </w:tc>
        <w:tc>
          <w:tcPr>
            <w:tcW w:w="1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Total ACS Shares Outstanding</w:t>
            </w:r>
          </w:p>
        </w:tc>
        <w:tc>
          <w:tcPr>
            <w:tcW w:w="13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99.3</w:t>
            </w:r>
          </w:p>
        </w:tc>
        <w:tc>
          <w:tcPr>
            <w:tcW w:w="160" w:type="dxa"/>
            <w:vAlign w:val="bottom"/>
            <w:shd w:val="clear" w:color="auto" w:fill="E5E5E5"/>
          </w:tcPr>
          <w:p>
            <w:pPr>
              <w:spacing w:after="0"/>
              <w:rPr>
                <w:sz w:val="17"/>
                <w:szCs w:val="17"/>
                <w:color w:val="auto"/>
              </w:rPr>
            </w:pPr>
          </w:p>
        </w:tc>
        <w:tc>
          <w:tcPr>
            <w:tcW w:w="5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6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6400" w:type="dxa"/>
            <w:vAlign w:val="bottom"/>
            <w:gridSpan w:val="3"/>
          </w:tcPr>
          <w:p>
            <w:pPr>
              <w:spacing w:after="0"/>
              <w:rPr>
                <w:sz w:val="20"/>
                <w:szCs w:val="20"/>
                <w:color w:val="auto"/>
              </w:rPr>
            </w:pPr>
            <w:r>
              <w:rPr>
                <w:rFonts w:ascii="Arial" w:cs="Arial" w:eastAsia="Arial" w:hAnsi="Arial"/>
                <w:sz w:val="18"/>
                <w:szCs w:val="18"/>
                <w:color w:val="auto"/>
              </w:rPr>
              <w:t>Xerox stock price as of the acquisition date</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8.47</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Multiplied by the exchange ratio</w:t>
            </w:r>
          </w:p>
        </w:tc>
        <w:tc>
          <w:tcPr>
            <w:tcW w:w="1300" w:type="dxa"/>
            <w:vAlign w:val="bottom"/>
            <w:shd w:val="clear" w:color="auto" w:fill="E5E5E5"/>
          </w:tcPr>
          <w:p>
            <w:pPr>
              <w:spacing w:after="0"/>
              <w:rPr>
                <w:sz w:val="17"/>
                <w:szCs w:val="17"/>
                <w:color w:val="auto"/>
              </w:rPr>
            </w:pPr>
          </w:p>
        </w:tc>
        <w:tc>
          <w:tcPr>
            <w:tcW w:w="120" w:type="dxa"/>
            <w:vAlign w:val="bottom"/>
            <w:tcBorders>
              <w:bottom w:val="single" w:sz="8" w:color="auto"/>
            </w:tcBorders>
            <w:shd w:val="clear" w:color="auto" w:fill="E5E5E5"/>
          </w:tcPr>
          <w:p>
            <w:pPr>
              <w:spacing w:after="0"/>
              <w:rPr>
                <w:sz w:val="17"/>
                <w:szCs w:val="17"/>
                <w:color w:val="auto"/>
              </w:rPr>
            </w:pPr>
          </w:p>
        </w:tc>
        <w:tc>
          <w:tcPr>
            <w:tcW w:w="840" w:type="dxa"/>
            <w:vAlign w:val="bottom"/>
            <w:tcBorders>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4.935</w:t>
            </w:r>
          </w:p>
        </w:tc>
        <w:tc>
          <w:tcPr>
            <w:tcW w:w="2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5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6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400" w:type="dxa"/>
            <w:vAlign w:val="bottom"/>
            <w:gridSpan w:val="3"/>
          </w:tcPr>
          <w:p>
            <w:pPr>
              <w:spacing w:after="0"/>
              <w:rPr>
                <w:sz w:val="20"/>
                <w:szCs w:val="20"/>
                <w:color w:val="auto"/>
              </w:rPr>
            </w:pPr>
            <w:r>
              <w:rPr>
                <w:rFonts w:ascii="Arial" w:cs="Arial" w:eastAsia="Arial" w:hAnsi="Arial"/>
                <w:sz w:val="18"/>
                <w:szCs w:val="18"/>
                <w:b w:val="1"/>
                <w:bCs w:val="1"/>
                <w:color w:val="auto"/>
              </w:rPr>
              <w:t>Equity Consideration per Common Share Outstanding</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41.80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4,149</w:t>
            </w:r>
          </w:p>
        </w:tc>
        <w:tc>
          <w:tcPr>
            <w:tcW w:w="1900" w:type="dxa"/>
            <w:vAlign w:val="bottom"/>
            <w:gridSpan w:val="2"/>
          </w:tcPr>
          <w:p>
            <w:pPr>
              <w:ind w:left="220"/>
              <w:spacing w:after="0"/>
              <w:rPr>
                <w:sz w:val="20"/>
                <w:szCs w:val="20"/>
                <w:color w:val="auto"/>
              </w:rPr>
            </w:pPr>
            <w:r>
              <w:rPr>
                <w:rFonts w:ascii="Arial" w:cs="Arial" w:eastAsia="Arial" w:hAnsi="Arial"/>
                <w:sz w:val="18"/>
                <w:szCs w:val="18"/>
                <w:color w:val="auto"/>
                <w:w w:val="98"/>
              </w:rPr>
              <w:t>Xerox common stock</w:t>
            </w: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1100" w:type="dxa"/>
            <w:vAlign w:val="bottom"/>
          </w:tcPr>
          <w:p>
            <w:pPr>
              <w:spacing w:after="0"/>
              <w:rPr>
                <w:sz w:val="8"/>
                <w:szCs w:val="8"/>
                <w:color w:val="auto"/>
              </w:rPr>
            </w:pPr>
          </w:p>
        </w:tc>
        <w:tc>
          <w:tcPr>
            <w:tcW w:w="52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8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Cash Consideration per Common Share Outstanding</w:t>
            </w:r>
          </w:p>
        </w:tc>
        <w:tc>
          <w:tcPr>
            <w:tcW w:w="1300" w:type="dxa"/>
            <w:vAlign w:val="bottom"/>
            <w:shd w:val="clear" w:color="auto" w:fill="E5E5E5"/>
          </w:tcPr>
          <w:p>
            <w:pPr>
              <w:spacing w:after="0"/>
              <w:rPr>
                <w:sz w:val="17"/>
                <w:szCs w:val="17"/>
                <w:color w:val="auto"/>
              </w:rPr>
            </w:pPr>
          </w:p>
        </w:tc>
        <w:tc>
          <w:tcPr>
            <w:tcW w:w="120" w:type="dxa"/>
            <w:vAlign w:val="bottom"/>
            <w:tcBorders>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18.60</w:t>
            </w:r>
          </w:p>
        </w:tc>
        <w:tc>
          <w:tcPr>
            <w:tcW w:w="2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1,846</w:t>
            </w:r>
          </w:p>
        </w:tc>
        <w:tc>
          <w:tcPr>
            <w:tcW w:w="1900" w:type="dxa"/>
            <w:vAlign w:val="bottom"/>
            <w:gridSpan w:val="2"/>
            <w:shd w:val="clear" w:color="auto" w:fill="E5E5E5"/>
          </w:tcPr>
          <w:p>
            <w:pPr>
              <w:ind w:left="220"/>
              <w:spacing w:after="0" w:line="202" w:lineRule="exact"/>
              <w:rPr>
                <w:sz w:val="20"/>
                <w:szCs w:val="20"/>
                <w:color w:val="auto"/>
              </w:rPr>
            </w:pPr>
            <w:r>
              <w:rPr>
                <w:rFonts w:ascii="Arial" w:cs="Arial" w:eastAsia="Arial" w:hAnsi="Arial"/>
                <w:sz w:val="18"/>
                <w:szCs w:val="18"/>
                <w:color w:val="auto"/>
              </w:rPr>
              <w:t>Cash</w:t>
            </w:r>
          </w:p>
        </w:tc>
        <w:tc>
          <w:tcPr>
            <w:tcW w:w="0" w:type="dxa"/>
            <w:vAlign w:val="bottom"/>
          </w:tcPr>
          <w:p>
            <w:pPr>
              <w:spacing w:after="0"/>
              <w:rPr>
                <w:sz w:val="1"/>
                <w:szCs w:val="1"/>
                <w:color w:val="auto"/>
              </w:rPr>
            </w:pPr>
          </w:p>
        </w:tc>
      </w:tr>
      <w:tr>
        <w:trPr>
          <w:trHeight w:val="318"/>
        </w:trPr>
        <w:tc>
          <w:tcPr>
            <w:tcW w:w="6400" w:type="dxa"/>
            <w:vAlign w:val="bottom"/>
            <w:gridSpan w:val="3"/>
          </w:tcPr>
          <w:p>
            <w:pPr>
              <w:spacing w:after="0"/>
              <w:rPr>
                <w:sz w:val="20"/>
                <w:szCs w:val="20"/>
                <w:color w:val="auto"/>
              </w:rPr>
            </w:pPr>
            <w:r>
              <w:rPr>
                <w:rFonts w:ascii="Arial" w:cs="Arial" w:eastAsia="Arial" w:hAnsi="Arial"/>
                <w:sz w:val="18"/>
                <w:szCs w:val="18"/>
                <w:color w:val="auto"/>
              </w:rPr>
              <w:t>ACS stock options exchanged for a Xerox equivalent stock option</w:t>
            </w: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13.6</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Multiplied by the option exchange ratio</w:t>
            </w:r>
          </w:p>
        </w:tc>
        <w:tc>
          <w:tcPr>
            <w:tcW w:w="1300" w:type="dxa"/>
            <w:vAlign w:val="bottom"/>
            <w:shd w:val="clear" w:color="auto" w:fill="E5E5E5"/>
          </w:tcPr>
          <w:p>
            <w:pPr>
              <w:spacing w:after="0"/>
              <w:rPr>
                <w:sz w:val="17"/>
                <w:szCs w:val="17"/>
                <w:color w:val="auto"/>
              </w:rPr>
            </w:pPr>
          </w:p>
        </w:tc>
        <w:tc>
          <w:tcPr>
            <w:tcW w:w="120" w:type="dxa"/>
            <w:vAlign w:val="bottom"/>
            <w:tcBorders>
              <w:bottom w:val="single" w:sz="8" w:color="auto"/>
            </w:tcBorders>
            <w:shd w:val="clear" w:color="auto" w:fill="E5E5E5"/>
          </w:tcPr>
          <w:p>
            <w:pPr>
              <w:spacing w:after="0"/>
              <w:rPr>
                <w:sz w:val="17"/>
                <w:szCs w:val="17"/>
                <w:color w:val="auto"/>
              </w:rPr>
            </w:pPr>
          </w:p>
        </w:tc>
        <w:tc>
          <w:tcPr>
            <w:tcW w:w="840" w:type="dxa"/>
            <w:vAlign w:val="bottom"/>
            <w:tcBorders>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7.085289</w:t>
            </w:r>
          </w:p>
        </w:tc>
        <w:tc>
          <w:tcPr>
            <w:tcW w:w="2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5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6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400" w:type="dxa"/>
            <w:vAlign w:val="bottom"/>
            <w:gridSpan w:val="3"/>
          </w:tcPr>
          <w:p>
            <w:pPr>
              <w:spacing w:after="0"/>
              <w:rPr>
                <w:sz w:val="20"/>
                <w:szCs w:val="20"/>
                <w:color w:val="auto"/>
              </w:rPr>
            </w:pPr>
            <w:r>
              <w:rPr>
                <w:rFonts w:ascii="Arial" w:cs="Arial" w:eastAsia="Arial" w:hAnsi="Arial"/>
                <w:sz w:val="18"/>
                <w:szCs w:val="18"/>
                <w:b w:val="1"/>
                <w:bCs w:val="1"/>
                <w:color w:val="auto"/>
              </w:rPr>
              <w:t>Total Xerox Equivalent Stock Options</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96.7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168</w:t>
            </w:r>
          </w:p>
        </w:tc>
        <w:tc>
          <w:tcPr>
            <w:tcW w:w="1900" w:type="dxa"/>
            <w:vAlign w:val="bottom"/>
            <w:gridSpan w:val="2"/>
          </w:tcPr>
          <w:p>
            <w:pPr>
              <w:ind w:left="220"/>
              <w:spacing w:after="0"/>
              <w:rPr>
                <w:sz w:val="20"/>
                <w:szCs w:val="20"/>
                <w:color w:val="auto"/>
              </w:rPr>
            </w:pPr>
            <w:r>
              <w:rPr>
                <w:rFonts w:ascii="Arial" w:cs="Arial" w:eastAsia="Arial" w:hAnsi="Arial"/>
                <w:sz w:val="18"/>
                <w:szCs w:val="18"/>
                <w:color w:val="auto"/>
              </w:rPr>
              <w:t>Xerox stock options</w:t>
            </w: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1100" w:type="dxa"/>
            <w:vAlign w:val="bottom"/>
          </w:tcPr>
          <w:p>
            <w:pPr>
              <w:spacing w:after="0"/>
              <w:rPr>
                <w:sz w:val="8"/>
                <w:szCs w:val="8"/>
                <w:color w:val="auto"/>
              </w:rPr>
            </w:pPr>
          </w:p>
        </w:tc>
        <w:tc>
          <w:tcPr>
            <w:tcW w:w="52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8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Xerox Preferred Stock Issued to ACS Class B Shareholder</w:t>
            </w:r>
          </w:p>
        </w:tc>
        <w:tc>
          <w:tcPr>
            <w:tcW w:w="13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84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60" w:type="dxa"/>
            <w:vAlign w:val="bottom"/>
            <w:tcBorders>
              <w:bottom w:val="single" w:sz="8" w:color="auto"/>
            </w:tcBorders>
            <w:shd w:val="clear" w:color="auto" w:fill="E5E5E5"/>
          </w:tcPr>
          <w:p>
            <w:pPr>
              <w:spacing w:after="0" w:line="202" w:lineRule="exact"/>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349</w:t>
            </w:r>
          </w:p>
        </w:tc>
        <w:tc>
          <w:tcPr>
            <w:tcW w:w="1900" w:type="dxa"/>
            <w:vAlign w:val="bottom"/>
            <w:gridSpan w:val="2"/>
            <w:shd w:val="clear" w:color="auto" w:fill="E5E5E5"/>
          </w:tcPr>
          <w:p>
            <w:pPr>
              <w:ind w:left="220"/>
              <w:spacing w:after="0" w:line="202" w:lineRule="exact"/>
              <w:rPr>
                <w:sz w:val="20"/>
                <w:szCs w:val="20"/>
                <w:color w:val="auto"/>
              </w:rPr>
            </w:pPr>
            <w:r>
              <w:rPr>
                <w:rFonts w:ascii="Arial" w:cs="Arial" w:eastAsia="Arial" w:hAnsi="Arial"/>
                <w:sz w:val="18"/>
                <w:szCs w:val="18"/>
                <w:color w:val="auto"/>
                <w:w w:val="96"/>
              </w:rPr>
              <w:t>Xerox preferred stock</w:t>
            </w:r>
          </w:p>
        </w:tc>
        <w:tc>
          <w:tcPr>
            <w:tcW w:w="0" w:type="dxa"/>
            <w:vAlign w:val="bottom"/>
          </w:tcPr>
          <w:p>
            <w:pPr>
              <w:spacing w:after="0"/>
              <w:rPr>
                <w:sz w:val="1"/>
                <w:szCs w:val="1"/>
                <w:color w:val="auto"/>
              </w:rPr>
            </w:pPr>
          </w:p>
        </w:tc>
      </w:tr>
      <w:tr>
        <w:trPr>
          <w:trHeight w:val="318"/>
        </w:trPr>
        <w:tc>
          <w:tcPr>
            <w:tcW w:w="6400" w:type="dxa"/>
            <w:vAlign w:val="bottom"/>
            <w:gridSpan w:val="3"/>
          </w:tcPr>
          <w:p>
            <w:pPr>
              <w:spacing w:after="0"/>
              <w:rPr>
                <w:sz w:val="20"/>
                <w:szCs w:val="20"/>
                <w:color w:val="auto"/>
              </w:rPr>
            </w:pPr>
            <w:r>
              <w:rPr>
                <w:rFonts w:ascii="Arial" w:cs="Arial" w:eastAsia="Arial" w:hAnsi="Arial"/>
                <w:sz w:val="18"/>
                <w:szCs w:val="18"/>
                <w:b w:val="1"/>
                <w:bCs w:val="1"/>
                <w:color w:val="auto"/>
              </w:rPr>
              <w:t>Total Fair Value of Consideration Transferred</w:t>
            </w: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6,512</w:t>
            </w: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right="140"/>
        <w:spacing w:after="0" w:line="249" w:lineRule="auto"/>
        <w:rPr>
          <w:sz w:val="20"/>
          <w:szCs w:val="20"/>
          <w:color w:val="auto"/>
        </w:rPr>
      </w:pPr>
      <w:r>
        <w:rPr>
          <w:rFonts w:ascii="Arial" w:cs="Arial" w:eastAsia="Arial" w:hAnsi="Arial"/>
          <w:sz w:val="18"/>
          <w:szCs w:val="18"/>
          <w:b w:val="1"/>
          <w:bCs w:val="1"/>
          <w:color w:val="4C9F40"/>
        </w:rPr>
        <w:t xml:space="preserve">Recording of assets acquired and liabilities assumed: </w:t>
      </w:r>
      <w:r>
        <w:rPr>
          <w:rFonts w:ascii="Arial" w:cs="Arial" w:eastAsia="Arial" w:hAnsi="Arial"/>
          <w:sz w:val="18"/>
          <w:szCs w:val="18"/>
          <w:color w:val="000000"/>
        </w:rPr>
        <w:t>The transaction has been accounted for using the acquisition method of accounting</w:t>
      </w:r>
      <w:r>
        <w:rPr>
          <w:rFonts w:ascii="Arial" w:cs="Arial" w:eastAsia="Arial" w:hAnsi="Arial"/>
          <w:sz w:val="18"/>
          <w:szCs w:val="18"/>
          <w:b w:val="1"/>
          <w:bCs w:val="1"/>
          <w:color w:val="4C9F40"/>
        </w:rPr>
        <w:t xml:space="preserve"> </w:t>
      </w:r>
      <w:r>
        <w:rPr>
          <w:rFonts w:ascii="Arial" w:cs="Arial" w:eastAsia="Arial" w:hAnsi="Arial"/>
          <w:sz w:val="18"/>
          <w:szCs w:val="18"/>
          <w:color w:val="000000"/>
        </w:rPr>
        <w:t>which requires, among other things, that most assets acquired and liabilities assumed be recognized at their fair values as of the acquisition date. The following table summarizes the assets acquired and liabilities assumed as of the acquisition date:</w:t>
      </w:r>
    </w:p>
    <w:p>
      <w:pPr>
        <w:spacing w:after="0" w:line="130" w:lineRule="exact"/>
        <w:rPr>
          <w:sz w:val="20"/>
          <w:szCs w:val="20"/>
          <w:color w:val="auto"/>
        </w:rPr>
      </w:pPr>
    </w:p>
    <w:p>
      <w:pPr>
        <w:ind w:left="9600"/>
        <w:spacing w:after="0"/>
        <w:rPr>
          <w:sz w:val="20"/>
          <w:szCs w:val="20"/>
          <w:color w:val="auto"/>
        </w:rPr>
      </w:pPr>
      <w:r>
        <w:rPr>
          <w:rFonts w:ascii="Arial" w:cs="Arial" w:eastAsia="Arial" w:hAnsi="Arial"/>
          <w:sz w:val="12"/>
          <w:szCs w:val="12"/>
          <w:color w:val="4C9F40"/>
        </w:rPr>
        <w:t>Xerox 2010 Annual Report 54</w:t>
      </w:r>
    </w:p>
    <w:p>
      <w:pPr>
        <w:sectPr>
          <w:pgSz w:w="11900" w:h="16838" w:orient="portrait"/>
          <w:cols w:equalWidth="0" w:num="1">
            <w:col w:w="11420"/>
          </w:cols>
          <w:pgMar w:left="240" w:top="323" w:right="23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color w:val="auto"/>
              </w:rPr>
              <w:t>February 5, 2010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4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4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tcPr>
          <w:p>
            <w:pPr>
              <w:ind w:left="80"/>
              <w:spacing w:after="0" w:line="202" w:lineRule="exact"/>
              <w:rPr>
                <w:sz w:val="20"/>
                <w:szCs w:val="20"/>
                <w:color w:val="auto"/>
              </w:rPr>
            </w:pPr>
            <w:r>
              <w:rPr>
                <w:rFonts w:ascii="Arial" w:cs="Arial" w:eastAsia="Arial" w:hAnsi="Arial"/>
                <w:sz w:val="18"/>
                <w:szCs w:val="18"/>
                <w:color w:val="auto"/>
              </w:rPr>
              <w:t>Cash and cash equivalents</w:t>
            </w:r>
          </w:p>
        </w:tc>
        <w:tc>
          <w:tcPr>
            <w:tcW w:w="3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Accounts receivable</w:t>
            </w:r>
          </w:p>
        </w:tc>
        <w:tc>
          <w:tcPr>
            <w:tcW w:w="340" w:type="dxa"/>
            <w:vAlign w:val="bottom"/>
            <w:shd w:val="clear" w:color="auto" w:fill="E5E5E5"/>
          </w:tcPr>
          <w:p>
            <w:pPr>
              <w:spacing w:after="0"/>
              <w:rPr>
                <w:sz w:val="17"/>
                <w:szCs w:val="17"/>
                <w:color w:val="auto"/>
              </w:rPr>
            </w:pPr>
          </w:p>
        </w:tc>
        <w:tc>
          <w:tcPr>
            <w:tcW w:w="7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1,344</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tcPr>
          <w:p>
            <w:pPr>
              <w:ind w:left="80"/>
              <w:spacing w:after="0" w:line="202" w:lineRule="exact"/>
              <w:rPr>
                <w:sz w:val="20"/>
                <w:szCs w:val="20"/>
                <w:color w:val="auto"/>
              </w:rPr>
            </w:pPr>
            <w:r>
              <w:rPr>
                <w:rFonts w:ascii="Arial" w:cs="Arial" w:eastAsia="Arial" w:hAnsi="Arial"/>
                <w:sz w:val="18"/>
                <w:szCs w:val="18"/>
                <w:color w:val="auto"/>
              </w:rPr>
              <w:t>Other current assets</w:t>
            </w:r>
          </w:p>
        </w:tc>
        <w:tc>
          <w:tcPr>
            <w:tcW w:w="3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Land, buildings and equipment</w:t>
            </w:r>
          </w:p>
        </w:tc>
        <w:tc>
          <w:tcPr>
            <w:tcW w:w="340" w:type="dxa"/>
            <w:vAlign w:val="bottom"/>
            <w:shd w:val="clear" w:color="auto" w:fill="E5E5E5"/>
          </w:tcPr>
          <w:p>
            <w:pPr>
              <w:spacing w:after="0"/>
              <w:rPr>
                <w:sz w:val="17"/>
                <w:szCs w:val="17"/>
                <w:color w:val="auto"/>
              </w:rPr>
            </w:pPr>
          </w:p>
        </w:tc>
        <w:tc>
          <w:tcPr>
            <w:tcW w:w="7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416</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tcPr>
          <w:p>
            <w:pPr>
              <w:ind w:left="80"/>
              <w:spacing w:after="0" w:line="202" w:lineRule="exact"/>
              <w:rPr>
                <w:sz w:val="20"/>
                <w:szCs w:val="20"/>
                <w:color w:val="auto"/>
              </w:rPr>
            </w:pPr>
            <w:r>
              <w:rPr>
                <w:rFonts w:ascii="Arial" w:cs="Arial" w:eastAsia="Arial" w:hAnsi="Arial"/>
                <w:sz w:val="18"/>
                <w:szCs w:val="18"/>
                <w:color w:val="auto"/>
              </w:rPr>
              <w:t>Intangible assets</w:t>
            </w:r>
          </w:p>
        </w:tc>
        <w:tc>
          <w:tcPr>
            <w:tcW w:w="3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3,035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Goodwill</w:t>
            </w:r>
          </w:p>
        </w:tc>
        <w:tc>
          <w:tcPr>
            <w:tcW w:w="340" w:type="dxa"/>
            <w:vAlign w:val="bottom"/>
            <w:shd w:val="clear" w:color="auto" w:fill="E5E5E5"/>
          </w:tcPr>
          <w:p>
            <w:pPr>
              <w:spacing w:after="0"/>
              <w:rPr>
                <w:sz w:val="17"/>
                <w:szCs w:val="17"/>
                <w:color w:val="auto"/>
              </w:rPr>
            </w:pPr>
          </w:p>
        </w:tc>
        <w:tc>
          <w:tcPr>
            <w:tcW w:w="7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5,127</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40" w:type="dxa"/>
            <w:vAlign w:val="bottom"/>
          </w:tcPr>
          <w:p>
            <w:pPr>
              <w:ind w:left="80"/>
              <w:spacing w:after="0"/>
              <w:rPr>
                <w:sz w:val="20"/>
                <w:szCs w:val="20"/>
                <w:color w:val="auto"/>
              </w:rPr>
            </w:pPr>
            <w:r>
              <w:rPr>
                <w:rFonts w:ascii="Arial" w:cs="Arial" w:eastAsia="Arial" w:hAnsi="Arial"/>
                <w:sz w:val="18"/>
                <w:szCs w:val="18"/>
                <w:color w:val="auto"/>
              </w:rPr>
              <w:t>Other long-term assets</w:t>
            </w: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4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4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Liabilities</w:t>
            </w:r>
          </w:p>
        </w:tc>
        <w:tc>
          <w:tcPr>
            <w:tcW w:w="34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tcPr>
          <w:p>
            <w:pPr>
              <w:ind w:left="80"/>
              <w:spacing w:after="0" w:line="202" w:lineRule="exact"/>
              <w:rPr>
                <w:sz w:val="20"/>
                <w:szCs w:val="20"/>
                <w:color w:val="auto"/>
              </w:rPr>
            </w:pPr>
            <w:r>
              <w:rPr>
                <w:rFonts w:ascii="Arial" w:cs="Arial" w:eastAsia="Arial" w:hAnsi="Arial"/>
                <w:sz w:val="18"/>
                <w:szCs w:val="18"/>
                <w:color w:val="auto"/>
              </w:rPr>
              <w:t>Other current liabilities</w:t>
            </w:r>
          </w:p>
        </w:tc>
        <w:tc>
          <w:tcPr>
            <w:tcW w:w="3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645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Deferred revenue</w:t>
            </w:r>
          </w:p>
        </w:tc>
        <w:tc>
          <w:tcPr>
            <w:tcW w:w="340" w:type="dxa"/>
            <w:vAlign w:val="bottom"/>
            <w:shd w:val="clear" w:color="auto" w:fill="E5E5E5"/>
          </w:tcPr>
          <w:p>
            <w:pPr>
              <w:spacing w:after="0"/>
              <w:rPr>
                <w:sz w:val="17"/>
                <w:szCs w:val="17"/>
                <w:color w:val="auto"/>
              </w:rPr>
            </w:pPr>
          </w:p>
        </w:tc>
        <w:tc>
          <w:tcPr>
            <w:tcW w:w="7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161</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tcPr>
          <w:p>
            <w:pPr>
              <w:ind w:left="80"/>
              <w:spacing w:after="0" w:line="202" w:lineRule="exact"/>
              <w:rPr>
                <w:sz w:val="20"/>
                <w:szCs w:val="20"/>
                <w:color w:val="auto"/>
              </w:rPr>
            </w:pPr>
            <w:r>
              <w:rPr>
                <w:rFonts w:ascii="Arial" w:cs="Arial" w:eastAsia="Arial" w:hAnsi="Arial"/>
                <w:sz w:val="18"/>
                <w:szCs w:val="18"/>
                <w:color w:val="auto"/>
              </w:rPr>
              <w:t>Deferred tax liability</w:t>
            </w:r>
          </w:p>
        </w:tc>
        <w:tc>
          <w:tcPr>
            <w:tcW w:w="3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990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Debt</w:t>
            </w:r>
          </w:p>
        </w:tc>
        <w:tc>
          <w:tcPr>
            <w:tcW w:w="340" w:type="dxa"/>
            <w:vAlign w:val="bottom"/>
            <w:shd w:val="clear" w:color="auto" w:fill="E5E5E5"/>
          </w:tcPr>
          <w:p>
            <w:pPr>
              <w:spacing w:after="0"/>
              <w:rPr>
                <w:sz w:val="17"/>
                <w:szCs w:val="17"/>
                <w:color w:val="auto"/>
              </w:rPr>
            </w:pPr>
          </w:p>
        </w:tc>
        <w:tc>
          <w:tcPr>
            <w:tcW w:w="7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2,310</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tcPr>
          <w:p>
            <w:pPr>
              <w:ind w:left="80"/>
              <w:spacing w:after="0" w:line="202" w:lineRule="exact"/>
              <w:rPr>
                <w:sz w:val="20"/>
                <w:szCs w:val="20"/>
                <w:color w:val="auto"/>
              </w:rPr>
            </w:pPr>
            <w:r>
              <w:rPr>
                <w:rFonts w:ascii="Arial" w:cs="Arial" w:eastAsia="Arial" w:hAnsi="Arial"/>
                <w:sz w:val="18"/>
                <w:szCs w:val="18"/>
                <w:color w:val="auto"/>
              </w:rPr>
              <w:t>Pension liabilities</w:t>
            </w:r>
          </w:p>
        </w:tc>
        <w:tc>
          <w:tcPr>
            <w:tcW w:w="3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Other long-term liabilities</w:t>
            </w:r>
          </w:p>
        </w:tc>
        <w:tc>
          <w:tcPr>
            <w:tcW w:w="340" w:type="dxa"/>
            <w:vAlign w:val="bottom"/>
            <w:tcBorders>
              <w:bottom w:val="single" w:sz="8" w:color="auto"/>
            </w:tcBorders>
            <w:shd w:val="clear" w:color="auto" w:fill="E5E5E5"/>
          </w:tcPr>
          <w:p>
            <w:pPr>
              <w:spacing w:after="0"/>
              <w:rPr>
                <w:sz w:val="17"/>
                <w:szCs w:val="17"/>
                <w:color w:val="auto"/>
              </w:rPr>
            </w:pPr>
          </w:p>
        </w:tc>
        <w:tc>
          <w:tcPr>
            <w:tcW w:w="700" w:type="dxa"/>
            <w:vAlign w:val="bottom"/>
            <w:tcBorders>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263</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Net Assets Acquired</w:t>
            </w: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360"/>
        <w:spacing w:after="0" w:line="264" w:lineRule="auto"/>
        <w:rPr>
          <w:sz w:val="20"/>
          <w:szCs w:val="20"/>
          <w:color w:val="auto"/>
        </w:rPr>
      </w:pPr>
      <w:r>
        <w:rPr>
          <w:rFonts w:ascii="Arial" w:cs="Arial" w:eastAsia="Arial" w:hAnsi="Arial"/>
          <w:sz w:val="18"/>
          <w:szCs w:val="18"/>
          <w:b w:val="1"/>
          <w:bCs w:val="1"/>
          <w:color w:val="4C9F40"/>
        </w:rPr>
        <w:t xml:space="preserve">Intangible assets: </w:t>
      </w:r>
      <w:r>
        <w:rPr>
          <w:rFonts w:ascii="Arial" w:cs="Arial" w:eastAsia="Arial" w:hAnsi="Arial"/>
          <w:sz w:val="18"/>
          <w:szCs w:val="18"/>
          <w:color w:val="000000"/>
        </w:rPr>
        <w:t>The following table is a summary of the fair value estimates of the identifiable intangible assets and their weighted-average</w:t>
      </w:r>
      <w:r>
        <w:rPr>
          <w:rFonts w:ascii="Arial" w:cs="Arial" w:eastAsia="Arial" w:hAnsi="Arial"/>
          <w:sz w:val="18"/>
          <w:szCs w:val="18"/>
          <w:b w:val="1"/>
          <w:bCs w:val="1"/>
          <w:color w:val="4C9F40"/>
        </w:rPr>
        <w:t xml:space="preserve"> </w:t>
      </w:r>
      <w:r>
        <w:rPr>
          <w:rFonts w:ascii="Arial" w:cs="Arial" w:eastAsia="Arial" w:hAnsi="Arial"/>
          <w:sz w:val="18"/>
          <w:szCs w:val="18"/>
          <w:color w:val="000000"/>
        </w:rPr>
        <w:t>useful lives: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color w:val="auto"/>
              </w:rPr>
              <w:t>Estimated Fair</w:t>
            </w: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w w:val="96"/>
              </w:rPr>
              <w:t>Estimated Useful</w:t>
            </w: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6"/>
              <w:spacing w:after="0" w:line="149" w:lineRule="exact"/>
              <w:rPr>
                <w:sz w:val="20"/>
                <w:szCs w:val="20"/>
                <w:color w:val="auto"/>
              </w:rPr>
            </w:pPr>
            <w:r>
              <w:rPr>
                <w:rFonts w:ascii="Arial" w:cs="Arial" w:eastAsia="Arial" w:hAnsi="Arial"/>
                <w:sz w:val="14"/>
                <w:szCs w:val="14"/>
                <w:color w:val="auto"/>
              </w:rPr>
              <w:t>Value</w:t>
            </w:r>
          </w:p>
        </w:tc>
        <w:tc>
          <w:tcPr>
            <w:tcW w:w="200" w:type="dxa"/>
            <w:vAlign w:val="bottom"/>
          </w:tcPr>
          <w:p>
            <w:pPr>
              <w:spacing w:after="0"/>
              <w:rPr>
                <w:sz w:val="12"/>
                <w:szCs w:val="12"/>
                <w:color w:val="auto"/>
              </w:rPr>
            </w:pPr>
          </w:p>
        </w:tc>
        <w:tc>
          <w:tcPr>
            <w:tcW w:w="1040" w:type="dxa"/>
            <w:vAlign w:val="bottom"/>
            <w:tcBorders>
              <w:bottom w:val="single" w:sz="8" w:color="auto"/>
            </w:tcBorders>
          </w:tcPr>
          <w:p>
            <w:pPr>
              <w:jc w:val="right"/>
              <w:ind w:right="329"/>
              <w:spacing w:after="0" w:line="149" w:lineRule="exact"/>
              <w:rPr>
                <w:sz w:val="20"/>
                <w:szCs w:val="20"/>
                <w:color w:val="auto"/>
              </w:rPr>
            </w:pPr>
            <w:r>
              <w:rPr>
                <w:rFonts w:ascii="Arial" w:cs="Arial" w:eastAsia="Arial" w:hAnsi="Arial"/>
                <w:sz w:val="14"/>
                <w:szCs w:val="14"/>
                <w:color w:val="auto"/>
              </w:rPr>
              <w:t>Life</w:t>
            </w:r>
          </w:p>
        </w:tc>
        <w:tc>
          <w:tcPr>
            <w:tcW w:w="14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4680" w:type="dxa"/>
            <w:vAlign w:val="bottom"/>
            <w:shd w:val="clear" w:color="auto" w:fill="E5E5E5"/>
          </w:tcPr>
          <w:p>
            <w:pPr>
              <w:spacing w:after="0" w:line="196" w:lineRule="exact"/>
              <w:rPr>
                <w:sz w:val="20"/>
                <w:szCs w:val="20"/>
                <w:color w:val="auto"/>
              </w:rPr>
            </w:pPr>
            <w:r>
              <w:rPr>
                <w:rFonts w:ascii="Arial" w:cs="Arial" w:eastAsia="Arial" w:hAnsi="Arial"/>
                <w:sz w:val="18"/>
                <w:szCs w:val="18"/>
                <w:color w:val="auto"/>
              </w:rPr>
              <w:t>Customer relationships/contracts</w:t>
            </w:r>
          </w:p>
        </w:tc>
        <w:tc>
          <w:tcPr>
            <w:tcW w:w="180" w:type="dxa"/>
            <w:vAlign w:val="bottom"/>
            <w:shd w:val="clear" w:color="auto" w:fill="E5E5E5"/>
          </w:tcPr>
          <w:p>
            <w:pPr>
              <w:spacing w:after="0" w:line="196"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E5E5E5"/>
          </w:tcPr>
          <w:p>
            <w:pPr>
              <w:jc w:val="right"/>
              <w:ind w:right="200"/>
              <w:spacing w:after="0" w:line="196" w:lineRule="exact"/>
              <w:rPr>
                <w:sz w:val="20"/>
                <w:szCs w:val="20"/>
                <w:color w:val="auto"/>
              </w:rPr>
            </w:pPr>
            <w:r>
              <w:rPr>
                <w:rFonts w:ascii="Arial" w:cs="Arial" w:eastAsia="Arial" w:hAnsi="Arial"/>
                <w:sz w:val="18"/>
                <w:szCs w:val="18"/>
                <w:color w:val="auto"/>
              </w:rPr>
              <w:t>2,920</w:t>
            </w:r>
          </w:p>
        </w:tc>
        <w:tc>
          <w:tcPr>
            <w:tcW w:w="1180" w:type="dxa"/>
            <w:vAlign w:val="bottom"/>
            <w:gridSpan w:val="2"/>
            <w:shd w:val="clear" w:color="auto" w:fill="E5E5E5"/>
          </w:tcPr>
          <w:p>
            <w:pPr>
              <w:jc w:val="right"/>
              <w:ind w:right="140"/>
              <w:spacing w:after="0" w:line="196" w:lineRule="exact"/>
              <w:rPr>
                <w:sz w:val="20"/>
                <w:szCs w:val="20"/>
                <w:color w:val="auto"/>
              </w:rPr>
            </w:pPr>
            <w:r>
              <w:rPr>
                <w:rFonts w:ascii="Arial" w:cs="Arial" w:eastAsia="Arial" w:hAnsi="Arial"/>
                <w:sz w:val="18"/>
                <w:szCs w:val="18"/>
                <w:color w:val="auto"/>
              </w:rPr>
              <w:t>11.6 years</w:t>
            </w:r>
          </w:p>
        </w:tc>
      </w:tr>
      <w:tr>
        <w:trPr>
          <w:trHeight w:val="203"/>
        </w:trPr>
        <w:tc>
          <w:tcPr>
            <w:tcW w:w="4700" w:type="dxa"/>
            <w:vAlign w:val="bottom"/>
            <w:gridSpan w:val="2"/>
          </w:tcPr>
          <w:p>
            <w:pPr>
              <w:spacing w:after="0" w:line="202" w:lineRule="exact"/>
              <w:rPr>
                <w:sz w:val="20"/>
                <w:szCs w:val="20"/>
                <w:color w:val="auto"/>
              </w:rPr>
            </w:pPr>
            <w:r>
              <w:rPr>
                <w:rFonts w:ascii="Arial" w:cs="Arial" w:eastAsia="Arial" w:hAnsi="Arial"/>
                <w:sz w:val="18"/>
                <w:szCs w:val="18"/>
                <w:color w:val="auto"/>
              </w:rPr>
              <w:t>ACS tradename</w:t>
            </w:r>
          </w:p>
        </w:tc>
        <w:tc>
          <w:tcPr>
            <w:tcW w:w="180" w:type="dxa"/>
            <w:vAlign w:val="bottom"/>
          </w:tcPr>
          <w:p>
            <w:pPr>
              <w:spacing w:after="0"/>
              <w:rPr>
                <w:sz w:val="17"/>
                <w:szCs w:val="17"/>
                <w:color w:val="auto"/>
              </w:rPr>
            </w:pPr>
          </w:p>
        </w:tc>
        <w:tc>
          <w:tcPr>
            <w:tcW w:w="9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100</w:t>
            </w:r>
          </w:p>
        </w:tc>
        <w:tc>
          <w:tcPr>
            <w:tcW w:w="11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 years</w:t>
            </w:r>
          </w:p>
        </w:tc>
      </w:tr>
      <w:tr>
        <w:trPr>
          <w:trHeight w:val="203"/>
        </w:trPr>
        <w:tc>
          <w:tcPr>
            <w:tcW w:w="20" w:type="dxa"/>
            <w:vAlign w:val="bottom"/>
          </w:tcPr>
          <w:p>
            <w:pPr>
              <w:spacing w:after="0"/>
              <w:rPr>
                <w:sz w:val="17"/>
                <w:szCs w:val="17"/>
                <w:color w:val="auto"/>
              </w:rPr>
            </w:pPr>
          </w:p>
        </w:tc>
        <w:tc>
          <w:tcPr>
            <w:tcW w:w="46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Buck tradename</w:t>
            </w:r>
          </w:p>
        </w:tc>
        <w:tc>
          <w:tcPr>
            <w:tcW w:w="180" w:type="dxa"/>
            <w:vAlign w:val="bottom"/>
            <w:shd w:val="clear" w:color="auto" w:fill="E5E5E5"/>
          </w:tcPr>
          <w:p>
            <w:pPr>
              <w:spacing w:after="0"/>
              <w:rPr>
                <w:sz w:val="17"/>
                <w:szCs w:val="17"/>
                <w:color w:val="auto"/>
              </w:rPr>
            </w:pPr>
          </w:p>
        </w:tc>
        <w:tc>
          <w:tcPr>
            <w:tcW w:w="90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10</w:t>
            </w:r>
          </w:p>
        </w:tc>
        <w:tc>
          <w:tcPr>
            <w:tcW w:w="1040" w:type="dxa"/>
            <w:vAlign w:val="bottom"/>
            <w:shd w:val="clear" w:color="auto" w:fill="E5E5E5"/>
          </w:tcPr>
          <w:p>
            <w:pPr>
              <w:jc w:val="right"/>
              <w:ind w:right="349"/>
              <w:spacing w:after="0"/>
              <w:rPr>
                <w:sz w:val="20"/>
                <w:szCs w:val="20"/>
                <w:color w:val="auto"/>
              </w:rPr>
            </w:pPr>
            <w:r>
              <w:rPr>
                <w:rFonts w:ascii="Arial" w:cs="Arial" w:eastAsia="Arial" w:hAnsi="Arial"/>
                <w:sz w:val="11"/>
                <w:szCs w:val="11"/>
                <w:color w:val="auto"/>
              </w:rPr>
              <w:t>(1)</w:t>
            </w:r>
          </w:p>
        </w:tc>
        <w:tc>
          <w:tcPr>
            <w:tcW w:w="140" w:type="dxa"/>
            <w:vAlign w:val="bottom"/>
            <w:shd w:val="clear" w:color="auto" w:fill="E5E5E5"/>
          </w:tcPr>
          <w:p>
            <w:pPr>
              <w:spacing w:after="0"/>
              <w:rPr>
                <w:sz w:val="17"/>
                <w:szCs w:val="17"/>
                <w:color w:val="auto"/>
              </w:rPr>
            </w:pPr>
          </w:p>
        </w:tc>
      </w:tr>
      <w:tr>
        <w:trPr>
          <w:trHeight w:val="210"/>
        </w:trPr>
        <w:tc>
          <w:tcPr>
            <w:tcW w:w="4700" w:type="dxa"/>
            <w:vAlign w:val="bottom"/>
            <w:gridSpan w:val="2"/>
          </w:tcPr>
          <w:p>
            <w:pPr>
              <w:spacing w:after="0" w:line="202" w:lineRule="exact"/>
              <w:rPr>
                <w:sz w:val="20"/>
                <w:szCs w:val="20"/>
                <w:color w:val="auto"/>
              </w:rPr>
            </w:pPr>
            <w:r>
              <w:rPr>
                <w:rFonts w:ascii="Arial" w:cs="Arial" w:eastAsia="Arial" w:hAnsi="Arial"/>
                <w:sz w:val="18"/>
                <w:szCs w:val="18"/>
                <w:color w:val="auto"/>
              </w:rPr>
              <w:t>Title plant</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1040" w:type="dxa"/>
            <w:vAlign w:val="bottom"/>
          </w:tcPr>
          <w:p>
            <w:pPr>
              <w:jc w:val="right"/>
              <w:ind w:right="349"/>
              <w:spacing w:after="0"/>
              <w:rPr>
                <w:sz w:val="20"/>
                <w:szCs w:val="20"/>
                <w:color w:val="auto"/>
              </w:rPr>
            </w:pPr>
            <w:r>
              <w:rPr>
                <w:rFonts w:ascii="Arial" w:cs="Arial" w:eastAsia="Arial" w:hAnsi="Arial"/>
                <w:sz w:val="11"/>
                <w:szCs w:val="11"/>
                <w:color w:val="auto"/>
              </w:rPr>
              <w:t>(2)</w:t>
            </w:r>
          </w:p>
        </w:tc>
        <w:tc>
          <w:tcPr>
            <w:tcW w:w="1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68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Total Identifiable Intangible Assets</w:t>
            </w:r>
          </w:p>
        </w:tc>
        <w:tc>
          <w:tcPr>
            <w:tcW w:w="1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3,035</w:t>
            </w:r>
          </w:p>
        </w:tc>
        <w:tc>
          <w:tcPr>
            <w:tcW w:w="104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9" w:lineRule="exact"/>
        <w:rPr>
          <w:sz w:val="20"/>
          <w:szCs w:val="20"/>
          <w:color w:val="auto"/>
        </w:rPr>
      </w:pPr>
    </w:p>
    <w:p>
      <w:pPr>
        <w:ind w:left="340" w:hanging="332"/>
        <w:spacing w:after="0"/>
        <w:tabs>
          <w:tab w:leader="none" w:pos="340" w:val="left"/>
        </w:tabs>
        <w:numPr>
          <w:ilvl w:val="0"/>
          <w:numId w:val="148"/>
        </w:numPr>
        <w:rPr>
          <w:rFonts w:ascii="Arial" w:cs="Arial" w:eastAsia="Arial" w:hAnsi="Arial"/>
          <w:sz w:val="14"/>
          <w:szCs w:val="14"/>
          <w:color w:val="auto"/>
        </w:rPr>
      </w:pPr>
      <w:r>
        <w:rPr>
          <w:rFonts w:ascii="Arial" w:cs="Arial" w:eastAsia="Arial" w:hAnsi="Arial"/>
          <w:sz w:val="14"/>
          <w:szCs w:val="14"/>
          <w:color w:val="auto"/>
        </w:rPr>
        <w:t>Determined to be an indefinite-lived asset.</w:t>
      </w:r>
    </w:p>
    <w:p>
      <w:pPr>
        <w:ind w:left="340" w:right="100" w:hanging="332"/>
        <w:spacing w:after="0" w:line="231" w:lineRule="auto"/>
        <w:tabs>
          <w:tab w:leader="none" w:pos="340" w:val="left"/>
        </w:tabs>
        <w:numPr>
          <w:ilvl w:val="0"/>
          <w:numId w:val="148"/>
        </w:numPr>
        <w:rPr>
          <w:rFonts w:ascii="Arial" w:cs="Arial" w:eastAsia="Arial" w:hAnsi="Arial"/>
          <w:sz w:val="14"/>
          <w:szCs w:val="14"/>
          <w:color w:val="auto"/>
        </w:rPr>
      </w:pPr>
      <w:r>
        <w:rPr>
          <w:rFonts w:ascii="Arial" w:cs="Arial" w:eastAsia="Arial" w:hAnsi="Arial"/>
          <w:sz w:val="14"/>
          <w:szCs w:val="14"/>
          <w:color w:val="auto"/>
        </w:rPr>
        <w:t>Title plant is not subject to depreciation or charged to earnings based on ASC Topic 950 – Financial Services – Title Plant, unless circumstances indicate that the carrying amount of the title plant has been impaired.</w:t>
      </w:r>
    </w:p>
    <w:p>
      <w:pPr>
        <w:spacing w:after="0" w:line="131" w:lineRule="exact"/>
        <w:rPr>
          <w:sz w:val="20"/>
          <w:szCs w:val="20"/>
          <w:color w:val="auto"/>
        </w:rPr>
      </w:pPr>
    </w:p>
    <w:p>
      <w:pPr>
        <w:ind w:right="160"/>
        <w:spacing w:after="0" w:line="242" w:lineRule="auto"/>
        <w:rPr>
          <w:sz w:val="20"/>
          <w:szCs w:val="20"/>
          <w:color w:val="auto"/>
        </w:rPr>
      </w:pPr>
      <w:r>
        <w:rPr>
          <w:rFonts w:ascii="Arial" w:cs="Arial" w:eastAsia="Arial" w:hAnsi="Arial"/>
          <w:sz w:val="18"/>
          <w:szCs w:val="18"/>
          <w:b w:val="1"/>
          <w:bCs w:val="1"/>
          <w:color w:val="4C9F40"/>
        </w:rPr>
        <w:t xml:space="preserve">Deferred revenue: </w:t>
      </w:r>
      <w:r>
        <w:rPr>
          <w:rFonts w:ascii="Arial" w:cs="Arial" w:eastAsia="Arial" w:hAnsi="Arial"/>
          <w:sz w:val="18"/>
          <w:szCs w:val="18"/>
          <w:color w:val="000000"/>
        </w:rPr>
        <w:t>As part of our purchase price allocation, we revalued ACS’s existing deferred revenue to fair value based on the remaining</w:t>
      </w:r>
      <w:r>
        <w:rPr>
          <w:rFonts w:ascii="Arial" w:cs="Arial" w:eastAsia="Arial" w:hAnsi="Arial"/>
          <w:sz w:val="18"/>
          <w:szCs w:val="18"/>
          <w:b w:val="1"/>
          <w:bCs w:val="1"/>
          <w:color w:val="4C9F40"/>
        </w:rPr>
        <w:t xml:space="preserve"> </w:t>
      </w:r>
      <w:r>
        <w:rPr>
          <w:rFonts w:ascii="Arial" w:cs="Arial" w:eastAsia="Arial" w:hAnsi="Arial"/>
          <w:sz w:val="18"/>
          <w:szCs w:val="18"/>
          <w:color w:val="000000"/>
        </w:rPr>
        <w:t>post-acquisition service obligation. The total revaluation adjustment was $133 ($53 current; $80 non-current) and represented the value for services already rendered for which no future obligation to provide services remains. Post acquisition, revenue will accordingly be reduced for the value of this adjustment. Accordingly, the remaining balance of deferred revenue included in the above of $161 ($145 current; $16 non-current) primarily represents our estimate of the fair value for the remaining service obligation.</w:t>
      </w:r>
    </w:p>
    <w:p>
      <w:pPr>
        <w:spacing w:after="0" w:line="131" w:lineRule="exact"/>
        <w:rPr>
          <w:sz w:val="20"/>
          <w:szCs w:val="20"/>
          <w:color w:val="auto"/>
        </w:rPr>
      </w:pPr>
    </w:p>
    <w:p>
      <w:pPr>
        <w:ind w:right="100"/>
        <w:spacing w:after="0"/>
        <w:rPr>
          <w:sz w:val="20"/>
          <w:szCs w:val="20"/>
          <w:color w:val="auto"/>
        </w:rPr>
      </w:pPr>
      <w:r>
        <w:rPr>
          <w:rFonts w:ascii="Arial" w:cs="Arial" w:eastAsia="Arial" w:hAnsi="Arial"/>
          <w:sz w:val="18"/>
          <w:szCs w:val="18"/>
          <w:b w:val="1"/>
          <w:bCs w:val="1"/>
          <w:color w:val="4C9F40"/>
        </w:rPr>
        <w:t xml:space="preserve">Deferred taxes: </w:t>
      </w:r>
      <w:r>
        <w:rPr>
          <w:rFonts w:ascii="Arial" w:cs="Arial" w:eastAsia="Arial" w:hAnsi="Arial"/>
          <w:sz w:val="18"/>
          <w:szCs w:val="18"/>
          <w:color w:val="000000"/>
        </w:rPr>
        <w:t>We provided deferred taxes and recorded other tax adjustments as part of the accounting for the acquisition primarily related to</w:t>
      </w:r>
      <w:r>
        <w:rPr>
          <w:rFonts w:ascii="Arial" w:cs="Arial" w:eastAsia="Arial" w:hAnsi="Arial"/>
          <w:sz w:val="18"/>
          <w:szCs w:val="18"/>
          <w:b w:val="1"/>
          <w:bCs w:val="1"/>
          <w:color w:val="4C9F40"/>
        </w:rPr>
        <w:t xml:space="preserve"> </w:t>
      </w:r>
      <w:r>
        <w:rPr>
          <w:rFonts w:ascii="Arial" w:cs="Arial" w:eastAsia="Arial" w:hAnsi="Arial"/>
          <w:sz w:val="18"/>
          <w:szCs w:val="18"/>
          <w:color w:val="000000"/>
        </w:rPr>
        <w:t>the estimated fair value adjustments for acquired intangible assets, as well as the elimination of a previously recorded deferred tax liability associated with ACS’s historical goodwill that was tax deductible. In addition, we also provided deferred taxes of $48 for the outside basis difference associated with certain foreign subsidiaries of ACS for which no taxes have been previously provided. We expect to reverse the outside basis difference primarily through repatriating earnings from those subsidiaries in lieu of permanently reinvesting them as well as through the reorganization of those subsidiaries.</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4"/>
          <w:szCs w:val="14"/>
          <w:color w:val="4C9F40"/>
        </w:rPr>
        <w:t>Xerox 2010 Annual Report 55</w:t>
      </w:r>
    </w:p>
    <w:p>
      <w:pPr>
        <w:sectPr>
          <w:pgSz w:w="11900" w:h="16838" w:orient="portrait"/>
          <w:cols w:equalWidth="0" w:num="1">
            <w:col w:w="11420"/>
          </w:cols>
          <w:pgMar w:left="240" w:top="276" w:right="239" w:bottom="1440" w:gutter="0" w:footer="0" w:header="0"/>
        </w:sectPr>
      </w:pPr>
    </w:p>
    <w:bookmarkStart w:id="132" w:name="page133"/>
    <w:bookmarkEnd w:id="132"/>
    <w:p>
      <w:pPr>
        <w:ind w:right="40"/>
        <w:spacing w:after="0" w:line="264" w:lineRule="auto"/>
        <w:rPr>
          <w:sz w:val="20"/>
          <w:szCs w:val="20"/>
          <w:color w:val="auto"/>
        </w:rPr>
      </w:pPr>
      <w:r>
        <w:rPr>
          <w:rFonts w:ascii="Arial" w:cs="Arial" w:eastAsia="Arial" w:hAnsi="Arial"/>
          <w:sz w:val="18"/>
          <w:szCs w:val="18"/>
          <w:b w:val="1"/>
          <w:bCs w:val="1"/>
          <w:color w:val="4C9F40"/>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Debt: </w:t>
      </w:r>
      <w:r>
        <w:rPr>
          <w:rFonts w:ascii="Arial" w:cs="Arial" w:eastAsia="Arial" w:hAnsi="Arial"/>
          <w:sz w:val="18"/>
          <w:szCs w:val="18"/>
          <w:color w:val="000000"/>
        </w:rPr>
        <w:t>We repaid $1.7 billion of ACS’s debt and assumed an additional $0.6 billion. The following is a summary of the third-party debt assumed and</w:t>
      </w:r>
      <w:r>
        <w:rPr>
          <w:rFonts w:ascii="Arial" w:cs="Arial" w:eastAsia="Arial" w:hAnsi="Arial"/>
          <w:sz w:val="18"/>
          <w:szCs w:val="18"/>
          <w:b w:val="1"/>
          <w:bCs w:val="1"/>
          <w:color w:val="4C9F40"/>
        </w:rPr>
        <w:t xml:space="preserve"> </w:t>
      </w:r>
      <w:r>
        <w:rPr>
          <w:rFonts w:ascii="Arial" w:cs="Arial" w:eastAsia="Arial" w:hAnsi="Arial"/>
          <w:sz w:val="18"/>
          <w:szCs w:val="18"/>
          <w:color w:val="000000"/>
        </w:rPr>
        <w:t>not repaid in connection with the close of the acquisition: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40" w:type="dxa"/>
            <w:vAlign w:val="bottom"/>
            <w:shd w:val="clear" w:color="auto" w:fill="E5E5E5"/>
          </w:tcPr>
          <w:p>
            <w:pPr>
              <w:ind w:left="100"/>
              <w:spacing w:after="0"/>
              <w:rPr>
                <w:sz w:val="20"/>
                <w:szCs w:val="20"/>
                <w:color w:val="auto"/>
              </w:rPr>
            </w:pPr>
            <w:r>
              <w:rPr>
                <w:rFonts w:ascii="Arial" w:cs="Arial" w:eastAsia="Arial" w:hAnsi="Arial"/>
                <w:sz w:val="18"/>
                <w:szCs w:val="18"/>
                <w:color w:val="auto"/>
              </w:rPr>
              <w:t>4.70% Senior Notes due June 2010</w:t>
            </w:r>
          </w:p>
        </w:tc>
        <w:tc>
          <w:tcPr>
            <w:tcW w:w="160" w:type="dxa"/>
            <w:vAlign w:val="bottom"/>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E5E5E5"/>
          </w:tcPr>
          <w:p>
            <w:pPr>
              <w:spacing w:after="0"/>
              <w:rPr>
                <w:sz w:val="17"/>
                <w:szCs w:val="17"/>
                <w:color w:val="auto"/>
              </w:rPr>
            </w:pPr>
          </w:p>
        </w:tc>
      </w:tr>
      <w:tr>
        <w:trPr>
          <w:trHeight w:val="203"/>
        </w:trPr>
        <w:tc>
          <w:tcPr>
            <w:tcW w:w="6240" w:type="dxa"/>
            <w:vAlign w:val="bottom"/>
          </w:tcPr>
          <w:p>
            <w:pPr>
              <w:ind w:left="100"/>
              <w:spacing w:after="0" w:line="202" w:lineRule="exact"/>
              <w:rPr>
                <w:sz w:val="20"/>
                <w:szCs w:val="20"/>
                <w:color w:val="auto"/>
              </w:rPr>
            </w:pPr>
            <w:r>
              <w:rPr>
                <w:rFonts w:ascii="Arial" w:cs="Arial" w:eastAsia="Arial" w:hAnsi="Arial"/>
                <w:sz w:val="18"/>
                <w:szCs w:val="18"/>
                <w:color w:val="auto"/>
              </w:rPr>
              <w:t>5.20% Senior Notes due June 2015</w:t>
            </w:r>
          </w:p>
        </w:tc>
        <w:tc>
          <w:tcPr>
            <w:tcW w:w="16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250</w:t>
            </w:r>
          </w:p>
        </w:tc>
        <w:tc>
          <w:tcPr>
            <w:tcW w:w="120" w:type="dxa"/>
            <w:vAlign w:val="bottom"/>
          </w:tcPr>
          <w:p>
            <w:pPr>
              <w:spacing w:after="0"/>
              <w:rPr>
                <w:sz w:val="17"/>
                <w:szCs w:val="17"/>
                <w:color w:val="auto"/>
              </w:rPr>
            </w:pPr>
          </w:p>
        </w:tc>
      </w:tr>
      <w:tr>
        <w:trPr>
          <w:trHeight w:val="203"/>
        </w:trPr>
        <w:tc>
          <w:tcPr>
            <w:tcW w:w="6240" w:type="dxa"/>
            <w:vAlign w:val="bottom"/>
            <w:shd w:val="clear" w:color="auto" w:fill="E5E5E5"/>
          </w:tcPr>
          <w:p>
            <w:pPr>
              <w:ind w:left="100"/>
              <w:spacing w:after="0" w:line="202" w:lineRule="exact"/>
              <w:rPr>
                <w:sz w:val="20"/>
                <w:szCs w:val="20"/>
                <w:color w:val="auto"/>
              </w:rPr>
            </w:pPr>
            <w:r>
              <w:rPr>
                <w:rFonts w:ascii="Arial" w:cs="Arial" w:eastAsia="Arial" w:hAnsi="Arial"/>
                <w:sz w:val="18"/>
                <w:szCs w:val="18"/>
                <w:color w:val="auto"/>
              </w:rPr>
              <w:t>Capital lease obligations and other debt</w:t>
            </w:r>
          </w:p>
        </w:tc>
        <w:tc>
          <w:tcPr>
            <w:tcW w:w="160" w:type="dxa"/>
            <w:vAlign w:val="bottom"/>
            <w:tcBorders>
              <w:bottom w:val="single" w:sz="8" w:color="auto"/>
            </w:tcBorders>
            <w:shd w:val="clear" w:color="auto" w:fill="E5E5E5"/>
          </w:tcPr>
          <w:p>
            <w:pPr>
              <w:spacing w:after="0"/>
              <w:rPr>
                <w:sz w:val="17"/>
                <w:szCs w:val="17"/>
                <w:color w:val="auto"/>
              </w:rPr>
            </w:pPr>
          </w:p>
        </w:tc>
        <w:tc>
          <w:tcPr>
            <w:tcW w:w="340" w:type="dxa"/>
            <w:vAlign w:val="bottom"/>
            <w:tcBorders>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64</w:t>
            </w:r>
          </w:p>
        </w:tc>
        <w:tc>
          <w:tcPr>
            <w:tcW w:w="120" w:type="dxa"/>
            <w:vAlign w:val="bottom"/>
            <w:shd w:val="clear" w:color="auto" w:fill="E5E5E5"/>
          </w:tcPr>
          <w:p>
            <w:pPr>
              <w:spacing w:after="0"/>
              <w:rPr>
                <w:sz w:val="17"/>
                <w:szCs w:val="17"/>
                <w:color w:val="auto"/>
              </w:rPr>
            </w:pPr>
          </w:p>
        </w:tc>
      </w:tr>
      <w:tr>
        <w:trPr>
          <w:trHeight w:val="210"/>
        </w:trPr>
        <w:tc>
          <w:tcPr>
            <w:tcW w:w="6240" w:type="dxa"/>
            <w:vAlign w:val="bottom"/>
          </w:tcPr>
          <w:p>
            <w:pPr>
              <w:ind w:left="100"/>
              <w:spacing w:after="0"/>
              <w:rPr>
                <w:sz w:val="20"/>
                <w:szCs w:val="20"/>
                <w:color w:val="auto"/>
              </w:rPr>
            </w:pPr>
            <w:r>
              <w:rPr>
                <w:rFonts w:ascii="Arial" w:cs="Arial" w:eastAsia="Arial" w:hAnsi="Arial"/>
                <w:sz w:val="18"/>
                <w:szCs w:val="18"/>
                <w:color w:val="auto"/>
              </w:rPr>
              <w:t>Principal debt balance</w:t>
            </w: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564</w:t>
            </w:r>
          </w:p>
        </w:tc>
        <w:tc>
          <w:tcPr>
            <w:tcW w:w="120" w:type="dxa"/>
            <w:vAlign w:val="bottom"/>
          </w:tcPr>
          <w:p>
            <w:pPr>
              <w:spacing w:after="0"/>
              <w:rPr>
                <w:sz w:val="18"/>
                <w:szCs w:val="18"/>
                <w:color w:val="auto"/>
              </w:rPr>
            </w:pPr>
          </w:p>
        </w:tc>
      </w:tr>
      <w:tr>
        <w:trPr>
          <w:trHeight w:val="203"/>
        </w:trPr>
        <w:tc>
          <w:tcPr>
            <w:tcW w:w="6240" w:type="dxa"/>
            <w:vAlign w:val="bottom"/>
            <w:shd w:val="clear" w:color="auto" w:fill="E5E5E5"/>
          </w:tcPr>
          <w:p>
            <w:pPr>
              <w:ind w:left="100"/>
              <w:spacing w:after="0" w:line="202" w:lineRule="exact"/>
              <w:rPr>
                <w:sz w:val="20"/>
                <w:szCs w:val="20"/>
                <w:color w:val="auto"/>
              </w:rPr>
            </w:pPr>
            <w:r>
              <w:rPr>
                <w:rFonts w:ascii="Arial" w:cs="Arial" w:eastAsia="Arial" w:hAnsi="Arial"/>
                <w:sz w:val="18"/>
                <w:szCs w:val="18"/>
                <w:color w:val="auto"/>
              </w:rPr>
              <w:t>Fair value adjustments</w:t>
            </w:r>
          </w:p>
        </w:tc>
        <w:tc>
          <w:tcPr>
            <w:tcW w:w="160" w:type="dxa"/>
            <w:vAlign w:val="bottom"/>
            <w:tcBorders>
              <w:bottom w:val="single" w:sz="8" w:color="auto"/>
            </w:tcBorders>
            <w:shd w:val="clear" w:color="auto" w:fill="E5E5E5"/>
          </w:tcPr>
          <w:p>
            <w:pPr>
              <w:spacing w:after="0"/>
              <w:rPr>
                <w:sz w:val="17"/>
                <w:szCs w:val="17"/>
                <w:color w:val="auto"/>
              </w:rPr>
            </w:pPr>
          </w:p>
        </w:tc>
        <w:tc>
          <w:tcPr>
            <w:tcW w:w="340" w:type="dxa"/>
            <w:vAlign w:val="bottom"/>
            <w:tcBorders>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13</w:t>
            </w:r>
          </w:p>
        </w:tc>
        <w:tc>
          <w:tcPr>
            <w:tcW w:w="120" w:type="dxa"/>
            <w:vAlign w:val="bottom"/>
            <w:shd w:val="clear" w:color="auto" w:fill="E5E5E5"/>
          </w:tcPr>
          <w:p>
            <w:pPr>
              <w:spacing w:after="0"/>
              <w:rPr>
                <w:sz w:val="17"/>
                <w:szCs w:val="17"/>
                <w:color w:val="auto"/>
              </w:rPr>
            </w:pPr>
          </w:p>
        </w:tc>
      </w:tr>
      <w:tr>
        <w:trPr>
          <w:trHeight w:val="210"/>
        </w:trPr>
        <w:tc>
          <w:tcPr>
            <w:tcW w:w="6240" w:type="dxa"/>
            <w:vAlign w:val="bottom"/>
          </w:tcPr>
          <w:p>
            <w:pPr>
              <w:ind w:left="100"/>
              <w:spacing w:after="0"/>
              <w:rPr>
                <w:sz w:val="20"/>
                <w:szCs w:val="20"/>
                <w:color w:val="auto"/>
              </w:rPr>
            </w:pPr>
            <w:r>
              <w:rPr>
                <w:rFonts w:ascii="Arial" w:cs="Arial" w:eastAsia="Arial" w:hAnsi="Arial"/>
                <w:sz w:val="18"/>
                <w:szCs w:val="18"/>
                <w:b w:val="1"/>
                <w:bCs w:val="1"/>
                <w:color w:val="auto"/>
              </w:rPr>
              <w:t>Total Debt Assumed But Not Repaid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120" w:type="dxa"/>
            <w:vAlign w:val="bottom"/>
          </w:tcPr>
          <w:p>
            <w:pPr>
              <w:spacing w:after="0"/>
              <w:rPr>
                <w:sz w:val="18"/>
                <w:szCs w:val="18"/>
                <w:color w:val="auto"/>
              </w:rPr>
            </w:pPr>
          </w:p>
        </w:tc>
      </w:tr>
      <w:tr>
        <w:trPr>
          <w:trHeight w:val="20"/>
        </w:trPr>
        <w:tc>
          <w:tcPr>
            <w:tcW w:w="6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7" w:lineRule="exact"/>
        <w:rPr>
          <w:sz w:val="20"/>
          <w:szCs w:val="20"/>
          <w:color w:val="auto"/>
        </w:rPr>
      </w:pPr>
    </w:p>
    <w:p>
      <w:pPr>
        <w:ind w:right="280"/>
        <w:spacing w:after="0" w:line="249" w:lineRule="auto"/>
        <w:rPr>
          <w:sz w:val="20"/>
          <w:szCs w:val="20"/>
          <w:color w:val="auto"/>
        </w:rPr>
      </w:pPr>
      <w:r>
        <w:rPr>
          <w:rFonts w:ascii="Arial" w:cs="Arial" w:eastAsia="Arial" w:hAnsi="Arial"/>
          <w:sz w:val="18"/>
          <w:szCs w:val="18"/>
          <w:b w:val="1"/>
          <w:bCs w:val="1"/>
          <w:color w:val="4C9F40"/>
        </w:rPr>
        <w:t xml:space="preserve">Pension obligations: </w:t>
      </w:r>
      <w:r>
        <w:rPr>
          <w:rFonts w:ascii="Arial" w:cs="Arial" w:eastAsia="Arial" w:hAnsi="Arial"/>
          <w:sz w:val="18"/>
          <w:szCs w:val="18"/>
          <w:color w:val="000000"/>
        </w:rPr>
        <w:t>We assumed several defined benefit pension plans covering the employees of ACS’s human resources consulting and</w:t>
      </w:r>
      <w:r>
        <w:rPr>
          <w:rFonts w:ascii="Arial" w:cs="Arial" w:eastAsia="Arial" w:hAnsi="Arial"/>
          <w:sz w:val="18"/>
          <w:szCs w:val="18"/>
          <w:b w:val="1"/>
          <w:bCs w:val="1"/>
          <w:color w:val="4C9F40"/>
        </w:rPr>
        <w:t xml:space="preserve"> </w:t>
      </w:r>
      <w:r>
        <w:rPr>
          <w:rFonts w:ascii="Arial" w:cs="Arial" w:eastAsia="Arial" w:hAnsi="Arial"/>
          <w:sz w:val="18"/>
          <w:szCs w:val="18"/>
          <w:color w:val="000000"/>
        </w:rPr>
        <w:t>outsourcing business in the U.S., U.K., Germany and Canada. The plans in the U.S. and Canada are both funded and unfunded; the plan in the U.K. is funded; and the plan in Germany is unfunded.</w:t>
      </w:r>
    </w:p>
    <w:p>
      <w:pPr>
        <w:spacing w:after="0" w:line="148"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The following is a summary of the funded position of the assumed ACS plans as of the acquisition date, as well as associated weighted-average assumptions used to determine benefit obligations: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000" w:type="dxa"/>
            <w:vAlign w:val="bottom"/>
            <w:gridSpan w:val="4"/>
          </w:tcPr>
          <w:p>
            <w:pPr>
              <w:jc w:val="center"/>
              <w:ind w:right="100"/>
              <w:spacing w:after="0"/>
              <w:rPr>
                <w:sz w:val="20"/>
                <w:szCs w:val="20"/>
                <w:color w:val="auto"/>
              </w:rPr>
            </w:pPr>
            <w:r>
              <w:rPr>
                <w:rFonts w:ascii="Arial" w:cs="Arial" w:eastAsia="Arial" w:hAnsi="Arial"/>
                <w:sz w:val="14"/>
                <w:szCs w:val="14"/>
                <w:color w:val="auto"/>
                <w:w w:val="95"/>
              </w:rPr>
              <w:t>Estimated Fair</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880" w:type="dxa"/>
            <w:vAlign w:val="bottom"/>
            <w:tcBorders>
              <w:bottom w:val="single" w:sz="8" w:color="auto"/>
            </w:tcBorders>
            <w:gridSpan w:val="3"/>
          </w:tcPr>
          <w:p>
            <w:pPr>
              <w:jc w:val="center"/>
              <w:spacing w:after="0" w:line="149" w:lineRule="exact"/>
              <w:rPr>
                <w:sz w:val="20"/>
                <w:szCs w:val="20"/>
                <w:color w:val="auto"/>
              </w:rPr>
            </w:pPr>
            <w:r>
              <w:rPr>
                <w:rFonts w:ascii="Arial" w:cs="Arial" w:eastAsia="Arial" w:hAnsi="Arial"/>
                <w:sz w:val="14"/>
                <w:szCs w:val="14"/>
                <w:color w:val="auto"/>
                <w:w w:val="94"/>
              </w:rPr>
              <w:t>Value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280" w:type="dxa"/>
            <w:vAlign w:val="bottom"/>
            <w:shd w:val="clear" w:color="auto" w:fill="E5E5E5"/>
          </w:tcPr>
          <w:p>
            <w:pPr>
              <w:ind w:left="100"/>
              <w:spacing w:after="0" w:line="196" w:lineRule="exact"/>
              <w:rPr>
                <w:sz w:val="20"/>
                <w:szCs w:val="20"/>
                <w:color w:val="auto"/>
              </w:rPr>
            </w:pPr>
            <w:r>
              <w:rPr>
                <w:rFonts w:ascii="Arial" w:cs="Arial" w:eastAsia="Arial" w:hAnsi="Arial"/>
                <w:sz w:val="18"/>
                <w:szCs w:val="18"/>
                <w:color w:val="auto"/>
              </w:rPr>
              <w:t>Projected benefit obligation</w:t>
            </w:r>
          </w:p>
        </w:tc>
        <w:tc>
          <w:tcPr>
            <w:tcW w:w="420" w:type="dxa"/>
            <w:vAlign w:val="bottom"/>
            <w:shd w:val="clear" w:color="auto" w:fill="E5E5E5"/>
          </w:tcPr>
          <w:p>
            <w:pPr>
              <w:jc w:val="right"/>
              <w:ind w:right="239"/>
              <w:spacing w:after="0" w:line="196" w:lineRule="exact"/>
              <w:rPr>
                <w:sz w:val="20"/>
                <w:szCs w:val="20"/>
                <w:color w:val="auto"/>
              </w:rPr>
            </w:pPr>
            <w:r>
              <w:rPr>
                <w:rFonts w:ascii="Arial" w:cs="Arial" w:eastAsia="Arial" w:hAnsi="Arial"/>
                <w:sz w:val="18"/>
                <w:szCs w:val="18"/>
                <w:color w:val="auto"/>
                <w:w w:val="79"/>
              </w:rPr>
              <w:t>$</w:t>
            </w:r>
          </w:p>
        </w:tc>
        <w:tc>
          <w:tcPr>
            <w:tcW w:w="140" w:type="dxa"/>
            <w:vAlign w:val="bottom"/>
            <w:shd w:val="clear" w:color="auto" w:fill="E5E5E5"/>
          </w:tcPr>
          <w:p>
            <w:pPr>
              <w:spacing w:after="0"/>
              <w:rPr>
                <w:sz w:val="17"/>
                <w:szCs w:val="17"/>
                <w:color w:val="auto"/>
              </w:rPr>
            </w:pPr>
          </w:p>
        </w:tc>
        <w:tc>
          <w:tcPr>
            <w:tcW w:w="440" w:type="dxa"/>
            <w:vAlign w:val="bottom"/>
            <w:gridSpan w:val="2"/>
            <w:shd w:val="clear" w:color="auto" w:fill="E5E5E5"/>
          </w:tcPr>
          <w:p>
            <w:pPr>
              <w:jc w:val="right"/>
              <w:ind w:right="120"/>
              <w:spacing w:after="0" w:line="196" w:lineRule="exact"/>
              <w:rPr>
                <w:sz w:val="20"/>
                <w:szCs w:val="20"/>
                <w:color w:val="auto"/>
              </w:rPr>
            </w:pPr>
            <w:r>
              <w:rPr>
                <w:rFonts w:ascii="Arial" w:cs="Arial" w:eastAsia="Arial" w:hAnsi="Arial"/>
                <w:sz w:val="18"/>
                <w:szCs w:val="18"/>
                <w:color w:val="auto"/>
                <w:w w:val="99"/>
              </w:rPr>
              <w:t>142</w:t>
            </w:r>
          </w:p>
        </w:tc>
        <w:tc>
          <w:tcPr>
            <w:tcW w:w="0" w:type="dxa"/>
            <w:vAlign w:val="bottom"/>
          </w:tcPr>
          <w:p>
            <w:pPr>
              <w:spacing w:after="0"/>
              <w:rPr>
                <w:sz w:val="1"/>
                <w:szCs w:val="1"/>
                <w:color w:val="auto"/>
              </w:rPr>
            </w:pPr>
          </w:p>
        </w:tc>
      </w:tr>
      <w:tr>
        <w:trPr>
          <w:trHeight w:val="210"/>
        </w:trPr>
        <w:tc>
          <w:tcPr>
            <w:tcW w:w="5280" w:type="dxa"/>
            <w:vAlign w:val="bottom"/>
          </w:tcPr>
          <w:p>
            <w:pPr>
              <w:ind w:left="100"/>
              <w:spacing w:after="0" w:line="202" w:lineRule="exact"/>
              <w:rPr>
                <w:sz w:val="20"/>
                <w:szCs w:val="20"/>
                <w:color w:val="auto"/>
              </w:rPr>
            </w:pPr>
            <w:r>
              <w:rPr>
                <w:rFonts w:ascii="Arial" w:cs="Arial" w:eastAsia="Arial" w:hAnsi="Arial"/>
                <w:sz w:val="18"/>
                <w:szCs w:val="18"/>
                <w:color w:val="auto"/>
              </w:rPr>
              <w:t>Fair value of plan assets</w:t>
            </w:r>
          </w:p>
        </w:tc>
        <w:tc>
          <w:tcPr>
            <w:tcW w:w="4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9"/>
              </w:rPr>
              <w:t>111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280" w:type="dxa"/>
            <w:vAlign w:val="bottom"/>
            <w:shd w:val="clear" w:color="auto" w:fill="E5E5E5"/>
          </w:tcPr>
          <w:p>
            <w:pPr>
              <w:ind w:left="100"/>
              <w:spacing w:after="0" w:line="202" w:lineRule="exact"/>
              <w:rPr>
                <w:sz w:val="20"/>
                <w:szCs w:val="20"/>
                <w:color w:val="auto"/>
              </w:rPr>
            </w:pPr>
            <w:r>
              <w:rPr>
                <w:rFonts w:ascii="Arial" w:cs="Arial" w:eastAsia="Arial" w:hAnsi="Arial"/>
                <w:sz w:val="18"/>
                <w:szCs w:val="18"/>
                <w:b w:val="1"/>
                <w:bCs w:val="1"/>
                <w:color w:val="auto"/>
              </w:rPr>
              <w:t>Net Unfunded Status</w:t>
            </w:r>
          </w:p>
        </w:tc>
        <w:tc>
          <w:tcPr>
            <w:tcW w:w="420" w:type="dxa"/>
            <w:vAlign w:val="bottom"/>
            <w:shd w:val="clear" w:color="auto" w:fill="E5E5E5"/>
          </w:tcPr>
          <w:p>
            <w:pPr>
              <w:jc w:val="right"/>
              <w:ind w:right="239"/>
              <w:spacing w:after="0" w:line="202" w:lineRule="exact"/>
              <w:rPr>
                <w:sz w:val="20"/>
                <w:szCs w:val="20"/>
                <w:color w:val="auto"/>
              </w:rPr>
            </w:pPr>
            <w:r>
              <w:rPr>
                <w:rFonts w:ascii="Arial" w:cs="Arial" w:eastAsia="Arial" w:hAnsi="Arial"/>
                <w:sz w:val="18"/>
                <w:szCs w:val="18"/>
                <w:color w:val="auto"/>
                <w:w w:val="79"/>
              </w:rPr>
              <w:t>$</w:t>
            </w:r>
          </w:p>
        </w:tc>
        <w:tc>
          <w:tcPr>
            <w:tcW w:w="140" w:type="dxa"/>
            <w:vAlign w:val="bottom"/>
            <w:shd w:val="clear" w:color="auto" w:fill="E5E5E5"/>
          </w:tcPr>
          <w:p>
            <w:pPr>
              <w:spacing w:after="0"/>
              <w:rPr>
                <w:sz w:val="17"/>
                <w:szCs w:val="17"/>
                <w:color w:val="auto"/>
              </w:rPr>
            </w:pPr>
          </w:p>
        </w:tc>
        <w:tc>
          <w:tcPr>
            <w:tcW w:w="44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Amounts recognized in the Consolidated Balance Sheets:</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528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280" w:type="dxa"/>
            <w:vAlign w:val="bottom"/>
            <w:shd w:val="clear" w:color="auto" w:fill="E5E5E5"/>
          </w:tcPr>
          <w:p>
            <w:pPr>
              <w:ind w:left="100"/>
              <w:spacing w:after="0" w:line="202" w:lineRule="exact"/>
              <w:rPr>
                <w:sz w:val="20"/>
                <w:szCs w:val="20"/>
                <w:color w:val="auto"/>
              </w:rPr>
            </w:pPr>
            <w:r>
              <w:rPr>
                <w:rFonts w:ascii="Arial" w:cs="Arial" w:eastAsia="Arial" w:hAnsi="Arial"/>
                <w:sz w:val="18"/>
                <w:szCs w:val="18"/>
                <w:color w:val="auto"/>
              </w:rPr>
              <w:t>Other long-term assets</w:t>
            </w:r>
          </w:p>
        </w:tc>
        <w:tc>
          <w:tcPr>
            <w:tcW w:w="560" w:type="dxa"/>
            <w:vAlign w:val="bottom"/>
            <w:gridSpan w:val="2"/>
            <w:shd w:val="clear" w:color="auto" w:fill="E5E5E5"/>
          </w:tcPr>
          <w:p>
            <w:pPr>
              <w:jc w:val="center"/>
              <w:ind w:left="299"/>
              <w:spacing w:after="0" w:line="202" w:lineRule="exact"/>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5280" w:type="dxa"/>
            <w:vAlign w:val="bottom"/>
          </w:tcPr>
          <w:p>
            <w:pPr>
              <w:ind w:left="100"/>
              <w:spacing w:after="0" w:line="202" w:lineRule="exact"/>
              <w:rPr>
                <w:sz w:val="20"/>
                <w:szCs w:val="20"/>
                <w:color w:val="auto"/>
              </w:rPr>
            </w:pPr>
            <w:r>
              <w:rPr>
                <w:rFonts w:ascii="Arial" w:cs="Arial" w:eastAsia="Arial" w:hAnsi="Arial"/>
                <w:sz w:val="18"/>
                <w:szCs w:val="18"/>
                <w:color w:val="auto"/>
              </w:rPr>
              <w:t>Pension liabilities</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280" w:type="dxa"/>
            <w:vAlign w:val="bottom"/>
            <w:shd w:val="clear" w:color="auto" w:fill="E5E5E5"/>
          </w:tcPr>
          <w:p>
            <w:pPr>
              <w:ind w:left="100"/>
              <w:spacing w:after="0" w:line="202" w:lineRule="exact"/>
              <w:rPr>
                <w:sz w:val="20"/>
                <w:szCs w:val="20"/>
                <w:color w:val="auto"/>
              </w:rPr>
            </w:pPr>
            <w:r>
              <w:rPr>
                <w:rFonts w:ascii="Arial" w:cs="Arial" w:eastAsia="Arial" w:hAnsi="Arial"/>
                <w:sz w:val="18"/>
                <w:szCs w:val="18"/>
                <w:b w:val="1"/>
                <w:bCs w:val="1"/>
                <w:color w:val="auto"/>
              </w:rPr>
              <w:t>Net Amount Recognized</w:t>
            </w:r>
          </w:p>
        </w:tc>
        <w:tc>
          <w:tcPr>
            <w:tcW w:w="560" w:type="dxa"/>
            <w:vAlign w:val="bottom"/>
            <w:gridSpan w:val="2"/>
            <w:shd w:val="clear" w:color="auto" w:fill="E5E5E5"/>
          </w:tcPr>
          <w:p>
            <w:pPr>
              <w:jc w:val="center"/>
              <w:ind w:left="299"/>
              <w:spacing w:after="0" w:line="202" w:lineRule="exact"/>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Weighted average assumption used to determine benefit obligations at the acquisition date and net periodic benefit cost from the acquisition date through December 31, 2010:</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40" w:type="dxa"/>
            <w:vAlign w:val="bottom"/>
            <w:shd w:val="clear" w:color="auto" w:fill="E5E5E5"/>
          </w:tcPr>
          <w:p>
            <w:pPr>
              <w:ind w:left="100"/>
              <w:spacing w:after="0"/>
              <w:rPr>
                <w:sz w:val="20"/>
                <w:szCs w:val="20"/>
                <w:color w:val="auto"/>
              </w:rPr>
            </w:pPr>
            <w:r>
              <w:rPr>
                <w:rFonts w:ascii="Arial" w:cs="Arial" w:eastAsia="Arial" w:hAnsi="Arial"/>
                <w:sz w:val="18"/>
                <w:szCs w:val="18"/>
                <w:color w:val="auto"/>
              </w:rPr>
              <w:t>Discount rate</w:t>
            </w:r>
          </w:p>
        </w:tc>
        <w:tc>
          <w:tcPr>
            <w:tcW w:w="1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5.7%</w:t>
            </w:r>
          </w:p>
        </w:tc>
      </w:tr>
      <w:tr>
        <w:trPr>
          <w:trHeight w:val="203"/>
        </w:trPr>
        <w:tc>
          <w:tcPr>
            <w:tcW w:w="4440" w:type="dxa"/>
            <w:vAlign w:val="bottom"/>
          </w:tcPr>
          <w:p>
            <w:pPr>
              <w:ind w:left="100"/>
              <w:spacing w:after="0" w:line="202" w:lineRule="exact"/>
              <w:rPr>
                <w:sz w:val="20"/>
                <w:szCs w:val="20"/>
                <w:color w:val="auto"/>
              </w:rPr>
            </w:pPr>
            <w:r>
              <w:rPr>
                <w:rFonts w:ascii="Arial" w:cs="Arial" w:eastAsia="Arial" w:hAnsi="Arial"/>
                <w:sz w:val="18"/>
                <w:szCs w:val="18"/>
                <w:color w:val="auto"/>
              </w:rPr>
              <w:t>Expected rate of return on plan assets</w:t>
            </w: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6.9%</w:t>
            </w:r>
          </w:p>
        </w:tc>
      </w:tr>
      <w:tr>
        <w:trPr>
          <w:trHeight w:val="203"/>
        </w:trPr>
        <w:tc>
          <w:tcPr>
            <w:tcW w:w="4440" w:type="dxa"/>
            <w:vAlign w:val="bottom"/>
            <w:shd w:val="clear" w:color="auto" w:fill="E5E5E5"/>
          </w:tcPr>
          <w:p>
            <w:pPr>
              <w:ind w:left="100"/>
              <w:spacing w:after="0" w:line="202" w:lineRule="exact"/>
              <w:rPr>
                <w:sz w:val="20"/>
                <w:szCs w:val="20"/>
                <w:color w:val="auto"/>
              </w:rPr>
            </w:pPr>
            <w:r>
              <w:rPr>
                <w:rFonts w:ascii="Arial" w:cs="Arial" w:eastAsia="Arial" w:hAnsi="Arial"/>
                <w:sz w:val="18"/>
                <w:szCs w:val="18"/>
                <w:color w:val="auto"/>
              </w:rPr>
              <w:t>Rate of compensation increase</w:t>
            </w:r>
          </w:p>
        </w:tc>
        <w:tc>
          <w:tcPr>
            <w:tcW w:w="18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3.9%</w:t>
            </w:r>
          </w:p>
        </w:tc>
      </w:tr>
    </w:tbl>
    <w:p>
      <w:pPr>
        <w:spacing w:after="0" w:line="143" w:lineRule="exact"/>
        <w:rPr>
          <w:sz w:val="20"/>
          <w:szCs w:val="20"/>
          <w:color w:val="auto"/>
        </w:rPr>
      </w:pPr>
    </w:p>
    <w:p>
      <w:pPr>
        <w:ind w:right="120"/>
        <w:spacing w:after="0" w:line="249" w:lineRule="auto"/>
        <w:rPr>
          <w:sz w:val="20"/>
          <w:szCs w:val="20"/>
          <w:color w:val="auto"/>
        </w:rPr>
      </w:pPr>
      <w:r>
        <w:rPr>
          <w:rFonts w:ascii="Arial" w:cs="Arial" w:eastAsia="Arial" w:hAnsi="Arial"/>
          <w:sz w:val="18"/>
          <w:szCs w:val="18"/>
          <w:b w:val="1"/>
          <w:bCs w:val="1"/>
          <w:color w:val="4C9F40"/>
        </w:rPr>
        <w:t xml:space="preserve">Change-in-control liabilities: </w:t>
      </w:r>
      <w:r>
        <w:rPr>
          <w:rFonts w:ascii="Arial" w:cs="Arial" w:eastAsia="Arial" w:hAnsi="Arial"/>
          <w:sz w:val="18"/>
          <w:szCs w:val="18"/>
          <w:color w:val="000000"/>
        </w:rPr>
        <w:t>We assumed liabilities due under contractual change-in-control provisions in employment agreements of certain</w:t>
      </w:r>
      <w:r>
        <w:rPr>
          <w:rFonts w:ascii="Arial" w:cs="Arial" w:eastAsia="Arial" w:hAnsi="Arial"/>
          <w:sz w:val="18"/>
          <w:szCs w:val="18"/>
          <w:b w:val="1"/>
          <w:bCs w:val="1"/>
          <w:color w:val="4C9F40"/>
        </w:rPr>
        <w:t xml:space="preserve"> </w:t>
      </w:r>
      <w:r>
        <w:rPr>
          <w:rFonts w:ascii="Arial" w:cs="Arial" w:eastAsia="Arial" w:hAnsi="Arial"/>
          <w:sz w:val="18"/>
          <w:szCs w:val="18"/>
          <w:color w:val="000000"/>
        </w:rPr>
        <w:t>ACS employees and its Chairman of approximately $95 ($15 current; $80 non-current). The liabilities include accruals for related excise and other taxes we are obligated to pay on these obligations.</w:t>
      </w:r>
    </w:p>
    <w:p>
      <w:pPr>
        <w:spacing w:after="0" w:line="126" w:lineRule="exact"/>
        <w:rPr>
          <w:sz w:val="20"/>
          <w:szCs w:val="20"/>
          <w:color w:val="auto"/>
        </w:rPr>
      </w:pPr>
    </w:p>
    <w:p>
      <w:pPr>
        <w:spacing w:after="0" w:line="239" w:lineRule="auto"/>
        <w:rPr>
          <w:sz w:val="20"/>
          <w:szCs w:val="20"/>
          <w:color w:val="auto"/>
        </w:rPr>
      </w:pPr>
      <w:r>
        <w:rPr>
          <w:rFonts w:ascii="Arial" w:cs="Arial" w:eastAsia="Arial" w:hAnsi="Arial"/>
          <w:sz w:val="18"/>
          <w:szCs w:val="18"/>
          <w:b w:val="1"/>
          <w:bCs w:val="1"/>
          <w:color w:val="4C9F40"/>
        </w:rPr>
        <w:t xml:space="preserve">Contingent consideration: </w:t>
      </w:r>
      <w:r>
        <w:rPr>
          <w:rFonts w:ascii="Arial" w:cs="Arial" w:eastAsia="Arial" w:hAnsi="Arial"/>
          <w:sz w:val="18"/>
          <w:szCs w:val="18"/>
          <w:color w:val="000000"/>
        </w:rPr>
        <w:t>Although there is no contingent consideration associated with our acquisition of ACS, ACS is obligated to make</w:t>
      </w:r>
      <w:r>
        <w:rPr>
          <w:rFonts w:ascii="Arial" w:cs="Arial" w:eastAsia="Arial" w:hAnsi="Arial"/>
          <w:sz w:val="18"/>
          <w:szCs w:val="18"/>
          <w:b w:val="1"/>
          <w:bCs w:val="1"/>
          <w:color w:val="4C9F40"/>
        </w:rPr>
        <w:t xml:space="preserve"> </w:t>
      </w:r>
      <w:r>
        <w:rPr>
          <w:rFonts w:ascii="Arial" w:cs="Arial" w:eastAsia="Arial" w:hAnsi="Arial"/>
          <w:sz w:val="18"/>
          <w:szCs w:val="18"/>
          <w:color w:val="000000"/>
        </w:rPr>
        <w:t>contingent payments in connection with prior acquisitions upon satisfaction of certain contractual criteria. Contingent consideration obligations must be recorded at their respective fair value. As of the acquisition date, the maximum aggregate amount of ACS’s outstanding contingent obligations to former shareholders of acquired entities was approximately $46, of which $11 was recorded representing the estimated fair value of this obligation. We made contingent payments of $8 in 2010 which are reflected within investing activities in the Consolidated Statements of Cash Flows. As of December 31, 2010, the maximum aggregate amount of the outstanding contingent obligations to former shareholders of acquired entities was approximately $5.</w:t>
      </w:r>
    </w:p>
    <w:p>
      <w:pPr>
        <w:spacing w:after="0" w:line="142" w:lineRule="exact"/>
        <w:rPr>
          <w:sz w:val="20"/>
          <w:szCs w:val="20"/>
          <w:color w:val="auto"/>
        </w:rPr>
      </w:pPr>
    </w:p>
    <w:p>
      <w:pPr>
        <w:jc w:val="right"/>
        <w:spacing w:after="0"/>
        <w:rPr>
          <w:sz w:val="20"/>
          <w:szCs w:val="20"/>
          <w:color w:val="auto"/>
        </w:rPr>
      </w:pPr>
      <w:r>
        <w:rPr>
          <w:rFonts w:ascii="Arial" w:cs="Arial" w:eastAsia="Arial" w:hAnsi="Arial"/>
          <w:sz w:val="14"/>
          <w:szCs w:val="14"/>
          <w:color w:val="4C9F40"/>
        </w:rPr>
        <w:t>Xerox 2010 Annual Report 56</w:t>
      </w:r>
    </w:p>
    <w:p>
      <w:pPr>
        <w:sectPr>
          <w:pgSz w:w="11900" w:h="16838" w:orient="portrait"/>
          <w:cols w:equalWidth="0" w:num="1">
            <w:col w:w="11420"/>
          </w:cols>
          <w:pgMar w:left="240" w:top="323" w:right="239" w:bottom="1440" w:gutter="0" w:footer="0" w:header="0"/>
        </w:sectPr>
      </w:pPr>
    </w:p>
    <w:bookmarkStart w:id="133" w:name="page134"/>
    <w:bookmarkEnd w:id="133"/>
    <w:p>
      <w:pPr>
        <w:ind w:right="20"/>
        <w:spacing w:after="0" w:line="249" w:lineRule="auto"/>
        <w:rPr>
          <w:sz w:val="20"/>
          <w:szCs w:val="20"/>
          <w:color w:val="auto"/>
        </w:rPr>
      </w:pPr>
      <w:r>
        <w:rPr>
          <w:rFonts w:ascii="Arial" w:cs="Arial" w:eastAsia="Arial" w:hAnsi="Arial"/>
          <w:sz w:val="18"/>
          <w:szCs w:val="18"/>
          <w:b w:val="1"/>
          <w:bCs w:val="1"/>
          <w:color w:val="4C9F40"/>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Goodwill: </w:t>
      </w:r>
      <w:r>
        <w:rPr>
          <w:rFonts w:ascii="Arial" w:cs="Arial" w:eastAsia="Arial" w:hAnsi="Arial"/>
          <w:sz w:val="18"/>
          <w:szCs w:val="18"/>
          <w:color w:val="000000"/>
        </w:rPr>
        <w:t>Goodwill in the amount of $5.1 billion was recognized for this acquisition and is calculated as the excess of the consideration transferred</w:t>
      </w:r>
      <w:r>
        <w:rPr>
          <w:rFonts w:ascii="Arial" w:cs="Arial" w:eastAsia="Arial" w:hAnsi="Arial"/>
          <w:sz w:val="18"/>
          <w:szCs w:val="18"/>
          <w:b w:val="1"/>
          <w:bCs w:val="1"/>
          <w:color w:val="4C9F40"/>
        </w:rPr>
        <w:t xml:space="preserve"> </w:t>
      </w:r>
      <w:r>
        <w:rPr>
          <w:rFonts w:ascii="Arial" w:cs="Arial" w:eastAsia="Arial" w:hAnsi="Arial"/>
          <w:sz w:val="18"/>
          <w:szCs w:val="18"/>
          <w:color w:val="000000"/>
        </w:rPr>
        <w:t>over the net assets recognized and represents the future economic benefits arising from other assets acquired that could not be individually identified and separately recognized. Specifically, the goodwill recorded as part of the acquisition of ACS includes:</w:t>
      </w:r>
    </w:p>
    <w:p>
      <w:pPr>
        <w:spacing w:after="0" w:line="184" w:lineRule="exact"/>
        <w:rPr>
          <w:sz w:val="20"/>
          <w:szCs w:val="20"/>
          <w:color w:val="auto"/>
        </w:rPr>
      </w:pPr>
    </w:p>
    <w:p>
      <w:pPr>
        <w:ind w:left="340" w:hanging="332"/>
        <w:spacing w:after="0"/>
        <w:tabs>
          <w:tab w:leader="none" w:pos="3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expected synergies and other benefits that we believe will result from combining the operations of ACS with the operations of Xerox;</w:t>
      </w:r>
    </w:p>
    <w:p>
      <w:pPr>
        <w:ind w:left="340" w:hanging="332"/>
        <w:spacing w:after="0" w:line="234" w:lineRule="auto"/>
        <w:tabs>
          <w:tab w:leader="none" w:pos="3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any intangible assets that do not qualify for separate recognition such as the assembled workforce; and</w:t>
      </w:r>
    </w:p>
    <w:p>
      <w:pPr>
        <w:ind w:left="340" w:right="560" w:hanging="332"/>
        <w:spacing w:after="0" w:line="239" w:lineRule="auto"/>
        <w:tabs>
          <w:tab w:leader="none" w:pos="3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value of the going-concern element of ACS’s existing businesses (the higher rate of return on the assembled collection of net assets versus acquiring all of the net assets separately).</w:t>
      </w:r>
    </w:p>
    <w:p>
      <w:pPr>
        <w:spacing w:after="0" w:line="155"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Goodwill of $2.3 billion is deductible for tax purposes as a result of previous taxable acquisitions made by ACS. While the allocation of goodwill among reporting units is not complete, we expect the majority of the goodwill will be related to our Services segment.</w:t>
      </w:r>
    </w:p>
    <w:p>
      <w:pPr>
        <w:spacing w:after="0" w:line="133"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b w:val="1"/>
          <w:bCs w:val="1"/>
          <w:color w:val="4C9F40"/>
        </w:rPr>
        <w:t xml:space="preserve">Pro-forma impact of the acquisition: </w:t>
      </w:r>
      <w:r>
        <w:rPr>
          <w:rFonts w:ascii="Arial" w:cs="Arial" w:eastAsia="Arial" w:hAnsi="Arial"/>
          <w:sz w:val="18"/>
          <w:szCs w:val="18"/>
          <w:color w:val="000000"/>
        </w:rPr>
        <w:t>The unaudited pro-forma results presented below include the effects of the ACS acquisition as if it had</w:t>
      </w:r>
      <w:r>
        <w:rPr>
          <w:rFonts w:ascii="Arial" w:cs="Arial" w:eastAsia="Arial" w:hAnsi="Arial"/>
          <w:sz w:val="18"/>
          <w:szCs w:val="18"/>
          <w:b w:val="1"/>
          <w:bCs w:val="1"/>
          <w:color w:val="4C9F40"/>
        </w:rPr>
        <w:t xml:space="preserve"> </w:t>
      </w:r>
      <w:r>
        <w:rPr>
          <w:rFonts w:ascii="Arial" w:cs="Arial" w:eastAsia="Arial" w:hAnsi="Arial"/>
          <w:sz w:val="18"/>
          <w:szCs w:val="18"/>
          <w:color w:val="000000"/>
        </w:rPr>
        <w:t>been consummated as of January 1, 2010 and 2009. The pro-forma results include the amortization associated with an estimate for the acquired intangible assets and interest expense associated with debt used to fund the acquisition, as well as fair value adjustments for unearned revenue, software and land, buildings and equipment. To better reflect the combined operating results, material non-recurring charges directly attributable to the transaction have been excluded. In addition, the pro-forma results do not include any anticipated synergies or other expected benefits of the acquisition. Accordingly, the unaudited pro-forma financial information below is not necessarily indicative of future results of operations or results that might have been achieved had the acquisition been consummated as of January 1, 2010 or 2009.</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7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color w:val="auto"/>
              </w:rPr>
              <w:t>2010</w:t>
            </w:r>
          </w:p>
        </w:tc>
        <w:tc>
          <w:tcPr>
            <w:tcW w:w="220" w:type="dxa"/>
            <w:vAlign w:val="bottom"/>
          </w:tcPr>
          <w:p>
            <w:pPr>
              <w:spacing w:after="0"/>
              <w:rPr>
                <w:sz w:val="14"/>
                <w:szCs w:val="14"/>
                <w:color w:val="auto"/>
              </w:rPr>
            </w:pPr>
          </w:p>
        </w:tc>
        <w:tc>
          <w:tcPr>
            <w:tcW w:w="7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color w:val="auto"/>
              </w:rPr>
              <w:t>2009</w:t>
            </w:r>
          </w:p>
        </w:tc>
        <w:tc>
          <w:tcPr>
            <w:tcW w:w="120" w:type="dxa"/>
            <w:vAlign w:val="bottom"/>
          </w:tcPr>
          <w:p>
            <w:pPr>
              <w:spacing w:after="0"/>
              <w:rPr>
                <w:sz w:val="14"/>
                <w:szCs w:val="14"/>
                <w:color w:val="auto"/>
              </w:rPr>
            </w:pPr>
          </w:p>
        </w:tc>
      </w:tr>
      <w:tr>
        <w:trPr>
          <w:trHeight w:val="196"/>
        </w:trPr>
        <w:tc>
          <w:tcPr>
            <w:tcW w:w="5040" w:type="dxa"/>
            <w:vAlign w:val="bottom"/>
            <w:shd w:val="clear" w:color="auto" w:fill="E5E5E5"/>
          </w:tcPr>
          <w:p>
            <w:pPr>
              <w:spacing w:after="0" w:line="196" w:lineRule="exact"/>
              <w:rPr>
                <w:sz w:val="20"/>
                <w:szCs w:val="20"/>
                <w:color w:val="auto"/>
              </w:rPr>
            </w:pPr>
            <w:r>
              <w:rPr>
                <w:rFonts w:ascii="Arial" w:cs="Arial" w:eastAsia="Arial" w:hAnsi="Arial"/>
                <w:sz w:val="18"/>
                <w:szCs w:val="18"/>
                <w:color w:val="auto"/>
              </w:rPr>
              <w:t>Revenue</w:t>
            </w:r>
          </w:p>
        </w:tc>
        <w:tc>
          <w:tcPr>
            <w:tcW w:w="960" w:type="dxa"/>
            <w:vAlign w:val="bottom"/>
            <w:gridSpan w:val="2"/>
            <w:shd w:val="clear" w:color="auto" w:fill="E5E5E5"/>
          </w:tcPr>
          <w:p>
            <w:pPr>
              <w:jc w:val="right"/>
              <w:ind w:right="220"/>
              <w:spacing w:after="0" w:line="196" w:lineRule="exact"/>
              <w:rPr>
                <w:sz w:val="20"/>
                <w:szCs w:val="20"/>
                <w:color w:val="auto"/>
              </w:rPr>
            </w:pPr>
            <w:r>
              <w:rPr>
                <w:rFonts w:ascii="Arial" w:cs="Arial" w:eastAsia="Arial" w:hAnsi="Arial"/>
                <w:sz w:val="18"/>
                <w:szCs w:val="18"/>
                <w:color w:val="auto"/>
              </w:rPr>
              <w:t>$ 22,252</w:t>
            </w:r>
          </w:p>
        </w:tc>
        <w:tc>
          <w:tcPr>
            <w:tcW w:w="860" w:type="dxa"/>
            <w:vAlign w:val="bottom"/>
            <w:gridSpan w:val="2"/>
            <w:shd w:val="clear" w:color="auto" w:fill="E5E5E5"/>
          </w:tcPr>
          <w:p>
            <w:pPr>
              <w:jc w:val="right"/>
              <w:ind w:right="120"/>
              <w:spacing w:after="0" w:line="196" w:lineRule="exact"/>
              <w:rPr>
                <w:sz w:val="20"/>
                <w:szCs w:val="20"/>
                <w:color w:val="auto"/>
              </w:rPr>
            </w:pPr>
            <w:r>
              <w:rPr>
                <w:rFonts w:ascii="Arial" w:cs="Arial" w:eastAsia="Arial" w:hAnsi="Arial"/>
                <w:sz w:val="18"/>
                <w:szCs w:val="18"/>
                <w:color w:val="auto"/>
              </w:rPr>
              <w:t>$ 21,781</w:t>
            </w:r>
          </w:p>
        </w:tc>
      </w:tr>
      <w:tr>
        <w:trPr>
          <w:trHeight w:val="203"/>
        </w:trPr>
        <w:tc>
          <w:tcPr>
            <w:tcW w:w="5040" w:type="dxa"/>
            <w:vAlign w:val="bottom"/>
          </w:tcPr>
          <w:p>
            <w:pPr>
              <w:spacing w:after="0" w:line="202" w:lineRule="exact"/>
              <w:rPr>
                <w:sz w:val="20"/>
                <w:szCs w:val="20"/>
                <w:color w:val="auto"/>
              </w:rPr>
            </w:pPr>
            <w:r>
              <w:rPr>
                <w:rFonts w:ascii="Arial" w:cs="Arial" w:eastAsia="Arial" w:hAnsi="Arial"/>
                <w:sz w:val="18"/>
                <w:szCs w:val="18"/>
                <w:color w:val="auto"/>
              </w:rPr>
              <w:t>Net income – Xerox</w:t>
            </w:r>
          </w:p>
        </w:tc>
        <w:tc>
          <w:tcPr>
            <w:tcW w:w="9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592</w:t>
            </w: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795</w:t>
            </w:r>
          </w:p>
        </w:tc>
      </w:tr>
      <w:tr>
        <w:trPr>
          <w:trHeight w:val="203"/>
        </w:trPr>
        <w:tc>
          <w:tcPr>
            <w:tcW w:w="50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Basic earnings per-share</w:t>
            </w:r>
          </w:p>
        </w:tc>
        <w:tc>
          <w:tcPr>
            <w:tcW w:w="96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0.41</w:t>
            </w:r>
          </w:p>
        </w:tc>
        <w:tc>
          <w:tcPr>
            <w:tcW w:w="86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0.57</w:t>
            </w:r>
          </w:p>
        </w:tc>
      </w:tr>
      <w:tr>
        <w:trPr>
          <w:trHeight w:val="214"/>
        </w:trPr>
        <w:tc>
          <w:tcPr>
            <w:tcW w:w="5040" w:type="dxa"/>
            <w:vAlign w:val="bottom"/>
          </w:tcPr>
          <w:p>
            <w:pPr>
              <w:spacing w:after="0"/>
              <w:rPr>
                <w:sz w:val="20"/>
                <w:szCs w:val="20"/>
                <w:color w:val="auto"/>
              </w:rPr>
            </w:pPr>
            <w:r>
              <w:rPr>
                <w:rFonts w:ascii="Arial" w:cs="Arial" w:eastAsia="Arial" w:hAnsi="Arial"/>
                <w:sz w:val="18"/>
                <w:szCs w:val="18"/>
                <w:color w:val="auto"/>
              </w:rPr>
              <w:t>Diluted earnings per-share</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0.41</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0.56</w:t>
            </w:r>
          </w:p>
        </w:tc>
      </w:tr>
    </w:tbl>
    <w:p>
      <w:pPr>
        <w:spacing w:after="0" w:line="13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color w:val="4C9F40"/>
        </w:rPr>
        <w:t xml:space="preserve">Note: </w:t>
      </w:r>
      <w:r>
        <w:rPr>
          <w:rFonts w:ascii="Arial" w:cs="Arial" w:eastAsia="Arial" w:hAnsi="Arial"/>
          <w:sz w:val="18"/>
          <w:szCs w:val="18"/>
          <w:color w:val="000000"/>
        </w:rPr>
        <w:t>The pro-forma information presented above is on a different basis than the pro-forma information provided in Management’s Discussion and</w:t>
      </w:r>
      <w:r>
        <w:rPr>
          <w:rFonts w:ascii="Arial" w:cs="Arial" w:eastAsia="Arial" w:hAnsi="Arial"/>
          <w:sz w:val="18"/>
          <w:szCs w:val="18"/>
          <w:b w:val="1"/>
          <w:bCs w:val="1"/>
          <w:color w:val="4C9F40"/>
        </w:rPr>
        <w:t xml:space="preserve"> </w:t>
      </w:r>
      <w:r>
        <w:rPr>
          <w:rFonts w:ascii="Arial" w:cs="Arial" w:eastAsia="Arial" w:hAnsi="Arial"/>
          <w:sz w:val="18"/>
          <w:szCs w:val="18"/>
          <w:color w:val="000000"/>
        </w:rPr>
        <w:t>Analysis of Financial Condition and Results of Operations of this Annual Report for the year ended December 31, 2010.</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Other Acquisitions</w:t>
      </w:r>
    </w:p>
    <w:p>
      <w:pPr>
        <w:spacing w:after="0" w:line="158" w:lineRule="exact"/>
        <w:rPr>
          <w:sz w:val="20"/>
          <w:szCs w:val="20"/>
          <w:color w:val="auto"/>
        </w:rPr>
      </w:pPr>
    </w:p>
    <w:p>
      <w:pPr>
        <w:ind w:right="500"/>
        <w:spacing w:after="0" w:line="296" w:lineRule="auto"/>
        <w:rPr>
          <w:sz w:val="20"/>
          <w:szCs w:val="20"/>
          <w:color w:val="auto"/>
        </w:rPr>
      </w:pPr>
      <w:r>
        <w:rPr>
          <w:rFonts w:ascii="Arial" w:cs="Arial" w:eastAsia="Arial" w:hAnsi="Arial"/>
          <w:sz w:val="16"/>
          <w:szCs w:val="16"/>
          <w:b w:val="1"/>
          <w:bCs w:val="1"/>
          <w:color w:val="4C9F40"/>
        </w:rPr>
        <w:t xml:space="preserve">Irish Business Systems Limited: </w:t>
      </w:r>
      <w:r>
        <w:rPr>
          <w:rFonts w:ascii="Arial" w:cs="Arial" w:eastAsia="Arial" w:hAnsi="Arial"/>
          <w:sz w:val="16"/>
          <w:szCs w:val="16"/>
          <w:color w:val="000000"/>
        </w:rPr>
        <w:t>In January 2010, we acquired Irish Business Systems Limited (“IBS”) for approximately $29 net of cash</w:t>
      </w:r>
      <w:r>
        <w:rPr>
          <w:rFonts w:ascii="Arial" w:cs="Arial" w:eastAsia="Arial" w:hAnsi="Arial"/>
          <w:sz w:val="16"/>
          <w:szCs w:val="16"/>
          <w:b w:val="1"/>
          <w:bCs w:val="1"/>
          <w:color w:val="4C9F40"/>
        </w:rPr>
        <w:t xml:space="preserve"> </w:t>
      </w:r>
      <w:r>
        <w:rPr>
          <w:rFonts w:ascii="Arial" w:cs="Arial" w:eastAsia="Arial" w:hAnsi="Arial"/>
          <w:sz w:val="16"/>
          <w:szCs w:val="16"/>
          <w:color w:val="000000"/>
        </w:rPr>
        <w:t>acquired. This acquisition expands our reach into the small and mid-size business market in Ireland. IBS has eight offices located throughout Ireland and is a managed print services provider and the largest independent supplier of digital imaging and printing solutions in Ireland.</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4"/>
          <w:szCs w:val="14"/>
          <w:color w:val="4C9F40"/>
        </w:rPr>
        <w:t>Xerox 2010 Annual Report 57</w:t>
      </w:r>
    </w:p>
    <w:p>
      <w:pPr>
        <w:sectPr>
          <w:pgSz w:w="11900" w:h="16838" w:orient="portrait"/>
          <w:cols w:equalWidth="0" w:num="1">
            <w:col w:w="11420"/>
          </w:cols>
          <w:pgMar w:left="240" w:top="323" w:right="239" w:bottom="1440" w:gutter="0" w:footer="0" w:header="0"/>
        </w:sectPr>
      </w:pPr>
    </w:p>
    <w:bookmarkStart w:id="134" w:name="page135"/>
    <w:bookmarkEnd w:id="134"/>
    <w:p>
      <w:pPr>
        <w:ind w:right="260"/>
        <w:spacing w:after="0" w:line="257" w:lineRule="auto"/>
        <w:rPr>
          <w:sz w:val="20"/>
          <w:szCs w:val="20"/>
          <w:color w:val="auto"/>
        </w:rPr>
      </w:pPr>
      <w:r>
        <w:rPr>
          <w:rFonts w:ascii="Arial" w:cs="Arial" w:eastAsia="Arial" w:hAnsi="Arial"/>
          <w:sz w:val="18"/>
          <w:szCs w:val="18"/>
          <w:b w:val="1"/>
          <w:bCs w:val="1"/>
          <w:color w:val="4C9F40"/>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Veenman B.V.: </w:t>
      </w:r>
      <w:r>
        <w:rPr>
          <w:rFonts w:ascii="Arial" w:cs="Arial" w:eastAsia="Arial" w:hAnsi="Arial"/>
          <w:sz w:val="18"/>
          <w:szCs w:val="18"/>
          <w:color w:val="000000"/>
        </w:rPr>
        <w:t>In 2008, we acquired Veenman B.V. (“Veenman”), expanding our reach into the small and mid-sized business market in Europe,</w:t>
      </w:r>
      <w:r>
        <w:rPr>
          <w:rFonts w:ascii="Arial" w:cs="Arial" w:eastAsia="Arial" w:hAnsi="Arial"/>
          <w:sz w:val="18"/>
          <w:szCs w:val="18"/>
          <w:b w:val="1"/>
          <w:bCs w:val="1"/>
          <w:color w:val="4C9F40"/>
        </w:rPr>
        <w:t xml:space="preserve"> </w:t>
      </w:r>
      <w:r>
        <w:rPr>
          <w:rFonts w:ascii="Arial" w:cs="Arial" w:eastAsia="Arial" w:hAnsi="Arial"/>
          <w:sz w:val="18"/>
          <w:szCs w:val="18"/>
          <w:color w:val="000000"/>
        </w:rPr>
        <w:t>for approximately $69 (€44 million) in cash, including transaction costs. Veenman is the Netherlands’ leading independent distributor of office printers, copiers and multifunction devices serving small and mid-size businesses.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ACS Acquisitions</w:t>
      </w:r>
    </w:p>
    <w:p>
      <w:pPr>
        <w:spacing w:after="0" w:line="158" w:lineRule="exact"/>
        <w:rPr>
          <w:sz w:val="20"/>
          <w:szCs w:val="20"/>
          <w:color w:val="auto"/>
        </w:rPr>
      </w:pPr>
    </w:p>
    <w:p>
      <w:pPr>
        <w:ind w:right="420"/>
        <w:spacing w:after="0" w:line="328" w:lineRule="auto"/>
        <w:rPr>
          <w:sz w:val="20"/>
          <w:szCs w:val="20"/>
          <w:color w:val="auto"/>
        </w:rPr>
      </w:pPr>
      <w:r>
        <w:rPr>
          <w:rFonts w:ascii="Arial" w:cs="Arial" w:eastAsia="Arial" w:hAnsi="Arial"/>
          <w:sz w:val="16"/>
          <w:szCs w:val="16"/>
          <w:color w:val="auto"/>
        </w:rPr>
        <w:t xml:space="preserve">In November 2010, ACS acquired </w:t>
      </w:r>
      <w:r>
        <w:rPr>
          <w:rFonts w:ascii="Arial" w:cs="Arial" w:eastAsia="Arial" w:hAnsi="Arial"/>
          <w:sz w:val="16"/>
          <w:szCs w:val="16"/>
          <w:b w:val="1"/>
          <w:bCs w:val="1"/>
          <w:color w:val="4C9F40"/>
        </w:rPr>
        <w:t>Spur Information Solutions</w:t>
      </w:r>
      <w:r>
        <w:rPr>
          <w:rFonts w:ascii="Arial" w:cs="Arial" w:eastAsia="Arial" w:hAnsi="Arial"/>
          <w:sz w:val="16"/>
          <w:szCs w:val="16"/>
          <w:color w:val="auto"/>
        </w:rPr>
        <w:t>, one of the United Kingdom’s leading providers of computer software used for parking enforcement, for $12 in cash. The acquisition strengthens ACS’s broad portfolio of services that support the transportation industry.</w:t>
      </w:r>
    </w:p>
    <w:p>
      <w:pPr>
        <w:spacing w:after="0" w:line="64" w:lineRule="exact"/>
        <w:rPr>
          <w:sz w:val="20"/>
          <w:szCs w:val="20"/>
          <w:color w:val="auto"/>
        </w:rPr>
      </w:pPr>
    </w:p>
    <w:p>
      <w:pPr>
        <w:ind w:right="240"/>
        <w:spacing w:after="0" w:line="244" w:lineRule="auto"/>
        <w:rPr>
          <w:sz w:val="20"/>
          <w:szCs w:val="20"/>
          <w:color w:val="auto"/>
        </w:rPr>
      </w:pPr>
      <w:r>
        <w:rPr>
          <w:rFonts w:ascii="Arial" w:cs="Arial" w:eastAsia="Arial" w:hAnsi="Arial"/>
          <w:sz w:val="18"/>
          <w:szCs w:val="18"/>
          <w:color w:val="auto"/>
        </w:rPr>
        <w:t xml:space="preserve">In October 2010, ACS acquired </w:t>
      </w:r>
      <w:r>
        <w:rPr>
          <w:rFonts w:ascii="Arial" w:cs="Arial" w:eastAsia="Arial" w:hAnsi="Arial"/>
          <w:sz w:val="18"/>
          <w:szCs w:val="18"/>
          <w:b w:val="1"/>
          <w:bCs w:val="1"/>
          <w:color w:val="4C9F40"/>
        </w:rPr>
        <w:t>TMS Health (“TMS”)</w:t>
      </w:r>
      <w:r>
        <w:rPr>
          <w:rFonts w:ascii="Arial" w:cs="Arial" w:eastAsia="Arial" w:hAnsi="Arial"/>
          <w:sz w:val="18"/>
          <w:szCs w:val="18"/>
          <w:color w:val="auto"/>
        </w:rPr>
        <w:t>, a U.S. based teleservices company that provides customer care services to the pharmaceutical, biotech and healthcare industries, for approximately $48 in cash. Through TMS, ACS improves communication between pharmaceutical companies, physicians, consumers and pharmacists. By providing customer education, product sales and marketing and clinical trial solutions, ACS builds on the IT and BPO services it already delivers to the healthcare and pharmaceutical industries.</w:t>
      </w:r>
    </w:p>
    <w:p>
      <w:pPr>
        <w:spacing w:after="0" w:line="131"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 xml:space="preserve">In July 2010, ACS acquired </w:t>
      </w:r>
      <w:r>
        <w:rPr>
          <w:rFonts w:ascii="Arial" w:cs="Arial" w:eastAsia="Arial" w:hAnsi="Arial"/>
          <w:sz w:val="18"/>
          <w:szCs w:val="18"/>
          <w:b w:val="1"/>
          <w:bCs w:val="1"/>
          <w:color w:val="4C9F40"/>
        </w:rPr>
        <w:t>ExcellerateHRO, LLP (“EHRO”)</w:t>
      </w:r>
      <w:r>
        <w:rPr>
          <w:rFonts w:ascii="Arial" w:cs="Arial" w:eastAsia="Arial" w:hAnsi="Arial"/>
          <w:sz w:val="18"/>
          <w:szCs w:val="18"/>
          <w:color w:val="auto"/>
        </w:rPr>
        <w:t>, a global benefits administration and relocation services provider, for $125 net of cash acquired. This acquisition establishes ACS as one of the world’s largest pension plan administrators and as a leading provider of outsourced health and welfare and relocation services. The purchase price was primarily allocated to intangible assets (consisting of customer relationships of $32 and software of $8) and goodwill of $77 based on third-party valuations and management’s estimates.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GIS Acquisitions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September 2010, GIS acquired </w:t>
      </w:r>
      <w:r>
        <w:rPr>
          <w:rFonts w:ascii="Arial" w:cs="Arial" w:eastAsia="Arial" w:hAnsi="Arial"/>
          <w:sz w:val="18"/>
          <w:szCs w:val="18"/>
          <w:b w:val="1"/>
          <w:bCs w:val="1"/>
          <w:color w:val="4C9F40"/>
        </w:rPr>
        <w:t>Georgia Duplicating Products</w:t>
      </w:r>
      <w:r>
        <w:rPr>
          <w:rFonts w:ascii="Arial" w:cs="Arial" w:eastAsia="Arial" w:hAnsi="Arial"/>
          <w:sz w:val="18"/>
          <w:szCs w:val="18"/>
          <w:color w:val="auto"/>
        </w:rPr>
        <w:t>, an office equipment supplier, for approximately $21 net of cash acquired.</w:t>
      </w:r>
    </w:p>
    <w:p>
      <w:pPr>
        <w:spacing w:after="0" w:line="158" w:lineRule="exact"/>
        <w:rPr>
          <w:sz w:val="20"/>
          <w:szCs w:val="20"/>
          <w:color w:val="auto"/>
        </w:rPr>
      </w:pPr>
    </w:p>
    <w:p>
      <w:pPr>
        <w:jc w:val="both"/>
        <w:ind w:right="620"/>
        <w:spacing w:after="0" w:line="249" w:lineRule="auto"/>
        <w:rPr>
          <w:sz w:val="20"/>
          <w:szCs w:val="20"/>
          <w:color w:val="auto"/>
        </w:rPr>
      </w:pPr>
      <w:r>
        <w:rPr>
          <w:rFonts w:ascii="Arial" w:cs="Arial" w:eastAsia="Arial" w:hAnsi="Arial"/>
          <w:sz w:val="18"/>
          <w:szCs w:val="18"/>
          <w:color w:val="auto"/>
        </w:rPr>
        <w:t xml:space="preserve">In February 2009, GIS acquired </w:t>
      </w:r>
      <w:r>
        <w:rPr>
          <w:rFonts w:ascii="Arial" w:cs="Arial" w:eastAsia="Arial" w:hAnsi="Arial"/>
          <w:sz w:val="18"/>
          <w:szCs w:val="18"/>
          <w:b w:val="1"/>
          <w:bCs w:val="1"/>
          <w:color w:val="4C9F40"/>
        </w:rPr>
        <w:t>ComDoc, Inc.</w:t>
      </w:r>
      <w:r>
        <w:rPr>
          <w:rFonts w:ascii="Arial" w:cs="Arial" w:eastAsia="Arial" w:hAnsi="Arial"/>
          <w:sz w:val="18"/>
          <w:szCs w:val="18"/>
          <w:color w:val="auto"/>
        </w:rPr>
        <w:t xml:space="preserve"> (“ComDoc”) for approximately $145 in cash. ComDoc is one of the larger independent office technology dealers in the U.S. and expands GIS’s coverage in Ohio, Pennsylvania, New York and West Virginia. GIS also acquired another business in 2009 for $18 in cash.</w:t>
      </w:r>
    </w:p>
    <w:p>
      <w:pPr>
        <w:spacing w:after="0" w:line="126"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 xml:space="preserve">In 2008, GIS acquired </w:t>
      </w:r>
      <w:r>
        <w:rPr>
          <w:rFonts w:ascii="Arial" w:cs="Arial" w:eastAsia="Arial" w:hAnsi="Arial"/>
          <w:sz w:val="18"/>
          <w:szCs w:val="18"/>
          <w:b w:val="1"/>
          <w:bCs w:val="1"/>
          <w:color w:val="4C9F40"/>
        </w:rPr>
        <w:t>Saxon Business Systems</w:t>
      </w:r>
      <w:r>
        <w:rPr>
          <w:rFonts w:ascii="Arial" w:cs="Arial" w:eastAsia="Arial" w:hAnsi="Arial"/>
          <w:sz w:val="18"/>
          <w:szCs w:val="18"/>
          <w:color w:val="auto"/>
        </w:rPr>
        <w:t>, an office equipment supplier in Florida, for approximately $69 in cash, including transaction costs. GIS acquired three other similar businesses in 2008 for a total of $17 in cash.</w:t>
      </w:r>
    </w:p>
    <w:p>
      <w:pPr>
        <w:spacing w:after="0" w:line="13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These acquisitions continue the development of GIS’s national network of office technology suppliers to serve its expanding base of small and mid-size businesses.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Summary – Other Acquisitions</w:t>
      </w:r>
    </w:p>
    <w:p>
      <w:pPr>
        <w:spacing w:after="0" w:line="180"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operating results of the acquisitions described above are not material to our financial statements and are included within our results from the respective acquisition dates. Excluding ACS, our remaining 2010 acquisitions contributed aggregate revenues of approximately $140 to our 2010 total revenues from their respective acquisition dates. The ACS acquisitions are included within our Services segment while the other acquisitions, including the GIS acquisitions, are primarily included within our Technology segment. The purchase prices were primarily allocated to intangible assets and goodwill based on third-party valuations and management’s estimates.</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b w:val="1"/>
          <w:bCs w:val="1"/>
          <w:color w:val="4C9F40"/>
        </w:rPr>
        <w:t>Note 4 – Receivables, Net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Accounts Receivable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at December 31, 2010 and 2009 were as follows:</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4"/>
          <w:szCs w:val="14"/>
          <w:color w:val="4C9F40"/>
        </w:rPr>
        <w:t>Xerox 2010 Annual Report 58</w:t>
      </w:r>
    </w:p>
    <w:p>
      <w:pPr>
        <w:sectPr>
          <w:pgSz w:w="11900" w:h="16838" w:orient="portrait"/>
          <w:cols w:equalWidth="0" w:num="1">
            <w:col w:w="11420"/>
          </w:cols>
          <w:pgMar w:left="240" w:top="323" w:right="23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161"/>
        </w:trPr>
        <w:tc>
          <w:tcPr>
            <w:tcW w:w="97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color w:val="auto"/>
              </w:rPr>
              <w:t>2010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r>
      <w:tr>
        <w:trPr>
          <w:trHeight w:val="196"/>
        </w:trPr>
        <w:tc>
          <w:tcPr>
            <w:tcW w:w="9700" w:type="dxa"/>
            <w:vAlign w:val="bottom"/>
            <w:shd w:val="clear" w:color="auto" w:fill="E5E5E5"/>
          </w:tcPr>
          <w:p>
            <w:pPr>
              <w:spacing w:after="0" w:line="196" w:lineRule="exact"/>
              <w:rPr>
                <w:sz w:val="20"/>
                <w:szCs w:val="20"/>
                <w:color w:val="auto"/>
              </w:rPr>
            </w:pPr>
            <w:r>
              <w:rPr>
                <w:rFonts w:ascii="Arial" w:cs="Arial" w:eastAsia="Arial" w:hAnsi="Arial"/>
                <w:sz w:val="18"/>
                <w:szCs w:val="18"/>
                <w:color w:val="auto"/>
              </w:rPr>
              <w:t>Amounts billed or billable</w:t>
            </w:r>
          </w:p>
        </w:tc>
        <w:tc>
          <w:tcPr>
            <w:tcW w:w="120" w:type="dxa"/>
            <w:vAlign w:val="bottom"/>
            <w:shd w:val="clear" w:color="auto" w:fill="E5E5E5"/>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E5E5E5"/>
          </w:tcPr>
          <w:p>
            <w:pPr>
              <w:jc w:val="right"/>
              <w:ind w:right="200"/>
              <w:spacing w:after="0" w:line="196" w:lineRule="exact"/>
              <w:rPr>
                <w:sz w:val="20"/>
                <w:szCs w:val="20"/>
                <w:color w:val="auto"/>
              </w:rPr>
            </w:pPr>
            <w:r>
              <w:rPr>
                <w:rFonts w:ascii="Arial" w:cs="Arial" w:eastAsia="Arial" w:hAnsi="Arial"/>
                <w:sz w:val="18"/>
                <w:szCs w:val="18"/>
                <w:color w:val="auto"/>
              </w:rPr>
              <w:t>2,491</w:t>
            </w:r>
          </w:p>
        </w:tc>
        <w:tc>
          <w:tcPr>
            <w:tcW w:w="260" w:type="dxa"/>
            <w:vAlign w:val="bottom"/>
            <w:gridSpan w:val="2"/>
            <w:shd w:val="clear" w:color="auto" w:fill="E5E5E5"/>
          </w:tcPr>
          <w:p>
            <w:pPr>
              <w:jc w:val="right"/>
              <w:spacing w:after="0" w:line="196"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E5E5E5"/>
          </w:tcPr>
          <w:p>
            <w:pPr>
              <w:jc w:val="right"/>
              <w:ind w:right="100"/>
              <w:spacing w:after="0" w:line="196" w:lineRule="exact"/>
              <w:rPr>
                <w:sz w:val="20"/>
                <w:szCs w:val="20"/>
                <w:color w:val="auto"/>
              </w:rPr>
            </w:pPr>
            <w:r>
              <w:rPr>
                <w:rFonts w:ascii="Arial" w:cs="Arial" w:eastAsia="Arial" w:hAnsi="Arial"/>
                <w:sz w:val="18"/>
                <w:szCs w:val="18"/>
                <w:color w:val="auto"/>
              </w:rPr>
              <w:t>1,850</w:t>
            </w:r>
          </w:p>
        </w:tc>
      </w:tr>
      <w:tr>
        <w:trPr>
          <w:trHeight w:val="203"/>
        </w:trPr>
        <w:tc>
          <w:tcPr>
            <w:tcW w:w="9700" w:type="dxa"/>
            <w:vAlign w:val="bottom"/>
          </w:tcPr>
          <w:p>
            <w:pPr>
              <w:spacing w:after="0" w:line="202" w:lineRule="exact"/>
              <w:rPr>
                <w:sz w:val="20"/>
                <w:szCs w:val="20"/>
                <w:color w:val="auto"/>
              </w:rPr>
            </w:pPr>
            <w:r>
              <w:rPr>
                <w:rFonts w:ascii="Arial" w:cs="Arial" w:eastAsia="Arial" w:hAnsi="Arial"/>
                <w:sz w:val="18"/>
                <w:szCs w:val="18"/>
                <w:color w:val="auto"/>
              </w:rPr>
              <w:t>Unbilled amounts</w:t>
            </w:r>
          </w:p>
        </w:tc>
        <w:tc>
          <w:tcPr>
            <w:tcW w:w="12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447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97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Allowance for doubtful accounts</w:t>
            </w:r>
          </w:p>
        </w:tc>
        <w:tc>
          <w:tcPr>
            <w:tcW w:w="120" w:type="dxa"/>
            <w:vAlign w:val="bottom"/>
            <w:shd w:val="clear" w:color="auto" w:fill="E5E5E5"/>
          </w:tcPr>
          <w:p>
            <w:pPr>
              <w:spacing w:after="0"/>
              <w:rPr>
                <w:sz w:val="17"/>
                <w:szCs w:val="17"/>
                <w:color w:val="auto"/>
              </w:rPr>
            </w:pPr>
          </w:p>
        </w:tc>
        <w:tc>
          <w:tcPr>
            <w:tcW w:w="72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(112)</w:t>
            </w:r>
          </w:p>
        </w:tc>
        <w:tc>
          <w:tcPr>
            <w:tcW w:w="1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62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(148)</w:t>
            </w:r>
          </w:p>
        </w:tc>
      </w:tr>
      <w:tr>
        <w:trPr>
          <w:trHeight w:val="210"/>
        </w:trPr>
        <w:tc>
          <w:tcPr>
            <w:tcW w:w="9700" w:type="dxa"/>
            <w:vAlign w:val="bottom"/>
          </w:tcPr>
          <w:p>
            <w:pPr>
              <w:spacing w:after="0"/>
              <w:rPr>
                <w:sz w:val="20"/>
                <w:szCs w:val="20"/>
                <w:color w:val="auto"/>
              </w:rPr>
            </w:pPr>
            <w:r>
              <w:rPr>
                <w:rFonts w:ascii="Arial" w:cs="Arial" w:eastAsia="Arial" w:hAnsi="Arial"/>
                <w:sz w:val="18"/>
                <w:szCs w:val="18"/>
                <w:b w:val="1"/>
                <w:bCs w:val="1"/>
                <w:color w:val="auto"/>
              </w:rPr>
              <w:t>Accounts Receivable, net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1,702</w:t>
            </w:r>
          </w:p>
        </w:tc>
        <w:tc>
          <w:tcPr>
            <w:tcW w:w="100" w:type="dxa"/>
            <w:vAlign w:val="bottom"/>
          </w:tcPr>
          <w:p>
            <w:pPr>
              <w:spacing w:after="0"/>
              <w:rPr>
                <w:sz w:val="18"/>
                <w:szCs w:val="18"/>
                <w:color w:val="auto"/>
              </w:rPr>
            </w:pPr>
          </w:p>
        </w:tc>
      </w:tr>
      <w:tr>
        <w:trPr>
          <w:trHeight w:val="20"/>
        </w:trPr>
        <w:tc>
          <w:tcPr>
            <w:tcW w:w="9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180"/>
        <w:spacing w:after="0" w:line="238" w:lineRule="auto"/>
        <w:rPr>
          <w:sz w:val="20"/>
          <w:szCs w:val="20"/>
          <w:color w:val="auto"/>
        </w:rPr>
      </w:pPr>
      <w:r>
        <w:rPr>
          <w:rFonts w:ascii="Arial" w:cs="Arial" w:eastAsia="Arial" w:hAnsi="Arial"/>
          <w:sz w:val="18"/>
          <w:szCs w:val="18"/>
          <w:color w:val="auto"/>
        </w:rPr>
        <w:t>Unbilled amounts include amounts associated with percentage-of-completion accounting, and other earned revenues not currently billable due to contractual provisions. Amounts to be invoiced in the subsequent month for current services provided are included in amounts billable, and at December 31, 2010 and 2009 were approximately $1,066 and $603,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Finance Receivables</w:t>
      </w:r>
    </w:p>
    <w:p>
      <w:pPr>
        <w:spacing w:after="0" w:line="18"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Finance receivables result from installment arrangements and sales-type leases arising from the marketing of our equipment. These receivables are typically collateralized by a security interest in the underlying assets. Finance receivables, net at December 31, 2010 and 2009 were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2010</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7060" w:type="dxa"/>
            <w:vAlign w:val="bottom"/>
            <w:shd w:val="clear" w:color="auto" w:fill="E5E5E5"/>
          </w:tcPr>
          <w:p>
            <w:pPr>
              <w:spacing w:after="0" w:line="196" w:lineRule="exact"/>
              <w:rPr>
                <w:sz w:val="20"/>
                <w:szCs w:val="20"/>
                <w:color w:val="auto"/>
              </w:rPr>
            </w:pPr>
            <w:r>
              <w:rPr>
                <w:rFonts w:ascii="Arial" w:cs="Arial" w:eastAsia="Arial" w:hAnsi="Arial"/>
                <w:sz w:val="18"/>
                <w:szCs w:val="18"/>
                <w:color w:val="auto"/>
              </w:rPr>
              <w:t>Gross receivables</w:t>
            </w:r>
          </w:p>
        </w:tc>
        <w:tc>
          <w:tcPr>
            <w:tcW w:w="2740" w:type="dxa"/>
            <w:vAlign w:val="bottom"/>
            <w:gridSpan w:val="2"/>
            <w:shd w:val="clear" w:color="auto" w:fill="E5E5E5"/>
          </w:tcPr>
          <w:p>
            <w:pPr>
              <w:jc w:val="right"/>
              <w:spacing w:after="0" w:line="196" w:lineRule="exact"/>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rPr>
              <w:t>7,914</w:t>
            </w:r>
          </w:p>
        </w:tc>
        <w:tc>
          <w:tcPr>
            <w:tcW w:w="220" w:type="dxa"/>
            <w:vAlign w:val="bottom"/>
            <w:shd w:val="clear" w:color="auto" w:fill="E5E5E5"/>
          </w:tcPr>
          <w:p>
            <w:pPr>
              <w:spacing w:after="0"/>
              <w:rPr>
                <w:sz w:val="17"/>
                <w:szCs w:val="17"/>
                <w:color w:val="auto"/>
              </w:rPr>
            </w:pPr>
          </w:p>
        </w:tc>
        <w:tc>
          <w:tcPr>
            <w:tcW w:w="14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rPr>
              <w:t>8,427</w:t>
            </w:r>
          </w:p>
        </w:tc>
        <w:tc>
          <w:tcPr>
            <w:tcW w:w="100" w:type="dxa"/>
            <w:vAlign w:val="bottom"/>
            <w:shd w:val="clear" w:color="auto" w:fill="E5E5E5"/>
          </w:tcPr>
          <w:p>
            <w:pPr>
              <w:spacing w:after="0"/>
              <w:rPr>
                <w:sz w:val="17"/>
                <w:szCs w:val="17"/>
                <w:color w:val="auto"/>
              </w:rPr>
            </w:pPr>
          </w:p>
        </w:tc>
      </w:tr>
      <w:tr>
        <w:trPr>
          <w:trHeight w:val="210"/>
        </w:trPr>
        <w:tc>
          <w:tcPr>
            <w:tcW w:w="7080" w:type="dxa"/>
            <w:vAlign w:val="bottom"/>
            <w:gridSpan w:val="2"/>
          </w:tcPr>
          <w:p>
            <w:pPr>
              <w:spacing w:after="0" w:line="202" w:lineRule="exact"/>
              <w:rPr>
                <w:sz w:val="20"/>
                <w:szCs w:val="20"/>
                <w:color w:val="auto"/>
              </w:rPr>
            </w:pPr>
            <w:r>
              <w:rPr>
                <w:rFonts w:ascii="Arial" w:cs="Arial" w:eastAsia="Arial" w:hAnsi="Arial"/>
                <w:sz w:val="18"/>
                <w:szCs w:val="18"/>
                <w:color w:val="auto"/>
              </w:rPr>
              <w:t>Unearned income</w:t>
            </w: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(1,093)</w:t>
            </w:r>
          </w:p>
        </w:tc>
        <w:tc>
          <w:tcPr>
            <w:tcW w:w="140" w:type="dxa"/>
            <w:vAlign w:val="bottom"/>
          </w:tcPr>
          <w:p>
            <w:pPr>
              <w:spacing w:after="0"/>
              <w:rPr>
                <w:sz w:val="18"/>
                <w:szCs w:val="18"/>
                <w:color w:val="auto"/>
              </w:rPr>
            </w:pPr>
          </w:p>
        </w:tc>
        <w:tc>
          <w:tcPr>
            <w:tcW w:w="6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(1,197)</w:t>
            </w:r>
          </w:p>
        </w:tc>
      </w:tr>
      <w:tr>
        <w:trPr>
          <w:trHeight w:val="203"/>
        </w:trPr>
        <w:tc>
          <w:tcPr>
            <w:tcW w:w="20" w:type="dxa"/>
            <w:vAlign w:val="bottom"/>
          </w:tcPr>
          <w:p>
            <w:pPr>
              <w:spacing w:after="0"/>
              <w:rPr>
                <w:sz w:val="17"/>
                <w:szCs w:val="17"/>
                <w:color w:val="auto"/>
              </w:rPr>
            </w:pPr>
          </w:p>
        </w:tc>
        <w:tc>
          <w:tcPr>
            <w:tcW w:w="7060" w:type="dxa"/>
            <w:vAlign w:val="bottom"/>
            <w:shd w:val="clear" w:color="auto" w:fill="E5E5E5"/>
          </w:tcPr>
          <w:p>
            <w:pPr>
              <w:ind w:left="240"/>
              <w:spacing w:after="0" w:line="202" w:lineRule="exact"/>
              <w:rPr>
                <w:sz w:val="20"/>
                <w:szCs w:val="20"/>
                <w:color w:val="auto"/>
              </w:rPr>
            </w:pPr>
            <w:r>
              <w:rPr>
                <w:rFonts w:ascii="Arial" w:cs="Arial" w:eastAsia="Arial" w:hAnsi="Arial"/>
                <w:sz w:val="18"/>
                <w:szCs w:val="18"/>
                <w:color w:val="auto"/>
              </w:rPr>
              <w:t>Subtotal</w:t>
            </w:r>
          </w:p>
        </w:tc>
        <w:tc>
          <w:tcPr>
            <w:tcW w:w="2580" w:type="dxa"/>
            <w:vAlign w:val="bottom"/>
            <w:shd w:val="clear" w:color="auto" w:fill="E5E5E5"/>
          </w:tcPr>
          <w:p>
            <w:pPr>
              <w:spacing w:after="0"/>
              <w:rPr>
                <w:sz w:val="17"/>
                <w:szCs w:val="17"/>
                <w:color w:val="auto"/>
              </w:rPr>
            </w:pPr>
          </w:p>
        </w:tc>
        <w:tc>
          <w:tcPr>
            <w:tcW w:w="160" w:type="dxa"/>
            <w:vAlign w:val="bottom"/>
            <w:tcBorders>
              <w:top w:val="single" w:sz="8" w:color="auto"/>
            </w:tcBorders>
            <w:shd w:val="clear" w:color="auto" w:fill="E5E5E5"/>
          </w:tcPr>
          <w:p>
            <w:pPr>
              <w:spacing w:after="0"/>
              <w:rPr>
                <w:sz w:val="17"/>
                <w:szCs w:val="17"/>
                <w:color w:val="auto"/>
              </w:rPr>
            </w:pPr>
          </w:p>
        </w:tc>
        <w:tc>
          <w:tcPr>
            <w:tcW w:w="560" w:type="dxa"/>
            <w:vAlign w:val="bottom"/>
            <w:tcBorders>
              <w:top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6,821</w:t>
            </w:r>
          </w:p>
        </w:tc>
        <w:tc>
          <w:tcPr>
            <w:tcW w:w="220" w:type="dxa"/>
            <w:vAlign w:val="bottom"/>
            <w:shd w:val="clear" w:color="auto" w:fill="E5E5E5"/>
          </w:tcPr>
          <w:p>
            <w:pPr>
              <w:spacing w:after="0"/>
              <w:rPr>
                <w:sz w:val="17"/>
                <w:szCs w:val="17"/>
                <w:color w:val="auto"/>
              </w:rPr>
            </w:pPr>
          </w:p>
        </w:tc>
        <w:tc>
          <w:tcPr>
            <w:tcW w:w="140" w:type="dxa"/>
            <w:vAlign w:val="bottom"/>
            <w:tcBorders>
              <w:top w:val="single" w:sz="8" w:color="auto"/>
            </w:tcBorders>
            <w:shd w:val="clear" w:color="auto" w:fill="E5E5E5"/>
          </w:tcPr>
          <w:p>
            <w:pPr>
              <w:spacing w:after="0"/>
              <w:rPr>
                <w:sz w:val="17"/>
                <w:szCs w:val="17"/>
                <w:color w:val="auto"/>
              </w:rPr>
            </w:pPr>
          </w:p>
        </w:tc>
        <w:tc>
          <w:tcPr>
            <w:tcW w:w="580" w:type="dxa"/>
            <w:vAlign w:val="bottom"/>
            <w:tcBorders>
              <w:top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7,230</w:t>
            </w:r>
          </w:p>
        </w:tc>
        <w:tc>
          <w:tcPr>
            <w:tcW w:w="100" w:type="dxa"/>
            <w:vAlign w:val="bottom"/>
            <w:shd w:val="clear" w:color="auto" w:fill="E5E5E5"/>
          </w:tcPr>
          <w:p>
            <w:pPr>
              <w:spacing w:after="0"/>
              <w:rPr>
                <w:sz w:val="17"/>
                <w:szCs w:val="17"/>
                <w:color w:val="auto"/>
              </w:rPr>
            </w:pPr>
          </w:p>
        </w:tc>
      </w:tr>
      <w:tr>
        <w:trPr>
          <w:trHeight w:val="203"/>
        </w:trPr>
        <w:tc>
          <w:tcPr>
            <w:tcW w:w="7080" w:type="dxa"/>
            <w:vAlign w:val="bottom"/>
            <w:gridSpan w:val="2"/>
          </w:tcPr>
          <w:p>
            <w:pPr>
              <w:spacing w:after="0" w:line="202" w:lineRule="exact"/>
              <w:rPr>
                <w:sz w:val="20"/>
                <w:szCs w:val="20"/>
                <w:color w:val="auto"/>
              </w:rPr>
            </w:pPr>
            <w:r>
              <w:rPr>
                <w:rFonts w:ascii="Arial" w:cs="Arial" w:eastAsia="Arial" w:hAnsi="Arial"/>
                <w:sz w:val="18"/>
                <w:szCs w:val="18"/>
                <w:color w:val="auto"/>
              </w:rPr>
              <w:t>Residual values</w:t>
            </w:r>
          </w:p>
        </w:tc>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w:t>
            </w:r>
          </w:p>
        </w:tc>
      </w:tr>
      <w:tr>
        <w:trPr>
          <w:trHeight w:val="203"/>
        </w:trPr>
        <w:tc>
          <w:tcPr>
            <w:tcW w:w="20" w:type="dxa"/>
            <w:vAlign w:val="bottom"/>
          </w:tcPr>
          <w:p>
            <w:pPr>
              <w:spacing w:after="0"/>
              <w:rPr>
                <w:sz w:val="17"/>
                <w:szCs w:val="17"/>
                <w:color w:val="auto"/>
              </w:rPr>
            </w:pPr>
          </w:p>
        </w:tc>
        <w:tc>
          <w:tcPr>
            <w:tcW w:w="70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Allowance for doubtful accounts</w:t>
            </w:r>
          </w:p>
        </w:tc>
        <w:tc>
          <w:tcPr>
            <w:tcW w:w="258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78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(212)</w:t>
            </w:r>
          </w:p>
        </w:tc>
        <w:tc>
          <w:tcPr>
            <w:tcW w:w="140" w:type="dxa"/>
            <w:vAlign w:val="bottom"/>
            <w:shd w:val="clear" w:color="auto" w:fill="E5E5E5"/>
          </w:tcPr>
          <w:p>
            <w:pPr>
              <w:spacing w:after="0"/>
              <w:rPr>
                <w:sz w:val="17"/>
                <w:szCs w:val="17"/>
                <w:color w:val="auto"/>
              </w:rPr>
            </w:pPr>
          </w:p>
        </w:tc>
        <w:tc>
          <w:tcPr>
            <w:tcW w:w="68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(222)</w:t>
            </w:r>
          </w:p>
        </w:tc>
      </w:tr>
      <w:tr>
        <w:trPr>
          <w:trHeight w:val="210"/>
        </w:trPr>
        <w:tc>
          <w:tcPr>
            <w:tcW w:w="7080" w:type="dxa"/>
            <w:vAlign w:val="bottom"/>
            <w:gridSpan w:val="2"/>
          </w:tcPr>
          <w:p>
            <w:pPr>
              <w:spacing w:after="0"/>
              <w:rPr>
                <w:sz w:val="20"/>
                <w:szCs w:val="20"/>
                <w:color w:val="auto"/>
              </w:rPr>
            </w:pPr>
            <w:r>
              <w:rPr>
                <w:rFonts w:ascii="Arial" w:cs="Arial" w:eastAsia="Arial" w:hAnsi="Arial"/>
                <w:sz w:val="18"/>
                <w:szCs w:val="18"/>
                <w:b w:val="1"/>
                <w:bCs w:val="1"/>
                <w:color w:val="auto"/>
              </w:rPr>
              <w:t>Finance receivables, net</w:t>
            </w:r>
          </w:p>
        </w:tc>
        <w:tc>
          <w:tcPr>
            <w:tcW w:w="25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6,620</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7,027</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0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Less: Billed portion of finance receivables, net</w:t>
            </w:r>
          </w:p>
        </w:tc>
        <w:tc>
          <w:tcPr>
            <w:tcW w:w="258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78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(198)</w:t>
            </w:r>
          </w:p>
        </w:tc>
        <w:tc>
          <w:tcPr>
            <w:tcW w:w="140" w:type="dxa"/>
            <w:vAlign w:val="bottom"/>
            <w:shd w:val="clear" w:color="auto" w:fill="E5E5E5"/>
          </w:tcPr>
          <w:p>
            <w:pPr>
              <w:spacing w:after="0"/>
              <w:rPr>
                <w:sz w:val="17"/>
                <w:szCs w:val="17"/>
                <w:color w:val="auto"/>
              </w:rPr>
            </w:pPr>
          </w:p>
        </w:tc>
        <w:tc>
          <w:tcPr>
            <w:tcW w:w="68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(226)</w:t>
            </w:r>
          </w:p>
        </w:tc>
      </w:tr>
      <w:tr>
        <w:trPr>
          <w:trHeight w:val="210"/>
        </w:trPr>
        <w:tc>
          <w:tcPr>
            <w:tcW w:w="7080" w:type="dxa"/>
            <w:vAlign w:val="bottom"/>
            <w:gridSpan w:val="2"/>
          </w:tcPr>
          <w:p>
            <w:pPr>
              <w:spacing w:after="0" w:line="202" w:lineRule="exact"/>
              <w:rPr>
                <w:sz w:val="20"/>
                <w:szCs w:val="20"/>
                <w:color w:val="auto"/>
              </w:rPr>
            </w:pPr>
            <w:r>
              <w:rPr>
                <w:rFonts w:ascii="Arial" w:cs="Arial" w:eastAsia="Arial" w:hAnsi="Arial"/>
                <w:sz w:val="18"/>
                <w:szCs w:val="18"/>
                <w:color w:val="auto"/>
              </w:rPr>
              <w:t>Less: Current portion of finance receivables not billed, net</w:t>
            </w: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(2,287)</w:t>
            </w:r>
          </w:p>
        </w:tc>
        <w:tc>
          <w:tcPr>
            <w:tcW w:w="140" w:type="dxa"/>
            <w:vAlign w:val="bottom"/>
          </w:tcPr>
          <w:p>
            <w:pPr>
              <w:spacing w:after="0"/>
              <w:rPr>
                <w:sz w:val="18"/>
                <w:szCs w:val="18"/>
                <w:color w:val="auto"/>
              </w:rPr>
            </w:pPr>
          </w:p>
        </w:tc>
        <w:tc>
          <w:tcPr>
            <w:tcW w:w="6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(2,396)</w:t>
            </w:r>
          </w:p>
        </w:tc>
      </w:tr>
      <w:tr>
        <w:trPr>
          <w:trHeight w:val="203"/>
        </w:trPr>
        <w:tc>
          <w:tcPr>
            <w:tcW w:w="20" w:type="dxa"/>
            <w:vAlign w:val="bottom"/>
          </w:tcPr>
          <w:p>
            <w:pPr>
              <w:spacing w:after="0"/>
              <w:rPr>
                <w:sz w:val="17"/>
                <w:szCs w:val="17"/>
                <w:color w:val="auto"/>
              </w:rPr>
            </w:pPr>
          </w:p>
        </w:tc>
        <w:tc>
          <w:tcPr>
            <w:tcW w:w="706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Finance Receivables Due After One Year, net</w:t>
            </w:r>
          </w:p>
        </w:tc>
        <w:tc>
          <w:tcPr>
            <w:tcW w:w="2580" w:type="dxa"/>
            <w:vAlign w:val="bottom"/>
            <w:shd w:val="clear" w:color="auto" w:fill="E5E5E5"/>
          </w:tcPr>
          <w:p>
            <w:pPr>
              <w:spacing w:after="0"/>
              <w:rPr>
                <w:sz w:val="17"/>
                <w:szCs w:val="17"/>
                <w:color w:val="auto"/>
              </w:rPr>
            </w:pPr>
          </w:p>
        </w:tc>
        <w:tc>
          <w:tcPr>
            <w:tcW w:w="160" w:type="dxa"/>
            <w:vAlign w:val="bottom"/>
            <w:tcBorders>
              <w:top w:val="single" w:sz="8" w:color="auto"/>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4,135</w:t>
            </w:r>
          </w:p>
        </w:tc>
        <w:tc>
          <w:tcPr>
            <w:tcW w:w="220" w:type="dxa"/>
            <w:vAlign w:val="bottom"/>
            <w:shd w:val="clear" w:color="auto" w:fill="E5E5E5"/>
          </w:tcPr>
          <w:p>
            <w:pPr>
              <w:spacing w:after="0"/>
              <w:rPr>
                <w:sz w:val="17"/>
                <w:szCs w:val="17"/>
                <w:color w:val="auto"/>
              </w:rPr>
            </w:pPr>
          </w:p>
        </w:tc>
        <w:tc>
          <w:tcPr>
            <w:tcW w:w="140" w:type="dxa"/>
            <w:vAlign w:val="bottom"/>
            <w:tcBorders>
              <w:top w:val="single" w:sz="8" w:color="auto"/>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4,405</w:t>
            </w:r>
          </w:p>
        </w:tc>
        <w:tc>
          <w:tcPr>
            <w:tcW w:w="100" w:type="dxa"/>
            <w:vAlign w:val="bottom"/>
            <w:shd w:val="clear" w:color="auto" w:fill="E5E5E5"/>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Contractual maturities of our gross finance receivables as of December 31, 2010 were as follows (including those already billed of $198):</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color w:val="auto"/>
              </w:rPr>
              <w:t>2011</w:t>
            </w:r>
          </w:p>
        </w:tc>
        <w:tc>
          <w:tcPr>
            <w:tcW w:w="960" w:type="dxa"/>
            <w:vAlign w:val="bottom"/>
          </w:tcPr>
          <w:p>
            <w:pPr>
              <w:spacing w:after="0"/>
              <w:rPr>
                <w:sz w:val="14"/>
                <w:szCs w:val="14"/>
                <w:color w:val="auto"/>
              </w:rPr>
            </w:pPr>
          </w:p>
        </w:tc>
        <w:tc>
          <w:tcPr>
            <w:tcW w:w="64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color w:val="auto"/>
              </w:rPr>
              <w:t>2012</w:t>
            </w:r>
          </w:p>
        </w:tc>
        <w:tc>
          <w:tcPr>
            <w:tcW w:w="980" w:type="dxa"/>
            <w:vAlign w:val="bottom"/>
          </w:tcPr>
          <w:p>
            <w:pPr>
              <w:spacing w:after="0"/>
              <w:rPr>
                <w:sz w:val="14"/>
                <w:szCs w:val="14"/>
                <w:color w:val="auto"/>
              </w:rPr>
            </w:pPr>
          </w:p>
        </w:tc>
        <w:tc>
          <w:tcPr>
            <w:tcW w:w="6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2013</w:t>
            </w:r>
          </w:p>
        </w:tc>
        <w:tc>
          <w:tcPr>
            <w:tcW w:w="980" w:type="dxa"/>
            <w:vAlign w:val="bottom"/>
          </w:tcPr>
          <w:p>
            <w:pPr>
              <w:spacing w:after="0"/>
              <w:rPr>
                <w:sz w:val="14"/>
                <w:szCs w:val="14"/>
                <w:color w:val="auto"/>
              </w:rPr>
            </w:pPr>
          </w:p>
        </w:tc>
        <w:tc>
          <w:tcPr>
            <w:tcW w:w="5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2014</w:t>
            </w: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2015</w:t>
            </w:r>
          </w:p>
        </w:tc>
        <w:tc>
          <w:tcPr>
            <w:tcW w:w="980" w:type="dxa"/>
            <w:vAlign w:val="bottom"/>
          </w:tcPr>
          <w:p>
            <w:pPr>
              <w:spacing w:after="0"/>
              <w:rPr>
                <w:sz w:val="14"/>
                <w:szCs w:val="14"/>
                <w:color w:val="auto"/>
              </w:rPr>
            </w:pPr>
          </w:p>
        </w:tc>
        <w:tc>
          <w:tcPr>
            <w:tcW w:w="6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5"/>
              </w:rPr>
              <w:t>Thereafter</w:t>
            </w: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Total</w:t>
            </w:r>
          </w:p>
        </w:tc>
      </w:tr>
      <w:tr>
        <w:trPr>
          <w:trHeight w:val="196"/>
        </w:trPr>
        <w:tc>
          <w:tcPr>
            <w:tcW w:w="1620" w:type="dxa"/>
            <w:vAlign w:val="bottom"/>
            <w:gridSpan w:val="2"/>
            <w:shd w:val="clear" w:color="auto" w:fill="E5E5E5"/>
          </w:tcPr>
          <w:p>
            <w:pPr>
              <w:jc w:val="right"/>
              <w:ind w:right="960"/>
              <w:spacing w:after="0" w:line="196" w:lineRule="exact"/>
              <w:rPr>
                <w:sz w:val="20"/>
                <w:szCs w:val="20"/>
                <w:color w:val="auto"/>
              </w:rPr>
            </w:pPr>
            <w:r>
              <w:rPr>
                <w:rFonts w:ascii="Arial" w:cs="Arial" w:eastAsia="Arial" w:hAnsi="Arial"/>
                <w:sz w:val="18"/>
                <w:szCs w:val="18"/>
                <w:color w:val="auto"/>
              </w:rPr>
              <w:t>$ 2,978</w:t>
            </w:r>
          </w:p>
        </w:tc>
        <w:tc>
          <w:tcPr>
            <w:tcW w:w="64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rPr>
              <w:t>$ 2,178</w:t>
            </w:r>
          </w:p>
        </w:tc>
        <w:tc>
          <w:tcPr>
            <w:tcW w:w="1620" w:type="dxa"/>
            <w:vAlign w:val="bottom"/>
            <w:gridSpan w:val="2"/>
            <w:shd w:val="clear" w:color="auto" w:fill="E5E5E5"/>
          </w:tcPr>
          <w:p>
            <w:pPr>
              <w:jc w:val="right"/>
              <w:spacing w:after="0" w:line="196" w:lineRule="exact"/>
              <w:rPr>
                <w:sz w:val="20"/>
                <w:szCs w:val="20"/>
                <w:color w:val="auto"/>
              </w:rPr>
            </w:pPr>
            <w:r>
              <w:rPr>
                <w:rFonts w:ascii="Arial" w:cs="Arial" w:eastAsia="Arial" w:hAnsi="Arial"/>
                <w:sz w:val="18"/>
                <w:szCs w:val="18"/>
                <w:color w:val="auto"/>
              </w:rPr>
              <w:t>$ 1,527</w:t>
            </w:r>
          </w:p>
        </w:tc>
        <w:tc>
          <w:tcPr>
            <w:tcW w:w="1960" w:type="dxa"/>
            <w:vAlign w:val="bottom"/>
            <w:gridSpan w:val="3"/>
            <w:shd w:val="clear" w:color="auto" w:fill="E5E5E5"/>
          </w:tcPr>
          <w:p>
            <w:pPr>
              <w:jc w:val="right"/>
              <w:ind w:right="480"/>
              <w:spacing w:after="0" w:line="196" w:lineRule="exact"/>
              <w:rPr>
                <w:sz w:val="20"/>
                <w:szCs w:val="20"/>
                <w:color w:val="auto"/>
              </w:rPr>
            </w:pPr>
            <w:r>
              <w:rPr>
                <w:rFonts w:ascii="Arial" w:cs="Arial" w:eastAsia="Arial" w:hAnsi="Arial"/>
                <w:sz w:val="18"/>
                <w:szCs w:val="18"/>
                <w:color w:val="auto"/>
              </w:rPr>
              <w:t>$ 862</w:t>
            </w:r>
          </w:p>
        </w:tc>
        <w:tc>
          <w:tcPr>
            <w:tcW w:w="1960" w:type="dxa"/>
            <w:vAlign w:val="bottom"/>
            <w:gridSpan w:val="3"/>
            <w:shd w:val="clear" w:color="auto" w:fill="E5E5E5"/>
          </w:tcPr>
          <w:p>
            <w:pPr>
              <w:jc w:val="right"/>
              <w:ind w:right="980"/>
              <w:spacing w:after="0" w:line="196" w:lineRule="exact"/>
              <w:rPr>
                <w:sz w:val="20"/>
                <w:szCs w:val="20"/>
                <w:color w:val="auto"/>
              </w:rPr>
            </w:pPr>
            <w:r>
              <w:rPr>
                <w:rFonts w:ascii="Arial" w:cs="Arial" w:eastAsia="Arial" w:hAnsi="Arial"/>
                <w:sz w:val="18"/>
                <w:szCs w:val="18"/>
                <w:color w:val="auto"/>
              </w:rPr>
              <w:t>$ 330</w:t>
            </w:r>
          </w:p>
        </w:tc>
        <w:tc>
          <w:tcPr>
            <w:tcW w:w="260" w:type="dxa"/>
            <w:vAlign w:val="bottom"/>
            <w:shd w:val="clear" w:color="auto" w:fill="E5E5E5"/>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E5E5E5"/>
          </w:tcPr>
          <w:p>
            <w:pPr>
              <w:jc w:val="right"/>
              <w:ind w:right="480"/>
              <w:spacing w:after="0" w:line="196" w:lineRule="exact"/>
              <w:rPr>
                <w:sz w:val="20"/>
                <w:szCs w:val="20"/>
                <w:color w:val="auto"/>
              </w:rPr>
            </w:pPr>
            <w:r>
              <w:rPr>
                <w:rFonts w:ascii="Arial" w:cs="Arial" w:eastAsia="Arial" w:hAnsi="Arial"/>
                <w:sz w:val="18"/>
                <w:szCs w:val="18"/>
                <w:color w:val="auto"/>
              </w:rPr>
              <w:t>39</w:t>
            </w:r>
          </w:p>
        </w:tc>
        <w:tc>
          <w:tcPr>
            <w:tcW w:w="1120" w:type="dxa"/>
            <w:vAlign w:val="bottom"/>
            <w:gridSpan w:val="2"/>
            <w:shd w:val="clear" w:color="auto" w:fill="E5E5E5"/>
          </w:tcPr>
          <w:p>
            <w:pPr>
              <w:jc w:val="right"/>
              <w:spacing w:after="0" w:line="196" w:lineRule="exact"/>
              <w:rPr>
                <w:sz w:val="20"/>
                <w:szCs w:val="20"/>
                <w:color w:val="auto"/>
              </w:rPr>
            </w:pPr>
            <w:r>
              <w:rPr>
                <w:rFonts w:ascii="Arial" w:cs="Arial" w:eastAsia="Arial" w:hAnsi="Arial"/>
                <w:sz w:val="18"/>
                <w:szCs w:val="18"/>
                <w:color w:val="auto"/>
              </w:rPr>
              <w:t>$ 7,914</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Provisions for Losses on Uncollectible Receivables</w:t>
      </w:r>
    </w:p>
    <w:p>
      <w:pPr>
        <w:spacing w:after="0" w:line="18"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b w:val="1"/>
          <w:bCs w:val="1"/>
          <w:color w:val="4C9F40"/>
        </w:rPr>
        <w:t xml:space="preserve">Accounts Receivable: </w:t>
      </w:r>
      <w:r>
        <w:rPr>
          <w:rFonts w:ascii="Arial" w:cs="Arial" w:eastAsia="Arial" w:hAnsi="Arial"/>
          <w:sz w:val="18"/>
          <w:szCs w:val="18"/>
          <w:color w:val="000000"/>
        </w:rPr>
        <w:t>The allowance for uncollectible accounts receivables is determined principally on the basis of past collection experience as</w:t>
      </w:r>
      <w:r>
        <w:rPr>
          <w:rFonts w:ascii="Arial" w:cs="Arial" w:eastAsia="Arial" w:hAnsi="Arial"/>
          <w:sz w:val="18"/>
          <w:szCs w:val="18"/>
          <w:b w:val="1"/>
          <w:bCs w:val="1"/>
          <w:color w:val="4C9F40"/>
        </w:rPr>
        <w:t xml:space="preserve"> </w:t>
      </w:r>
      <w:r>
        <w:rPr>
          <w:rFonts w:ascii="Arial" w:cs="Arial" w:eastAsia="Arial" w:hAnsi="Arial"/>
          <w:sz w:val="18"/>
          <w:szCs w:val="18"/>
          <w:color w:val="000000"/>
        </w:rPr>
        <w:t>well as consideration of current economic conditions and changes in our customer collection trends.</w:t>
      </w:r>
    </w:p>
    <w:p>
      <w:pPr>
        <w:spacing w:after="0" w:line="133" w:lineRule="exact"/>
        <w:rPr>
          <w:sz w:val="20"/>
          <w:szCs w:val="20"/>
          <w:color w:val="auto"/>
        </w:rPr>
      </w:pPr>
    </w:p>
    <w:p>
      <w:pPr>
        <w:ind w:right="240"/>
        <w:spacing w:after="0" w:line="249" w:lineRule="auto"/>
        <w:rPr>
          <w:sz w:val="20"/>
          <w:szCs w:val="20"/>
          <w:color w:val="auto"/>
        </w:rPr>
      </w:pPr>
      <w:r>
        <w:rPr>
          <w:rFonts w:ascii="Arial" w:cs="Arial" w:eastAsia="Arial" w:hAnsi="Arial"/>
          <w:sz w:val="18"/>
          <w:szCs w:val="18"/>
          <w:b w:val="1"/>
          <w:bCs w:val="1"/>
          <w:color w:val="4C9F40"/>
        </w:rPr>
        <w:t xml:space="preserve">Finance Receivables: </w:t>
      </w:r>
      <w:r>
        <w:rPr>
          <w:rFonts w:ascii="Arial" w:cs="Arial" w:eastAsia="Arial" w:hAnsi="Arial"/>
          <w:sz w:val="18"/>
          <w:szCs w:val="18"/>
          <w:color w:val="000000"/>
        </w:rPr>
        <w:t>Finance receivables include sales-type leases, direct financing leases and installment loans. Our finance receivable</w:t>
      </w:r>
      <w:r>
        <w:rPr>
          <w:rFonts w:ascii="Arial" w:cs="Arial" w:eastAsia="Arial" w:hAnsi="Arial"/>
          <w:sz w:val="18"/>
          <w:szCs w:val="18"/>
          <w:b w:val="1"/>
          <w:bCs w:val="1"/>
          <w:color w:val="4C9F40"/>
        </w:rPr>
        <w:t xml:space="preserve"> </w:t>
      </w:r>
      <w:r>
        <w:rPr>
          <w:rFonts w:ascii="Arial" w:cs="Arial" w:eastAsia="Arial" w:hAnsi="Arial"/>
          <w:sz w:val="18"/>
          <w:szCs w:val="18"/>
          <w:color w:val="000000"/>
        </w:rPr>
        <w:t>portfolios are primarily in the US, Canada and Europe. We generally establish customer credit limits and estimate the allowance for credit losses on a country or geographic basis.</w:t>
      </w:r>
    </w:p>
    <w:p>
      <w:pPr>
        <w:spacing w:after="0" w:line="148" w:lineRule="exact"/>
        <w:rPr>
          <w:sz w:val="20"/>
          <w:szCs w:val="20"/>
          <w:color w:val="auto"/>
        </w:rPr>
      </w:pPr>
    </w:p>
    <w:p>
      <w:pPr>
        <w:ind w:right="420"/>
        <w:spacing w:after="0" w:line="239" w:lineRule="auto"/>
        <w:rPr>
          <w:sz w:val="20"/>
          <w:szCs w:val="20"/>
          <w:color w:val="auto"/>
        </w:rPr>
      </w:pPr>
      <w:r>
        <w:rPr>
          <w:rFonts w:ascii="Arial" w:cs="Arial" w:eastAsia="Arial" w:hAnsi="Arial"/>
          <w:sz w:val="18"/>
          <w:szCs w:val="18"/>
          <w:color w:val="auto"/>
        </w:rPr>
        <w:t>We establish credit limits based upon an initial evaluation of the customer’s credit quality and adjust that limit accordingly based upon ongoing credit evaluations of the customer including payment history and changes in credit quality.</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4"/>
          <w:szCs w:val="14"/>
          <w:color w:val="4C9F40"/>
        </w:rPr>
        <w:t>Xerox 2010 Annual Report 59</w:t>
      </w:r>
    </w:p>
    <w:p>
      <w:pPr>
        <w:sectPr>
          <w:pgSz w:w="11900" w:h="16838" w:orient="portrait"/>
          <w:cols w:equalWidth="0" w:num="1">
            <w:col w:w="11420"/>
          </w:cols>
          <w:pgMar w:left="240" w:top="276" w:right="239" w:bottom="1440" w:gutter="0" w:footer="0" w:header="0"/>
        </w:sectPr>
      </w:pPr>
    </w:p>
    <w:bookmarkStart w:id="136" w:name="page137"/>
    <w:bookmarkEnd w:id="136"/>
    <w:p>
      <w:pPr>
        <w:ind w:right="40"/>
        <w:spacing w:after="0" w:line="23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allowance for doubtful accounts and credit losses represents an estimate of the losses expected to be incurred from the Company’s finance receivable portfolio. The level of the allowance is determined on a collective basis by applying projected loss rates to our different portfolios by country, which represent our portfolio segments. This is the level at which we develop and document our methodology to determine allowance for credit losses. This loss rate is primarily based upon historical loss experience adjusted for judgments about the probable effects of relevant observable data including current economic conditions as well as delinquency trends, resolution rates, the aging of receivables, credit quality indicators and the financial health of specific customer classes or groups. The allowance for doubtful finance receivables is inherently more difficult to estimate than the allowance for trade accounts receivable because the underlying lease portfolio has an average maturity, at any time, of approximately two to three years and contains past due billed amounts, as well as unbilled amounts. We consider all available information in our quarterly assessments of the adequacy of the allowance for doubtful accounts. The identification of account-specific exposure is not a significant factor in establishing the allowance for doubtful finance receivables. Our policy and methodology used to establish our allowance for doubtful accounts has been consistently applied over all periods presented.</w:t>
      </w:r>
    </w:p>
    <w:p>
      <w:pPr>
        <w:spacing w:after="0" w:line="161"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Since our allowance for doubtful Finance receivables is determined by country, the risk characteristics in our finance receivable portfolio segments will generally be consistent with the risk factors associated with the economies of those countries/regions. The economies of the U.S., Canada and Europe continue to recover from the financial economic crises and recession which began in late 2008. Although loss rates across all our portfolio segments have declined in 2010, loss rates continue to be elevated as compared to prior years. Since Europe is composed of varied countries and regional economies, the risk profile within our European portfolio segment is somewhat more diversified due to the varying economic conditions among the countries. Credit losses have increased within southern Europe given the current economic difficulties facing the countries in this region.</w:t>
      </w:r>
    </w:p>
    <w:p>
      <w:pPr>
        <w:spacing w:after="0" w:line="155"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The following table is a rollforward of the allowance for doubtful finance receivables for the years ended December 31, 2010 and 2009, as well as the related investment in finance receivables: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4980" w:type="dxa"/>
            <w:vAlign w:val="bottom"/>
          </w:tcPr>
          <w:p>
            <w:pPr>
              <w:spacing w:after="0"/>
              <w:rPr>
                <w:sz w:val="21"/>
                <w:szCs w:val="21"/>
                <w:color w:val="auto"/>
              </w:rPr>
            </w:pPr>
          </w:p>
        </w:tc>
        <w:tc>
          <w:tcPr>
            <w:tcW w:w="1020" w:type="dxa"/>
            <w:vAlign w:val="bottom"/>
            <w:gridSpan w:val="3"/>
          </w:tcPr>
          <w:p>
            <w:pPr>
              <w:spacing w:after="0"/>
              <w:rPr>
                <w:sz w:val="20"/>
                <w:szCs w:val="20"/>
                <w:color w:val="auto"/>
              </w:rPr>
            </w:pPr>
            <w:r>
              <w:rPr>
                <w:rFonts w:ascii="Arial" w:cs="Arial" w:eastAsia="Arial" w:hAnsi="Arial"/>
                <w:sz w:val="14"/>
                <w:szCs w:val="14"/>
                <w:color w:val="auto"/>
              </w:rPr>
              <w:t>United States</w:t>
            </w:r>
          </w:p>
        </w:tc>
        <w:tc>
          <w:tcPr>
            <w:tcW w:w="640" w:type="dxa"/>
            <w:vAlign w:val="bottom"/>
            <w:gridSpan w:val="3"/>
          </w:tcPr>
          <w:p>
            <w:pPr>
              <w:ind w:left="20"/>
              <w:spacing w:after="0"/>
              <w:rPr>
                <w:sz w:val="20"/>
                <w:szCs w:val="20"/>
                <w:color w:val="auto"/>
              </w:rPr>
            </w:pPr>
            <w:r>
              <w:rPr>
                <w:rFonts w:ascii="Arial" w:cs="Arial" w:eastAsia="Arial" w:hAnsi="Arial"/>
                <w:sz w:val="14"/>
                <w:szCs w:val="14"/>
                <w:color w:val="auto"/>
              </w:rPr>
              <w:t>Canada</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w w:val="92"/>
              </w:rPr>
              <w:t>Europe</w:t>
            </w:r>
          </w:p>
        </w:tc>
        <w:tc>
          <w:tcPr>
            <w:tcW w:w="80" w:type="dxa"/>
            <w:vAlign w:val="bottom"/>
          </w:tcPr>
          <w:p>
            <w:pPr>
              <w:spacing w:after="0"/>
              <w:rPr>
                <w:sz w:val="21"/>
                <w:szCs w:val="21"/>
                <w:color w:val="auto"/>
              </w:rPr>
            </w:pPr>
          </w:p>
        </w:tc>
        <w:tc>
          <w:tcPr>
            <w:tcW w:w="620" w:type="dxa"/>
            <w:vAlign w:val="bottom"/>
            <w:gridSpan w:val="3"/>
          </w:tcPr>
          <w:p>
            <w:pPr>
              <w:spacing w:after="0"/>
              <w:rPr>
                <w:sz w:val="20"/>
                <w:szCs w:val="20"/>
                <w:color w:val="auto"/>
              </w:rPr>
            </w:pPr>
            <w:r>
              <w:rPr>
                <w:rFonts w:ascii="Arial" w:cs="Arial" w:eastAsia="Arial" w:hAnsi="Arial"/>
                <w:sz w:val="14"/>
                <w:szCs w:val="14"/>
                <w:color w:val="auto"/>
              </w:rPr>
              <w:t>Other</w:t>
            </w:r>
            <w:r>
              <w:rPr>
                <w:rFonts w:ascii="Arial" w:cs="Arial" w:eastAsia="Arial" w:hAnsi="Arial"/>
                <w:sz w:val="22"/>
                <w:szCs w:val="22"/>
                <w:color w:val="auto"/>
                <w:vertAlign w:val="superscript"/>
              </w:rPr>
              <w:t>(2)</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380" w:type="dxa"/>
            <w:vAlign w:val="bottom"/>
            <w:gridSpan w:val="2"/>
            <w:shd w:val="clear" w:color="auto" w:fill="E5E5E5"/>
          </w:tcPr>
          <w:p>
            <w:pPr>
              <w:spacing w:after="0" w:line="170" w:lineRule="exact"/>
              <w:rPr>
                <w:sz w:val="20"/>
                <w:szCs w:val="20"/>
                <w:color w:val="auto"/>
              </w:rPr>
            </w:pPr>
            <w:r>
              <w:rPr>
                <w:rFonts w:ascii="Arial" w:cs="Arial" w:eastAsia="Arial" w:hAnsi="Arial"/>
                <w:sz w:val="18"/>
                <w:szCs w:val="18"/>
                <w:b w:val="1"/>
                <w:bCs w:val="1"/>
                <w:color w:val="auto"/>
              </w:rPr>
              <w:t>Allowance for Credit Losses:</w:t>
            </w:r>
          </w:p>
        </w:tc>
        <w:tc>
          <w:tcPr>
            <w:tcW w:w="240" w:type="dxa"/>
            <w:vAlign w:val="bottom"/>
            <w:tcBorders>
              <w:top w:val="single" w:sz="8" w:color="auto"/>
            </w:tcBorders>
            <w:shd w:val="clear" w:color="auto" w:fill="E5E5E5"/>
          </w:tcPr>
          <w:p>
            <w:pPr>
              <w:spacing w:after="0"/>
              <w:rPr>
                <w:sz w:val="14"/>
                <w:szCs w:val="14"/>
                <w:color w:val="auto"/>
              </w:rPr>
            </w:pPr>
          </w:p>
        </w:tc>
        <w:tc>
          <w:tcPr>
            <w:tcW w:w="580" w:type="dxa"/>
            <w:vAlign w:val="bottom"/>
            <w:tcBorders>
              <w:top w:val="single" w:sz="8" w:color="auto"/>
            </w:tcBorders>
            <w:shd w:val="clear" w:color="auto" w:fill="E5E5E5"/>
          </w:tcPr>
          <w:p>
            <w:pPr>
              <w:spacing w:after="0"/>
              <w:rPr>
                <w:sz w:val="14"/>
                <w:szCs w:val="14"/>
                <w:color w:val="auto"/>
              </w:rPr>
            </w:pPr>
          </w:p>
        </w:tc>
        <w:tc>
          <w:tcPr>
            <w:tcW w:w="200" w:type="dxa"/>
            <w:vAlign w:val="bottom"/>
            <w:shd w:val="clear" w:color="auto" w:fill="E5E5E5"/>
          </w:tcPr>
          <w:p>
            <w:pPr>
              <w:spacing w:after="0"/>
              <w:rPr>
                <w:sz w:val="14"/>
                <w:szCs w:val="14"/>
                <w:color w:val="auto"/>
              </w:rPr>
            </w:pPr>
          </w:p>
        </w:tc>
        <w:tc>
          <w:tcPr>
            <w:tcW w:w="160" w:type="dxa"/>
            <w:vAlign w:val="bottom"/>
            <w:tcBorders>
              <w:top w:val="single" w:sz="8" w:color="auto"/>
            </w:tcBorders>
            <w:shd w:val="clear" w:color="auto" w:fill="E5E5E5"/>
          </w:tcPr>
          <w:p>
            <w:pPr>
              <w:spacing w:after="0"/>
              <w:rPr>
                <w:sz w:val="14"/>
                <w:szCs w:val="14"/>
                <w:color w:val="auto"/>
              </w:rPr>
            </w:pPr>
          </w:p>
        </w:tc>
        <w:tc>
          <w:tcPr>
            <w:tcW w:w="340" w:type="dxa"/>
            <w:vAlign w:val="bottom"/>
            <w:tcBorders>
              <w:top w:val="single" w:sz="8" w:color="auto"/>
            </w:tcBorders>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60" w:type="dxa"/>
            <w:vAlign w:val="bottom"/>
            <w:shd w:val="clear" w:color="auto" w:fill="E5E5E5"/>
          </w:tcPr>
          <w:p>
            <w:pPr>
              <w:spacing w:after="0"/>
              <w:rPr>
                <w:sz w:val="14"/>
                <w:szCs w:val="14"/>
                <w:color w:val="auto"/>
              </w:rPr>
            </w:pPr>
          </w:p>
        </w:tc>
        <w:tc>
          <w:tcPr>
            <w:tcW w:w="100" w:type="dxa"/>
            <w:vAlign w:val="bottom"/>
            <w:tcBorders>
              <w:top w:val="single" w:sz="8" w:color="auto"/>
            </w:tcBorders>
            <w:shd w:val="clear" w:color="auto" w:fill="E5E5E5"/>
          </w:tcPr>
          <w:p>
            <w:pPr>
              <w:spacing w:after="0"/>
              <w:rPr>
                <w:sz w:val="14"/>
                <w:szCs w:val="14"/>
                <w:color w:val="auto"/>
              </w:rPr>
            </w:pPr>
          </w:p>
        </w:tc>
        <w:tc>
          <w:tcPr>
            <w:tcW w:w="560" w:type="dxa"/>
            <w:vAlign w:val="bottom"/>
            <w:tcBorders>
              <w:top w:val="single" w:sz="8" w:color="auto"/>
            </w:tcBorders>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80" w:type="dxa"/>
            <w:vAlign w:val="bottom"/>
            <w:shd w:val="clear" w:color="auto" w:fill="E5E5E5"/>
          </w:tcPr>
          <w:p>
            <w:pPr>
              <w:spacing w:after="0"/>
              <w:rPr>
                <w:sz w:val="14"/>
                <w:szCs w:val="14"/>
                <w:color w:val="auto"/>
              </w:rPr>
            </w:pPr>
          </w:p>
        </w:tc>
        <w:tc>
          <w:tcPr>
            <w:tcW w:w="180" w:type="dxa"/>
            <w:vAlign w:val="bottom"/>
            <w:tcBorders>
              <w:top w:val="single" w:sz="8" w:color="auto"/>
            </w:tcBorders>
            <w:shd w:val="clear" w:color="auto" w:fill="E5E5E5"/>
          </w:tcPr>
          <w:p>
            <w:pPr>
              <w:spacing w:after="0"/>
              <w:rPr>
                <w:sz w:val="14"/>
                <w:szCs w:val="14"/>
                <w:color w:val="auto"/>
              </w:rPr>
            </w:pPr>
          </w:p>
        </w:tc>
        <w:tc>
          <w:tcPr>
            <w:tcW w:w="300" w:type="dxa"/>
            <w:vAlign w:val="bottom"/>
            <w:tcBorders>
              <w:top w:val="single" w:sz="8" w:color="auto"/>
            </w:tcBorders>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60" w:type="dxa"/>
            <w:vAlign w:val="bottom"/>
            <w:shd w:val="clear" w:color="auto" w:fill="E5E5E5"/>
          </w:tcPr>
          <w:p>
            <w:pPr>
              <w:spacing w:after="0"/>
              <w:rPr>
                <w:sz w:val="14"/>
                <w:szCs w:val="14"/>
                <w:color w:val="auto"/>
              </w:rPr>
            </w:pPr>
          </w:p>
        </w:tc>
        <w:tc>
          <w:tcPr>
            <w:tcW w:w="140" w:type="dxa"/>
            <w:vAlign w:val="bottom"/>
            <w:tcBorders>
              <w:top w:val="single" w:sz="8" w:color="auto"/>
            </w:tcBorders>
            <w:shd w:val="clear" w:color="auto" w:fill="E5E5E5"/>
          </w:tcPr>
          <w:p>
            <w:pPr>
              <w:spacing w:after="0"/>
              <w:rPr>
                <w:sz w:val="14"/>
                <w:szCs w:val="14"/>
                <w:color w:val="auto"/>
              </w:rPr>
            </w:pPr>
          </w:p>
        </w:tc>
        <w:tc>
          <w:tcPr>
            <w:tcW w:w="520" w:type="dxa"/>
            <w:vAlign w:val="bottom"/>
            <w:tcBorders>
              <w:top w:val="single" w:sz="8" w:color="auto"/>
            </w:tcBorders>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0" w:type="dxa"/>
            <w:vAlign w:val="bottom"/>
            <w:shd w:val="clear" w:color="auto" w:fill="000000"/>
          </w:tcPr>
          <w:p>
            <w:pPr>
              <w:spacing w:after="0"/>
              <w:rPr>
                <w:sz w:val="2"/>
                <w:szCs w:val="2"/>
                <w:color w:val="auto"/>
              </w:rPr>
            </w:pPr>
          </w:p>
        </w:tc>
        <w:tc>
          <w:tcPr>
            <w:tcW w:w="4980" w:type="dxa"/>
            <w:vAlign w:val="bottom"/>
            <w:shd w:val="clear" w:color="auto" w:fill="E5E5E5"/>
          </w:tcPr>
          <w:p>
            <w:pPr>
              <w:spacing w:after="0"/>
              <w:rPr>
                <w:sz w:val="2"/>
                <w:szCs w:val="2"/>
                <w:color w:val="auto"/>
              </w:rPr>
            </w:pPr>
          </w:p>
        </w:tc>
        <w:tc>
          <w:tcPr>
            <w:tcW w:w="240" w:type="dxa"/>
            <w:vAlign w:val="bottom"/>
            <w:shd w:val="clear" w:color="auto" w:fill="E5E5E5"/>
          </w:tcPr>
          <w:p>
            <w:pPr>
              <w:spacing w:after="0"/>
              <w:rPr>
                <w:sz w:val="2"/>
                <w:szCs w:val="2"/>
                <w:color w:val="auto"/>
              </w:rPr>
            </w:pPr>
          </w:p>
        </w:tc>
        <w:tc>
          <w:tcPr>
            <w:tcW w:w="580" w:type="dxa"/>
            <w:vAlign w:val="bottom"/>
            <w:shd w:val="clear" w:color="auto" w:fill="E5E5E5"/>
          </w:tcPr>
          <w:p>
            <w:pPr>
              <w:spacing w:after="0"/>
              <w:rPr>
                <w:sz w:val="2"/>
                <w:szCs w:val="2"/>
                <w:color w:val="auto"/>
              </w:rPr>
            </w:pPr>
          </w:p>
        </w:tc>
        <w:tc>
          <w:tcPr>
            <w:tcW w:w="200" w:type="dxa"/>
            <w:vAlign w:val="bottom"/>
            <w:shd w:val="clear" w:color="auto" w:fill="E5E5E5"/>
          </w:tcPr>
          <w:p>
            <w:pPr>
              <w:spacing w:after="0"/>
              <w:rPr>
                <w:sz w:val="2"/>
                <w:szCs w:val="2"/>
                <w:color w:val="auto"/>
              </w:rPr>
            </w:pPr>
          </w:p>
        </w:tc>
        <w:tc>
          <w:tcPr>
            <w:tcW w:w="160" w:type="dxa"/>
            <w:vAlign w:val="bottom"/>
            <w:shd w:val="clear" w:color="auto" w:fill="E5E5E5"/>
          </w:tcPr>
          <w:p>
            <w:pPr>
              <w:spacing w:after="0"/>
              <w:rPr>
                <w:sz w:val="2"/>
                <w:szCs w:val="2"/>
                <w:color w:val="auto"/>
              </w:rPr>
            </w:pPr>
          </w:p>
        </w:tc>
        <w:tc>
          <w:tcPr>
            <w:tcW w:w="340" w:type="dxa"/>
            <w:vAlign w:val="bottom"/>
            <w:shd w:val="clear" w:color="auto" w:fill="E5E5E5"/>
          </w:tcPr>
          <w:p>
            <w:pPr>
              <w:spacing w:after="0"/>
              <w:rPr>
                <w:sz w:val="2"/>
                <w:szCs w:val="2"/>
                <w:color w:val="auto"/>
              </w:rPr>
            </w:pPr>
          </w:p>
        </w:tc>
        <w:tc>
          <w:tcPr>
            <w:tcW w:w="140" w:type="dxa"/>
            <w:vAlign w:val="bottom"/>
            <w:shd w:val="clear" w:color="auto" w:fill="E5E5E5"/>
          </w:tcPr>
          <w:p>
            <w:pPr>
              <w:spacing w:after="0"/>
              <w:rPr>
                <w:sz w:val="2"/>
                <w:szCs w:val="2"/>
                <w:color w:val="auto"/>
              </w:rPr>
            </w:pPr>
          </w:p>
        </w:tc>
        <w:tc>
          <w:tcPr>
            <w:tcW w:w="60" w:type="dxa"/>
            <w:vAlign w:val="bottom"/>
            <w:shd w:val="clear" w:color="auto" w:fill="E5E5E5"/>
          </w:tcPr>
          <w:p>
            <w:pPr>
              <w:spacing w:after="0"/>
              <w:rPr>
                <w:sz w:val="2"/>
                <w:szCs w:val="2"/>
                <w:color w:val="auto"/>
              </w:rPr>
            </w:pPr>
          </w:p>
        </w:tc>
        <w:tc>
          <w:tcPr>
            <w:tcW w:w="100" w:type="dxa"/>
            <w:vAlign w:val="bottom"/>
            <w:shd w:val="clear" w:color="auto" w:fill="E5E5E5"/>
          </w:tcPr>
          <w:p>
            <w:pPr>
              <w:spacing w:after="0"/>
              <w:rPr>
                <w:sz w:val="2"/>
                <w:szCs w:val="2"/>
                <w:color w:val="auto"/>
              </w:rPr>
            </w:pPr>
          </w:p>
        </w:tc>
        <w:tc>
          <w:tcPr>
            <w:tcW w:w="560" w:type="dxa"/>
            <w:vAlign w:val="bottom"/>
            <w:shd w:val="clear" w:color="auto" w:fill="E5E5E5"/>
          </w:tcPr>
          <w:p>
            <w:pPr>
              <w:spacing w:after="0"/>
              <w:rPr>
                <w:sz w:val="2"/>
                <w:szCs w:val="2"/>
                <w:color w:val="auto"/>
              </w:rPr>
            </w:pPr>
          </w:p>
        </w:tc>
        <w:tc>
          <w:tcPr>
            <w:tcW w:w="120" w:type="dxa"/>
            <w:vAlign w:val="bottom"/>
            <w:shd w:val="clear" w:color="auto" w:fill="E5E5E5"/>
          </w:tcPr>
          <w:p>
            <w:pPr>
              <w:spacing w:after="0"/>
              <w:rPr>
                <w:sz w:val="2"/>
                <w:szCs w:val="2"/>
                <w:color w:val="auto"/>
              </w:rPr>
            </w:pPr>
          </w:p>
        </w:tc>
        <w:tc>
          <w:tcPr>
            <w:tcW w:w="80" w:type="dxa"/>
            <w:vAlign w:val="bottom"/>
            <w:shd w:val="clear" w:color="auto" w:fill="E5E5E5"/>
          </w:tcPr>
          <w:p>
            <w:pPr>
              <w:spacing w:after="0"/>
              <w:rPr>
                <w:sz w:val="2"/>
                <w:szCs w:val="2"/>
                <w:color w:val="auto"/>
              </w:rPr>
            </w:pPr>
          </w:p>
        </w:tc>
        <w:tc>
          <w:tcPr>
            <w:tcW w:w="180" w:type="dxa"/>
            <w:vAlign w:val="bottom"/>
            <w:shd w:val="clear" w:color="auto" w:fill="E5E5E5"/>
          </w:tcPr>
          <w:p>
            <w:pPr>
              <w:spacing w:after="0"/>
              <w:rPr>
                <w:sz w:val="2"/>
                <w:szCs w:val="2"/>
                <w:color w:val="auto"/>
              </w:rPr>
            </w:pPr>
          </w:p>
        </w:tc>
        <w:tc>
          <w:tcPr>
            <w:tcW w:w="300" w:type="dxa"/>
            <w:vAlign w:val="bottom"/>
            <w:shd w:val="clear" w:color="auto" w:fill="E5E5E5"/>
          </w:tcPr>
          <w:p>
            <w:pPr>
              <w:spacing w:after="0"/>
              <w:rPr>
                <w:sz w:val="2"/>
                <w:szCs w:val="2"/>
                <w:color w:val="auto"/>
              </w:rPr>
            </w:pPr>
          </w:p>
        </w:tc>
        <w:tc>
          <w:tcPr>
            <w:tcW w:w="140" w:type="dxa"/>
            <w:vAlign w:val="bottom"/>
            <w:shd w:val="clear" w:color="auto" w:fill="E5E5E5"/>
          </w:tcPr>
          <w:p>
            <w:pPr>
              <w:spacing w:after="0"/>
              <w:rPr>
                <w:sz w:val="2"/>
                <w:szCs w:val="2"/>
                <w:color w:val="auto"/>
              </w:rPr>
            </w:pPr>
          </w:p>
        </w:tc>
        <w:tc>
          <w:tcPr>
            <w:tcW w:w="60" w:type="dxa"/>
            <w:vAlign w:val="bottom"/>
            <w:shd w:val="clear" w:color="auto" w:fill="E5E5E5"/>
          </w:tcPr>
          <w:p>
            <w:pPr>
              <w:spacing w:after="0"/>
              <w:rPr>
                <w:sz w:val="2"/>
                <w:szCs w:val="2"/>
                <w:color w:val="auto"/>
              </w:rPr>
            </w:pPr>
          </w:p>
        </w:tc>
        <w:tc>
          <w:tcPr>
            <w:tcW w:w="140" w:type="dxa"/>
            <w:vAlign w:val="bottom"/>
            <w:shd w:val="clear" w:color="auto" w:fill="E5E5E5"/>
          </w:tcPr>
          <w:p>
            <w:pPr>
              <w:spacing w:after="0"/>
              <w:rPr>
                <w:sz w:val="2"/>
                <w:szCs w:val="2"/>
                <w:color w:val="auto"/>
              </w:rPr>
            </w:pPr>
          </w:p>
        </w:tc>
        <w:tc>
          <w:tcPr>
            <w:tcW w:w="520" w:type="dxa"/>
            <w:vAlign w:val="bottom"/>
            <w:shd w:val="clear" w:color="auto" w:fill="E5E5E5"/>
          </w:tcPr>
          <w:p>
            <w:pPr>
              <w:spacing w:after="0"/>
              <w:rPr>
                <w:sz w:val="2"/>
                <w:szCs w:val="2"/>
                <w:color w:val="auto"/>
              </w:rPr>
            </w:pPr>
          </w:p>
        </w:tc>
        <w:tc>
          <w:tcPr>
            <w:tcW w:w="100" w:type="dxa"/>
            <w:vAlign w:val="bottom"/>
            <w:shd w:val="clear" w:color="auto" w:fill="E5E5E5"/>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1"/>
        </w:trPr>
        <w:tc>
          <w:tcPr>
            <w:tcW w:w="7400" w:type="dxa"/>
            <w:vAlign w:val="bottom"/>
            <w:gridSpan w:val="3"/>
          </w:tcPr>
          <w:p>
            <w:pPr>
              <w:spacing w:after="0"/>
              <w:rPr>
                <w:sz w:val="20"/>
                <w:szCs w:val="20"/>
                <w:color w:val="auto"/>
              </w:rPr>
            </w:pPr>
            <w:r>
              <w:rPr>
                <w:rFonts w:ascii="Arial" w:cs="Arial" w:eastAsia="Arial" w:hAnsi="Arial"/>
                <w:sz w:val="18"/>
                <w:szCs w:val="18"/>
                <w:b w:val="1"/>
                <w:bCs w:val="1"/>
                <w:color w:val="auto"/>
              </w:rPr>
              <w:t>Balance December 31, 2008</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93</w:t>
            </w:r>
          </w:p>
        </w:tc>
        <w:tc>
          <w:tcPr>
            <w:tcW w:w="2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78</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gridSpan w:val="2"/>
            <w:shd w:val="clear" w:color="auto" w:fill="E5E5E5"/>
          </w:tcPr>
          <w:p>
            <w:pPr>
              <w:ind w:left="180"/>
              <w:spacing w:after="0" w:line="202" w:lineRule="exact"/>
              <w:rPr>
                <w:sz w:val="20"/>
                <w:szCs w:val="20"/>
                <w:color w:val="auto"/>
              </w:rPr>
            </w:pPr>
            <w:r>
              <w:rPr>
                <w:rFonts w:ascii="Arial" w:cs="Arial" w:eastAsia="Arial" w:hAnsi="Arial"/>
                <w:sz w:val="18"/>
                <w:szCs w:val="18"/>
                <w:color w:val="auto"/>
              </w:rPr>
              <w:t>Provision</w:t>
            </w:r>
          </w:p>
        </w:tc>
        <w:tc>
          <w:tcPr>
            <w:tcW w:w="240" w:type="dxa"/>
            <w:vAlign w:val="bottom"/>
            <w:shd w:val="clear" w:color="auto" w:fill="E5E5E5"/>
          </w:tcPr>
          <w:p>
            <w:pPr>
              <w:spacing w:after="0"/>
              <w:rPr>
                <w:sz w:val="17"/>
                <w:szCs w:val="17"/>
                <w:color w:val="auto"/>
              </w:rPr>
            </w:pPr>
          </w:p>
        </w:tc>
        <w:tc>
          <w:tcPr>
            <w:tcW w:w="5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77</w:t>
            </w:r>
          </w:p>
        </w:tc>
        <w:tc>
          <w:tcPr>
            <w:tcW w:w="2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48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21</w:t>
            </w:r>
          </w:p>
        </w:tc>
        <w:tc>
          <w:tcPr>
            <w:tcW w:w="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6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78</w:t>
            </w:r>
          </w:p>
        </w:tc>
        <w:tc>
          <w:tcPr>
            <w:tcW w:w="8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44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1</w:t>
            </w:r>
          </w:p>
        </w:tc>
        <w:tc>
          <w:tcPr>
            <w:tcW w:w="6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5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177</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Charge-offs</w:t>
            </w:r>
          </w:p>
        </w:tc>
        <w:tc>
          <w:tcPr>
            <w:tcW w:w="240" w:type="dxa"/>
            <w:vAlign w:val="bottom"/>
          </w:tcPr>
          <w:p>
            <w:pPr>
              <w:spacing w:after="0"/>
              <w:rPr>
                <w:sz w:val="17"/>
                <w:szCs w:val="17"/>
                <w:color w:val="auto"/>
              </w:rPr>
            </w:pPr>
          </w:p>
        </w:tc>
        <w:tc>
          <w:tcPr>
            <w:tcW w:w="7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(79)</w:t>
            </w:r>
          </w:p>
        </w:tc>
        <w:tc>
          <w:tcPr>
            <w:tcW w:w="160" w:type="dxa"/>
            <w:vAlign w:val="bottom"/>
          </w:tcPr>
          <w:p>
            <w:pPr>
              <w:spacing w:after="0"/>
              <w:rPr>
                <w:sz w:val="17"/>
                <w:szCs w:val="17"/>
                <w:color w:val="auto"/>
              </w:rPr>
            </w:pPr>
          </w:p>
        </w:tc>
        <w:tc>
          <w:tcPr>
            <w:tcW w:w="4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(19)</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gridSpan w:val="2"/>
            <w:shd w:val="clear" w:color="auto" w:fill="E5E5E5"/>
          </w:tcPr>
          <w:p>
            <w:pPr>
              <w:ind w:left="180"/>
              <w:spacing w:after="0" w:line="203" w:lineRule="exact"/>
              <w:rPr>
                <w:sz w:val="20"/>
                <w:szCs w:val="20"/>
                <w:color w:val="auto"/>
              </w:rPr>
            </w:pPr>
            <w:r>
              <w:rPr>
                <w:rFonts w:ascii="Arial" w:cs="Arial" w:eastAsia="Arial" w:hAnsi="Arial"/>
                <w:sz w:val="18"/>
                <w:szCs w:val="18"/>
                <w:color w:val="auto"/>
              </w:rPr>
              <w:t>Recoveries and other</w:t>
            </w:r>
            <w:r>
              <w:rPr>
                <w:rFonts w:ascii="Arial" w:cs="Arial" w:eastAsia="Arial" w:hAnsi="Arial"/>
                <w:sz w:val="22"/>
                <w:szCs w:val="22"/>
                <w:color w:val="auto"/>
                <w:vertAlign w:val="superscript"/>
              </w:rPr>
              <w:t>(1)</w:t>
            </w:r>
          </w:p>
        </w:tc>
        <w:tc>
          <w:tcPr>
            <w:tcW w:w="240" w:type="dxa"/>
            <w:vAlign w:val="bottom"/>
            <w:shd w:val="clear" w:color="auto" w:fill="E5E5E5"/>
          </w:tcPr>
          <w:p>
            <w:pPr>
              <w:spacing w:after="0"/>
              <w:rPr>
                <w:sz w:val="17"/>
                <w:szCs w:val="17"/>
                <w:color w:val="auto"/>
              </w:rPr>
            </w:pPr>
          </w:p>
        </w:tc>
        <w:tc>
          <w:tcPr>
            <w:tcW w:w="5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8</w:t>
            </w:r>
          </w:p>
        </w:tc>
        <w:tc>
          <w:tcPr>
            <w:tcW w:w="2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48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7</w:t>
            </w:r>
          </w:p>
        </w:tc>
        <w:tc>
          <w:tcPr>
            <w:tcW w:w="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6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4</w:t>
            </w:r>
          </w:p>
        </w:tc>
        <w:tc>
          <w:tcPr>
            <w:tcW w:w="8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44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(1)</w:t>
            </w:r>
          </w:p>
        </w:tc>
        <w:tc>
          <w:tcPr>
            <w:tcW w:w="6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6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74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Balance December 31, 2009</w:t>
            </w: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0" w:type="dxa"/>
            <w:vAlign w:val="bottom"/>
            <w:gridSpan w:val="3"/>
            <w:vMerge w:val="continue"/>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99</w:t>
            </w:r>
          </w:p>
        </w:tc>
        <w:tc>
          <w:tcPr>
            <w:tcW w:w="2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87</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gridSpan w:val="2"/>
            <w:shd w:val="clear" w:color="auto" w:fill="E5E5E5"/>
          </w:tcPr>
          <w:p>
            <w:pPr>
              <w:ind w:left="180"/>
              <w:spacing w:after="0" w:line="202" w:lineRule="exact"/>
              <w:rPr>
                <w:sz w:val="20"/>
                <w:szCs w:val="20"/>
                <w:color w:val="auto"/>
              </w:rPr>
            </w:pPr>
            <w:r>
              <w:rPr>
                <w:rFonts w:ascii="Arial" w:cs="Arial" w:eastAsia="Arial" w:hAnsi="Arial"/>
                <w:sz w:val="18"/>
                <w:szCs w:val="18"/>
                <w:color w:val="auto"/>
              </w:rPr>
              <w:t>Provision</w:t>
            </w:r>
          </w:p>
        </w:tc>
        <w:tc>
          <w:tcPr>
            <w:tcW w:w="240" w:type="dxa"/>
            <w:vAlign w:val="bottom"/>
            <w:shd w:val="clear" w:color="auto" w:fill="E5E5E5"/>
          </w:tcPr>
          <w:p>
            <w:pPr>
              <w:spacing w:after="0"/>
              <w:rPr>
                <w:sz w:val="17"/>
                <w:szCs w:val="17"/>
                <w:color w:val="auto"/>
              </w:rPr>
            </w:pPr>
          </w:p>
        </w:tc>
        <w:tc>
          <w:tcPr>
            <w:tcW w:w="5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47</w:t>
            </w:r>
          </w:p>
        </w:tc>
        <w:tc>
          <w:tcPr>
            <w:tcW w:w="2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48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22</w:t>
            </w:r>
          </w:p>
        </w:tc>
        <w:tc>
          <w:tcPr>
            <w:tcW w:w="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6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59</w:t>
            </w:r>
          </w:p>
        </w:tc>
        <w:tc>
          <w:tcPr>
            <w:tcW w:w="8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44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5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128</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Charge-offs</w:t>
            </w:r>
          </w:p>
        </w:tc>
        <w:tc>
          <w:tcPr>
            <w:tcW w:w="240" w:type="dxa"/>
            <w:vAlign w:val="bottom"/>
          </w:tcPr>
          <w:p>
            <w:pPr>
              <w:spacing w:after="0"/>
              <w:rPr>
                <w:sz w:val="17"/>
                <w:szCs w:val="17"/>
                <w:color w:val="auto"/>
              </w:rPr>
            </w:pPr>
          </w:p>
        </w:tc>
        <w:tc>
          <w:tcPr>
            <w:tcW w:w="7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(58)</w:t>
            </w:r>
          </w:p>
        </w:tc>
        <w:tc>
          <w:tcPr>
            <w:tcW w:w="160" w:type="dxa"/>
            <w:vAlign w:val="bottom"/>
          </w:tcPr>
          <w:p>
            <w:pPr>
              <w:spacing w:after="0"/>
              <w:rPr>
                <w:sz w:val="17"/>
                <w:szCs w:val="17"/>
                <w:color w:val="auto"/>
              </w:rPr>
            </w:pPr>
          </w:p>
        </w:tc>
        <w:tc>
          <w:tcPr>
            <w:tcW w:w="4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(23)</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gridSpan w:val="2"/>
            <w:shd w:val="clear" w:color="auto" w:fill="E5E5E5"/>
          </w:tcPr>
          <w:p>
            <w:pPr>
              <w:ind w:left="180"/>
              <w:spacing w:after="0" w:line="203" w:lineRule="exact"/>
              <w:rPr>
                <w:sz w:val="20"/>
                <w:szCs w:val="20"/>
                <w:color w:val="auto"/>
              </w:rPr>
            </w:pPr>
            <w:r>
              <w:rPr>
                <w:rFonts w:ascii="Arial" w:cs="Arial" w:eastAsia="Arial" w:hAnsi="Arial"/>
                <w:sz w:val="18"/>
                <w:szCs w:val="18"/>
                <w:color w:val="auto"/>
              </w:rPr>
              <w:t>Recoveries and other</w:t>
            </w:r>
            <w:r>
              <w:rPr>
                <w:rFonts w:ascii="Arial" w:cs="Arial" w:eastAsia="Arial" w:hAnsi="Arial"/>
                <w:sz w:val="22"/>
                <w:szCs w:val="22"/>
                <w:color w:val="auto"/>
                <w:vertAlign w:val="superscript"/>
              </w:rPr>
              <w:t>(1)</w:t>
            </w:r>
          </w:p>
        </w:tc>
        <w:tc>
          <w:tcPr>
            <w:tcW w:w="240" w:type="dxa"/>
            <w:vAlign w:val="bottom"/>
            <w:shd w:val="clear" w:color="auto" w:fill="E5E5E5"/>
          </w:tcPr>
          <w:p>
            <w:pPr>
              <w:spacing w:after="0"/>
              <w:rPr>
                <w:sz w:val="17"/>
                <w:szCs w:val="17"/>
                <w:color w:val="auto"/>
              </w:rPr>
            </w:pPr>
          </w:p>
        </w:tc>
        <w:tc>
          <w:tcPr>
            <w:tcW w:w="5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w:t>
            </w:r>
          </w:p>
        </w:tc>
        <w:tc>
          <w:tcPr>
            <w:tcW w:w="2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48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5</w:t>
            </w:r>
          </w:p>
        </w:tc>
        <w:tc>
          <w:tcPr>
            <w:tcW w:w="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68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(6)</w:t>
            </w:r>
          </w:p>
        </w:tc>
        <w:tc>
          <w:tcPr>
            <w:tcW w:w="8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44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6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4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Balance December 31, 2010</w:t>
            </w: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0" w:type="dxa"/>
            <w:vAlign w:val="bottom"/>
            <w:gridSpan w:val="3"/>
            <w:vMerge w:val="continue"/>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91</w:t>
            </w:r>
          </w:p>
        </w:tc>
        <w:tc>
          <w:tcPr>
            <w:tcW w:w="2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37</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81</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2400" w:type="dxa"/>
            <w:vAlign w:val="bottom"/>
          </w:tcPr>
          <w:p>
            <w:pPr>
              <w:spacing w:after="0"/>
              <w:rPr>
                <w:sz w:val="8"/>
                <w:szCs w:val="8"/>
                <w:color w:val="auto"/>
              </w:rPr>
            </w:pPr>
          </w:p>
        </w:tc>
        <w:tc>
          <w:tcPr>
            <w:tcW w:w="49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8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Finance receivables collectively evaluated for impairment:</w:t>
            </w:r>
          </w:p>
        </w:tc>
        <w:tc>
          <w:tcPr>
            <w:tcW w:w="24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56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5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December 31, 2009</w:t>
            </w:r>
          </w:p>
        </w:tc>
        <w:tc>
          <w:tcPr>
            <w:tcW w:w="2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3,474</w:t>
            </w:r>
          </w:p>
        </w:tc>
        <w:tc>
          <w:tcPr>
            <w:tcW w:w="200" w:type="dxa"/>
            <w:vAlign w:val="bottom"/>
          </w:tcPr>
          <w:p>
            <w:pPr>
              <w:spacing w:after="0"/>
              <w:rPr>
                <w:sz w:val="17"/>
                <w:szCs w:val="17"/>
                <w:color w:val="auto"/>
              </w:rPr>
            </w:pPr>
          </w:p>
        </w:tc>
        <w:tc>
          <w:tcPr>
            <w:tcW w:w="1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873</w:t>
            </w:r>
          </w:p>
        </w:tc>
        <w:tc>
          <w:tcPr>
            <w:tcW w:w="140" w:type="dxa"/>
            <w:vAlign w:val="bottom"/>
          </w:tcPr>
          <w:p>
            <w:pPr>
              <w:spacing w:after="0"/>
              <w:rPr>
                <w:sz w:val="17"/>
                <w:szCs w:val="17"/>
                <w:color w:val="auto"/>
              </w:rPr>
            </w:pPr>
          </w:p>
        </w:tc>
        <w:tc>
          <w:tcPr>
            <w:tcW w:w="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2,832</w:t>
            </w:r>
          </w:p>
        </w:tc>
        <w:tc>
          <w:tcPr>
            <w:tcW w:w="26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51</w:t>
            </w:r>
          </w:p>
        </w:tc>
        <w:tc>
          <w:tcPr>
            <w:tcW w:w="2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7,230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gridSpan w:val="2"/>
            <w:shd w:val="clear" w:color="auto" w:fill="E5E5E5"/>
          </w:tcPr>
          <w:p>
            <w:pPr>
              <w:ind w:left="180"/>
              <w:spacing w:after="0" w:line="202" w:lineRule="exact"/>
              <w:rPr>
                <w:sz w:val="20"/>
                <w:szCs w:val="20"/>
                <w:color w:val="auto"/>
              </w:rPr>
            </w:pPr>
            <w:r>
              <w:rPr>
                <w:rFonts w:ascii="Arial" w:cs="Arial" w:eastAsia="Arial" w:hAnsi="Arial"/>
                <w:sz w:val="18"/>
                <w:szCs w:val="18"/>
                <w:color w:val="auto"/>
              </w:rPr>
              <w:t>December 31, 2010</w:t>
            </w:r>
          </w:p>
        </w:tc>
        <w:tc>
          <w:tcPr>
            <w:tcW w:w="2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3,177</w:t>
            </w:r>
          </w:p>
        </w:tc>
        <w:tc>
          <w:tcPr>
            <w:tcW w:w="2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w:t>
            </w:r>
          </w:p>
        </w:tc>
        <w:tc>
          <w:tcPr>
            <w:tcW w:w="48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872</w:t>
            </w:r>
          </w:p>
        </w:tc>
        <w:tc>
          <w:tcPr>
            <w:tcW w:w="16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2,706</w:t>
            </w:r>
          </w:p>
        </w:tc>
        <w:tc>
          <w:tcPr>
            <w:tcW w:w="120" w:type="dxa"/>
            <w:vAlign w:val="bottom"/>
            <w:shd w:val="clear" w:color="auto" w:fill="E5E5E5"/>
          </w:tcPr>
          <w:p>
            <w:pPr>
              <w:spacing w:after="0"/>
              <w:rPr>
                <w:sz w:val="17"/>
                <w:szCs w:val="17"/>
                <w:color w:val="auto"/>
              </w:rPr>
            </w:pPr>
          </w:p>
        </w:tc>
        <w:tc>
          <w:tcPr>
            <w:tcW w:w="260" w:type="dxa"/>
            <w:vAlign w:val="bottom"/>
            <w:gridSpan w:val="2"/>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44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66</w:t>
            </w:r>
          </w:p>
        </w:tc>
        <w:tc>
          <w:tcPr>
            <w:tcW w:w="20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6,821</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8" w:lineRule="exact"/>
        <w:rPr>
          <w:sz w:val="20"/>
          <w:szCs w:val="20"/>
          <w:color w:val="auto"/>
        </w:rPr>
      </w:pPr>
    </w:p>
    <w:p>
      <w:pPr>
        <w:ind w:left="340" w:right="740" w:hanging="332"/>
        <w:spacing w:after="0" w:line="221" w:lineRule="auto"/>
        <w:tabs>
          <w:tab w:leader="none" w:pos="340" w:val="left"/>
        </w:tabs>
        <w:numPr>
          <w:ilvl w:val="0"/>
          <w:numId w:val="150"/>
        </w:numPr>
        <w:rPr>
          <w:rFonts w:ascii="Arial" w:cs="Arial" w:eastAsia="Arial" w:hAnsi="Arial"/>
          <w:sz w:val="14"/>
          <w:szCs w:val="14"/>
          <w:color w:val="auto"/>
        </w:rPr>
      </w:pPr>
      <w:r>
        <w:rPr>
          <w:rFonts w:ascii="Arial" w:cs="Arial" w:eastAsia="Arial" w:hAnsi="Arial"/>
          <w:sz w:val="14"/>
          <w:szCs w:val="14"/>
          <w:color w:val="auto"/>
        </w:rPr>
        <w:t>Includes the impacts of foreign currency translation and adjustments to reserves necessary to reflect events of non-payment such as customer accommodations and contract terminations.</w:t>
      </w:r>
    </w:p>
    <w:p>
      <w:pPr>
        <w:ind w:left="340" w:hanging="332"/>
        <w:spacing w:after="0"/>
        <w:tabs>
          <w:tab w:leader="none" w:pos="340" w:val="left"/>
        </w:tabs>
        <w:numPr>
          <w:ilvl w:val="0"/>
          <w:numId w:val="150"/>
        </w:numPr>
        <w:rPr>
          <w:rFonts w:ascii="Arial" w:cs="Arial" w:eastAsia="Arial" w:hAnsi="Arial"/>
          <w:sz w:val="14"/>
          <w:szCs w:val="14"/>
          <w:color w:val="auto"/>
        </w:rPr>
      </w:pPr>
      <w:r>
        <w:rPr>
          <w:rFonts w:ascii="Arial" w:cs="Arial" w:eastAsia="Arial" w:hAnsi="Arial"/>
          <w:sz w:val="14"/>
          <w:szCs w:val="14"/>
          <w:color w:val="auto"/>
        </w:rPr>
        <w:t>Includes developing market countries and smaller units.</w:t>
      </w:r>
    </w:p>
    <w:p>
      <w:pPr>
        <w:spacing w:after="0" w:line="153"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In the U.S. and Canada, customers are further evaluated or segregated by class based on industry sector. The primary customer classes are Finance &amp; Other Services, Government &amp; Education; Graphic Arts; Industrial; Healthcare and Other. In Europe, customers are further grouped by class based on the country or region of the customer. The primary customer classes include the U.K./Ireland, France and the following European regions - Central, Nordic and Southern. These groupings or classes are used to understand the nature and extent of our exposure to credit risk arising from finance receivables.</w:t>
      </w:r>
    </w:p>
    <w:p>
      <w:pPr>
        <w:spacing w:after="0" w:line="140" w:lineRule="exact"/>
        <w:rPr>
          <w:sz w:val="20"/>
          <w:szCs w:val="20"/>
          <w:color w:val="auto"/>
        </w:rPr>
      </w:pPr>
    </w:p>
    <w:p>
      <w:pPr>
        <w:ind w:left="9600"/>
        <w:spacing w:after="0"/>
        <w:rPr>
          <w:sz w:val="20"/>
          <w:szCs w:val="20"/>
          <w:color w:val="auto"/>
        </w:rPr>
      </w:pPr>
      <w:r>
        <w:rPr>
          <w:rFonts w:ascii="Arial" w:cs="Arial" w:eastAsia="Arial" w:hAnsi="Arial"/>
          <w:sz w:val="12"/>
          <w:szCs w:val="12"/>
          <w:color w:val="4C9F40"/>
        </w:rPr>
        <w:t>Xerox 2010 Annual Report 60</w:t>
      </w:r>
    </w:p>
    <w:p>
      <w:pPr>
        <w:sectPr>
          <w:pgSz w:w="11900" w:h="16838" w:orient="portrait"/>
          <w:cols w:equalWidth="0" w:num="1">
            <w:col w:w="11420"/>
          </w:cols>
          <w:pgMar w:left="240" w:top="345" w:right="2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 evaluate our customers based on the following credit quality indicators:</w:t>
      </w:r>
    </w:p>
    <w:p>
      <w:pPr>
        <w:spacing w:after="0" w:line="176" w:lineRule="exact"/>
        <w:rPr>
          <w:sz w:val="20"/>
          <w:szCs w:val="20"/>
          <w:color w:val="auto"/>
        </w:rPr>
      </w:pPr>
    </w:p>
    <w:p>
      <w:pPr>
        <w:ind w:left="340" w:right="340" w:hanging="332"/>
        <w:spacing w:after="0" w:line="241" w:lineRule="auto"/>
        <w:tabs>
          <w:tab w:leader="none" w:pos="340" w:val="left"/>
        </w:tabs>
        <w:numPr>
          <w:ilvl w:val="0"/>
          <w:numId w:val="151"/>
        </w:numPr>
        <w:rPr>
          <w:rFonts w:ascii="Arial" w:cs="Arial" w:eastAsia="Arial" w:hAnsi="Arial"/>
          <w:sz w:val="18"/>
          <w:szCs w:val="18"/>
          <w:color w:val="auto"/>
        </w:rPr>
      </w:pPr>
      <w:r>
        <w:rPr>
          <w:rFonts w:ascii="Arial" w:cs="Arial" w:eastAsia="Arial" w:hAnsi="Arial"/>
          <w:sz w:val="18"/>
          <w:szCs w:val="18"/>
          <w:b w:val="1"/>
          <w:bCs w:val="1"/>
          <w:color w:val="4C9F40"/>
        </w:rPr>
        <w:t xml:space="preserve">Investment grade: </w:t>
      </w:r>
      <w:r>
        <w:rPr>
          <w:rFonts w:ascii="Arial" w:cs="Arial" w:eastAsia="Arial" w:hAnsi="Arial"/>
          <w:sz w:val="18"/>
          <w:szCs w:val="18"/>
          <w:color w:val="000000"/>
        </w:rPr>
        <w:t>This rating includes accounts with excellent to good business credit, asset quality and the capacity to meet financial</w:t>
      </w:r>
      <w:r>
        <w:rPr>
          <w:rFonts w:ascii="Arial" w:cs="Arial" w:eastAsia="Arial" w:hAnsi="Arial"/>
          <w:sz w:val="18"/>
          <w:szCs w:val="18"/>
          <w:b w:val="1"/>
          <w:bCs w:val="1"/>
          <w:color w:val="4C9F40"/>
        </w:rPr>
        <w:t xml:space="preserve"> </w:t>
      </w:r>
      <w:r>
        <w:rPr>
          <w:rFonts w:ascii="Arial" w:cs="Arial" w:eastAsia="Arial" w:hAnsi="Arial"/>
          <w:sz w:val="18"/>
          <w:szCs w:val="18"/>
          <w:color w:val="000000"/>
        </w:rPr>
        <w:t>obligations. These customers are less susceptible to adverse effects due to shifts in economic conditions or changes in circumstance. The rating generally equates to a Standard &amp; Poors (S&amp;P) rating of BBB- or better. Loss rates in this category are normally minimal at less than 1%.</w:t>
      </w:r>
    </w:p>
    <w:p>
      <w:pPr>
        <w:ind w:left="340" w:right="220" w:hanging="332"/>
        <w:spacing w:after="0" w:line="234" w:lineRule="auto"/>
        <w:tabs>
          <w:tab w:leader="none" w:pos="340" w:val="left"/>
        </w:tabs>
        <w:numPr>
          <w:ilvl w:val="0"/>
          <w:numId w:val="151"/>
        </w:numPr>
        <w:rPr>
          <w:rFonts w:ascii="Arial" w:cs="Arial" w:eastAsia="Arial" w:hAnsi="Arial"/>
          <w:sz w:val="18"/>
          <w:szCs w:val="18"/>
          <w:color w:val="auto"/>
        </w:rPr>
      </w:pPr>
      <w:r>
        <w:rPr>
          <w:rFonts w:ascii="Arial" w:cs="Arial" w:eastAsia="Arial" w:hAnsi="Arial"/>
          <w:sz w:val="18"/>
          <w:szCs w:val="18"/>
          <w:b w:val="1"/>
          <w:bCs w:val="1"/>
          <w:color w:val="4C9F40"/>
        </w:rPr>
        <w:t xml:space="preserve">Non-investment grade: </w:t>
      </w:r>
      <w:r>
        <w:rPr>
          <w:rFonts w:ascii="Arial" w:cs="Arial" w:eastAsia="Arial" w:hAnsi="Arial"/>
          <w:sz w:val="18"/>
          <w:szCs w:val="18"/>
          <w:color w:val="000000"/>
        </w:rPr>
        <w:t>This rating includes accounts with average credit risk that are more susceptible to loss in the event of adverse</w:t>
      </w:r>
      <w:r>
        <w:rPr>
          <w:rFonts w:ascii="Arial" w:cs="Arial" w:eastAsia="Arial" w:hAnsi="Arial"/>
          <w:sz w:val="18"/>
          <w:szCs w:val="18"/>
          <w:b w:val="1"/>
          <w:bCs w:val="1"/>
          <w:color w:val="4C9F40"/>
        </w:rPr>
        <w:t xml:space="preserve"> </w:t>
      </w:r>
      <w:r>
        <w:rPr>
          <w:rFonts w:ascii="Arial" w:cs="Arial" w:eastAsia="Arial" w:hAnsi="Arial"/>
          <w:sz w:val="18"/>
          <w:szCs w:val="18"/>
          <w:color w:val="000000"/>
        </w:rPr>
        <w:t>business or economic conditions. This rating generally equates to a S&amp;P rating below BBB-. Although we experience higher loss rates associated with this customer class, we believe the risk is somewhat mitigated by the fact that our leases are fairly well dispersed across a large and diverse customer base. In addition, the higher loss rates are largely offset by the higher rates of return we obtain with such leases. Loss rates in this category are generally in the range of 2% to 4%.</w:t>
      </w:r>
    </w:p>
    <w:p>
      <w:pPr>
        <w:spacing w:after="0" w:line="3" w:lineRule="exact"/>
        <w:rPr>
          <w:rFonts w:ascii="Arial" w:cs="Arial" w:eastAsia="Arial" w:hAnsi="Arial"/>
          <w:sz w:val="18"/>
          <w:szCs w:val="18"/>
          <w:color w:val="auto"/>
        </w:rPr>
      </w:pPr>
    </w:p>
    <w:p>
      <w:pPr>
        <w:ind w:left="340" w:right="20" w:hanging="332"/>
        <w:spacing w:after="0" w:line="236" w:lineRule="auto"/>
        <w:tabs>
          <w:tab w:leader="none" w:pos="340" w:val="left"/>
        </w:tabs>
        <w:numPr>
          <w:ilvl w:val="0"/>
          <w:numId w:val="151"/>
        </w:numPr>
        <w:rPr>
          <w:rFonts w:ascii="Arial" w:cs="Arial" w:eastAsia="Arial" w:hAnsi="Arial"/>
          <w:sz w:val="18"/>
          <w:szCs w:val="18"/>
          <w:color w:val="auto"/>
        </w:rPr>
      </w:pPr>
      <w:r>
        <w:rPr>
          <w:rFonts w:ascii="Arial" w:cs="Arial" w:eastAsia="Arial" w:hAnsi="Arial"/>
          <w:sz w:val="18"/>
          <w:szCs w:val="18"/>
          <w:b w:val="1"/>
          <w:bCs w:val="1"/>
          <w:color w:val="4C9F40"/>
        </w:rPr>
        <w:t xml:space="preserve">Substandard: </w:t>
      </w:r>
      <w:r>
        <w:rPr>
          <w:rFonts w:ascii="Arial" w:cs="Arial" w:eastAsia="Arial" w:hAnsi="Arial"/>
          <w:sz w:val="18"/>
          <w:szCs w:val="18"/>
          <w:color w:val="000000"/>
        </w:rPr>
        <w:t>This rating includes accounts that have marginal credit risk such that the customer’s ability to make repayment is impaired or</w:t>
      </w:r>
      <w:r>
        <w:rPr>
          <w:rFonts w:ascii="Arial" w:cs="Arial" w:eastAsia="Arial" w:hAnsi="Arial"/>
          <w:sz w:val="18"/>
          <w:szCs w:val="18"/>
          <w:b w:val="1"/>
          <w:bCs w:val="1"/>
          <w:color w:val="4C9F40"/>
        </w:rPr>
        <w:t xml:space="preserve"> </w:t>
      </w:r>
      <w:r>
        <w:rPr>
          <w:rFonts w:ascii="Arial" w:cs="Arial" w:eastAsia="Arial" w:hAnsi="Arial"/>
          <w:sz w:val="18"/>
          <w:szCs w:val="18"/>
          <w:color w:val="000000"/>
        </w:rPr>
        <w:t>may likely become impaired. We use numerous strategies to mitigate risk including higher rates of interest, prepayments, personal guarantees, etc. Accounts in this category include customers who were downgraded, during the term of the lease, from investment and non-investment grade evaluation when the lease was originated. Accordingly there is a distinct possibility for a loss of principal and interest or customer default. The loss rates in this category are around 10%.</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4"/>
          <w:szCs w:val="14"/>
          <w:color w:val="4C9F40"/>
        </w:rPr>
        <w:t>Xerox 2010 Annual Report 61</w:t>
      </w:r>
    </w:p>
    <w:p>
      <w:pPr>
        <w:sectPr>
          <w:pgSz w:w="11900" w:h="16838" w:orient="portrait"/>
          <w:cols w:equalWidth="0" w:num="1">
            <w:col w:w="11420"/>
          </w:cols>
          <w:pgMar w:left="240" w:top="345" w:right="239" w:bottom="1440" w:gutter="0" w:footer="0" w:header="0"/>
        </w:sectPr>
      </w:pPr>
    </w:p>
    <w:bookmarkStart w:id="138" w:name="page139"/>
    <w:bookmarkEnd w:id="138"/>
    <w:p>
      <w:pPr>
        <w:ind w:right="280"/>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credit quality indicators are updated at least annually. The credit quality of any given customer can significantly change during the life of the portfolio. Details about our finance receivables portfolio based by industry and by credit quality indicators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color w:val="auto"/>
                <w:w w:val="95"/>
              </w:rPr>
              <w:t>As of December 31, 2010</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3"/>
          </w:tcPr>
          <w:p>
            <w:pPr>
              <w:spacing w:after="0" w:line="141" w:lineRule="exact"/>
              <w:rPr>
                <w:sz w:val="20"/>
                <w:szCs w:val="20"/>
                <w:color w:val="auto"/>
              </w:rPr>
            </w:pPr>
            <w:r>
              <w:rPr>
                <w:rFonts w:ascii="Arial" w:cs="Arial" w:eastAsia="Arial" w:hAnsi="Arial"/>
                <w:sz w:val="14"/>
                <w:szCs w:val="14"/>
                <w:color w:val="auto"/>
              </w:rPr>
              <w:t>Non-investment</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spacing w:after="0" w:line="141" w:lineRule="exact"/>
              <w:rPr>
                <w:sz w:val="20"/>
                <w:szCs w:val="20"/>
                <w:color w:val="auto"/>
              </w:rPr>
            </w:pPr>
            <w:r>
              <w:rPr>
                <w:rFonts w:ascii="Arial" w:cs="Arial" w:eastAsia="Arial" w:hAnsi="Arial"/>
                <w:sz w:val="14"/>
                <w:szCs w:val="14"/>
                <w:color w:val="auto"/>
                <w:w w:val="94"/>
              </w:rPr>
              <w:t>Total Finance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1080" w:type="dxa"/>
            <w:vAlign w:val="bottom"/>
            <w:gridSpan w:val="2"/>
          </w:tcPr>
          <w:p>
            <w:pPr>
              <w:ind w:left="20"/>
              <w:spacing w:after="0" w:line="149" w:lineRule="exact"/>
              <w:rPr>
                <w:sz w:val="20"/>
                <w:szCs w:val="20"/>
                <w:color w:val="auto"/>
              </w:rPr>
            </w:pPr>
            <w:r>
              <w:rPr>
                <w:rFonts w:ascii="Arial" w:cs="Arial" w:eastAsia="Arial" w:hAnsi="Arial"/>
                <w:sz w:val="14"/>
                <w:szCs w:val="14"/>
                <w:color w:val="auto"/>
                <w:w w:val="93"/>
              </w:rPr>
              <w:t>Investment Grade</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Grade</w:t>
            </w:r>
          </w:p>
        </w:tc>
        <w:tc>
          <w:tcPr>
            <w:tcW w:w="10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color w:val="auto"/>
              </w:rPr>
              <w:t>Substandard</w:t>
            </w:r>
          </w:p>
        </w:tc>
        <w:tc>
          <w:tcPr>
            <w:tcW w:w="100" w:type="dxa"/>
            <w:vAlign w:val="bottom"/>
          </w:tcPr>
          <w:p>
            <w:pPr>
              <w:spacing w:after="0"/>
              <w:rPr>
                <w:sz w:val="12"/>
                <w:szCs w:val="12"/>
                <w:color w:val="auto"/>
              </w:rPr>
            </w:pPr>
          </w:p>
        </w:tc>
        <w:tc>
          <w:tcPr>
            <w:tcW w:w="92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Receivables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80" w:type="dxa"/>
            <w:vAlign w:val="bottom"/>
            <w:shd w:val="clear" w:color="auto" w:fill="E5E5E5"/>
          </w:tcPr>
          <w:p>
            <w:pPr>
              <w:spacing w:after="0" w:line="196" w:lineRule="exact"/>
              <w:rPr>
                <w:sz w:val="20"/>
                <w:szCs w:val="20"/>
                <w:color w:val="auto"/>
              </w:rPr>
            </w:pPr>
            <w:r>
              <w:rPr>
                <w:rFonts w:ascii="Arial" w:cs="Arial" w:eastAsia="Arial" w:hAnsi="Arial"/>
                <w:sz w:val="18"/>
                <w:szCs w:val="18"/>
                <w:b w:val="1"/>
                <w:bCs w:val="1"/>
                <w:color w:val="auto"/>
              </w:rPr>
              <w:t>United States:</w:t>
            </w:r>
          </w:p>
        </w:tc>
        <w:tc>
          <w:tcPr>
            <w:tcW w:w="380" w:type="dxa"/>
            <w:vAlign w:val="bottom"/>
            <w:tcBorders>
              <w:top w:val="single" w:sz="8" w:color="auto"/>
            </w:tcBorders>
            <w:shd w:val="clear" w:color="auto" w:fill="E5E5E5"/>
          </w:tcPr>
          <w:p>
            <w:pPr>
              <w:spacing w:after="0"/>
              <w:rPr>
                <w:sz w:val="17"/>
                <w:szCs w:val="17"/>
                <w:color w:val="auto"/>
              </w:rPr>
            </w:pPr>
          </w:p>
        </w:tc>
        <w:tc>
          <w:tcPr>
            <w:tcW w:w="700" w:type="dxa"/>
            <w:vAlign w:val="bottom"/>
            <w:tcBorders>
              <w:top w:val="single" w:sz="8" w:color="auto"/>
            </w:tcBorders>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80" w:type="dxa"/>
            <w:vAlign w:val="bottom"/>
            <w:tcBorders>
              <w:top w:val="single" w:sz="8" w:color="auto"/>
            </w:tcBorders>
            <w:shd w:val="clear" w:color="auto" w:fill="E5E5E5"/>
          </w:tcPr>
          <w:p>
            <w:pPr>
              <w:spacing w:after="0"/>
              <w:rPr>
                <w:sz w:val="17"/>
                <w:szCs w:val="17"/>
                <w:color w:val="auto"/>
              </w:rPr>
            </w:pPr>
          </w:p>
        </w:tc>
        <w:tc>
          <w:tcPr>
            <w:tcW w:w="760" w:type="dxa"/>
            <w:vAlign w:val="bottom"/>
            <w:tcBorders>
              <w:top w:val="single" w:sz="8" w:color="auto"/>
            </w:tcBorders>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440" w:type="dxa"/>
            <w:vAlign w:val="bottom"/>
            <w:tcBorders>
              <w:top w:val="single" w:sz="8" w:color="auto"/>
            </w:tcBorders>
            <w:shd w:val="clear" w:color="auto" w:fill="E5E5E5"/>
          </w:tcPr>
          <w:p>
            <w:pPr>
              <w:spacing w:after="0"/>
              <w:rPr>
                <w:sz w:val="17"/>
                <w:szCs w:val="17"/>
                <w:color w:val="auto"/>
              </w:rPr>
            </w:pPr>
          </w:p>
        </w:tc>
        <w:tc>
          <w:tcPr>
            <w:tcW w:w="320" w:type="dxa"/>
            <w:vAlign w:val="bottom"/>
            <w:tcBorders>
              <w:top w:val="single" w:sz="8" w:color="auto"/>
            </w:tcBorders>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40" w:type="dxa"/>
            <w:vAlign w:val="bottom"/>
            <w:tcBorders>
              <w:top w:val="single" w:sz="8" w:color="auto"/>
            </w:tcBorders>
            <w:shd w:val="clear" w:color="auto" w:fill="E5E5E5"/>
          </w:tcPr>
          <w:p>
            <w:pPr>
              <w:spacing w:after="0"/>
              <w:rPr>
                <w:sz w:val="17"/>
                <w:szCs w:val="17"/>
                <w:color w:val="auto"/>
              </w:rPr>
            </w:pPr>
          </w:p>
        </w:tc>
        <w:tc>
          <w:tcPr>
            <w:tcW w:w="580" w:type="dxa"/>
            <w:vAlign w:val="bottom"/>
            <w:tcBorders>
              <w:top w:val="single" w:sz="8" w:color="auto"/>
            </w:tcBorders>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Finance and Other Services</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360</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401</w:t>
            </w:r>
          </w:p>
        </w:tc>
        <w:tc>
          <w:tcPr>
            <w:tcW w:w="120" w:type="dxa"/>
            <w:vAlign w:val="bottom"/>
          </w:tcPr>
          <w:p>
            <w:pPr>
              <w:spacing w:after="0"/>
              <w:rPr>
                <w:sz w:val="24"/>
                <w:szCs w:val="24"/>
                <w:color w:val="auto"/>
              </w:rPr>
            </w:pPr>
          </w:p>
        </w:tc>
        <w:tc>
          <w:tcPr>
            <w:tcW w:w="5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190</w:t>
            </w:r>
          </w:p>
        </w:tc>
        <w:tc>
          <w:tcPr>
            <w:tcW w:w="100" w:type="dxa"/>
            <w:vAlign w:val="bottom"/>
          </w:tcPr>
          <w:p>
            <w:pPr>
              <w:spacing w:after="0"/>
              <w:rPr>
                <w:sz w:val="24"/>
                <w:szCs w:val="24"/>
                <w:color w:val="auto"/>
              </w:rPr>
            </w:pP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Government and Education</w:t>
            </w:r>
          </w:p>
        </w:tc>
        <w:tc>
          <w:tcPr>
            <w:tcW w:w="380" w:type="dxa"/>
            <w:vAlign w:val="bottom"/>
            <w:shd w:val="clear" w:color="auto" w:fill="E5E5E5"/>
          </w:tcPr>
          <w:p>
            <w:pPr>
              <w:spacing w:after="0"/>
              <w:rPr>
                <w:sz w:val="17"/>
                <w:szCs w:val="17"/>
                <w:color w:val="auto"/>
              </w:rPr>
            </w:pPr>
          </w:p>
        </w:tc>
        <w:tc>
          <w:tcPr>
            <w:tcW w:w="7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849</w:t>
            </w:r>
          </w:p>
        </w:tc>
        <w:tc>
          <w:tcPr>
            <w:tcW w:w="22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21</w:t>
            </w:r>
          </w:p>
        </w:tc>
        <w:tc>
          <w:tcPr>
            <w:tcW w:w="10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4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7</w:t>
            </w:r>
          </w:p>
        </w:tc>
        <w:tc>
          <w:tcPr>
            <w:tcW w:w="10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6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tcPr>
          <w:p>
            <w:pPr>
              <w:ind w:left="200"/>
              <w:spacing w:after="0" w:line="202" w:lineRule="exact"/>
              <w:rPr>
                <w:sz w:val="20"/>
                <w:szCs w:val="20"/>
                <w:color w:val="auto"/>
              </w:rPr>
            </w:pPr>
            <w:r>
              <w:rPr>
                <w:rFonts w:ascii="Arial" w:cs="Arial" w:eastAsia="Arial" w:hAnsi="Arial"/>
                <w:sz w:val="18"/>
                <w:szCs w:val="18"/>
                <w:color w:val="auto"/>
              </w:rPr>
              <w:t>Graphics Arts</w:t>
            </w:r>
          </w:p>
        </w:tc>
        <w:tc>
          <w:tcPr>
            <w:tcW w:w="3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147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217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w w:val="99"/>
              </w:rPr>
              <w:t>156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Industrial</w:t>
            </w:r>
          </w:p>
        </w:tc>
        <w:tc>
          <w:tcPr>
            <w:tcW w:w="380" w:type="dxa"/>
            <w:vAlign w:val="bottom"/>
            <w:shd w:val="clear" w:color="auto" w:fill="E5E5E5"/>
          </w:tcPr>
          <w:p>
            <w:pPr>
              <w:spacing w:after="0"/>
              <w:rPr>
                <w:sz w:val="17"/>
                <w:szCs w:val="17"/>
                <w:color w:val="auto"/>
              </w:rPr>
            </w:pPr>
          </w:p>
        </w:tc>
        <w:tc>
          <w:tcPr>
            <w:tcW w:w="7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206</w:t>
            </w:r>
          </w:p>
        </w:tc>
        <w:tc>
          <w:tcPr>
            <w:tcW w:w="22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91</w:t>
            </w:r>
          </w:p>
        </w:tc>
        <w:tc>
          <w:tcPr>
            <w:tcW w:w="10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4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38</w:t>
            </w:r>
          </w:p>
        </w:tc>
        <w:tc>
          <w:tcPr>
            <w:tcW w:w="10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6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tcPr>
          <w:p>
            <w:pPr>
              <w:ind w:left="200"/>
              <w:spacing w:after="0" w:line="202" w:lineRule="exact"/>
              <w:rPr>
                <w:sz w:val="20"/>
                <w:szCs w:val="20"/>
                <w:color w:val="auto"/>
              </w:rPr>
            </w:pPr>
            <w:r>
              <w:rPr>
                <w:rFonts w:ascii="Arial" w:cs="Arial" w:eastAsia="Arial" w:hAnsi="Arial"/>
                <w:sz w:val="18"/>
                <w:szCs w:val="18"/>
                <w:color w:val="auto"/>
              </w:rPr>
              <w:t>Healthcare</w:t>
            </w:r>
          </w:p>
        </w:tc>
        <w:tc>
          <w:tcPr>
            <w:tcW w:w="3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134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48</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Other</w:t>
            </w:r>
          </w:p>
        </w:tc>
        <w:tc>
          <w:tcPr>
            <w:tcW w:w="380" w:type="dxa"/>
            <w:vAlign w:val="bottom"/>
            <w:shd w:val="clear" w:color="auto" w:fill="E5E5E5"/>
          </w:tcPr>
          <w:p>
            <w:pPr>
              <w:spacing w:after="0"/>
              <w:rPr>
                <w:sz w:val="17"/>
                <w:szCs w:val="17"/>
                <w:color w:val="auto"/>
              </w:rPr>
            </w:pPr>
          </w:p>
        </w:tc>
        <w:tc>
          <w:tcPr>
            <w:tcW w:w="7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102</w:t>
            </w:r>
          </w:p>
        </w:tc>
        <w:tc>
          <w:tcPr>
            <w:tcW w:w="22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7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109</w:t>
            </w:r>
          </w:p>
        </w:tc>
        <w:tc>
          <w:tcPr>
            <w:tcW w:w="1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4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69</w:t>
            </w:r>
          </w:p>
        </w:tc>
        <w:tc>
          <w:tcPr>
            <w:tcW w:w="10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6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318"/>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Total United States</w:t>
            </w:r>
          </w:p>
        </w:tc>
        <w:tc>
          <w:tcPr>
            <w:tcW w:w="38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1,798</w:t>
            </w:r>
          </w:p>
        </w:tc>
        <w:tc>
          <w:tcPr>
            <w:tcW w:w="220" w:type="dxa"/>
            <w:vAlign w:val="bottom"/>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492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6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68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Canada:</w:t>
            </w:r>
          </w:p>
        </w:tc>
        <w:tc>
          <w:tcPr>
            <w:tcW w:w="38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76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tcPr>
          <w:p>
            <w:pPr>
              <w:ind w:left="200"/>
              <w:spacing w:after="0" w:line="202" w:lineRule="exact"/>
              <w:rPr>
                <w:sz w:val="20"/>
                <w:szCs w:val="20"/>
                <w:color w:val="auto"/>
              </w:rPr>
            </w:pPr>
            <w:r>
              <w:rPr>
                <w:rFonts w:ascii="Arial" w:cs="Arial" w:eastAsia="Arial" w:hAnsi="Arial"/>
                <w:sz w:val="18"/>
                <w:szCs w:val="18"/>
                <w:color w:val="auto"/>
              </w:rPr>
              <w:t>Finance and Other Services</w:t>
            </w:r>
          </w:p>
        </w:tc>
        <w:tc>
          <w:tcPr>
            <w:tcW w:w="3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150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127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Government and Education</w:t>
            </w:r>
          </w:p>
        </w:tc>
        <w:tc>
          <w:tcPr>
            <w:tcW w:w="380" w:type="dxa"/>
            <w:vAlign w:val="bottom"/>
            <w:shd w:val="clear" w:color="auto" w:fill="E5E5E5"/>
          </w:tcPr>
          <w:p>
            <w:pPr>
              <w:spacing w:after="0"/>
              <w:rPr>
                <w:sz w:val="17"/>
                <w:szCs w:val="17"/>
                <w:color w:val="auto"/>
              </w:rPr>
            </w:pPr>
          </w:p>
        </w:tc>
        <w:tc>
          <w:tcPr>
            <w:tcW w:w="7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127</w:t>
            </w:r>
          </w:p>
        </w:tc>
        <w:tc>
          <w:tcPr>
            <w:tcW w:w="22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12</w:t>
            </w:r>
          </w:p>
        </w:tc>
        <w:tc>
          <w:tcPr>
            <w:tcW w:w="10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4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3</w:t>
            </w:r>
          </w:p>
        </w:tc>
        <w:tc>
          <w:tcPr>
            <w:tcW w:w="10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6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tcPr>
          <w:p>
            <w:pPr>
              <w:ind w:left="200"/>
              <w:spacing w:after="0" w:line="202" w:lineRule="exact"/>
              <w:rPr>
                <w:sz w:val="20"/>
                <w:szCs w:val="20"/>
                <w:color w:val="auto"/>
              </w:rPr>
            </w:pPr>
            <w:r>
              <w:rPr>
                <w:rFonts w:ascii="Arial" w:cs="Arial" w:eastAsia="Arial" w:hAnsi="Arial"/>
                <w:sz w:val="18"/>
                <w:szCs w:val="18"/>
                <w:color w:val="auto"/>
              </w:rPr>
              <w:t>Graphics Arts</w:t>
            </w:r>
          </w:p>
        </w:tc>
        <w:tc>
          <w:tcPr>
            <w:tcW w:w="3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35</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Industrial</w:t>
            </w:r>
          </w:p>
        </w:tc>
        <w:tc>
          <w:tcPr>
            <w:tcW w:w="380" w:type="dxa"/>
            <w:vAlign w:val="bottom"/>
            <w:shd w:val="clear" w:color="auto" w:fill="E5E5E5"/>
          </w:tcPr>
          <w:p>
            <w:pPr>
              <w:spacing w:after="0"/>
              <w:rPr>
                <w:sz w:val="17"/>
                <w:szCs w:val="17"/>
                <w:color w:val="auto"/>
              </w:rPr>
            </w:pPr>
          </w:p>
        </w:tc>
        <w:tc>
          <w:tcPr>
            <w:tcW w:w="7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57</w:t>
            </w:r>
          </w:p>
        </w:tc>
        <w:tc>
          <w:tcPr>
            <w:tcW w:w="22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47</w:t>
            </w:r>
          </w:p>
        </w:tc>
        <w:tc>
          <w:tcPr>
            <w:tcW w:w="10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4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30</w:t>
            </w:r>
          </w:p>
        </w:tc>
        <w:tc>
          <w:tcPr>
            <w:tcW w:w="10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6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Pr>
          <w:p>
            <w:pPr>
              <w:ind w:left="200"/>
              <w:spacing w:after="0" w:line="202" w:lineRule="exact"/>
              <w:rPr>
                <w:sz w:val="20"/>
                <w:szCs w:val="20"/>
                <w:color w:val="auto"/>
              </w:rPr>
            </w:pPr>
            <w:r>
              <w:rPr>
                <w:rFonts w:ascii="Arial" w:cs="Arial" w:eastAsia="Arial" w:hAnsi="Arial"/>
                <w:sz w:val="18"/>
                <w:szCs w:val="18"/>
                <w:color w:val="auto"/>
              </w:rPr>
              <w:t>Other</w:t>
            </w:r>
          </w:p>
        </w:tc>
        <w:tc>
          <w:tcPr>
            <w:tcW w:w="380" w:type="dxa"/>
            <w:vAlign w:val="bottom"/>
          </w:tcPr>
          <w:p>
            <w:pPr>
              <w:spacing w:after="0"/>
              <w:rPr>
                <w:sz w:val="18"/>
                <w:szCs w:val="18"/>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88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Total Canada</w:t>
            </w:r>
          </w:p>
        </w:tc>
        <w:tc>
          <w:tcPr>
            <w:tcW w:w="380" w:type="dxa"/>
            <w:vAlign w:val="bottom"/>
            <w:tcBorders>
              <w:top w:val="single" w:sz="8" w:color="auto"/>
              <w:bottom w:val="single" w:sz="8" w:color="auto"/>
            </w:tcBorders>
            <w:shd w:val="clear" w:color="auto" w:fill="E5E5E5"/>
          </w:tcPr>
          <w:p>
            <w:pPr>
              <w:spacing w:after="0"/>
              <w:rPr>
                <w:sz w:val="17"/>
                <w:szCs w:val="17"/>
                <w:color w:val="auto"/>
              </w:rPr>
            </w:pPr>
          </w:p>
        </w:tc>
        <w:tc>
          <w:tcPr>
            <w:tcW w:w="700" w:type="dxa"/>
            <w:vAlign w:val="bottom"/>
            <w:tcBorders>
              <w:top w:val="single" w:sz="8" w:color="auto"/>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454</w:t>
            </w:r>
          </w:p>
        </w:tc>
        <w:tc>
          <w:tcPr>
            <w:tcW w:w="220" w:type="dxa"/>
            <w:vAlign w:val="bottom"/>
            <w:shd w:val="clear" w:color="auto" w:fill="E5E5E5"/>
          </w:tcPr>
          <w:p>
            <w:pPr>
              <w:spacing w:after="0"/>
              <w:rPr>
                <w:sz w:val="17"/>
                <w:szCs w:val="17"/>
                <w:color w:val="auto"/>
              </w:rPr>
            </w:pPr>
          </w:p>
        </w:tc>
        <w:tc>
          <w:tcPr>
            <w:tcW w:w="180" w:type="dxa"/>
            <w:vAlign w:val="bottom"/>
            <w:tcBorders>
              <w:top w:val="single" w:sz="8" w:color="auto"/>
              <w:bottom w:val="single" w:sz="8" w:color="auto"/>
            </w:tcBorders>
            <w:shd w:val="clear" w:color="auto" w:fill="E5E5E5"/>
          </w:tcPr>
          <w:p>
            <w:pPr>
              <w:spacing w:after="0"/>
              <w:rPr>
                <w:sz w:val="17"/>
                <w:szCs w:val="17"/>
                <w:color w:val="auto"/>
              </w:rPr>
            </w:pPr>
          </w:p>
        </w:tc>
        <w:tc>
          <w:tcPr>
            <w:tcW w:w="760" w:type="dxa"/>
            <w:vAlign w:val="bottom"/>
            <w:tcBorders>
              <w:top w:val="single" w:sz="8" w:color="auto"/>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268</w:t>
            </w:r>
          </w:p>
        </w:tc>
        <w:tc>
          <w:tcPr>
            <w:tcW w:w="1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440" w:type="dxa"/>
            <w:vAlign w:val="bottom"/>
            <w:tcBorders>
              <w:top w:val="single" w:sz="8" w:color="auto"/>
              <w:bottom w:val="single" w:sz="8" w:color="auto"/>
            </w:tcBorders>
            <w:shd w:val="clear" w:color="auto" w:fill="E5E5E5"/>
          </w:tcPr>
          <w:p>
            <w:pPr>
              <w:spacing w:after="0"/>
              <w:rPr>
                <w:sz w:val="17"/>
                <w:szCs w:val="17"/>
                <w:color w:val="auto"/>
              </w:rPr>
            </w:pPr>
          </w:p>
        </w:tc>
        <w:tc>
          <w:tcPr>
            <w:tcW w:w="320" w:type="dxa"/>
            <w:vAlign w:val="bottom"/>
            <w:tcBorders>
              <w:top w:val="single" w:sz="8" w:color="auto"/>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w w:val="99"/>
              </w:rPr>
              <w:t>150</w:t>
            </w:r>
          </w:p>
        </w:tc>
        <w:tc>
          <w:tcPr>
            <w:tcW w:w="1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40" w:type="dxa"/>
            <w:vAlign w:val="bottom"/>
            <w:tcBorders>
              <w:top w:val="single" w:sz="8" w:color="auto"/>
              <w:bottom w:val="single" w:sz="8" w:color="auto"/>
            </w:tcBorders>
            <w:shd w:val="clear" w:color="auto" w:fill="E5E5E5"/>
          </w:tcPr>
          <w:p>
            <w:pPr>
              <w:spacing w:after="0"/>
              <w:rPr>
                <w:sz w:val="17"/>
                <w:szCs w:val="17"/>
                <w:color w:val="auto"/>
              </w:rPr>
            </w:pPr>
          </w:p>
        </w:tc>
        <w:tc>
          <w:tcPr>
            <w:tcW w:w="580" w:type="dxa"/>
            <w:vAlign w:val="bottom"/>
            <w:tcBorders>
              <w:top w:val="single" w:sz="8" w:color="auto"/>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872</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Europe:</w:t>
            </w: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France</w:t>
            </w:r>
          </w:p>
        </w:tc>
        <w:tc>
          <w:tcPr>
            <w:tcW w:w="380" w:type="dxa"/>
            <w:vAlign w:val="bottom"/>
            <w:shd w:val="clear" w:color="auto" w:fill="E5E5E5"/>
          </w:tcPr>
          <w:p>
            <w:pPr>
              <w:spacing w:after="0"/>
              <w:rPr>
                <w:sz w:val="17"/>
                <w:szCs w:val="17"/>
                <w:color w:val="auto"/>
              </w:rPr>
            </w:pPr>
          </w:p>
        </w:tc>
        <w:tc>
          <w:tcPr>
            <w:tcW w:w="7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219</w:t>
            </w:r>
          </w:p>
        </w:tc>
        <w:tc>
          <w:tcPr>
            <w:tcW w:w="22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7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374</w:t>
            </w:r>
          </w:p>
        </w:tc>
        <w:tc>
          <w:tcPr>
            <w:tcW w:w="1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4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82</w:t>
            </w:r>
          </w:p>
        </w:tc>
        <w:tc>
          <w:tcPr>
            <w:tcW w:w="10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6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tcPr>
          <w:p>
            <w:pPr>
              <w:ind w:left="200"/>
              <w:spacing w:after="0" w:line="202" w:lineRule="exact"/>
              <w:rPr>
                <w:sz w:val="20"/>
                <w:szCs w:val="20"/>
                <w:color w:val="auto"/>
              </w:rPr>
            </w:pPr>
            <w:r>
              <w:rPr>
                <w:rFonts w:ascii="Arial" w:cs="Arial" w:eastAsia="Arial" w:hAnsi="Arial"/>
                <w:sz w:val="18"/>
                <w:szCs w:val="18"/>
                <w:color w:val="auto"/>
              </w:rPr>
              <w:t>U.K./Ireland</w:t>
            </w:r>
          </w:p>
        </w:tc>
        <w:tc>
          <w:tcPr>
            <w:tcW w:w="3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206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164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E5E5E5"/>
          </w:tcPr>
          <w:p>
            <w:pPr>
              <w:ind w:left="200"/>
              <w:spacing w:after="0" w:line="203" w:lineRule="exact"/>
              <w:rPr>
                <w:sz w:val="20"/>
                <w:szCs w:val="20"/>
                <w:color w:val="auto"/>
              </w:rPr>
            </w:pPr>
            <w:r>
              <w:rPr>
                <w:rFonts w:ascii="Arial" w:cs="Arial" w:eastAsia="Arial" w:hAnsi="Arial"/>
                <w:sz w:val="18"/>
                <w:szCs w:val="18"/>
                <w:color w:val="auto"/>
              </w:rPr>
              <w:t>Central</w:t>
            </w:r>
            <w:r>
              <w:rPr>
                <w:rFonts w:ascii="Arial" w:cs="Arial" w:eastAsia="Arial" w:hAnsi="Arial"/>
                <w:sz w:val="22"/>
                <w:szCs w:val="22"/>
                <w:color w:val="auto"/>
                <w:vertAlign w:val="superscript"/>
              </w:rPr>
              <w:t>(1)</w:t>
            </w:r>
          </w:p>
        </w:tc>
        <w:tc>
          <w:tcPr>
            <w:tcW w:w="380" w:type="dxa"/>
            <w:vAlign w:val="bottom"/>
            <w:shd w:val="clear" w:color="auto" w:fill="E5E5E5"/>
          </w:tcPr>
          <w:p>
            <w:pPr>
              <w:spacing w:after="0"/>
              <w:rPr>
                <w:sz w:val="17"/>
                <w:szCs w:val="17"/>
                <w:color w:val="auto"/>
              </w:rPr>
            </w:pPr>
          </w:p>
        </w:tc>
        <w:tc>
          <w:tcPr>
            <w:tcW w:w="7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297</w:t>
            </w:r>
          </w:p>
        </w:tc>
        <w:tc>
          <w:tcPr>
            <w:tcW w:w="22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7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551</w:t>
            </w:r>
          </w:p>
        </w:tc>
        <w:tc>
          <w:tcPr>
            <w:tcW w:w="1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4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65</w:t>
            </w:r>
          </w:p>
        </w:tc>
        <w:tc>
          <w:tcPr>
            <w:tcW w:w="10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6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tcPr>
          <w:p>
            <w:pPr>
              <w:ind w:left="200"/>
              <w:spacing w:after="0" w:line="203" w:lineRule="exact"/>
              <w:rPr>
                <w:sz w:val="20"/>
                <w:szCs w:val="20"/>
                <w:color w:val="auto"/>
              </w:rPr>
            </w:pPr>
            <w:r>
              <w:rPr>
                <w:rFonts w:ascii="Arial" w:cs="Arial" w:eastAsia="Arial" w:hAnsi="Arial"/>
                <w:sz w:val="18"/>
                <w:szCs w:val="18"/>
                <w:color w:val="auto"/>
              </w:rPr>
              <w:t>Southern</w:t>
            </w:r>
            <w:r>
              <w:rPr>
                <w:rFonts w:ascii="Arial" w:cs="Arial" w:eastAsia="Arial" w:hAnsi="Arial"/>
                <w:sz w:val="22"/>
                <w:szCs w:val="22"/>
                <w:color w:val="auto"/>
                <w:vertAlign w:val="superscript"/>
              </w:rPr>
              <w:t>(2)</w:t>
            </w:r>
          </w:p>
        </w:tc>
        <w:tc>
          <w:tcPr>
            <w:tcW w:w="3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263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237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E5E5E5"/>
          </w:tcPr>
          <w:p>
            <w:pPr>
              <w:ind w:left="200"/>
              <w:spacing w:after="0" w:line="203" w:lineRule="exact"/>
              <w:rPr>
                <w:sz w:val="20"/>
                <w:szCs w:val="20"/>
                <w:color w:val="auto"/>
              </w:rPr>
            </w:pPr>
            <w:r>
              <w:rPr>
                <w:rFonts w:ascii="Arial" w:cs="Arial" w:eastAsia="Arial" w:hAnsi="Arial"/>
                <w:sz w:val="18"/>
                <w:szCs w:val="18"/>
                <w:color w:val="auto"/>
              </w:rPr>
              <w:t>Nordics</w:t>
            </w:r>
            <w:r>
              <w:rPr>
                <w:rFonts w:ascii="Arial" w:cs="Arial" w:eastAsia="Arial" w:hAnsi="Arial"/>
                <w:sz w:val="22"/>
                <w:szCs w:val="22"/>
                <w:color w:val="auto"/>
                <w:vertAlign w:val="superscript"/>
              </w:rPr>
              <w:t>(3)</w:t>
            </w:r>
          </w:p>
        </w:tc>
        <w:tc>
          <w:tcPr>
            <w:tcW w:w="380" w:type="dxa"/>
            <w:vAlign w:val="bottom"/>
            <w:shd w:val="clear" w:color="auto" w:fill="E5E5E5"/>
          </w:tcPr>
          <w:p>
            <w:pPr>
              <w:spacing w:after="0"/>
              <w:rPr>
                <w:sz w:val="17"/>
                <w:szCs w:val="17"/>
                <w:color w:val="auto"/>
              </w:rPr>
            </w:pPr>
          </w:p>
        </w:tc>
        <w:tc>
          <w:tcPr>
            <w:tcW w:w="7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50</w:t>
            </w:r>
          </w:p>
        </w:tc>
        <w:tc>
          <w:tcPr>
            <w:tcW w:w="22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63</w:t>
            </w:r>
          </w:p>
        </w:tc>
        <w:tc>
          <w:tcPr>
            <w:tcW w:w="10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4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3</w:t>
            </w:r>
          </w:p>
        </w:tc>
        <w:tc>
          <w:tcPr>
            <w:tcW w:w="10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6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318"/>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Total Europe</w:t>
            </w:r>
          </w:p>
        </w:tc>
        <w:tc>
          <w:tcPr>
            <w:tcW w:w="38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1,035</w:t>
            </w:r>
          </w:p>
        </w:tc>
        <w:tc>
          <w:tcPr>
            <w:tcW w:w="220" w:type="dxa"/>
            <w:vAlign w:val="bottom"/>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282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6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68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Other</w:t>
            </w:r>
          </w:p>
        </w:tc>
        <w:tc>
          <w:tcPr>
            <w:tcW w:w="380" w:type="dxa"/>
            <w:vAlign w:val="bottom"/>
            <w:shd w:val="clear" w:color="auto" w:fill="E5E5E5"/>
          </w:tcPr>
          <w:p>
            <w:pPr>
              <w:spacing w:after="0"/>
              <w:rPr>
                <w:sz w:val="17"/>
                <w:szCs w:val="17"/>
                <w:color w:val="auto"/>
              </w:rPr>
            </w:pPr>
          </w:p>
        </w:tc>
        <w:tc>
          <w:tcPr>
            <w:tcW w:w="7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33</w:t>
            </w:r>
          </w:p>
        </w:tc>
        <w:tc>
          <w:tcPr>
            <w:tcW w:w="22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33</w:t>
            </w:r>
          </w:p>
        </w:tc>
        <w:tc>
          <w:tcPr>
            <w:tcW w:w="10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4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6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w:t>
            </w:r>
          </w:p>
        </w:tc>
        <w:tc>
          <w:tcPr>
            <w:tcW w:w="3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gridSpan w:val="2"/>
            <w:vMerge w:val="continue"/>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3,320</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2,577</w:t>
            </w:r>
          </w:p>
        </w:tc>
        <w:tc>
          <w:tcPr>
            <w:tcW w:w="5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924</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6,821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9" w:lineRule="exact"/>
        <w:rPr>
          <w:sz w:val="20"/>
          <w:szCs w:val="20"/>
          <w:color w:val="auto"/>
        </w:rPr>
      </w:pPr>
    </w:p>
    <w:p>
      <w:pPr>
        <w:ind w:left="340" w:hanging="332"/>
        <w:spacing w:after="0"/>
        <w:tabs>
          <w:tab w:leader="none" w:pos="340" w:val="left"/>
        </w:tabs>
        <w:numPr>
          <w:ilvl w:val="0"/>
          <w:numId w:val="152"/>
        </w:numPr>
        <w:rPr>
          <w:rFonts w:ascii="Arial" w:cs="Arial" w:eastAsia="Arial" w:hAnsi="Arial"/>
          <w:sz w:val="14"/>
          <w:szCs w:val="14"/>
          <w:color w:val="auto"/>
        </w:rPr>
      </w:pPr>
      <w:r>
        <w:rPr>
          <w:rFonts w:ascii="Arial" w:cs="Arial" w:eastAsia="Arial" w:hAnsi="Arial"/>
          <w:sz w:val="14"/>
          <w:szCs w:val="14"/>
          <w:color w:val="auto"/>
        </w:rPr>
        <w:t>Switzerland, Germany, Austria, Belgium, Holland.</w:t>
      </w:r>
    </w:p>
    <w:p>
      <w:pPr>
        <w:ind w:left="340" w:hanging="332"/>
        <w:spacing w:after="0" w:line="221" w:lineRule="auto"/>
        <w:tabs>
          <w:tab w:leader="none" w:pos="340" w:val="left"/>
        </w:tabs>
        <w:numPr>
          <w:ilvl w:val="0"/>
          <w:numId w:val="152"/>
        </w:numPr>
        <w:rPr>
          <w:rFonts w:ascii="Arial" w:cs="Arial" w:eastAsia="Arial" w:hAnsi="Arial"/>
          <w:sz w:val="14"/>
          <w:szCs w:val="14"/>
          <w:color w:val="auto"/>
        </w:rPr>
      </w:pPr>
      <w:r>
        <w:rPr>
          <w:rFonts w:ascii="Arial" w:cs="Arial" w:eastAsia="Arial" w:hAnsi="Arial"/>
          <w:sz w:val="14"/>
          <w:szCs w:val="14"/>
          <w:color w:val="auto"/>
        </w:rPr>
        <w:t>Italy, Greece, Spain, Portugal.</w:t>
      </w:r>
    </w:p>
    <w:p>
      <w:pPr>
        <w:ind w:left="340" w:hanging="332"/>
        <w:spacing w:after="0"/>
        <w:tabs>
          <w:tab w:leader="none" w:pos="340" w:val="left"/>
        </w:tabs>
        <w:numPr>
          <w:ilvl w:val="0"/>
          <w:numId w:val="152"/>
        </w:numPr>
        <w:rPr>
          <w:rFonts w:ascii="Arial" w:cs="Arial" w:eastAsia="Arial" w:hAnsi="Arial"/>
          <w:sz w:val="14"/>
          <w:szCs w:val="14"/>
          <w:color w:val="auto"/>
        </w:rPr>
      </w:pPr>
      <w:r>
        <w:rPr>
          <w:rFonts w:ascii="Arial" w:cs="Arial" w:eastAsia="Arial" w:hAnsi="Arial"/>
          <w:sz w:val="14"/>
          <w:szCs w:val="14"/>
          <w:color w:val="auto"/>
        </w:rPr>
        <w:t>Sweden, Norway, Denmark, Finland.</w:t>
      </w:r>
    </w:p>
    <w:p>
      <w:pPr>
        <w:spacing w:after="0" w:line="153"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aging of our receivables portfolio is based upon the number of days an invoice is past due. Receivables that were more than 90 days past due are considered delinquent. Receivable losses are charged against the allowance when management believes the uncollectibility of the receivable is confirmed and is generally based on individual credit evaluations, results of collection efforts and specific circumstances of the customer. Subsequent recoveries, if any, are credited to the allowance.</w:t>
      </w:r>
    </w:p>
    <w:p>
      <w:pPr>
        <w:spacing w:after="0" w:line="137" w:lineRule="exact"/>
        <w:rPr>
          <w:sz w:val="20"/>
          <w:szCs w:val="20"/>
          <w:color w:val="auto"/>
        </w:rPr>
      </w:pPr>
    </w:p>
    <w:p>
      <w:pPr>
        <w:jc w:val="right"/>
        <w:spacing w:after="0"/>
        <w:rPr>
          <w:sz w:val="20"/>
          <w:szCs w:val="20"/>
          <w:color w:val="auto"/>
        </w:rPr>
      </w:pPr>
      <w:r>
        <w:rPr>
          <w:rFonts w:ascii="Arial" w:cs="Arial" w:eastAsia="Arial" w:hAnsi="Arial"/>
          <w:sz w:val="14"/>
          <w:szCs w:val="14"/>
          <w:color w:val="4C9F40"/>
        </w:rPr>
        <w:t>Xerox 2010 Annual Report 62</w:t>
      </w:r>
    </w:p>
    <w:p>
      <w:pPr>
        <w:sectPr>
          <w:pgSz w:w="11900" w:h="16838" w:orient="portrait"/>
          <w:cols w:equalWidth="0" w:num="1">
            <w:col w:w="11420"/>
          </w:cols>
          <w:pgMar w:left="240" w:top="345" w:right="239" w:bottom="1440" w:gutter="0" w:footer="0" w:header="0"/>
        </w:sectPr>
      </w:pPr>
    </w:p>
    <w:bookmarkStart w:id="139" w:name="page140"/>
    <w:bookmarkEnd w:id="139"/>
    <w:p>
      <w:pPr>
        <w:ind w:right="20"/>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generally continue to maintain equipment on lease and provide services to customers that have invoices for finance receivables that are 90 days or more past due and, as a result of the bundled nature of billings, we also continue to accrue interest on those receivables. However, interest revenue for such billings is only recognized if collectability is deemed reasonably assured. The aging of our billed finance receivables is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color w:val="auto"/>
              </w:rPr>
              <w:t>As of December 31, 2010</w:t>
            </w: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34"/>
              <w:spacing w:after="0" w:line="141" w:lineRule="exact"/>
              <w:rPr>
                <w:sz w:val="20"/>
                <w:szCs w:val="20"/>
                <w:color w:val="auto"/>
              </w:rPr>
            </w:pPr>
            <w:r>
              <w:rPr>
                <w:rFonts w:ascii="Arial" w:cs="Arial" w:eastAsia="Arial" w:hAnsi="Arial"/>
                <w:sz w:val="14"/>
                <w:szCs w:val="14"/>
                <w:color w:val="auto"/>
                <w:w w:val="96"/>
              </w:rPr>
              <w:t>Finance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54"/>
              <w:spacing w:after="0" w:line="149" w:lineRule="exact"/>
              <w:rPr>
                <w:sz w:val="20"/>
                <w:szCs w:val="20"/>
                <w:color w:val="auto"/>
              </w:rPr>
            </w:pPr>
            <w:r>
              <w:rPr>
                <w:rFonts w:ascii="Arial" w:cs="Arial" w:eastAsia="Arial" w:hAnsi="Arial"/>
                <w:sz w:val="14"/>
                <w:szCs w:val="14"/>
                <w:color w:val="auto"/>
                <w:w w:val="94"/>
              </w:rPr>
              <w:t>31-90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92"/>
              </w:rPr>
              <w:t>Total Billed</w:t>
            </w:r>
          </w:p>
        </w:tc>
        <w:tc>
          <w:tcPr>
            <w:tcW w:w="100" w:type="dxa"/>
            <w:vAlign w:val="bottom"/>
          </w:tcPr>
          <w:p>
            <w:pPr>
              <w:spacing w:after="0"/>
              <w:rPr>
                <w:sz w:val="12"/>
                <w:szCs w:val="12"/>
                <w:color w:val="auto"/>
              </w:rPr>
            </w:pPr>
          </w:p>
        </w:tc>
        <w:tc>
          <w:tcPr>
            <w:tcW w:w="7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Unbilled</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6"/>
              </w:rPr>
              <w:t>Receivables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3"/>
          </w:tcPr>
          <w:p>
            <w:pPr>
              <w:spacing w:after="0" w:line="149" w:lineRule="exact"/>
              <w:rPr>
                <w:sz w:val="20"/>
                <w:szCs w:val="20"/>
                <w:color w:val="auto"/>
              </w:rPr>
            </w:pPr>
            <w:r>
              <w:rPr>
                <w:rFonts w:ascii="Arial" w:cs="Arial" w:eastAsia="Arial" w:hAnsi="Arial"/>
                <w:sz w:val="14"/>
                <w:szCs w:val="14"/>
                <w:color w:val="auto"/>
              </w:rPr>
              <w:t>Days Past</w:t>
            </w:r>
          </w:p>
        </w:tc>
        <w:tc>
          <w:tcPr>
            <w:tcW w:w="100" w:type="dxa"/>
            <w:vAlign w:val="bottom"/>
          </w:tcPr>
          <w:p>
            <w:pPr>
              <w:spacing w:after="0"/>
              <w:rPr>
                <w:sz w:val="12"/>
                <w:szCs w:val="12"/>
                <w:color w:val="auto"/>
              </w:rPr>
            </w:pPr>
          </w:p>
        </w:tc>
        <w:tc>
          <w:tcPr>
            <w:tcW w:w="6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&gt;90 Days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6"/>
              </w:rPr>
              <w:t>Finance</w:t>
            </w:r>
          </w:p>
        </w:tc>
        <w:tc>
          <w:tcPr>
            <w:tcW w:w="100" w:type="dxa"/>
            <w:vAlign w:val="bottom"/>
          </w:tcPr>
          <w:p>
            <w:pPr>
              <w:spacing w:after="0"/>
              <w:rPr>
                <w:sz w:val="12"/>
                <w:szCs w:val="12"/>
                <w:color w:val="auto"/>
              </w:rPr>
            </w:pPr>
          </w:p>
        </w:tc>
        <w:tc>
          <w:tcPr>
            <w:tcW w:w="7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Finance</w:t>
            </w:r>
          </w:p>
        </w:tc>
        <w:tc>
          <w:tcPr>
            <w:tcW w:w="100" w:type="dxa"/>
            <w:vAlign w:val="bottom"/>
          </w:tcPr>
          <w:p>
            <w:pPr>
              <w:spacing w:after="0"/>
              <w:rPr>
                <w:sz w:val="12"/>
                <w:szCs w:val="12"/>
                <w:color w:val="auto"/>
              </w:rPr>
            </w:pPr>
          </w:p>
        </w:tc>
        <w:tc>
          <w:tcPr>
            <w:tcW w:w="820" w:type="dxa"/>
            <w:vAlign w:val="bottom"/>
            <w:gridSpan w:val="2"/>
          </w:tcPr>
          <w:p>
            <w:pPr>
              <w:spacing w:after="0" w:line="149" w:lineRule="exact"/>
              <w:rPr>
                <w:sz w:val="20"/>
                <w:szCs w:val="20"/>
                <w:color w:val="auto"/>
              </w:rPr>
            </w:pPr>
            <w:r>
              <w:rPr>
                <w:rFonts w:ascii="Arial" w:cs="Arial" w:eastAsia="Arial" w:hAnsi="Arial"/>
                <w:sz w:val="14"/>
                <w:szCs w:val="14"/>
                <w:color w:val="auto"/>
                <w:w w:val="94"/>
              </w:rPr>
              <w:t>Total Finance</w:t>
            </w:r>
          </w:p>
        </w:tc>
        <w:tc>
          <w:tcPr>
            <w:tcW w:w="200" w:type="dxa"/>
            <w:vAlign w:val="bottom"/>
          </w:tcPr>
          <w:p>
            <w:pPr>
              <w:spacing w:after="0"/>
              <w:rPr>
                <w:sz w:val="12"/>
                <w:szCs w:val="12"/>
                <w:color w:val="auto"/>
              </w:rPr>
            </w:pPr>
          </w:p>
        </w:tc>
        <w:tc>
          <w:tcPr>
            <w:tcW w:w="94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6"/>
              </w:rPr>
              <w:t>&gt;90 Days 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8"/>
              </w:rPr>
              <w:t>Current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Due</w:t>
            </w:r>
          </w:p>
        </w:tc>
        <w:tc>
          <w:tcPr>
            <w:tcW w:w="100" w:type="dxa"/>
            <w:vAlign w:val="bottom"/>
          </w:tcPr>
          <w:p>
            <w:pPr>
              <w:spacing w:after="0"/>
              <w:rPr>
                <w:sz w:val="12"/>
                <w:szCs w:val="12"/>
                <w:color w:val="auto"/>
              </w:rPr>
            </w:pPr>
          </w:p>
        </w:tc>
        <w:tc>
          <w:tcPr>
            <w:tcW w:w="6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Past Due</w:t>
            </w:r>
          </w:p>
        </w:tc>
        <w:tc>
          <w:tcPr>
            <w:tcW w:w="14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color w:val="auto"/>
              </w:rPr>
              <w:t>Receivables</w:t>
            </w:r>
          </w:p>
        </w:tc>
        <w:tc>
          <w:tcPr>
            <w:tcW w:w="840" w:type="dxa"/>
            <w:vAlign w:val="bottom"/>
            <w:gridSpan w:val="3"/>
          </w:tcPr>
          <w:p>
            <w:pPr>
              <w:spacing w:after="0" w:line="149" w:lineRule="exact"/>
              <w:rPr>
                <w:sz w:val="20"/>
                <w:szCs w:val="20"/>
                <w:color w:val="auto"/>
              </w:rPr>
            </w:pPr>
            <w:r>
              <w:rPr>
                <w:rFonts w:ascii="Arial" w:cs="Arial" w:eastAsia="Arial" w:hAnsi="Arial"/>
                <w:sz w:val="14"/>
                <w:szCs w:val="14"/>
                <w:color w:val="auto"/>
              </w:rPr>
              <w:t>Receivables</w:t>
            </w:r>
          </w:p>
        </w:tc>
        <w:tc>
          <w:tcPr>
            <w:tcW w:w="10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9"/>
              </w:rPr>
              <w:t>Receivables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5"/>
              </w:rPr>
              <w:t>Accruing</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4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24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United States:</w:t>
            </w:r>
          </w:p>
        </w:tc>
        <w:tc>
          <w:tcPr>
            <w:tcW w:w="16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5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64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6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5240" w:type="dxa"/>
            <w:vAlign w:val="bottom"/>
          </w:tcPr>
          <w:p>
            <w:pPr>
              <w:ind w:left="180"/>
              <w:spacing w:after="0"/>
              <w:rPr>
                <w:sz w:val="20"/>
                <w:szCs w:val="20"/>
                <w:color w:val="auto"/>
              </w:rPr>
            </w:pPr>
            <w:r>
              <w:rPr>
                <w:rFonts w:ascii="Arial" w:cs="Arial" w:eastAsia="Arial" w:hAnsi="Arial"/>
                <w:sz w:val="18"/>
                <w:szCs w:val="18"/>
                <w:color w:val="auto"/>
              </w:rPr>
              <w:t>Finance and Other Services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23</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921</w:t>
            </w:r>
          </w:p>
        </w:tc>
        <w:tc>
          <w:tcPr>
            <w:tcW w:w="100" w:type="dxa"/>
            <w:vAlign w:val="bottom"/>
          </w:tcPr>
          <w:p>
            <w:pPr>
              <w:spacing w:after="0"/>
              <w:rPr>
                <w:sz w:val="24"/>
                <w:szCs w:val="24"/>
                <w:color w:val="auto"/>
              </w:rPr>
            </w:pP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951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shd w:val="clear" w:color="auto" w:fill="E5E5E5"/>
          </w:tcPr>
          <w:p>
            <w:pPr>
              <w:ind w:left="180"/>
              <w:spacing w:after="0" w:line="202" w:lineRule="exact"/>
              <w:rPr>
                <w:sz w:val="20"/>
                <w:szCs w:val="20"/>
                <w:color w:val="auto"/>
              </w:rPr>
            </w:pPr>
            <w:r>
              <w:rPr>
                <w:rFonts w:ascii="Arial" w:cs="Arial" w:eastAsia="Arial" w:hAnsi="Arial"/>
                <w:sz w:val="18"/>
                <w:szCs w:val="18"/>
                <w:color w:val="auto"/>
              </w:rPr>
              <w:t>Government and Education</w:t>
            </w:r>
          </w:p>
        </w:tc>
        <w:tc>
          <w:tcPr>
            <w:tcW w:w="160" w:type="dxa"/>
            <w:vAlign w:val="bottom"/>
            <w:shd w:val="clear" w:color="auto" w:fill="E5E5E5"/>
          </w:tcPr>
          <w:p>
            <w:pPr>
              <w:spacing w:after="0"/>
              <w:rPr>
                <w:sz w:val="17"/>
                <w:szCs w:val="17"/>
                <w:color w:val="auto"/>
              </w:rPr>
            </w:pPr>
          </w:p>
        </w:tc>
        <w:tc>
          <w:tcPr>
            <w:tcW w:w="3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26</w:t>
            </w:r>
          </w:p>
        </w:tc>
        <w:tc>
          <w:tcPr>
            <w:tcW w:w="2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6</w:t>
            </w:r>
          </w:p>
        </w:tc>
        <w:tc>
          <w:tcPr>
            <w:tcW w:w="10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42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3</w:t>
            </w:r>
          </w:p>
        </w:tc>
        <w:tc>
          <w:tcPr>
            <w:tcW w:w="1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84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35</w:t>
            </w:r>
          </w:p>
        </w:tc>
        <w:tc>
          <w:tcPr>
            <w:tcW w:w="100" w:type="dxa"/>
            <w:vAlign w:val="bottom"/>
            <w:shd w:val="clear" w:color="auto" w:fill="E5E5E5"/>
          </w:tcPr>
          <w:p>
            <w:pPr>
              <w:spacing w:after="0"/>
              <w:rPr>
                <w:sz w:val="17"/>
                <w:szCs w:val="17"/>
                <w:color w:val="auto"/>
              </w:rPr>
            </w:pPr>
          </w:p>
        </w:tc>
        <w:tc>
          <w:tcPr>
            <w:tcW w:w="6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842</w:t>
            </w:r>
          </w:p>
        </w:tc>
        <w:tc>
          <w:tcPr>
            <w:tcW w:w="1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5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877</w:t>
            </w:r>
          </w:p>
        </w:tc>
        <w:tc>
          <w:tcPr>
            <w:tcW w:w="2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8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tcPr>
          <w:p>
            <w:pPr>
              <w:ind w:left="180"/>
              <w:spacing w:after="0" w:line="202" w:lineRule="exact"/>
              <w:rPr>
                <w:sz w:val="20"/>
                <w:szCs w:val="20"/>
                <w:color w:val="auto"/>
              </w:rPr>
            </w:pPr>
            <w:r>
              <w:rPr>
                <w:rFonts w:ascii="Arial" w:cs="Arial" w:eastAsia="Arial" w:hAnsi="Arial"/>
                <w:sz w:val="18"/>
                <w:szCs w:val="18"/>
                <w:color w:val="auto"/>
              </w:rPr>
              <w:t>Graphics Arts</w:t>
            </w:r>
          </w:p>
        </w:tc>
        <w:tc>
          <w:tcPr>
            <w:tcW w:w="16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25</w:t>
            </w: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495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520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shd w:val="clear" w:color="auto" w:fill="E5E5E5"/>
          </w:tcPr>
          <w:p>
            <w:pPr>
              <w:ind w:left="180"/>
              <w:spacing w:after="0" w:line="202" w:lineRule="exact"/>
              <w:rPr>
                <w:sz w:val="20"/>
                <w:szCs w:val="20"/>
                <w:color w:val="auto"/>
              </w:rPr>
            </w:pPr>
            <w:r>
              <w:rPr>
                <w:rFonts w:ascii="Arial" w:cs="Arial" w:eastAsia="Arial" w:hAnsi="Arial"/>
                <w:sz w:val="18"/>
                <w:szCs w:val="18"/>
                <w:color w:val="auto"/>
              </w:rPr>
              <w:t>Industrial</w:t>
            </w:r>
          </w:p>
        </w:tc>
        <w:tc>
          <w:tcPr>
            <w:tcW w:w="160" w:type="dxa"/>
            <w:vAlign w:val="bottom"/>
            <w:shd w:val="clear" w:color="auto" w:fill="E5E5E5"/>
          </w:tcPr>
          <w:p>
            <w:pPr>
              <w:spacing w:after="0"/>
              <w:rPr>
                <w:sz w:val="17"/>
                <w:szCs w:val="17"/>
                <w:color w:val="auto"/>
              </w:rPr>
            </w:pPr>
          </w:p>
        </w:tc>
        <w:tc>
          <w:tcPr>
            <w:tcW w:w="3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11</w:t>
            </w:r>
          </w:p>
        </w:tc>
        <w:tc>
          <w:tcPr>
            <w:tcW w:w="2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w:t>
            </w:r>
          </w:p>
        </w:tc>
        <w:tc>
          <w:tcPr>
            <w:tcW w:w="10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42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1</w:t>
            </w:r>
          </w:p>
        </w:tc>
        <w:tc>
          <w:tcPr>
            <w:tcW w:w="1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84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14</w:t>
            </w:r>
          </w:p>
        </w:tc>
        <w:tc>
          <w:tcPr>
            <w:tcW w:w="100" w:type="dxa"/>
            <w:vAlign w:val="bottom"/>
            <w:shd w:val="clear" w:color="auto" w:fill="E5E5E5"/>
          </w:tcPr>
          <w:p>
            <w:pPr>
              <w:spacing w:after="0"/>
              <w:rPr>
                <w:sz w:val="17"/>
                <w:szCs w:val="17"/>
                <w:color w:val="auto"/>
              </w:rPr>
            </w:pPr>
          </w:p>
        </w:tc>
        <w:tc>
          <w:tcPr>
            <w:tcW w:w="6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321</w:t>
            </w:r>
          </w:p>
        </w:tc>
        <w:tc>
          <w:tcPr>
            <w:tcW w:w="1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5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335</w:t>
            </w:r>
          </w:p>
        </w:tc>
        <w:tc>
          <w:tcPr>
            <w:tcW w:w="2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8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tcPr>
          <w:p>
            <w:pPr>
              <w:ind w:left="180"/>
              <w:spacing w:after="0" w:line="202" w:lineRule="exact"/>
              <w:rPr>
                <w:sz w:val="20"/>
                <w:szCs w:val="20"/>
                <w:color w:val="auto"/>
              </w:rPr>
            </w:pPr>
            <w:r>
              <w:rPr>
                <w:rFonts w:ascii="Arial" w:cs="Arial" w:eastAsia="Arial" w:hAnsi="Arial"/>
                <w:sz w:val="18"/>
                <w:szCs w:val="18"/>
                <w:color w:val="auto"/>
              </w:rPr>
              <w:t>Healthcare</w:t>
            </w:r>
          </w:p>
        </w:tc>
        <w:tc>
          <w:tcPr>
            <w:tcW w:w="16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9</w:t>
            </w: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205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214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shd w:val="clear" w:color="auto" w:fill="E5E5E5"/>
          </w:tcPr>
          <w:p>
            <w:pPr>
              <w:ind w:left="180"/>
              <w:spacing w:after="0" w:line="202" w:lineRule="exact"/>
              <w:rPr>
                <w:sz w:val="20"/>
                <w:szCs w:val="20"/>
                <w:color w:val="auto"/>
              </w:rPr>
            </w:pPr>
            <w:r>
              <w:rPr>
                <w:rFonts w:ascii="Arial" w:cs="Arial" w:eastAsia="Arial" w:hAnsi="Arial"/>
                <w:sz w:val="18"/>
                <w:szCs w:val="18"/>
                <w:color w:val="auto"/>
              </w:rPr>
              <w:t>Other</w:t>
            </w:r>
          </w:p>
        </w:tc>
        <w:tc>
          <w:tcPr>
            <w:tcW w:w="160" w:type="dxa"/>
            <w:vAlign w:val="bottom"/>
            <w:shd w:val="clear" w:color="auto" w:fill="E5E5E5"/>
          </w:tcPr>
          <w:p>
            <w:pPr>
              <w:spacing w:after="0"/>
              <w:rPr>
                <w:sz w:val="17"/>
                <w:szCs w:val="17"/>
                <w:color w:val="auto"/>
              </w:rPr>
            </w:pPr>
          </w:p>
        </w:tc>
        <w:tc>
          <w:tcPr>
            <w:tcW w:w="3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8</w:t>
            </w:r>
          </w:p>
        </w:tc>
        <w:tc>
          <w:tcPr>
            <w:tcW w:w="2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w:t>
            </w:r>
          </w:p>
        </w:tc>
        <w:tc>
          <w:tcPr>
            <w:tcW w:w="10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42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84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10</w:t>
            </w:r>
          </w:p>
        </w:tc>
        <w:tc>
          <w:tcPr>
            <w:tcW w:w="100" w:type="dxa"/>
            <w:vAlign w:val="bottom"/>
            <w:shd w:val="clear" w:color="auto" w:fill="E5E5E5"/>
          </w:tcPr>
          <w:p>
            <w:pPr>
              <w:spacing w:after="0"/>
              <w:rPr>
                <w:sz w:val="17"/>
                <w:szCs w:val="17"/>
                <w:color w:val="auto"/>
              </w:rPr>
            </w:pPr>
          </w:p>
        </w:tc>
        <w:tc>
          <w:tcPr>
            <w:tcW w:w="6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270</w:t>
            </w:r>
          </w:p>
        </w:tc>
        <w:tc>
          <w:tcPr>
            <w:tcW w:w="1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5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280</w:t>
            </w:r>
          </w:p>
        </w:tc>
        <w:tc>
          <w:tcPr>
            <w:tcW w:w="2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8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United States</w:t>
            </w: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2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95</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3,054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3,177</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2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24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Total Canada</w:t>
            </w:r>
          </w:p>
        </w:tc>
        <w:tc>
          <w:tcPr>
            <w:tcW w:w="160" w:type="dxa"/>
            <w:vAlign w:val="bottom"/>
            <w:shd w:val="clear" w:color="auto" w:fill="E5E5E5"/>
          </w:tcPr>
          <w:p>
            <w:pPr>
              <w:spacing w:after="0"/>
              <w:rPr>
                <w:sz w:val="17"/>
                <w:szCs w:val="17"/>
                <w:color w:val="auto"/>
              </w:rPr>
            </w:pPr>
          </w:p>
        </w:tc>
        <w:tc>
          <w:tcPr>
            <w:tcW w:w="3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w:t>
            </w:r>
          </w:p>
        </w:tc>
        <w:tc>
          <w:tcPr>
            <w:tcW w:w="2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3</w:t>
            </w:r>
          </w:p>
        </w:tc>
        <w:tc>
          <w:tcPr>
            <w:tcW w:w="10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42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1</w:t>
            </w:r>
          </w:p>
        </w:tc>
        <w:tc>
          <w:tcPr>
            <w:tcW w:w="1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84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7</w:t>
            </w:r>
          </w:p>
        </w:tc>
        <w:tc>
          <w:tcPr>
            <w:tcW w:w="100" w:type="dxa"/>
            <w:vAlign w:val="bottom"/>
            <w:shd w:val="clear" w:color="auto" w:fill="E5E5E5"/>
          </w:tcPr>
          <w:p>
            <w:pPr>
              <w:spacing w:after="0"/>
              <w:rPr>
                <w:sz w:val="17"/>
                <w:szCs w:val="17"/>
                <w:color w:val="auto"/>
              </w:rPr>
            </w:pPr>
          </w:p>
        </w:tc>
        <w:tc>
          <w:tcPr>
            <w:tcW w:w="6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865</w:t>
            </w:r>
          </w:p>
        </w:tc>
        <w:tc>
          <w:tcPr>
            <w:tcW w:w="1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5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872</w:t>
            </w:r>
          </w:p>
        </w:tc>
        <w:tc>
          <w:tcPr>
            <w:tcW w:w="2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8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18"/>
        </w:trPr>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Europe:</w:t>
            </w:r>
          </w:p>
        </w:tc>
        <w:tc>
          <w:tcPr>
            <w:tcW w:w="1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shd w:val="clear" w:color="auto" w:fill="E5E5E5"/>
          </w:tcPr>
          <w:p>
            <w:pPr>
              <w:ind w:left="180"/>
              <w:spacing w:after="0" w:line="202" w:lineRule="exact"/>
              <w:rPr>
                <w:sz w:val="20"/>
                <w:szCs w:val="20"/>
                <w:color w:val="auto"/>
              </w:rPr>
            </w:pPr>
            <w:r>
              <w:rPr>
                <w:rFonts w:ascii="Arial" w:cs="Arial" w:eastAsia="Arial" w:hAnsi="Arial"/>
                <w:sz w:val="18"/>
                <w:szCs w:val="18"/>
                <w:color w:val="auto"/>
              </w:rPr>
              <w:t>France</w:t>
            </w:r>
          </w:p>
        </w:tc>
        <w:tc>
          <w:tcPr>
            <w:tcW w:w="160" w:type="dxa"/>
            <w:vAlign w:val="bottom"/>
            <w:shd w:val="clear" w:color="auto" w:fill="E5E5E5"/>
          </w:tcPr>
          <w:p>
            <w:pPr>
              <w:spacing w:after="0"/>
              <w:rPr>
                <w:sz w:val="17"/>
                <w:szCs w:val="17"/>
                <w:color w:val="auto"/>
              </w:rPr>
            </w:pPr>
          </w:p>
        </w:tc>
        <w:tc>
          <w:tcPr>
            <w:tcW w:w="3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w:t>
            </w:r>
          </w:p>
        </w:tc>
        <w:tc>
          <w:tcPr>
            <w:tcW w:w="2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w:t>
            </w:r>
          </w:p>
        </w:tc>
        <w:tc>
          <w:tcPr>
            <w:tcW w:w="10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42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84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2</w:t>
            </w:r>
          </w:p>
        </w:tc>
        <w:tc>
          <w:tcPr>
            <w:tcW w:w="100" w:type="dxa"/>
            <w:vAlign w:val="bottom"/>
            <w:shd w:val="clear" w:color="auto" w:fill="E5E5E5"/>
          </w:tcPr>
          <w:p>
            <w:pPr>
              <w:spacing w:after="0"/>
              <w:rPr>
                <w:sz w:val="17"/>
                <w:szCs w:val="17"/>
                <w:color w:val="auto"/>
              </w:rPr>
            </w:pPr>
          </w:p>
        </w:tc>
        <w:tc>
          <w:tcPr>
            <w:tcW w:w="6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673</w:t>
            </w:r>
          </w:p>
        </w:tc>
        <w:tc>
          <w:tcPr>
            <w:tcW w:w="1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5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675</w:t>
            </w:r>
          </w:p>
        </w:tc>
        <w:tc>
          <w:tcPr>
            <w:tcW w:w="2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8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5240" w:type="dxa"/>
            <w:vAlign w:val="bottom"/>
          </w:tcPr>
          <w:p>
            <w:pPr>
              <w:ind w:left="180"/>
              <w:spacing w:after="0"/>
              <w:rPr>
                <w:sz w:val="20"/>
                <w:szCs w:val="20"/>
                <w:color w:val="auto"/>
              </w:rPr>
            </w:pPr>
            <w:r>
              <w:rPr>
                <w:rFonts w:ascii="Arial" w:cs="Arial" w:eastAsia="Arial" w:hAnsi="Arial"/>
                <w:sz w:val="18"/>
                <w:szCs w:val="18"/>
                <w:color w:val="auto"/>
              </w:rPr>
              <w:t>U.K./Ireland</w:t>
            </w:r>
          </w:p>
        </w:tc>
        <w:tc>
          <w:tcPr>
            <w:tcW w:w="16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421</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shd w:val="clear" w:color="auto" w:fill="E5E5E5"/>
          </w:tcPr>
          <w:p>
            <w:pPr>
              <w:ind w:left="180"/>
              <w:spacing w:after="0" w:line="202" w:lineRule="exact"/>
              <w:rPr>
                <w:sz w:val="20"/>
                <w:szCs w:val="20"/>
                <w:color w:val="auto"/>
              </w:rPr>
            </w:pPr>
            <w:r>
              <w:rPr>
                <w:rFonts w:ascii="Arial" w:cs="Arial" w:eastAsia="Arial" w:hAnsi="Arial"/>
                <w:sz w:val="18"/>
                <w:szCs w:val="18"/>
                <w:color w:val="auto"/>
              </w:rPr>
              <w:t>Central</w:t>
            </w:r>
          </w:p>
        </w:tc>
        <w:tc>
          <w:tcPr>
            <w:tcW w:w="160" w:type="dxa"/>
            <w:vAlign w:val="bottom"/>
            <w:shd w:val="clear" w:color="auto" w:fill="E5E5E5"/>
          </w:tcPr>
          <w:p>
            <w:pPr>
              <w:spacing w:after="0"/>
              <w:rPr>
                <w:sz w:val="17"/>
                <w:szCs w:val="17"/>
                <w:color w:val="auto"/>
              </w:rPr>
            </w:pPr>
          </w:p>
        </w:tc>
        <w:tc>
          <w:tcPr>
            <w:tcW w:w="3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9</w:t>
            </w:r>
          </w:p>
        </w:tc>
        <w:tc>
          <w:tcPr>
            <w:tcW w:w="2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w:t>
            </w:r>
          </w:p>
        </w:tc>
        <w:tc>
          <w:tcPr>
            <w:tcW w:w="10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42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4</w:t>
            </w:r>
          </w:p>
        </w:tc>
        <w:tc>
          <w:tcPr>
            <w:tcW w:w="1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84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15</w:t>
            </w:r>
          </w:p>
        </w:tc>
        <w:tc>
          <w:tcPr>
            <w:tcW w:w="100" w:type="dxa"/>
            <w:vAlign w:val="bottom"/>
            <w:shd w:val="clear" w:color="auto" w:fill="E5E5E5"/>
          </w:tcPr>
          <w:p>
            <w:pPr>
              <w:spacing w:after="0"/>
              <w:rPr>
                <w:sz w:val="17"/>
                <w:szCs w:val="17"/>
                <w:color w:val="auto"/>
              </w:rPr>
            </w:pPr>
          </w:p>
        </w:tc>
        <w:tc>
          <w:tcPr>
            <w:tcW w:w="6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898</w:t>
            </w:r>
          </w:p>
        </w:tc>
        <w:tc>
          <w:tcPr>
            <w:tcW w:w="1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5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913</w:t>
            </w:r>
          </w:p>
        </w:tc>
        <w:tc>
          <w:tcPr>
            <w:tcW w:w="2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8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5240" w:type="dxa"/>
            <w:vAlign w:val="bottom"/>
          </w:tcPr>
          <w:p>
            <w:pPr>
              <w:ind w:left="180"/>
              <w:spacing w:after="0"/>
              <w:rPr>
                <w:sz w:val="20"/>
                <w:szCs w:val="20"/>
                <w:color w:val="auto"/>
              </w:rPr>
            </w:pPr>
            <w:r>
              <w:rPr>
                <w:rFonts w:ascii="Arial" w:cs="Arial" w:eastAsia="Arial" w:hAnsi="Arial"/>
                <w:sz w:val="18"/>
                <w:szCs w:val="18"/>
                <w:color w:val="auto"/>
              </w:rPr>
              <w:t>Southern</w:t>
            </w:r>
          </w:p>
        </w:tc>
        <w:tc>
          <w:tcPr>
            <w:tcW w:w="16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581</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shd w:val="clear" w:color="auto" w:fill="E5E5E5"/>
          </w:tcPr>
          <w:p>
            <w:pPr>
              <w:ind w:left="180"/>
              <w:spacing w:after="0" w:line="202" w:lineRule="exact"/>
              <w:rPr>
                <w:sz w:val="20"/>
                <w:szCs w:val="20"/>
                <w:color w:val="auto"/>
              </w:rPr>
            </w:pPr>
            <w:r>
              <w:rPr>
                <w:rFonts w:ascii="Arial" w:cs="Arial" w:eastAsia="Arial" w:hAnsi="Arial"/>
                <w:sz w:val="18"/>
                <w:szCs w:val="18"/>
                <w:color w:val="auto"/>
              </w:rPr>
              <w:t>Nordics</w:t>
            </w:r>
          </w:p>
        </w:tc>
        <w:tc>
          <w:tcPr>
            <w:tcW w:w="160" w:type="dxa"/>
            <w:vAlign w:val="bottom"/>
            <w:shd w:val="clear" w:color="auto" w:fill="E5E5E5"/>
          </w:tcPr>
          <w:p>
            <w:pPr>
              <w:spacing w:after="0"/>
              <w:rPr>
                <w:sz w:val="17"/>
                <w:szCs w:val="17"/>
                <w:color w:val="auto"/>
              </w:rPr>
            </w:pPr>
          </w:p>
        </w:tc>
        <w:tc>
          <w:tcPr>
            <w:tcW w:w="3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w:t>
            </w:r>
          </w:p>
        </w:tc>
        <w:tc>
          <w:tcPr>
            <w:tcW w:w="2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42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84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1</w:t>
            </w:r>
          </w:p>
        </w:tc>
        <w:tc>
          <w:tcPr>
            <w:tcW w:w="100" w:type="dxa"/>
            <w:vAlign w:val="bottom"/>
            <w:shd w:val="clear" w:color="auto" w:fill="E5E5E5"/>
          </w:tcPr>
          <w:p>
            <w:pPr>
              <w:spacing w:after="0"/>
              <w:rPr>
                <w:sz w:val="17"/>
                <w:szCs w:val="17"/>
                <w:color w:val="auto"/>
              </w:rPr>
            </w:pPr>
          </w:p>
        </w:tc>
        <w:tc>
          <w:tcPr>
            <w:tcW w:w="6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115</w:t>
            </w:r>
          </w:p>
        </w:tc>
        <w:tc>
          <w:tcPr>
            <w:tcW w:w="1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5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116</w:t>
            </w:r>
          </w:p>
        </w:tc>
        <w:tc>
          <w:tcPr>
            <w:tcW w:w="2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8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Europe</w:t>
            </w: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2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2,625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2,706</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2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24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Other</w:t>
            </w:r>
          </w:p>
        </w:tc>
        <w:tc>
          <w:tcPr>
            <w:tcW w:w="160" w:type="dxa"/>
            <w:vAlign w:val="bottom"/>
            <w:shd w:val="clear" w:color="auto" w:fill="E5E5E5"/>
          </w:tcPr>
          <w:p>
            <w:pPr>
              <w:spacing w:after="0"/>
              <w:rPr>
                <w:sz w:val="17"/>
                <w:szCs w:val="17"/>
                <w:color w:val="auto"/>
              </w:rPr>
            </w:pPr>
          </w:p>
        </w:tc>
        <w:tc>
          <w:tcPr>
            <w:tcW w:w="3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w:t>
            </w:r>
          </w:p>
        </w:tc>
        <w:tc>
          <w:tcPr>
            <w:tcW w:w="2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42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84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2</w:t>
            </w:r>
          </w:p>
        </w:tc>
        <w:tc>
          <w:tcPr>
            <w:tcW w:w="100" w:type="dxa"/>
            <w:vAlign w:val="bottom"/>
            <w:shd w:val="clear" w:color="auto" w:fill="E5E5E5"/>
          </w:tcPr>
          <w:p>
            <w:pPr>
              <w:spacing w:after="0"/>
              <w:rPr>
                <w:sz w:val="17"/>
                <w:szCs w:val="17"/>
                <w:color w:val="auto"/>
              </w:rPr>
            </w:pPr>
          </w:p>
        </w:tc>
        <w:tc>
          <w:tcPr>
            <w:tcW w:w="7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64</w:t>
            </w:r>
          </w:p>
        </w:tc>
        <w:tc>
          <w:tcPr>
            <w:tcW w:w="10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5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66</w:t>
            </w:r>
          </w:p>
        </w:tc>
        <w:tc>
          <w:tcPr>
            <w:tcW w:w="2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8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w:t>
            </w: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260" w:type="dxa"/>
            <w:vAlign w:val="bottom"/>
            <w:gridSpan w:val="2"/>
            <w:vMerge w:val="continue"/>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147</w:t>
            </w:r>
          </w:p>
        </w:tc>
        <w:tc>
          <w:tcPr>
            <w:tcW w:w="20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29</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6,608</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6,821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Accounts Receivable Sales Arrangements</w:t>
      </w:r>
    </w:p>
    <w:p>
      <w:pPr>
        <w:spacing w:after="0" w:line="1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have facilities in the U.S., Canada and several countries in Europe that enable us to sell to third-parties, on an on-going basis, certain accounts receivable without recourse. The accounts receivables sold are generally short-term trade receivables with payment due dates of less than 60 days. The agreements involve the sale of entire groups of accounts receivable for cash. In certain instances, a portion of the sales proceeds is held back and deferred until collection of the related receivables by the purchaser. Such holdbacks are not considered legal securities nor are they certificated. Deferred proceeds on accounts receivable sales in 2010 amounted to $307. We report collections on such receivables as operating cash flows in the Consolidated Statements of Cash Flows, because such receivables are the result of an operating activity and the associated interest rate risk is de minimis due to its short-term nature. These receivables are included in the caption “Other current assets” in the accompanying Consolidated Balance Sheets and were $90 at December 31, 2010. Under most of the agreements, we also continue to service the sold accounts receivable. When applicable, a servicing liability is recorded for the estimated fair value of the servicing. The amounts associated with the servicing liability were not material.</w:t>
      </w:r>
    </w:p>
    <w:p>
      <w:pPr>
        <w:spacing w:after="0" w:line="144" w:lineRule="exact"/>
        <w:rPr>
          <w:sz w:val="20"/>
          <w:szCs w:val="20"/>
          <w:color w:val="auto"/>
        </w:rPr>
      </w:pPr>
    </w:p>
    <w:p>
      <w:pPr>
        <w:ind w:left="9600"/>
        <w:spacing w:after="0"/>
        <w:rPr>
          <w:sz w:val="20"/>
          <w:szCs w:val="20"/>
          <w:color w:val="auto"/>
        </w:rPr>
      </w:pPr>
      <w:r>
        <w:rPr>
          <w:rFonts w:ascii="Arial" w:cs="Arial" w:eastAsia="Arial" w:hAnsi="Arial"/>
          <w:sz w:val="12"/>
          <w:szCs w:val="12"/>
          <w:color w:val="4C9F40"/>
        </w:rPr>
        <w:t>Xerox 2010 Annual Report 63</w:t>
      </w:r>
    </w:p>
    <w:p>
      <w:pPr>
        <w:sectPr>
          <w:pgSz w:w="11900" w:h="16838" w:orient="portrait"/>
          <w:cols w:equalWidth="0" w:num="1">
            <w:col w:w="11420"/>
          </w:cols>
          <w:pgMar w:left="240" w:top="345" w:right="2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Accounts receivable sales for the three years ended December 31, 2010 were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6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color w:val="auto"/>
              </w:rPr>
              <w:t>2009</w:t>
            </w:r>
          </w:p>
        </w:tc>
        <w:tc>
          <w:tcPr>
            <w:tcW w:w="200" w:type="dxa"/>
            <w:vAlign w:val="bottom"/>
          </w:tcPr>
          <w:p>
            <w:pPr>
              <w:spacing w:after="0"/>
              <w:rPr>
                <w:sz w:val="14"/>
                <w:szCs w:val="14"/>
                <w:color w:val="auto"/>
              </w:rPr>
            </w:pPr>
          </w:p>
        </w:tc>
        <w:tc>
          <w:tcPr>
            <w:tcW w:w="5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2008</w:t>
            </w:r>
          </w:p>
        </w:tc>
        <w:tc>
          <w:tcPr>
            <w:tcW w:w="120" w:type="dxa"/>
            <w:vAlign w:val="bottom"/>
          </w:tcPr>
          <w:p>
            <w:pPr>
              <w:spacing w:after="0"/>
              <w:rPr>
                <w:sz w:val="14"/>
                <w:szCs w:val="14"/>
                <w:color w:val="auto"/>
              </w:rPr>
            </w:pPr>
          </w:p>
        </w:tc>
      </w:tr>
      <w:tr>
        <w:trPr>
          <w:trHeight w:val="196"/>
        </w:trPr>
        <w:tc>
          <w:tcPr>
            <w:tcW w:w="5540" w:type="dxa"/>
            <w:vAlign w:val="bottom"/>
            <w:shd w:val="clear" w:color="auto" w:fill="E5E5E5"/>
          </w:tcPr>
          <w:p>
            <w:pPr>
              <w:spacing w:after="0" w:line="196" w:lineRule="exact"/>
              <w:rPr>
                <w:sz w:val="20"/>
                <w:szCs w:val="20"/>
                <w:color w:val="auto"/>
              </w:rPr>
            </w:pPr>
            <w:r>
              <w:rPr>
                <w:rFonts w:ascii="Arial" w:cs="Arial" w:eastAsia="Arial" w:hAnsi="Arial"/>
                <w:sz w:val="18"/>
                <w:szCs w:val="18"/>
                <w:color w:val="auto"/>
              </w:rPr>
              <w:t>Accounts receivable sales</w:t>
            </w:r>
          </w:p>
        </w:tc>
        <w:tc>
          <w:tcPr>
            <w:tcW w:w="2720" w:type="dxa"/>
            <w:vAlign w:val="bottom"/>
            <w:gridSpan w:val="3"/>
            <w:shd w:val="clear" w:color="auto" w:fill="E5E5E5"/>
          </w:tcPr>
          <w:p>
            <w:pPr>
              <w:jc w:val="right"/>
              <w:ind w:right="100"/>
              <w:spacing w:after="0" w:line="196" w:lineRule="exact"/>
              <w:rPr>
                <w:sz w:val="20"/>
                <w:szCs w:val="20"/>
                <w:color w:val="auto"/>
              </w:rPr>
            </w:pPr>
            <w:r>
              <w:rPr>
                <w:rFonts w:ascii="Arial" w:cs="Arial" w:eastAsia="Arial" w:hAnsi="Arial"/>
                <w:sz w:val="18"/>
                <w:szCs w:val="18"/>
                <w:color w:val="auto"/>
              </w:rPr>
              <w:t>$ 2,374</w:t>
            </w:r>
          </w:p>
        </w:tc>
        <w:tc>
          <w:tcPr>
            <w:tcW w:w="940" w:type="dxa"/>
            <w:vAlign w:val="bottom"/>
            <w:gridSpan w:val="3"/>
            <w:shd w:val="clear" w:color="auto" w:fill="E5E5E5"/>
          </w:tcPr>
          <w:p>
            <w:pPr>
              <w:jc w:val="right"/>
              <w:ind w:right="200"/>
              <w:spacing w:after="0" w:line="196" w:lineRule="exact"/>
              <w:rPr>
                <w:sz w:val="20"/>
                <w:szCs w:val="20"/>
                <w:color w:val="auto"/>
              </w:rPr>
            </w:pPr>
            <w:r>
              <w:rPr>
                <w:rFonts w:ascii="Arial" w:cs="Arial" w:eastAsia="Arial" w:hAnsi="Arial"/>
                <w:sz w:val="18"/>
                <w:szCs w:val="18"/>
                <w:color w:val="auto"/>
              </w:rPr>
              <w:t>$ 1,566</w:t>
            </w:r>
          </w:p>
        </w:tc>
        <w:tc>
          <w:tcPr>
            <w:tcW w:w="620" w:type="dxa"/>
            <w:vAlign w:val="bottom"/>
            <w:gridSpan w:val="2"/>
            <w:shd w:val="clear" w:color="auto" w:fill="E5E5E5"/>
          </w:tcPr>
          <w:p>
            <w:pPr>
              <w:jc w:val="right"/>
              <w:ind w:right="120"/>
              <w:spacing w:after="0" w:line="196" w:lineRule="exact"/>
              <w:rPr>
                <w:sz w:val="20"/>
                <w:szCs w:val="20"/>
                <w:color w:val="auto"/>
              </w:rPr>
            </w:pPr>
            <w:r>
              <w:rPr>
                <w:rFonts w:ascii="Arial" w:cs="Arial" w:eastAsia="Arial" w:hAnsi="Arial"/>
                <w:sz w:val="18"/>
                <w:szCs w:val="18"/>
                <w:color w:val="auto"/>
              </w:rPr>
              <w:t>$ 717</w:t>
            </w: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Deferred proceeds</w:t>
            </w:r>
          </w:p>
        </w:tc>
        <w:tc>
          <w:tcPr>
            <w:tcW w:w="2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307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55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Fees associated with sales</w:t>
            </w:r>
          </w:p>
        </w:tc>
        <w:tc>
          <w:tcPr>
            <w:tcW w:w="2720" w:type="dxa"/>
            <w:vAlign w:val="bottom"/>
            <w:gridSpan w:val="3"/>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15</w:t>
            </w:r>
          </w:p>
        </w:tc>
        <w:tc>
          <w:tcPr>
            <w:tcW w:w="940" w:type="dxa"/>
            <w:vAlign w:val="bottom"/>
            <w:gridSpan w:val="3"/>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13</w:t>
            </w:r>
          </w:p>
        </w:tc>
        <w:tc>
          <w:tcPr>
            <w:tcW w:w="6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4</w:t>
            </w:r>
          </w:p>
        </w:tc>
      </w:tr>
      <w:tr>
        <w:trPr>
          <w:trHeight w:val="293"/>
        </w:trPr>
        <w:tc>
          <w:tcPr>
            <w:tcW w:w="5540" w:type="dxa"/>
            <w:vAlign w:val="bottom"/>
          </w:tcPr>
          <w:p>
            <w:pPr>
              <w:spacing w:after="0"/>
              <w:rPr>
                <w:sz w:val="20"/>
                <w:szCs w:val="20"/>
                <w:color w:val="auto"/>
              </w:rPr>
            </w:pPr>
            <w:r>
              <w:rPr>
                <w:rFonts w:ascii="Arial" w:cs="Arial" w:eastAsia="Arial" w:hAnsi="Arial"/>
                <w:sz w:val="18"/>
                <w:szCs w:val="18"/>
                <w:color w:val="auto"/>
              </w:rPr>
              <w:t xml:space="preserve">Estimated increase on operating cash flows </w:t>
            </w:r>
            <w:r>
              <w:rPr>
                <w:rFonts w:ascii="Arial" w:cs="Arial" w:eastAsia="Arial" w:hAnsi="Arial"/>
                <w:sz w:val="22"/>
                <w:szCs w:val="22"/>
                <w:color w:val="auto"/>
                <w:vertAlign w:val="superscript"/>
              </w:rPr>
              <w:t>(1)</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309</w:t>
            </w:r>
          </w:p>
        </w:tc>
        <w:tc>
          <w:tcPr>
            <w:tcW w:w="200" w:type="dxa"/>
            <w:vAlign w:val="bottom"/>
          </w:tcPr>
          <w:p>
            <w:pPr>
              <w:spacing w:after="0"/>
              <w:rPr>
                <w:sz w:val="24"/>
                <w:szCs w:val="2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89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8" w:lineRule="exact"/>
        <w:rPr>
          <w:sz w:val="20"/>
          <w:szCs w:val="20"/>
          <w:color w:val="auto"/>
        </w:rPr>
      </w:pPr>
    </w:p>
    <w:p>
      <w:pPr>
        <w:ind w:left="340" w:right="120" w:hanging="332"/>
        <w:spacing w:after="0" w:line="231" w:lineRule="auto"/>
        <w:tabs>
          <w:tab w:leader="none" w:pos="340" w:val="left"/>
        </w:tabs>
        <w:numPr>
          <w:ilvl w:val="0"/>
          <w:numId w:val="153"/>
        </w:numPr>
        <w:rPr>
          <w:rFonts w:ascii="Arial" w:cs="Arial" w:eastAsia="Arial" w:hAnsi="Arial"/>
          <w:sz w:val="14"/>
          <w:szCs w:val="14"/>
          <w:color w:val="auto"/>
        </w:rPr>
      </w:pPr>
      <w:r>
        <w:rPr>
          <w:rFonts w:ascii="Arial" w:cs="Arial" w:eastAsia="Arial" w:hAnsi="Arial"/>
          <w:sz w:val="14"/>
          <w:szCs w:val="14"/>
          <w:color w:val="auto"/>
        </w:rPr>
        <w:t>Represents the difference between current and prior year fourth quarter accounts receivable sales adjusted for the effects of: (i) the deferred proceeds, (ii) collections prior to the end of the year and (iii) currency.</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4C9F40"/>
        </w:rPr>
        <w:t>Note 5 – Inventories and Equipment on Operating Leases, Net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Inventories at December 31, 2010 and 2009 were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w w:val="89"/>
              </w:rPr>
              <w:t>2010</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w w:val="89"/>
              </w:rPr>
              <w:t>2009</w:t>
            </w:r>
          </w:p>
        </w:tc>
        <w:tc>
          <w:tcPr>
            <w:tcW w:w="120" w:type="dxa"/>
            <w:vAlign w:val="bottom"/>
          </w:tcPr>
          <w:p>
            <w:pPr>
              <w:spacing w:after="0"/>
              <w:rPr>
                <w:sz w:val="14"/>
                <w:szCs w:val="14"/>
                <w:color w:val="auto"/>
              </w:rPr>
            </w:pPr>
          </w:p>
        </w:tc>
      </w:tr>
      <w:tr>
        <w:trPr>
          <w:trHeight w:val="196"/>
        </w:trPr>
        <w:tc>
          <w:tcPr>
            <w:tcW w:w="7840" w:type="dxa"/>
            <w:vAlign w:val="bottom"/>
            <w:shd w:val="clear" w:color="auto" w:fill="E5E5E5"/>
          </w:tcPr>
          <w:p>
            <w:pPr>
              <w:spacing w:after="0" w:line="196" w:lineRule="exact"/>
              <w:rPr>
                <w:sz w:val="20"/>
                <w:szCs w:val="20"/>
                <w:color w:val="auto"/>
              </w:rPr>
            </w:pPr>
            <w:r>
              <w:rPr>
                <w:rFonts w:ascii="Arial" w:cs="Arial" w:eastAsia="Arial" w:hAnsi="Arial"/>
                <w:sz w:val="18"/>
                <w:szCs w:val="18"/>
                <w:color w:val="auto"/>
              </w:rPr>
              <w:t>Finished goods</w:t>
            </w:r>
          </w:p>
        </w:tc>
        <w:tc>
          <w:tcPr>
            <w:tcW w:w="10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rPr>
              <w:t>858</w:t>
            </w:r>
          </w:p>
        </w:tc>
        <w:tc>
          <w:tcPr>
            <w:tcW w:w="280" w:type="dxa"/>
            <w:vAlign w:val="bottom"/>
            <w:gridSpan w:val="2"/>
            <w:shd w:val="clear" w:color="auto" w:fill="E5E5E5"/>
          </w:tcPr>
          <w:p>
            <w:pPr>
              <w:jc w:val="right"/>
              <w:spacing w:after="0" w:line="196" w:lineRule="exact"/>
              <w:rPr>
                <w:sz w:val="20"/>
                <w:szCs w:val="20"/>
                <w:color w:val="auto"/>
              </w:rPr>
            </w:pPr>
            <w:r>
              <w:rPr>
                <w:rFonts w:ascii="Arial" w:cs="Arial" w:eastAsia="Arial" w:hAnsi="Arial"/>
                <w:sz w:val="18"/>
                <w:szCs w:val="18"/>
                <w:color w:val="auto"/>
              </w:rPr>
              <w:t>$</w:t>
            </w:r>
          </w:p>
        </w:tc>
        <w:tc>
          <w:tcPr>
            <w:tcW w:w="520" w:type="dxa"/>
            <w:vAlign w:val="bottom"/>
            <w:gridSpan w:val="2"/>
            <w:shd w:val="clear" w:color="auto" w:fill="E5E5E5"/>
          </w:tcPr>
          <w:p>
            <w:pPr>
              <w:jc w:val="right"/>
              <w:ind w:right="120"/>
              <w:spacing w:after="0" w:line="196" w:lineRule="exact"/>
              <w:rPr>
                <w:sz w:val="20"/>
                <w:szCs w:val="20"/>
                <w:color w:val="auto"/>
              </w:rPr>
            </w:pPr>
            <w:r>
              <w:rPr>
                <w:rFonts w:ascii="Arial" w:cs="Arial" w:eastAsia="Arial" w:hAnsi="Arial"/>
                <w:sz w:val="18"/>
                <w:szCs w:val="18"/>
                <w:color w:val="auto"/>
              </w:rPr>
              <w:t>772</w:t>
            </w:r>
          </w:p>
        </w:tc>
      </w:tr>
      <w:tr>
        <w:trPr>
          <w:trHeight w:val="203"/>
        </w:trPr>
        <w:tc>
          <w:tcPr>
            <w:tcW w:w="7840" w:type="dxa"/>
            <w:vAlign w:val="bottom"/>
          </w:tcPr>
          <w:p>
            <w:pPr>
              <w:spacing w:after="0" w:line="202" w:lineRule="exact"/>
              <w:rPr>
                <w:sz w:val="20"/>
                <w:szCs w:val="20"/>
                <w:color w:val="auto"/>
              </w:rPr>
            </w:pPr>
            <w:r>
              <w:rPr>
                <w:rFonts w:ascii="Arial" w:cs="Arial" w:eastAsia="Arial" w:hAnsi="Arial"/>
                <w:sz w:val="18"/>
                <w:szCs w:val="18"/>
                <w:color w:val="auto"/>
              </w:rPr>
              <w:t>Work-in-process</w:t>
            </w:r>
          </w:p>
        </w:tc>
        <w:tc>
          <w:tcPr>
            <w:tcW w:w="10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46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43</w:t>
            </w:r>
          </w:p>
        </w:tc>
      </w:tr>
      <w:tr>
        <w:trPr>
          <w:trHeight w:val="203"/>
        </w:trPr>
        <w:tc>
          <w:tcPr>
            <w:tcW w:w="78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Raw materials</w:t>
            </w:r>
          </w:p>
        </w:tc>
        <w:tc>
          <w:tcPr>
            <w:tcW w:w="100" w:type="dxa"/>
            <w:vAlign w:val="bottom"/>
            <w:shd w:val="clear" w:color="auto" w:fill="E5E5E5"/>
          </w:tcPr>
          <w:p>
            <w:pPr>
              <w:spacing w:after="0"/>
              <w:rPr>
                <w:sz w:val="17"/>
                <w:szCs w:val="17"/>
                <w:color w:val="auto"/>
              </w:rPr>
            </w:pPr>
          </w:p>
        </w:tc>
        <w:tc>
          <w:tcPr>
            <w:tcW w:w="4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87</w:t>
            </w:r>
          </w:p>
        </w:tc>
        <w:tc>
          <w:tcPr>
            <w:tcW w:w="18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5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85</w:t>
            </w:r>
          </w:p>
        </w:tc>
      </w:tr>
      <w:tr>
        <w:trPr>
          <w:trHeight w:val="210"/>
        </w:trPr>
        <w:tc>
          <w:tcPr>
            <w:tcW w:w="7840" w:type="dxa"/>
            <w:vAlign w:val="bottom"/>
          </w:tcPr>
          <w:p>
            <w:pPr>
              <w:spacing w:after="0"/>
              <w:rPr>
                <w:sz w:val="20"/>
                <w:szCs w:val="20"/>
                <w:color w:val="auto"/>
              </w:rPr>
            </w:pPr>
            <w:r>
              <w:rPr>
                <w:rFonts w:ascii="Arial" w:cs="Arial" w:eastAsia="Arial" w:hAnsi="Arial"/>
                <w:sz w:val="18"/>
                <w:szCs w:val="18"/>
                <w:b w:val="1"/>
                <w:bCs w:val="1"/>
                <w:color w:val="auto"/>
              </w:rPr>
              <w:t>Total Inventories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991</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900</w:t>
            </w:r>
          </w:p>
        </w:tc>
        <w:tc>
          <w:tcPr>
            <w:tcW w:w="120" w:type="dxa"/>
            <w:vAlign w:val="bottom"/>
          </w:tcPr>
          <w:p>
            <w:pPr>
              <w:spacing w:after="0"/>
              <w:rPr>
                <w:sz w:val="18"/>
                <w:szCs w:val="18"/>
                <w:color w:val="auto"/>
              </w:rPr>
            </w:pPr>
          </w:p>
        </w:tc>
      </w:tr>
      <w:tr>
        <w:trPr>
          <w:trHeight w:val="20"/>
        </w:trPr>
        <w:tc>
          <w:tcPr>
            <w:tcW w:w="7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9"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The transfer of equipment from our inventories to equipment subject to an operating lease is presented in our Consolidated Statements of Cash Flows in the operating activities section as a non-cash adjustment. Equipment on operating leases and similar arrangements consists of our equipment rented to customers and depreciated to estimated salvage value at the end of the lease term. We recorded $31, $52 and $115 in inventory write-down charges for the years ended December 31, 2010, 2009 and 2008,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Equipment on operating leases and the related accumulated depreciation at December 31, 2010 and 2009 were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color w:val="auto"/>
              </w:rPr>
              <w:t>2010</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color w:val="auto"/>
              </w:rPr>
              <w:t>2009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40" w:type="dxa"/>
            <w:vAlign w:val="bottom"/>
            <w:shd w:val="clear" w:color="auto" w:fill="E5E5E5"/>
          </w:tcPr>
          <w:p>
            <w:pPr>
              <w:spacing w:after="0" w:line="196" w:lineRule="exact"/>
              <w:rPr>
                <w:sz w:val="20"/>
                <w:szCs w:val="20"/>
                <w:color w:val="auto"/>
              </w:rPr>
            </w:pPr>
            <w:r>
              <w:rPr>
                <w:rFonts w:ascii="Arial" w:cs="Arial" w:eastAsia="Arial" w:hAnsi="Arial"/>
                <w:sz w:val="18"/>
                <w:szCs w:val="18"/>
                <w:color w:val="auto"/>
              </w:rPr>
              <w:t>Equipment on operating leases</w:t>
            </w:r>
          </w:p>
        </w:tc>
        <w:tc>
          <w:tcPr>
            <w:tcW w:w="2540" w:type="dxa"/>
            <w:vAlign w:val="bottom"/>
            <w:gridSpan w:val="2"/>
            <w:shd w:val="clear" w:color="auto" w:fill="E5E5E5"/>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E5E5E5"/>
          </w:tcPr>
          <w:p>
            <w:pPr>
              <w:jc w:val="right"/>
              <w:ind w:right="200"/>
              <w:spacing w:after="0" w:line="196" w:lineRule="exact"/>
              <w:rPr>
                <w:sz w:val="20"/>
                <w:szCs w:val="20"/>
                <w:color w:val="auto"/>
              </w:rPr>
            </w:pPr>
            <w:r>
              <w:rPr>
                <w:rFonts w:ascii="Arial" w:cs="Arial" w:eastAsia="Arial" w:hAnsi="Arial"/>
                <w:sz w:val="18"/>
                <w:szCs w:val="18"/>
                <w:color w:val="auto"/>
              </w:rPr>
              <w:t>1,561</w:t>
            </w:r>
          </w:p>
        </w:tc>
        <w:tc>
          <w:tcPr>
            <w:tcW w:w="12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E5E5E5"/>
          </w:tcPr>
          <w:p>
            <w:pPr>
              <w:jc w:val="right"/>
              <w:ind w:right="120"/>
              <w:spacing w:after="0" w:line="196" w:lineRule="exact"/>
              <w:rPr>
                <w:sz w:val="20"/>
                <w:szCs w:val="20"/>
                <w:color w:val="auto"/>
              </w:rPr>
            </w:pPr>
            <w:r>
              <w:rPr>
                <w:rFonts w:ascii="Arial" w:cs="Arial" w:eastAsia="Arial" w:hAnsi="Arial"/>
                <w:sz w:val="18"/>
                <w:szCs w:val="18"/>
                <w:color w:val="auto"/>
              </w:rPr>
              <w:t>1,583</w:t>
            </w:r>
          </w:p>
        </w:tc>
        <w:tc>
          <w:tcPr>
            <w:tcW w:w="0" w:type="dxa"/>
            <w:vAlign w:val="bottom"/>
          </w:tcPr>
          <w:p>
            <w:pPr>
              <w:spacing w:after="0"/>
              <w:rPr>
                <w:sz w:val="1"/>
                <w:szCs w:val="1"/>
                <w:color w:val="auto"/>
              </w:rPr>
            </w:pPr>
          </w:p>
        </w:tc>
      </w:tr>
      <w:tr>
        <w:trPr>
          <w:trHeight w:val="203"/>
        </w:trPr>
        <w:tc>
          <w:tcPr>
            <w:tcW w:w="5460" w:type="dxa"/>
            <w:vAlign w:val="bottom"/>
            <w:gridSpan w:val="2"/>
          </w:tcPr>
          <w:p>
            <w:pPr>
              <w:spacing w:after="0" w:line="202" w:lineRule="exact"/>
              <w:rPr>
                <w:sz w:val="20"/>
                <w:szCs w:val="20"/>
                <w:color w:val="auto"/>
              </w:rPr>
            </w:pPr>
            <w:r>
              <w:rPr>
                <w:rFonts w:ascii="Arial" w:cs="Arial" w:eastAsia="Arial" w:hAnsi="Arial"/>
                <w:sz w:val="18"/>
                <w:szCs w:val="18"/>
                <w:color w:val="auto"/>
              </w:rPr>
              <w:t>Accumulated depreciation</w:t>
            </w:r>
          </w:p>
        </w:tc>
        <w:tc>
          <w:tcPr>
            <w:tcW w:w="2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w w:val="98"/>
              </w:rPr>
              <w:t>(1,031)</w:t>
            </w:r>
          </w:p>
        </w:tc>
        <w:tc>
          <w:tcPr>
            <w:tcW w:w="120" w:type="dxa"/>
            <w:vAlign w:val="bottom"/>
          </w:tcPr>
          <w:p>
            <w:pPr>
              <w:spacing w:after="0"/>
              <w:rPr>
                <w:sz w:val="17"/>
                <w:szCs w:val="17"/>
                <w:color w:val="auto"/>
              </w:rPr>
            </w:pPr>
          </w:p>
        </w:tc>
        <w:tc>
          <w:tcPr>
            <w:tcW w:w="6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8"/>
              </w:rPr>
              <w:t>(1,032)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4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Equipment on Operating Leases, net</w:t>
            </w:r>
          </w:p>
        </w:tc>
        <w:tc>
          <w:tcPr>
            <w:tcW w:w="2400" w:type="dxa"/>
            <w:vAlign w:val="bottom"/>
            <w:shd w:val="clear" w:color="auto" w:fill="E5E5E5"/>
          </w:tcPr>
          <w:p>
            <w:pPr>
              <w:spacing w:after="0"/>
              <w:rPr>
                <w:sz w:val="17"/>
                <w:szCs w:val="17"/>
                <w:color w:val="auto"/>
              </w:rPr>
            </w:pPr>
          </w:p>
        </w:tc>
        <w:tc>
          <w:tcPr>
            <w:tcW w:w="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530</w:t>
            </w:r>
          </w:p>
        </w:tc>
        <w:tc>
          <w:tcPr>
            <w:tcW w:w="200" w:type="dxa"/>
            <w:vAlign w:val="bottom"/>
            <w:shd w:val="clear" w:color="auto" w:fill="E5E5E5"/>
          </w:tcPr>
          <w:p>
            <w:pPr>
              <w:spacing w:after="0"/>
              <w:rPr>
                <w:sz w:val="17"/>
                <w:szCs w:val="17"/>
                <w:color w:val="auto"/>
              </w:rPr>
            </w:pPr>
          </w:p>
        </w:tc>
        <w:tc>
          <w:tcPr>
            <w:tcW w:w="1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Depreciable lives generally vary from three to four years consistent with our planned and historical usage of the equipment subject to operating leases. Depreciation and obsolescence expense for equipment on operating leases was $313, $329 and $298 for the years ended December 31, 2010, 2009 and 2008, respectively. Our equipment operating lease terms vary, generally from 12 to 36 months. Scheduled minimum future rental revenues on operating leases with original terms of one year or longer are: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color w:val="auto"/>
              </w:rPr>
              <w:t>2011</w:t>
            </w: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2012</w:t>
            </w: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2013</w:t>
            </w:r>
          </w:p>
        </w:tc>
        <w:tc>
          <w:tcPr>
            <w:tcW w:w="168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2014</w:t>
            </w:r>
          </w:p>
        </w:tc>
        <w:tc>
          <w:tcPr>
            <w:tcW w:w="168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2015</w:t>
            </w:r>
          </w:p>
        </w:tc>
        <w:tc>
          <w:tcPr>
            <w:tcW w:w="1680" w:type="dxa"/>
            <w:vAlign w:val="bottom"/>
          </w:tcPr>
          <w:p>
            <w:pPr>
              <w:spacing w:after="0"/>
              <w:rPr>
                <w:sz w:val="14"/>
                <w:szCs w:val="14"/>
                <w:color w:val="auto"/>
              </w:rPr>
            </w:pPr>
          </w:p>
        </w:tc>
        <w:tc>
          <w:tcPr>
            <w:tcW w:w="6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5"/>
              </w:rPr>
              <w:t>Thereafter</w:t>
            </w:r>
          </w:p>
        </w:tc>
        <w:tc>
          <w:tcPr>
            <w:tcW w:w="100" w:type="dxa"/>
            <w:vAlign w:val="bottom"/>
          </w:tcPr>
          <w:p>
            <w:pPr>
              <w:spacing w:after="0"/>
              <w:rPr>
                <w:sz w:val="14"/>
                <w:szCs w:val="14"/>
                <w:color w:val="auto"/>
              </w:rPr>
            </w:pPr>
          </w:p>
        </w:tc>
      </w:tr>
      <w:tr>
        <w:trPr>
          <w:trHeight w:val="196"/>
        </w:trPr>
        <w:tc>
          <w:tcPr>
            <w:tcW w:w="1340" w:type="dxa"/>
            <w:vAlign w:val="bottom"/>
            <w:gridSpan w:val="2"/>
            <w:shd w:val="clear" w:color="auto" w:fill="E5E5E5"/>
          </w:tcPr>
          <w:p>
            <w:pPr>
              <w:jc w:val="right"/>
              <w:ind w:right="840"/>
              <w:spacing w:after="0" w:line="196" w:lineRule="exact"/>
              <w:rPr>
                <w:sz w:val="20"/>
                <w:szCs w:val="20"/>
                <w:color w:val="auto"/>
              </w:rPr>
            </w:pPr>
            <w:r>
              <w:rPr>
                <w:rFonts w:ascii="Arial" w:cs="Arial" w:eastAsia="Arial" w:hAnsi="Arial"/>
                <w:sz w:val="18"/>
                <w:szCs w:val="18"/>
                <w:color w:val="auto"/>
              </w:rPr>
              <w:t>$ 389</w:t>
            </w:r>
          </w:p>
        </w:tc>
        <w:tc>
          <w:tcPr>
            <w:tcW w:w="2160" w:type="dxa"/>
            <w:vAlign w:val="bottom"/>
            <w:gridSpan w:val="3"/>
            <w:shd w:val="clear" w:color="auto" w:fill="E5E5E5"/>
          </w:tcPr>
          <w:p>
            <w:pPr>
              <w:jc w:val="right"/>
              <w:ind w:right="840"/>
              <w:spacing w:after="0" w:line="196" w:lineRule="exact"/>
              <w:rPr>
                <w:sz w:val="20"/>
                <w:szCs w:val="20"/>
                <w:color w:val="auto"/>
              </w:rPr>
            </w:pPr>
            <w:r>
              <w:rPr>
                <w:rFonts w:ascii="Arial" w:cs="Arial" w:eastAsia="Arial" w:hAnsi="Arial"/>
                <w:sz w:val="18"/>
                <w:szCs w:val="18"/>
                <w:color w:val="auto"/>
              </w:rPr>
              <w:t>$ 279</w:t>
            </w:r>
          </w:p>
        </w:tc>
        <w:tc>
          <w:tcPr>
            <w:tcW w:w="3020" w:type="dxa"/>
            <w:vAlign w:val="bottom"/>
            <w:gridSpan w:val="3"/>
            <w:shd w:val="clear" w:color="auto" w:fill="E5E5E5"/>
          </w:tcPr>
          <w:p>
            <w:pPr>
              <w:jc w:val="right"/>
              <w:ind w:right="1680"/>
              <w:spacing w:after="0" w:line="196" w:lineRule="exact"/>
              <w:rPr>
                <w:sz w:val="20"/>
                <w:szCs w:val="20"/>
                <w:color w:val="auto"/>
              </w:rPr>
            </w:pPr>
            <w:r>
              <w:rPr>
                <w:rFonts w:ascii="Arial" w:cs="Arial" w:eastAsia="Arial" w:hAnsi="Arial"/>
                <w:sz w:val="18"/>
                <w:szCs w:val="18"/>
                <w:color w:val="auto"/>
              </w:rPr>
              <w:t>$ 180</w:t>
            </w:r>
          </w:p>
        </w:tc>
        <w:tc>
          <w:tcPr>
            <w:tcW w:w="2080" w:type="dxa"/>
            <w:vAlign w:val="bottom"/>
            <w:gridSpan w:val="2"/>
            <w:shd w:val="clear" w:color="auto" w:fill="E5E5E5"/>
          </w:tcPr>
          <w:p>
            <w:pPr>
              <w:jc w:val="right"/>
              <w:ind w:right="1680"/>
              <w:spacing w:after="0" w:line="196" w:lineRule="exact"/>
              <w:rPr>
                <w:sz w:val="20"/>
                <w:szCs w:val="20"/>
                <w:color w:val="auto"/>
              </w:rPr>
            </w:pPr>
            <w:r>
              <w:rPr>
                <w:rFonts w:ascii="Arial" w:cs="Arial" w:eastAsia="Arial" w:hAnsi="Arial"/>
                <w:sz w:val="18"/>
                <w:szCs w:val="18"/>
                <w:color w:val="auto"/>
              </w:rPr>
              <w:t>$ 87</w:t>
            </w:r>
          </w:p>
        </w:tc>
        <w:tc>
          <w:tcPr>
            <w:tcW w:w="2080" w:type="dxa"/>
            <w:vAlign w:val="bottom"/>
            <w:gridSpan w:val="2"/>
            <w:shd w:val="clear" w:color="auto" w:fill="E5E5E5"/>
          </w:tcPr>
          <w:p>
            <w:pPr>
              <w:jc w:val="right"/>
              <w:ind w:right="1680"/>
              <w:spacing w:after="0" w:line="196" w:lineRule="exact"/>
              <w:rPr>
                <w:sz w:val="20"/>
                <w:szCs w:val="20"/>
                <w:color w:val="auto"/>
              </w:rPr>
            </w:pPr>
            <w:r>
              <w:rPr>
                <w:rFonts w:ascii="Arial" w:cs="Arial" w:eastAsia="Arial" w:hAnsi="Arial"/>
                <w:sz w:val="18"/>
                <w:szCs w:val="18"/>
                <w:color w:val="auto"/>
              </w:rPr>
              <w:t>$ 41</w:t>
            </w:r>
          </w:p>
        </w:tc>
        <w:tc>
          <w:tcPr>
            <w:tcW w:w="260" w:type="dxa"/>
            <w:vAlign w:val="bottom"/>
            <w:shd w:val="clear" w:color="auto" w:fill="E5E5E5"/>
          </w:tcPr>
          <w:p>
            <w:pPr>
              <w:spacing w:after="0" w:line="196" w:lineRule="exact"/>
              <w:rPr>
                <w:sz w:val="20"/>
                <w:szCs w:val="20"/>
                <w:color w:val="auto"/>
              </w:rPr>
            </w:pPr>
            <w:r>
              <w:rPr>
                <w:rFonts w:ascii="Arial" w:cs="Arial" w:eastAsia="Arial" w:hAnsi="Arial"/>
                <w:sz w:val="18"/>
                <w:szCs w:val="18"/>
                <w:color w:val="auto"/>
              </w:rPr>
              <w:t>$</w:t>
            </w:r>
          </w:p>
        </w:tc>
        <w:tc>
          <w:tcPr>
            <w:tcW w:w="480" w:type="dxa"/>
            <w:vAlign w:val="bottom"/>
            <w:gridSpan w:val="2"/>
            <w:shd w:val="clear" w:color="auto" w:fill="E5E5E5"/>
          </w:tcPr>
          <w:p>
            <w:pPr>
              <w:jc w:val="right"/>
              <w:ind w:right="100"/>
              <w:spacing w:after="0" w:line="196" w:lineRule="exact"/>
              <w:rPr>
                <w:sz w:val="20"/>
                <w:szCs w:val="20"/>
                <w:color w:val="auto"/>
              </w:rPr>
            </w:pPr>
            <w:r>
              <w:rPr>
                <w:rFonts w:ascii="Arial" w:cs="Arial" w:eastAsia="Arial" w:hAnsi="Arial"/>
                <w:sz w:val="18"/>
                <w:szCs w:val="18"/>
                <w:color w:val="auto"/>
              </w:rPr>
              <w:t>14</w:t>
            </w:r>
          </w:p>
        </w:tc>
      </w:tr>
    </w:tbl>
    <w:p>
      <w:pPr>
        <w:spacing w:after="0" w:line="165" w:lineRule="exact"/>
        <w:rPr>
          <w:sz w:val="20"/>
          <w:szCs w:val="20"/>
          <w:color w:val="auto"/>
        </w:rPr>
      </w:pPr>
    </w:p>
    <w:p>
      <w:pPr>
        <w:ind w:right="520"/>
        <w:spacing w:after="0" w:line="239" w:lineRule="auto"/>
        <w:rPr>
          <w:sz w:val="20"/>
          <w:szCs w:val="20"/>
          <w:color w:val="auto"/>
        </w:rPr>
      </w:pPr>
      <w:r>
        <w:rPr>
          <w:rFonts w:ascii="Arial" w:cs="Arial" w:eastAsia="Arial" w:hAnsi="Arial"/>
          <w:sz w:val="18"/>
          <w:szCs w:val="18"/>
          <w:color w:val="auto"/>
        </w:rPr>
        <w:t>Total contingent rentals on operating leases, consisting principally of usage charges in excess of minimum contracted amounts, for the years ended December 31, 2010, 2009 and 2008 amounted to $133, $125 and $117, respectively.</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4"/>
          <w:szCs w:val="14"/>
          <w:color w:val="4C9F40"/>
        </w:rPr>
        <w:t>Xerox 2010 Annual Report 64</w:t>
      </w:r>
    </w:p>
    <w:p>
      <w:pPr>
        <w:sectPr>
          <w:pgSz w:w="11900" w:h="16838" w:orient="portrait"/>
          <w:cols w:equalWidth="0" w:num="1">
            <w:col w:w="11420"/>
          </w:cols>
          <w:pgMar w:left="240" w:top="345" w:right="239" w:bottom="1440" w:gutter="0" w:footer="0" w:header="0"/>
        </w:sectPr>
      </w:pPr>
    </w:p>
    <w:bookmarkStart w:id="141" w:name="page142"/>
    <w:bookmarkEnd w:id="141"/>
    <w:p>
      <w:pPr>
        <w:spacing w:after="0"/>
        <w:rPr>
          <w:sz w:val="20"/>
          <w:szCs w:val="20"/>
          <w:color w:val="auto"/>
        </w:rPr>
      </w:pPr>
      <w:r>
        <w:rPr>
          <w:rFonts w:ascii="Arial" w:cs="Arial" w:eastAsia="Arial" w:hAnsi="Arial"/>
          <w:sz w:val="22"/>
          <w:szCs w:val="22"/>
          <w:b w:val="1"/>
          <w:bCs w:val="1"/>
          <w:color w:val="4C9F40"/>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 6 – Land, Buildings and Equipment, Net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Land, buildings and equipment, net at December 31, 2010 and 2009 were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color w:val="auto"/>
              </w:rPr>
              <w:t>Estimated</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748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4"/>
              </w:rPr>
              <w:t>Useful Lives</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7480" w:type="dxa"/>
            <w:vAlign w:val="bottom"/>
          </w:tcPr>
          <w:p>
            <w:pPr>
              <w:spacing w:after="0"/>
              <w:rPr>
                <w:sz w:val="12"/>
                <w:szCs w:val="12"/>
                <w:color w:val="auto"/>
              </w:rPr>
            </w:pPr>
          </w:p>
        </w:tc>
        <w:tc>
          <w:tcPr>
            <w:tcW w:w="760" w:type="dxa"/>
            <w:vAlign w:val="bottom"/>
            <w:tcBorders>
              <w:bottom w:val="single" w:sz="8" w:color="auto"/>
            </w:tcBorders>
          </w:tcPr>
          <w:p>
            <w:pPr>
              <w:jc w:val="right"/>
              <w:ind w:right="78"/>
              <w:spacing w:after="0" w:line="149" w:lineRule="exact"/>
              <w:rPr>
                <w:sz w:val="20"/>
                <w:szCs w:val="20"/>
                <w:color w:val="auto"/>
              </w:rPr>
            </w:pPr>
            <w:r>
              <w:rPr>
                <w:rFonts w:ascii="Arial" w:cs="Arial" w:eastAsia="Arial" w:hAnsi="Arial"/>
                <w:sz w:val="14"/>
                <w:szCs w:val="14"/>
                <w:color w:val="auto"/>
              </w:rPr>
              <w:t>(Years)</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4"/>
              <w:spacing w:after="0" w:line="149" w:lineRule="exact"/>
              <w:rPr>
                <w:sz w:val="20"/>
                <w:szCs w:val="20"/>
                <w:color w:val="auto"/>
              </w:rPr>
            </w:pPr>
            <w:r>
              <w:rPr>
                <w:rFonts w:ascii="Arial" w:cs="Arial" w:eastAsia="Arial" w:hAnsi="Arial"/>
                <w:sz w:val="14"/>
                <w:szCs w:val="14"/>
                <w:color w:val="auto"/>
              </w:rPr>
              <w:t>2010</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4"/>
              <w:spacing w:after="0" w:line="149" w:lineRule="exact"/>
              <w:rPr>
                <w:sz w:val="20"/>
                <w:szCs w:val="20"/>
                <w:color w:val="auto"/>
              </w:rPr>
            </w:pPr>
            <w:r>
              <w:rPr>
                <w:rFonts w:ascii="Arial" w:cs="Arial" w:eastAsia="Arial" w:hAnsi="Arial"/>
                <w:sz w:val="14"/>
                <w:szCs w:val="14"/>
                <w:color w:val="auto"/>
              </w:rPr>
              <w:t>2009</w:t>
            </w:r>
          </w:p>
        </w:tc>
        <w:tc>
          <w:tcPr>
            <w:tcW w:w="100" w:type="dxa"/>
            <w:vAlign w:val="bottom"/>
          </w:tcPr>
          <w:p>
            <w:pPr>
              <w:spacing w:after="0"/>
              <w:rPr>
                <w:sz w:val="12"/>
                <w:szCs w:val="12"/>
                <w:color w:val="auto"/>
              </w:rPr>
            </w:pPr>
          </w:p>
        </w:tc>
      </w:tr>
      <w:tr>
        <w:trPr>
          <w:trHeight w:val="196"/>
        </w:trPr>
        <w:tc>
          <w:tcPr>
            <w:tcW w:w="7480" w:type="dxa"/>
            <w:vAlign w:val="bottom"/>
            <w:shd w:val="clear" w:color="auto" w:fill="E5E5E5"/>
          </w:tcPr>
          <w:p>
            <w:pPr>
              <w:spacing w:after="0" w:line="196" w:lineRule="exact"/>
              <w:rPr>
                <w:sz w:val="20"/>
                <w:szCs w:val="20"/>
                <w:color w:val="auto"/>
              </w:rPr>
            </w:pPr>
            <w:r>
              <w:rPr>
                <w:rFonts w:ascii="Arial" w:cs="Arial" w:eastAsia="Arial" w:hAnsi="Arial"/>
                <w:sz w:val="18"/>
                <w:szCs w:val="18"/>
                <w:color w:val="auto"/>
              </w:rPr>
              <w:t>Land</w:t>
            </w:r>
          </w:p>
        </w:tc>
        <w:tc>
          <w:tcPr>
            <w:tcW w:w="960" w:type="dxa"/>
            <w:vAlign w:val="bottom"/>
            <w:gridSpan w:val="2"/>
            <w:shd w:val="clear" w:color="auto" w:fill="E5E5E5"/>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rPr>
              <w:t>63</w:t>
            </w:r>
          </w:p>
        </w:tc>
        <w:tc>
          <w:tcPr>
            <w:tcW w:w="200" w:type="dxa"/>
            <w:vAlign w:val="bottom"/>
            <w:shd w:val="clear" w:color="auto" w:fill="E5E5E5"/>
          </w:tcPr>
          <w:p>
            <w:pPr>
              <w:spacing w:after="0"/>
              <w:rPr>
                <w:sz w:val="17"/>
                <w:szCs w:val="17"/>
                <w:color w:val="auto"/>
              </w:rPr>
            </w:pPr>
          </w:p>
        </w:tc>
        <w:tc>
          <w:tcPr>
            <w:tcW w:w="14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E5E5E5"/>
          </w:tcPr>
          <w:p>
            <w:pPr>
              <w:jc w:val="right"/>
              <w:ind w:right="100"/>
              <w:spacing w:after="0" w:line="196" w:lineRule="exact"/>
              <w:rPr>
                <w:sz w:val="20"/>
                <w:szCs w:val="20"/>
                <w:color w:val="auto"/>
              </w:rPr>
            </w:pPr>
            <w:r>
              <w:rPr>
                <w:rFonts w:ascii="Arial" w:cs="Arial" w:eastAsia="Arial" w:hAnsi="Arial"/>
                <w:sz w:val="18"/>
                <w:szCs w:val="18"/>
                <w:color w:val="auto"/>
              </w:rPr>
              <w:t>45</w:t>
            </w:r>
          </w:p>
        </w:tc>
      </w:tr>
      <w:tr>
        <w:trPr>
          <w:trHeight w:val="203"/>
        </w:trPr>
        <w:tc>
          <w:tcPr>
            <w:tcW w:w="7480" w:type="dxa"/>
            <w:vAlign w:val="bottom"/>
          </w:tcPr>
          <w:p>
            <w:pPr>
              <w:spacing w:after="0" w:line="202" w:lineRule="exact"/>
              <w:rPr>
                <w:sz w:val="20"/>
                <w:szCs w:val="20"/>
                <w:color w:val="auto"/>
              </w:rPr>
            </w:pPr>
            <w:r>
              <w:rPr>
                <w:rFonts w:ascii="Arial" w:cs="Arial" w:eastAsia="Arial" w:hAnsi="Arial"/>
                <w:sz w:val="18"/>
                <w:szCs w:val="18"/>
                <w:color w:val="auto"/>
              </w:rPr>
              <w:t>Buildings and building equipment</w:t>
            </w:r>
          </w:p>
        </w:tc>
        <w:tc>
          <w:tcPr>
            <w:tcW w:w="9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25 to 50</w:t>
            </w:r>
          </w:p>
        </w:tc>
        <w:tc>
          <w:tcPr>
            <w:tcW w:w="12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1,133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1,192</w:t>
            </w:r>
          </w:p>
        </w:tc>
      </w:tr>
      <w:tr>
        <w:trPr>
          <w:trHeight w:val="203"/>
        </w:trPr>
        <w:tc>
          <w:tcPr>
            <w:tcW w:w="74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Leasehold improvements</w:t>
            </w:r>
          </w:p>
        </w:tc>
        <w:tc>
          <w:tcPr>
            <w:tcW w:w="96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Varies</w:t>
            </w:r>
          </w:p>
        </w:tc>
        <w:tc>
          <w:tcPr>
            <w:tcW w:w="120" w:type="dxa"/>
            <w:vAlign w:val="bottom"/>
            <w:shd w:val="clear" w:color="auto" w:fill="E5E5E5"/>
          </w:tcPr>
          <w:p>
            <w:pPr>
              <w:spacing w:after="0"/>
              <w:rPr>
                <w:sz w:val="17"/>
                <w:szCs w:val="17"/>
                <w:color w:val="auto"/>
              </w:rPr>
            </w:pPr>
          </w:p>
        </w:tc>
        <w:tc>
          <w:tcPr>
            <w:tcW w:w="5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455</w:t>
            </w:r>
          </w:p>
        </w:tc>
        <w:tc>
          <w:tcPr>
            <w:tcW w:w="20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6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328</w:t>
            </w:r>
          </w:p>
        </w:tc>
      </w:tr>
      <w:tr>
        <w:trPr>
          <w:trHeight w:val="203"/>
        </w:trPr>
        <w:tc>
          <w:tcPr>
            <w:tcW w:w="7480" w:type="dxa"/>
            <w:vAlign w:val="bottom"/>
          </w:tcPr>
          <w:p>
            <w:pPr>
              <w:spacing w:after="0" w:line="202" w:lineRule="exact"/>
              <w:rPr>
                <w:sz w:val="20"/>
                <w:szCs w:val="20"/>
                <w:color w:val="auto"/>
              </w:rPr>
            </w:pPr>
            <w:r>
              <w:rPr>
                <w:rFonts w:ascii="Arial" w:cs="Arial" w:eastAsia="Arial" w:hAnsi="Arial"/>
                <w:sz w:val="18"/>
                <w:szCs w:val="18"/>
                <w:color w:val="auto"/>
              </w:rPr>
              <w:t>Plant machinery</w:t>
            </w:r>
          </w:p>
        </w:tc>
        <w:tc>
          <w:tcPr>
            <w:tcW w:w="9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 to 12</w:t>
            </w:r>
          </w:p>
        </w:tc>
        <w:tc>
          <w:tcPr>
            <w:tcW w:w="12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1,607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1,686</w:t>
            </w:r>
          </w:p>
        </w:tc>
      </w:tr>
      <w:tr>
        <w:trPr>
          <w:trHeight w:val="203"/>
        </w:trPr>
        <w:tc>
          <w:tcPr>
            <w:tcW w:w="74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Office furniture and equipment</w:t>
            </w:r>
          </w:p>
        </w:tc>
        <w:tc>
          <w:tcPr>
            <w:tcW w:w="96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3 to 15</w:t>
            </w:r>
          </w:p>
        </w:tc>
        <w:tc>
          <w:tcPr>
            <w:tcW w:w="120" w:type="dxa"/>
            <w:vAlign w:val="bottom"/>
            <w:shd w:val="clear" w:color="auto" w:fill="E5E5E5"/>
          </w:tcPr>
          <w:p>
            <w:pPr>
              <w:spacing w:after="0"/>
              <w:rPr>
                <w:sz w:val="17"/>
                <w:szCs w:val="17"/>
                <w:color w:val="auto"/>
              </w:rPr>
            </w:pPr>
          </w:p>
        </w:tc>
        <w:tc>
          <w:tcPr>
            <w:tcW w:w="5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1,306</w:t>
            </w:r>
          </w:p>
        </w:tc>
        <w:tc>
          <w:tcPr>
            <w:tcW w:w="20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6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994</w:t>
            </w:r>
          </w:p>
        </w:tc>
      </w:tr>
      <w:tr>
        <w:trPr>
          <w:trHeight w:val="203"/>
        </w:trPr>
        <w:tc>
          <w:tcPr>
            <w:tcW w:w="748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9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 to 20</w:t>
            </w:r>
          </w:p>
        </w:tc>
        <w:tc>
          <w:tcPr>
            <w:tcW w:w="12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115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100</w:t>
            </w:r>
          </w:p>
        </w:tc>
      </w:tr>
      <w:tr>
        <w:trPr>
          <w:trHeight w:val="203"/>
        </w:trPr>
        <w:tc>
          <w:tcPr>
            <w:tcW w:w="74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Construction in progress</w:t>
            </w:r>
          </w:p>
        </w:tc>
        <w:tc>
          <w:tcPr>
            <w:tcW w:w="96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E5E5E5"/>
          </w:tcPr>
          <w:p>
            <w:pPr>
              <w:spacing w:after="0"/>
              <w:rPr>
                <w:sz w:val="17"/>
                <w:szCs w:val="17"/>
                <w:color w:val="auto"/>
              </w:rPr>
            </w:pPr>
          </w:p>
        </w:tc>
        <w:tc>
          <w:tcPr>
            <w:tcW w:w="520" w:type="dxa"/>
            <w:vAlign w:val="bottom"/>
            <w:tcBorders>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67</w:t>
            </w:r>
          </w:p>
        </w:tc>
        <w:tc>
          <w:tcPr>
            <w:tcW w:w="200" w:type="dxa"/>
            <w:vAlign w:val="bottom"/>
            <w:shd w:val="clear" w:color="auto" w:fill="E5E5E5"/>
          </w:tcPr>
          <w:p>
            <w:pPr>
              <w:spacing w:after="0"/>
              <w:rPr>
                <w:sz w:val="17"/>
                <w:szCs w:val="17"/>
                <w:color w:val="auto"/>
              </w:rPr>
            </w:pPr>
          </w:p>
        </w:tc>
        <w:tc>
          <w:tcPr>
            <w:tcW w:w="140" w:type="dxa"/>
            <w:vAlign w:val="bottom"/>
            <w:tcBorders>
              <w:bottom w:val="single" w:sz="8" w:color="auto"/>
            </w:tcBorders>
            <w:shd w:val="clear" w:color="auto" w:fill="E5E5E5"/>
          </w:tcPr>
          <w:p>
            <w:pPr>
              <w:spacing w:after="0"/>
              <w:rPr>
                <w:sz w:val="17"/>
                <w:szCs w:val="17"/>
                <w:color w:val="auto"/>
              </w:rPr>
            </w:pPr>
          </w:p>
        </w:tc>
        <w:tc>
          <w:tcPr>
            <w:tcW w:w="520" w:type="dxa"/>
            <w:vAlign w:val="bottom"/>
            <w:tcBorders>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33</w:t>
            </w:r>
          </w:p>
        </w:tc>
        <w:tc>
          <w:tcPr>
            <w:tcW w:w="100" w:type="dxa"/>
            <w:vAlign w:val="bottom"/>
            <w:shd w:val="clear" w:color="auto" w:fill="E5E5E5"/>
          </w:tcPr>
          <w:p>
            <w:pPr>
              <w:spacing w:after="0"/>
              <w:rPr>
                <w:sz w:val="17"/>
                <w:szCs w:val="17"/>
                <w:color w:val="auto"/>
              </w:rPr>
            </w:pPr>
          </w:p>
        </w:tc>
      </w:tr>
      <w:tr>
        <w:trPr>
          <w:trHeight w:val="210"/>
        </w:trPr>
        <w:tc>
          <w:tcPr>
            <w:tcW w:w="7480" w:type="dxa"/>
            <w:vAlign w:val="bottom"/>
          </w:tcPr>
          <w:p>
            <w:pPr>
              <w:ind w:left="220"/>
              <w:spacing w:after="0"/>
              <w:rPr>
                <w:sz w:val="20"/>
                <w:szCs w:val="20"/>
                <w:color w:val="auto"/>
              </w:rPr>
            </w:pPr>
            <w:r>
              <w:rPr>
                <w:rFonts w:ascii="Arial" w:cs="Arial" w:eastAsia="Arial" w:hAnsi="Arial"/>
                <w:sz w:val="18"/>
                <w:szCs w:val="18"/>
                <w:color w:val="auto"/>
              </w:rPr>
              <w:t>Subtotal</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4,746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4,378</w:t>
            </w:r>
          </w:p>
        </w:tc>
      </w:tr>
      <w:tr>
        <w:trPr>
          <w:trHeight w:val="203"/>
        </w:trPr>
        <w:tc>
          <w:tcPr>
            <w:tcW w:w="74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Accumulated depreciation</w:t>
            </w:r>
          </w:p>
        </w:tc>
        <w:tc>
          <w:tcPr>
            <w:tcW w:w="76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72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w w:val="98"/>
              </w:rPr>
              <w:t>(3,075)</w:t>
            </w:r>
          </w:p>
        </w:tc>
        <w:tc>
          <w:tcPr>
            <w:tcW w:w="140" w:type="dxa"/>
            <w:vAlign w:val="bottom"/>
            <w:shd w:val="clear" w:color="auto" w:fill="E5E5E5"/>
          </w:tcPr>
          <w:p>
            <w:pPr>
              <w:spacing w:after="0"/>
              <w:rPr>
                <w:sz w:val="17"/>
                <w:szCs w:val="17"/>
                <w:color w:val="auto"/>
              </w:rPr>
            </w:pPr>
          </w:p>
        </w:tc>
        <w:tc>
          <w:tcPr>
            <w:tcW w:w="62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w w:val="98"/>
              </w:rPr>
              <w:t>(3,069)</w:t>
            </w:r>
          </w:p>
        </w:tc>
      </w:tr>
      <w:tr>
        <w:trPr>
          <w:trHeight w:val="210"/>
        </w:trPr>
        <w:tc>
          <w:tcPr>
            <w:tcW w:w="7480" w:type="dxa"/>
            <w:vAlign w:val="bottom"/>
          </w:tcPr>
          <w:p>
            <w:pPr>
              <w:spacing w:after="0"/>
              <w:rPr>
                <w:sz w:val="20"/>
                <w:szCs w:val="20"/>
                <w:color w:val="auto"/>
              </w:rPr>
            </w:pPr>
            <w:r>
              <w:rPr>
                <w:rFonts w:ascii="Arial" w:cs="Arial" w:eastAsia="Arial" w:hAnsi="Arial"/>
                <w:sz w:val="18"/>
                <w:szCs w:val="18"/>
                <w:b w:val="1"/>
                <w:bCs w:val="1"/>
                <w:color w:val="auto"/>
              </w:rPr>
              <w:t>Land, Buildings and Equipment, net</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1,671</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1,309</w:t>
            </w:r>
          </w:p>
        </w:tc>
        <w:tc>
          <w:tcPr>
            <w:tcW w:w="100" w:type="dxa"/>
            <w:vAlign w:val="bottom"/>
          </w:tcPr>
          <w:p>
            <w:pPr>
              <w:spacing w:after="0"/>
              <w:rPr>
                <w:sz w:val="18"/>
                <w:szCs w:val="18"/>
                <w:color w:val="auto"/>
              </w:rPr>
            </w:pPr>
          </w:p>
        </w:tc>
      </w:tr>
      <w:tr>
        <w:trPr>
          <w:trHeight w:val="20"/>
        </w:trPr>
        <w:tc>
          <w:tcPr>
            <w:tcW w:w="7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and operating lease rent expense for the years ended December 31, 2010, 2009 and 2008 were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4"/>
                <w:szCs w:val="14"/>
                <w:color w:val="auto"/>
              </w:rPr>
            </w:pPr>
          </w:p>
        </w:tc>
      </w:tr>
      <w:tr>
        <w:trPr>
          <w:trHeight w:val="196"/>
        </w:trPr>
        <w:tc>
          <w:tcPr>
            <w:tcW w:w="8040" w:type="dxa"/>
            <w:vAlign w:val="bottom"/>
            <w:shd w:val="clear" w:color="auto" w:fill="E5E5E5"/>
          </w:tcPr>
          <w:p>
            <w:pPr>
              <w:spacing w:after="0" w:line="196" w:lineRule="exact"/>
              <w:rPr>
                <w:sz w:val="20"/>
                <w:szCs w:val="20"/>
                <w:color w:val="auto"/>
              </w:rPr>
            </w:pPr>
            <w:r>
              <w:rPr>
                <w:rFonts w:ascii="Arial" w:cs="Arial" w:eastAsia="Arial" w:hAnsi="Arial"/>
                <w:sz w:val="18"/>
                <w:szCs w:val="18"/>
                <w:color w:val="auto"/>
              </w:rPr>
              <w:t>Depreciation expense</w:t>
            </w:r>
          </w:p>
        </w:tc>
        <w:tc>
          <w:tcPr>
            <w:tcW w:w="600" w:type="dxa"/>
            <w:vAlign w:val="bottom"/>
            <w:gridSpan w:val="2"/>
            <w:shd w:val="clear" w:color="auto" w:fill="E5E5E5"/>
          </w:tcPr>
          <w:p>
            <w:pPr>
              <w:jc w:val="right"/>
              <w:ind w:right="100"/>
              <w:spacing w:after="0" w:line="196" w:lineRule="exact"/>
              <w:rPr>
                <w:sz w:val="20"/>
                <w:szCs w:val="20"/>
                <w:color w:val="auto"/>
              </w:rPr>
            </w:pPr>
            <w:r>
              <w:rPr>
                <w:rFonts w:ascii="Arial" w:cs="Arial" w:eastAsia="Arial" w:hAnsi="Arial"/>
                <w:sz w:val="18"/>
                <w:szCs w:val="18"/>
                <w:color w:val="auto"/>
              </w:rPr>
              <w:t>$ 379</w:t>
            </w:r>
          </w:p>
        </w:tc>
        <w:tc>
          <w:tcPr>
            <w:tcW w:w="700" w:type="dxa"/>
            <w:vAlign w:val="bottom"/>
            <w:gridSpan w:val="3"/>
            <w:shd w:val="clear" w:color="auto" w:fill="E5E5E5"/>
          </w:tcPr>
          <w:p>
            <w:pPr>
              <w:jc w:val="right"/>
              <w:ind w:right="100"/>
              <w:spacing w:after="0" w:line="196" w:lineRule="exact"/>
              <w:rPr>
                <w:sz w:val="20"/>
                <w:szCs w:val="20"/>
                <w:color w:val="auto"/>
              </w:rPr>
            </w:pPr>
            <w:r>
              <w:rPr>
                <w:rFonts w:ascii="Arial" w:cs="Arial" w:eastAsia="Arial" w:hAnsi="Arial"/>
                <w:sz w:val="18"/>
                <w:szCs w:val="18"/>
                <w:color w:val="auto"/>
              </w:rPr>
              <w:t>$ 247</w:t>
            </w:r>
          </w:p>
        </w:tc>
        <w:tc>
          <w:tcPr>
            <w:tcW w:w="700" w:type="dxa"/>
            <w:vAlign w:val="bottom"/>
            <w:gridSpan w:val="3"/>
            <w:shd w:val="clear" w:color="auto" w:fill="E5E5E5"/>
          </w:tcPr>
          <w:p>
            <w:pPr>
              <w:jc w:val="right"/>
              <w:ind w:right="100"/>
              <w:spacing w:after="0" w:line="196" w:lineRule="exact"/>
              <w:rPr>
                <w:sz w:val="20"/>
                <w:szCs w:val="20"/>
                <w:color w:val="auto"/>
              </w:rPr>
            </w:pPr>
            <w:r>
              <w:rPr>
                <w:rFonts w:ascii="Arial" w:cs="Arial" w:eastAsia="Arial" w:hAnsi="Arial"/>
                <w:sz w:val="18"/>
                <w:szCs w:val="18"/>
                <w:color w:val="auto"/>
              </w:rPr>
              <w:t>$ 257</w:t>
            </w:r>
          </w:p>
        </w:tc>
      </w:tr>
      <w:tr>
        <w:trPr>
          <w:trHeight w:val="293"/>
        </w:trPr>
        <w:tc>
          <w:tcPr>
            <w:tcW w:w="8040" w:type="dxa"/>
            <w:vAlign w:val="bottom"/>
          </w:tcPr>
          <w:p>
            <w:pPr>
              <w:spacing w:after="0"/>
              <w:rPr>
                <w:sz w:val="20"/>
                <w:szCs w:val="20"/>
                <w:color w:val="auto"/>
              </w:rPr>
            </w:pPr>
            <w:r>
              <w:rPr>
                <w:rFonts w:ascii="Arial" w:cs="Arial" w:eastAsia="Arial" w:hAnsi="Arial"/>
                <w:sz w:val="18"/>
                <w:szCs w:val="18"/>
                <w:color w:val="auto"/>
              </w:rPr>
              <w:t xml:space="preserve">Operating lease rent expense </w:t>
            </w:r>
            <w:r>
              <w:rPr>
                <w:rFonts w:ascii="Arial" w:cs="Arial" w:eastAsia="Arial" w:hAnsi="Arial"/>
                <w:sz w:val="22"/>
                <w:szCs w:val="22"/>
                <w:color w:val="auto"/>
                <w:vertAlign w:val="superscript"/>
              </w:rPr>
              <w:t>(1)</w:t>
            </w:r>
          </w:p>
        </w:tc>
        <w:tc>
          <w:tcPr>
            <w:tcW w:w="480" w:type="dxa"/>
            <w:vAlign w:val="bottom"/>
          </w:tcPr>
          <w:p>
            <w:pPr>
              <w:jc w:val="right"/>
              <w:spacing w:after="0"/>
              <w:rPr>
                <w:sz w:val="20"/>
                <w:szCs w:val="20"/>
                <w:color w:val="auto"/>
              </w:rPr>
            </w:pPr>
            <w:r>
              <w:rPr>
                <w:rFonts w:ascii="Arial" w:cs="Arial" w:eastAsia="Arial" w:hAnsi="Arial"/>
                <w:sz w:val="18"/>
                <w:szCs w:val="18"/>
                <w:color w:val="auto"/>
              </w:rPr>
              <w:t>632</w:t>
            </w:r>
          </w:p>
        </w:tc>
        <w:tc>
          <w:tcPr>
            <w:tcW w:w="12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4"/>
                <w:szCs w:val="24"/>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252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89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8" w:lineRule="exact"/>
        <w:rPr>
          <w:sz w:val="20"/>
          <w:szCs w:val="20"/>
          <w:color w:val="auto"/>
        </w:rPr>
      </w:pPr>
    </w:p>
    <w:p>
      <w:pPr>
        <w:ind w:left="340" w:hanging="332"/>
        <w:spacing w:after="0"/>
        <w:tabs>
          <w:tab w:leader="none" w:pos="34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We lease certain land, buildings and equipment, substantially all of which are accounted for as operating leases.</w:t>
      </w:r>
    </w:p>
    <w:p>
      <w:pPr>
        <w:spacing w:after="0" w:line="153"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Future minimum operating lease commitments that have initial or remaining non-cancelable lease terms in excess of one year at December 31, 2010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color w:val="auto"/>
              </w:rPr>
              <w:t>2011</w:t>
            </w: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2012</w:t>
            </w: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2013</w:t>
            </w:r>
          </w:p>
        </w:tc>
        <w:tc>
          <w:tcPr>
            <w:tcW w:w="1620" w:type="dxa"/>
            <w:vAlign w:val="bottom"/>
          </w:tcPr>
          <w:p>
            <w:pPr>
              <w:spacing w:after="0"/>
              <w:rPr>
                <w:sz w:val="14"/>
                <w:szCs w:val="14"/>
                <w:color w:val="auto"/>
              </w:rPr>
            </w:pPr>
          </w:p>
        </w:tc>
        <w:tc>
          <w:tcPr>
            <w:tcW w:w="5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color w:val="auto"/>
              </w:rPr>
              <w:t>2014</w:t>
            </w:r>
          </w:p>
        </w:tc>
        <w:tc>
          <w:tcPr>
            <w:tcW w:w="1640" w:type="dxa"/>
            <w:vAlign w:val="bottom"/>
          </w:tcPr>
          <w:p>
            <w:pPr>
              <w:spacing w:after="0"/>
              <w:rPr>
                <w:sz w:val="14"/>
                <w:szCs w:val="14"/>
                <w:color w:val="auto"/>
              </w:rPr>
            </w:pPr>
          </w:p>
        </w:tc>
        <w:tc>
          <w:tcPr>
            <w:tcW w:w="5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2015</w:t>
            </w:r>
          </w:p>
        </w:tc>
        <w:tc>
          <w:tcPr>
            <w:tcW w:w="1640" w:type="dxa"/>
            <w:vAlign w:val="bottom"/>
          </w:tcPr>
          <w:p>
            <w:pPr>
              <w:spacing w:after="0"/>
              <w:rPr>
                <w:sz w:val="14"/>
                <w:szCs w:val="14"/>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5"/>
              </w:rPr>
              <w:t>Thereafter</w:t>
            </w:r>
          </w:p>
        </w:tc>
        <w:tc>
          <w:tcPr>
            <w:tcW w:w="100" w:type="dxa"/>
            <w:vAlign w:val="bottom"/>
          </w:tcPr>
          <w:p>
            <w:pPr>
              <w:spacing w:after="0"/>
              <w:rPr>
                <w:sz w:val="14"/>
                <w:szCs w:val="14"/>
                <w:color w:val="auto"/>
              </w:rPr>
            </w:pPr>
          </w:p>
        </w:tc>
      </w:tr>
      <w:tr>
        <w:trPr>
          <w:trHeight w:val="196"/>
        </w:trPr>
        <w:tc>
          <w:tcPr>
            <w:tcW w:w="1320" w:type="dxa"/>
            <w:vAlign w:val="bottom"/>
            <w:gridSpan w:val="2"/>
            <w:shd w:val="clear" w:color="auto" w:fill="E5E5E5"/>
          </w:tcPr>
          <w:p>
            <w:pPr>
              <w:jc w:val="right"/>
              <w:ind w:right="820"/>
              <w:spacing w:after="0" w:line="196" w:lineRule="exact"/>
              <w:rPr>
                <w:sz w:val="20"/>
                <w:szCs w:val="20"/>
                <w:color w:val="auto"/>
              </w:rPr>
            </w:pPr>
            <w:r>
              <w:rPr>
                <w:rFonts w:ascii="Arial" w:cs="Arial" w:eastAsia="Arial" w:hAnsi="Arial"/>
                <w:sz w:val="18"/>
                <w:szCs w:val="18"/>
                <w:color w:val="auto"/>
              </w:rPr>
              <w:t>$ 669</w:t>
            </w:r>
          </w:p>
        </w:tc>
        <w:tc>
          <w:tcPr>
            <w:tcW w:w="2140" w:type="dxa"/>
            <w:vAlign w:val="bottom"/>
            <w:gridSpan w:val="3"/>
            <w:shd w:val="clear" w:color="auto" w:fill="E5E5E5"/>
          </w:tcPr>
          <w:p>
            <w:pPr>
              <w:jc w:val="right"/>
              <w:ind w:right="820"/>
              <w:spacing w:after="0" w:line="196" w:lineRule="exact"/>
              <w:rPr>
                <w:sz w:val="20"/>
                <w:szCs w:val="20"/>
                <w:color w:val="auto"/>
              </w:rPr>
            </w:pPr>
            <w:r>
              <w:rPr>
                <w:rFonts w:ascii="Arial" w:cs="Arial" w:eastAsia="Arial" w:hAnsi="Arial"/>
                <w:sz w:val="18"/>
                <w:szCs w:val="18"/>
                <w:color w:val="auto"/>
              </w:rPr>
              <w:t>$ 486</w:t>
            </w:r>
          </w:p>
        </w:tc>
        <w:tc>
          <w:tcPr>
            <w:tcW w:w="2940" w:type="dxa"/>
            <w:vAlign w:val="bottom"/>
            <w:gridSpan w:val="3"/>
            <w:shd w:val="clear" w:color="auto" w:fill="E5E5E5"/>
          </w:tcPr>
          <w:p>
            <w:pPr>
              <w:jc w:val="right"/>
              <w:ind w:right="1620"/>
              <w:spacing w:after="0" w:line="196" w:lineRule="exact"/>
              <w:rPr>
                <w:sz w:val="20"/>
                <w:szCs w:val="20"/>
                <w:color w:val="auto"/>
              </w:rPr>
            </w:pPr>
            <w:r>
              <w:rPr>
                <w:rFonts w:ascii="Arial" w:cs="Arial" w:eastAsia="Arial" w:hAnsi="Arial"/>
                <w:sz w:val="18"/>
                <w:szCs w:val="18"/>
                <w:color w:val="auto"/>
              </w:rPr>
              <w:t>$ 337</w:t>
            </w:r>
          </w:p>
        </w:tc>
        <w:tc>
          <w:tcPr>
            <w:tcW w:w="50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rPr>
              <w:t>$ 171</w:t>
            </w:r>
          </w:p>
        </w:tc>
        <w:tc>
          <w:tcPr>
            <w:tcW w:w="3780" w:type="dxa"/>
            <w:vAlign w:val="bottom"/>
            <w:gridSpan w:val="3"/>
            <w:shd w:val="clear" w:color="auto" w:fill="E5E5E5"/>
          </w:tcPr>
          <w:p>
            <w:pPr>
              <w:jc w:val="right"/>
              <w:ind w:right="1640"/>
              <w:spacing w:after="0" w:line="196" w:lineRule="exact"/>
              <w:rPr>
                <w:sz w:val="20"/>
                <w:szCs w:val="20"/>
                <w:color w:val="auto"/>
              </w:rPr>
            </w:pPr>
            <w:r>
              <w:rPr>
                <w:rFonts w:ascii="Arial" w:cs="Arial" w:eastAsia="Arial" w:hAnsi="Arial"/>
                <w:sz w:val="18"/>
                <w:szCs w:val="18"/>
                <w:color w:val="auto"/>
              </w:rPr>
              <w:t>$ 118</w:t>
            </w:r>
          </w:p>
        </w:tc>
        <w:tc>
          <w:tcPr>
            <w:tcW w:w="740" w:type="dxa"/>
            <w:vAlign w:val="bottom"/>
            <w:gridSpan w:val="2"/>
            <w:shd w:val="clear" w:color="auto" w:fill="E5E5E5"/>
          </w:tcPr>
          <w:p>
            <w:pPr>
              <w:spacing w:after="0" w:line="196" w:lineRule="exact"/>
              <w:rPr>
                <w:sz w:val="20"/>
                <w:szCs w:val="20"/>
                <w:color w:val="auto"/>
              </w:rPr>
            </w:pPr>
            <w:r>
              <w:rPr>
                <w:rFonts w:ascii="Arial" w:cs="Arial" w:eastAsia="Arial" w:hAnsi="Arial"/>
                <w:sz w:val="18"/>
                <w:szCs w:val="18"/>
                <w:color w:val="auto"/>
              </w:rPr>
              <w:t>$   106</w:t>
            </w:r>
          </w:p>
        </w:tc>
      </w:tr>
    </w:tbl>
    <w:p>
      <w:pPr>
        <w:spacing w:after="0" w:line="165"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We have an information management contract with HP Enterprise Services (“HPES”), the legal successor to Electronic Data Systems Corp. through March 2014. Services to be provided under this contract include support for European mainframe system processing, as well as workplace, service desk and voice and data network management. Although the HPES contract runs through March 2014, we may choose to transfer some of the services to internal Xerox providers before the HPES contract ends. There are no minimum payments required under this contract. We can terminate the contract for convenience without paying a termination fee by providing sixty days prior notice. Should we terminate the contract for convenience, we have an option to purchase the assets placed in service under the HPES contract. Payments to HPES, which are primarily recorded in selling, administrative and general expenses, were $98, $198 and $279 for the years ended December 31, 2010, 2009 and 2008, respectively.</w:t>
      </w:r>
    </w:p>
    <w:p>
      <w:pPr>
        <w:spacing w:after="0" w:line="154"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During 2010 and 2009 we terminated several agreements with HPES for information management services and either terminated the services or entered into new agreements for similar services with several alternative providers. Services provided under these new contracts include mainframe application processing, development and support and mid-range applications processing and support. These contracts have various terms through 2015. Some of the contracts require minimum payments and include termination penalties. Payments for information management services which are primarily recorded in selling, administrative and general expenses were $44 and $26 for the years ended December 31, 2010 and 2009, respectively.</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4"/>
          <w:szCs w:val="14"/>
          <w:color w:val="4C9F40"/>
        </w:rPr>
        <w:t>Xerox 2010 Annual Report 65</w:t>
      </w:r>
    </w:p>
    <w:p>
      <w:pPr>
        <w:sectPr>
          <w:pgSz w:w="11900" w:h="16838" w:orient="portrait"/>
          <w:cols w:equalWidth="0" w:num="1">
            <w:col w:w="11420"/>
          </w:cols>
          <w:pgMar w:left="240" w:top="391" w:right="239" w:bottom="1440" w:gutter="0" w:footer="0" w:header="0"/>
        </w:sectPr>
      </w:pPr>
    </w:p>
    <w:bookmarkStart w:id="142" w:name="page143"/>
    <w:bookmarkEnd w:id="142"/>
    <w:p>
      <w:pPr>
        <w:spacing w:after="0"/>
        <w:rPr>
          <w:sz w:val="20"/>
          <w:szCs w:val="20"/>
          <w:color w:val="auto"/>
        </w:rPr>
      </w:pPr>
      <w:r>
        <w:rPr>
          <w:rFonts w:ascii="Arial" w:cs="Arial" w:eastAsia="Arial" w:hAnsi="Arial"/>
          <w:sz w:val="22"/>
          <w:szCs w:val="22"/>
          <w:b w:val="1"/>
          <w:bCs w:val="1"/>
          <w:color w:val="4C9F40"/>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 7 – Investments in Affiliates, at Equity</w:t>
      </w:r>
    </w:p>
    <w:p>
      <w:pPr>
        <w:spacing w:after="0" w:line="188"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Investments in corporate joint ventures and other companies in which we generally have a 20% to 50% ownership interest at December 31, 2010 and 2009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color w:val="auto"/>
              </w:rPr>
              <w:t>2010</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7060" w:type="dxa"/>
            <w:vAlign w:val="bottom"/>
            <w:shd w:val="clear" w:color="auto" w:fill="E5E5E5"/>
          </w:tcPr>
          <w:p>
            <w:pPr>
              <w:spacing w:after="0" w:line="196" w:lineRule="exact"/>
              <w:rPr>
                <w:sz w:val="20"/>
                <w:szCs w:val="20"/>
                <w:color w:val="auto"/>
              </w:rPr>
            </w:pPr>
            <w:r>
              <w:rPr>
                <w:rFonts w:ascii="Arial" w:cs="Arial" w:eastAsia="Arial" w:hAnsi="Arial"/>
                <w:sz w:val="18"/>
                <w:szCs w:val="18"/>
                <w:color w:val="auto"/>
              </w:rPr>
              <w:t>Fuji Xerox</w:t>
            </w:r>
          </w:p>
        </w:tc>
        <w:tc>
          <w:tcPr>
            <w:tcW w:w="14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rPr>
              <w:t>1,217</w:t>
            </w:r>
          </w:p>
        </w:tc>
        <w:tc>
          <w:tcPr>
            <w:tcW w:w="320" w:type="dxa"/>
            <w:vAlign w:val="bottom"/>
            <w:gridSpan w:val="2"/>
            <w:shd w:val="clear" w:color="auto" w:fill="E5E5E5"/>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E5E5E5"/>
          </w:tcPr>
          <w:p>
            <w:pPr>
              <w:jc w:val="right"/>
              <w:ind w:right="100"/>
              <w:spacing w:after="0" w:line="196" w:lineRule="exact"/>
              <w:rPr>
                <w:sz w:val="20"/>
                <w:szCs w:val="20"/>
                <w:color w:val="auto"/>
              </w:rPr>
            </w:pPr>
            <w:r>
              <w:rPr>
                <w:rFonts w:ascii="Arial" w:cs="Arial" w:eastAsia="Arial" w:hAnsi="Arial"/>
                <w:sz w:val="18"/>
                <w:szCs w:val="18"/>
                <w:color w:val="auto"/>
              </w:rPr>
              <w:t>998</w:t>
            </w:r>
          </w:p>
        </w:tc>
      </w:tr>
      <w:tr>
        <w:trPr>
          <w:trHeight w:val="210"/>
        </w:trPr>
        <w:tc>
          <w:tcPr>
            <w:tcW w:w="7080" w:type="dxa"/>
            <w:vAlign w:val="bottom"/>
            <w:gridSpan w:val="2"/>
          </w:tcPr>
          <w:p>
            <w:pPr>
              <w:spacing w:after="0" w:line="202" w:lineRule="exact"/>
              <w:rPr>
                <w:sz w:val="20"/>
                <w:szCs w:val="20"/>
                <w:color w:val="auto"/>
              </w:rPr>
            </w:pPr>
            <w:r>
              <w:rPr>
                <w:rFonts w:ascii="Arial" w:cs="Arial" w:eastAsia="Arial" w:hAnsi="Arial"/>
                <w:sz w:val="18"/>
                <w:szCs w:val="18"/>
                <w:color w:val="auto"/>
              </w:rPr>
              <w:t>All other equity investments</w:t>
            </w: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74</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06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Investments in Affiliates, at Equity</w:t>
            </w:r>
          </w:p>
        </w:tc>
        <w:tc>
          <w:tcPr>
            <w:tcW w:w="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1,291</w:t>
            </w:r>
          </w:p>
        </w:tc>
        <w:tc>
          <w:tcPr>
            <w:tcW w:w="32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1,056</w:t>
            </w: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Our equity in net income of our unconsolidated affiliates for the three years ended December 31, 2010 was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40" w:type="dxa"/>
            <w:vAlign w:val="bottom"/>
          </w:tcPr>
          <w:p>
            <w:pPr>
              <w:spacing w:after="0"/>
              <w:rPr>
                <w:sz w:val="14"/>
                <w:szCs w:val="1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2010</w:t>
            </w:r>
          </w:p>
        </w:tc>
        <w:tc>
          <w:tcPr>
            <w:tcW w:w="220" w:type="dxa"/>
            <w:vAlign w:val="bottom"/>
          </w:tcPr>
          <w:p>
            <w:pPr>
              <w:spacing w:after="0"/>
              <w:rPr>
                <w:sz w:val="14"/>
                <w:szCs w:val="14"/>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color w:val="auto"/>
                <w:w w:val="89"/>
              </w:rPr>
              <w:t>2008</w:t>
            </w:r>
          </w:p>
        </w:tc>
        <w:tc>
          <w:tcPr>
            <w:tcW w:w="10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9540" w:type="dxa"/>
            <w:vAlign w:val="bottom"/>
            <w:shd w:val="clear" w:color="auto" w:fill="E5E5E5"/>
          </w:tcPr>
          <w:p>
            <w:pPr>
              <w:spacing w:after="0" w:line="196" w:lineRule="exact"/>
              <w:rPr>
                <w:sz w:val="20"/>
                <w:szCs w:val="20"/>
                <w:color w:val="auto"/>
              </w:rPr>
            </w:pPr>
            <w:r>
              <w:rPr>
                <w:rFonts w:ascii="Arial" w:cs="Arial" w:eastAsia="Arial" w:hAnsi="Arial"/>
                <w:sz w:val="18"/>
                <w:szCs w:val="18"/>
                <w:color w:val="auto"/>
              </w:rPr>
              <w:t>Fuji Xerox</w:t>
            </w:r>
          </w:p>
        </w:tc>
        <w:tc>
          <w:tcPr>
            <w:tcW w:w="16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E5E5E5"/>
          </w:tcPr>
          <w:p>
            <w:pPr>
              <w:jc w:val="right"/>
              <w:ind w:right="220"/>
              <w:spacing w:after="0" w:line="196" w:lineRule="exact"/>
              <w:rPr>
                <w:sz w:val="20"/>
                <w:szCs w:val="20"/>
                <w:color w:val="auto"/>
              </w:rPr>
            </w:pPr>
            <w:r>
              <w:rPr>
                <w:rFonts w:ascii="Arial" w:cs="Arial" w:eastAsia="Arial" w:hAnsi="Arial"/>
                <w:sz w:val="18"/>
                <w:szCs w:val="18"/>
                <w:color w:val="auto"/>
              </w:rPr>
              <w:t>63</w:t>
            </w:r>
          </w:p>
        </w:tc>
        <w:tc>
          <w:tcPr>
            <w:tcW w:w="140" w:type="dxa"/>
            <w:vAlign w:val="bottom"/>
            <w:shd w:val="clear" w:color="auto" w:fill="E5E5E5"/>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gridSpan w:val="2"/>
            <w:shd w:val="clear" w:color="auto" w:fill="E5E5E5"/>
          </w:tcPr>
          <w:p>
            <w:pPr>
              <w:jc w:val="right"/>
              <w:ind w:right="100"/>
              <w:spacing w:after="0" w:line="196" w:lineRule="exact"/>
              <w:rPr>
                <w:sz w:val="20"/>
                <w:szCs w:val="20"/>
                <w:color w:val="auto"/>
              </w:rPr>
            </w:pPr>
            <w:r>
              <w:rPr>
                <w:rFonts w:ascii="Arial" w:cs="Arial" w:eastAsia="Arial" w:hAnsi="Arial"/>
                <w:sz w:val="18"/>
                <w:szCs w:val="18"/>
                <w:color w:val="auto"/>
              </w:rPr>
              <w:t>30</w:t>
            </w:r>
          </w:p>
        </w:tc>
        <w:tc>
          <w:tcPr>
            <w:tcW w:w="220" w:type="dxa"/>
            <w:vAlign w:val="bottom"/>
            <w:gridSpan w:val="2"/>
            <w:shd w:val="clear" w:color="auto" w:fill="E5E5E5"/>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500" w:type="dxa"/>
            <w:vAlign w:val="bottom"/>
            <w:gridSpan w:val="2"/>
            <w:shd w:val="clear" w:color="auto" w:fill="E5E5E5"/>
          </w:tcPr>
          <w:p>
            <w:pPr>
              <w:jc w:val="right"/>
              <w:ind w:right="100"/>
              <w:spacing w:after="0" w:line="196" w:lineRule="exact"/>
              <w:rPr>
                <w:sz w:val="20"/>
                <w:szCs w:val="20"/>
                <w:color w:val="auto"/>
              </w:rPr>
            </w:pPr>
            <w:r>
              <w:rPr>
                <w:rFonts w:ascii="Arial" w:cs="Arial" w:eastAsia="Arial" w:hAnsi="Arial"/>
                <w:sz w:val="18"/>
                <w:szCs w:val="18"/>
                <w:color w:val="auto"/>
              </w:rPr>
              <w:t>101</w:t>
            </w:r>
          </w:p>
        </w:tc>
      </w:tr>
      <w:tr>
        <w:trPr>
          <w:trHeight w:val="210"/>
        </w:trPr>
        <w:tc>
          <w:tcPr>
            <w:tcW w:w="9560" w:type="dxa"/>
            <w:vAlign w:val="bottom"/>
            <w:gridSpan w:val="2"/>
          </w:tcPr>
          <w:p>
            <w:pPr>
              <w:spacing w:after="0" w:line="202" w:lineRule="exact"/>
              <w:rPr>
                <w:sz w:val="20"/>
                <w:szCs w:val="20"/>
                <w:color w:val="auto"/>
              </w:rPr>
            </w:pPr>
            <w:r>
              <w:rPr>
                <w:rFonts w:ascii="Arial" w:cs="Arial" w:eastAsia="Arial" w:hAnsi="Arial"/>
                <w:sz w:val="18"/>
                <w:szCs w:val="18"/>
                <w:color w:val="auto"/>
              </w:rPr>
              <w:t>Other investments</w:t>
            </w:r>
          </w:p>
        </w:tc>
        <w:tc>
          <w:tcPr>
            <w:tcW w:w="1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954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Total Equity in Net Income of Unconsolidated Affiliates</w:t>
            </w:r>
          </w:p>
        </w:tc>
        <w:tc>
          <w:tcPr>
            <w:tcW w:w="1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78</w:t>
            </w:r>
          </w:p>
        </w:tc>
        <w:tc>
          <w:tcPr>
            <w:tcW w:w="140" w:type="dxa"/>
            <w:vAlign w:val="bottom"/>
            <w:shd w:val="clear" w:color="auto" w:fill="E5E5E5"/>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41</w:t>
            </w:r>
          </w:p>
        </w:tc>
        <w:tc>
          <w:tcPr>
            <w:tcW w:w="22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113</w:t>
            </w:r>
          </w:p>
        </w:tc>
        <w:tc>
          <w:tcPr>
            <w:tcW w:w="100" w:type="dxa"/>
            <w:vAlign w:val="bottom"/>
            <w:shd w:val="clear" w:color="auto" w:fill="E5E5E5"/>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Fuji Xerox</w:t>
      </w:r>
    </w:p>
    <w:p>
      <w:pPr>
        <w:spacing w:after="0" w:line="18"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Fuji Xerox is headquartered in Tokyo and operates in Japan, China, Australia, New Zealand and other areas of the Pacific Rim. Our investment in Fuji Xerox of $1,217 at December 31, 2010, differs from our implied 25% interest in the underlying net assets, or $1,335 due primarily to our deferral of gains resulting from sales of assets by us to Fuji Xerox, partially offset by goodwill related to the Fuji Xerox investment established at the time we acquired our remaining 20% of Xerox Limited from The Rank Group plc.</w:t>
      </w:r>
    </w:p>
    <w:p>
      <w:pPr>
        <w:spacing w:after="0" w:line="155" w:lineRule="exact"/>
        <w:rPr>
          <w:sz w:val="20"/>
          <w:szCs w:val="20"/>
          <w:color w:val="auto"/>
        </w:rPr>
      </w:pPr>
    </w:p>
    <w:p>
      <w:pPr>
        <w:ind w:right="360"/>
        <w:spacing w:after="0" w:line="237" w:lineRule="auto"/>
        <w:rPr>
          <w:sz w:val="20"/>
          <w:szCs w:val="20"/>
          <w:color w:val="auto"/>
        </w:rPr>
      </w:pPr>
      <w:r>
        <w:rPr>
          <w:rFonts w:ascii="Arial" w:cs="Arial" w:eastAsia="Arial" w:hAnsi="Arial"/>
          <w:sz w:val="18"/>
          <w:szCs w:val="18"/>
          <w:color w:val="auto"/>
        </w:rPr>
        <w:t>Equity in net income of Fuji Xerox is affected by certain adjustments to reflect the deferral of profit associated with intercompany sales. These adjustments may result in recorded equity income that is different than that implied by our 25% ownership interest. Equity income for 2010 and 2009 includes after-tax restructuring charges of $38 and $46, respectively, primarily reflecting employee-related costs as part of Fuji Xerox’s continued cost-reduction actions to improve its competitive position.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Condensed financial data of Fuji Xerox for the three calendar years ended December 31, 2010 was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2010</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2009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980" w:type="dxa"/>
            <w:vAlign w:val="bottom"/>
            <w:tcBorders>
              <w:bottom w:val="single" w:sz="8" w:color="auto"/>
            </w:tcBorders>
            <w:gridSpan w:val="2"/>
            <w:shd w:val="clear" w:color="auto" w:fill="E5E5E5"/>
          </w:tcPr>
          <w:p>
            <w:pPr>
              <w:spacing w:after="0" w:line="170" w:lineRule="exact"/>
              <w:rPr>
                <w:sz w:val="20"/>
                <w:szCs w:val="20"/>
                <w:color w:val="auto"/>
              </w:rPr>
            </w:pPr>
            <w:r>
              <w:rPr>
                <w:rFonts w:ascii="Arial" w:cs="Arial" w:eastAsia="Arial" w:hAnsi="Arial"/>
                <w:sz w:val="18"/>
                <w:szCs w:val="18"/>
                <w:b w:val="1"/>
                <w:bCs w:val="1"/>
                <w:color w:val="auto"/>
                <w:w w:val="96"/>
              </w:rPr>
              <w:t>Summary of Operations</w:t>
            </w:r>
          </w:p>
        </w:tc>
        <w:tc>
          <w:tcPr>
            <w:tcW w:w="4940" w:type="dxa"/>
            <w:vAlign w:val="bottom"/>
            <w:tcBorders>
              <w:bottom w:val="single" w:sz="8" w:color="E5E5E5"/>
            </w:tcBorders>
            <w:shd w:val="clear" w:color="auto" w:fill="E5E5E5"/>
          </w:tcPr>
          <w:p>
            <w:pPr>
              <w:spacing w:after="0"/>
              <w:rPr>
                <w:sz w:val="15"/>
                <w:szCs w:val="15"/>
                <w:color w:val="auto"/>
              </w:rPr>
            </w:pPr>
          </w:p>
        </w:tc>
        <w:tc>
          <w:tcPr>
            <w:tcW w:w="140" w:type="dxa"/>
            <w:vAlign w:val="bottom"/>
            <w:tcBorders>
              <w:bottom w:val="single" w:sz="8" w:color="E5E5E5"/>
            </w:tcBorders>
            <w:shd w:val="clear" w:color="auto" w:fill="E5E5E5"/>
          </w:tcPr>
          <w:p>
            <w:pPr>
              <w:spacing w:after="0"/>
              <w:rPr>
                <w:sz w:val="15"/>
                <w:szCs w:val="15"/>
                <w:color w:val="auto"/>
              </w:rPr>
            </w:pPr>
          </w:p>
        </w:tc>
        <w:tc>
          <w:tcPr>
            <w:tcW w:w="600" w:type="dxa"/>
            <w:vAlign w:val="bottom"/>
            <w:tcBorders>
              <w:bottom w:val="single" w:sz="8" w:color="E5E5E5"/>
            </w:tcBorders>
            <w:shd w:val="clear" w:color="auto" w:fill="E5E5E5"/>
          </w:tcPr>
          <w:p>
            <w:pPr>
              <w:spacing w:after="0"/>
              <w:rPr>
                <w:sz w:val="15"/>
                <w:szCs w:val="15"/>
                <w:color w:val="auto"/>
              </w:rPr>
            </w:pPr>
          </w:p>
        </w:tc>
        <w:tc>
          <w:tcPr>
            <w:tcW w:w="200" w:type="dxa"/>
            <w:vAlign w:val="bottom"/>
            <w:tcBorders>
              <w:bottom w:val="single" w:sz="8" w:color="E5E5E5"/>
            </w:tcBorders>
            <w:shd w:val="clear" w:color="auto" w:fill="E5E5E5"/>
          </w:tcPr>
          <w:p>
            <w:pPr>
              <w:spacing w:after="0"/>
              <w:rPr>
                <w:sz w:val="15"/>
                <w:szCs w:val="15"/>
                <w:color w:val="auto"/>
              </w:rPr>
            </w:pPr>
          </w:p>
        </w:tc>
        <w:tc>
          <w:tcPr>
            <w:tcW w:w="140" w:type="dxa"/>
            <w:vAlign w:val="bottom"/>
            <w:tcBorders>
              <w:bottom w:val="single" w:sz="8" w:color="E5E5E5"/>
            </w:tcBorders>
            <w:shd w:val="clear" w:color="auto" w:fill="E5E5E5"/>
          </w:tcPr>
          <w:p>
            <w:pPr>
              <w:spacing w:after="0"/>
              <w:rPr>
                <w:sz w:val="15"/>
                <w:szCs w:val="15"/>
                <w:color w:val="auto"/>
              </w:rPr>
            </w:pPr>
          </w:p>
        </w:tc>
        <w:tc>
          <w:tcPr>
            <w:tcW w:w="500" w:type="dxa"/>
            <w:vAlign w:val="bottom"/>
            <w:tcBorders>
              <w:bottom w:val="single" w:sz="8" w:color="E5E5E5"/>
            </w:tcBorders>
            <w:shd w:val="clear" w:color="auto" w:fill="E5E5E5"/>
          </w:tcPr>
          <w:p>
            <w:pPr>
              <w:spacing w:after="0"/>
              <w:rPr>
                <w:sz w:val="15"/>
                <w:szCs w:val="15"/>
                <w:color w:val="auto"/>
              </w:rPr>
            </w:pPr>
          </w:p>
        </w:tc>
        <w:tc>
          <w:tcPr>
            <w:tcW w:w="120" w:type="dxa"/>
            <w:vAlign w:val="bottom"/>
            <w:tcBorders>
              <w:bottom w:val="single" w:sz="8" w:color="E5E5E5"/>
            </w:tcBorders>
            <w:shd w:val="clear" w:color="auto" w:fill="E5E5E5"/>
          </w:tcPr>
          <w:p>
            <w:pPr>
              <w:spacing w:after="0"/>
              <w:rPr>
                <w:sz w:val="15"/>
                <w:szCs w:val="15"/>
                <w:color w:val="auto"/>
              </w:rPr>
            </w:pPr>
          </w:p>
        </w:tc>
        <w:tc>
          <w:tcPr>
            <w:tcW w:w="100" w:type="dxa"/>
            <w:vAlign w:val="bottom"/>
            <w:tcBorders>
              <w:bottom w:val="single" w:sz="8" w:color="E5E5E5"/>
            </w:tcBorders>
            <w:shd w:val="clear" w:color="auto" w:fill="E5E5E5"/>
          </w:tcPr>
          <w:p>
            <w:pPr>
              <w:spacing w:after="0"/>
              <w:rPr>
                <w:sz w:val="15"/>
                <w:szCs w:val="15"/>
                <w:color w:val="auto"/>
              </w:rPr>
            </w:pPr>
          </w:p>
        </w:tc>
        <w:tc>
          <w:tcPr>
            <w:tcW w:w="140" w:type="dxa"/>
            <w:vAlign w:val="bottom"/>
            <w:tcBorders>
              <w:bottom w:val="single" w:sz="8" w:color="E5E5E5"/>
            </w:tcBorders>
            <w:shd w:val="clear" w:color="auto" w:fill="E5E5E5"/>
          </w:tcPr>
          <w:p>
            <w:pPr>
              <w:spacing w:after="0"/>
              <w:rPr>
                <w:sz w:val="15"/>
                <w:szCs w:val="15"/>
                <w:color w:val="auto"/>
              </w:rPr>
            </w:pPr>
          </w:p>
        </w:tc>
        <w:tc>
          <w:tcPr>
            <w:tcW w:w="600" w:type="dxa"/>
            <w:vAlign w:val="bottom"/>
            <w:tcBorders>
              <w:bottom w:val="single" w:sz="8" w:color="E5E5E5"/>
            </w:tcBorders>
            <w:shd w:val="clear" w:color="auto" w:fill="E5E5E5"/>
          </w:tcPr>
          <w:p>
            <w:pPr>
              <w:spacing w:after="0"/>
              <w:rPr>
                <w:sz w:val="15"/>
                <w:szCs w:val="15"/>
                <w:color w:val="auto"/>
              </w:rPr>
            </w:pPr>
          </w:p>
        </w:tc>
        <w:tc>
          <w:tcPr>
            <w:tcW w:w="100" w:type="dxa"/>
            <w:vAlign w:val="bottom"/>
            <w:tcBorders>
              <w:bottom w:val="single" w:sz="8" w:color="E5E5E5"/>
            </w:tcBorders>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940" w:type="dxa"/>
            <w:vAlign w:val="bottom"/>
            <w:gridSpan w:val="4"/>
          </w:tcPr>
          <w:p>
            <w:pPr>
              <w:spacing w:after="0" w:line="202" w:lineRule="exact"/>
              <w:rPr>
                <w:sz w:val="20"/>
                <w:szCs w:val="20"/>
                <w:color w:val="auto"/>
              </w:rPr>
            </w:pPr>
            <w:r>
              <w:rPr>
                <w:rFonts w:ascii="Arial" w:cs="Arial" w:eastAsia="Arial" w:hAnsi="Arial"/>
                <w:sz w:val="18"/>
                <w:szCs w:val="18"/>
                <w:color w:val="auto"/>
              </w:rPr>
              <w:t>Revenues</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11,276</w:t>
            </w:r>
          </w:p>
        </w:tc>
        <w:tc>
          <w:tcPr>
            <w:tcW w:w="20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9,998</w:t>
            </w:r>
          </w:p>
        </w:tc>
        <w:tc>
          <w:tcPr>
            <w:tcW w:w="120" w:type="dxa"/>
            <w:vAlign w:val="bottom"/>
          </w:tcPr>
          <w:p>
            <w:pPr>
              <w:spacing w:after="0"/>
              <w:rPr>
                <w:sz w:val="17"/>
                <w:szCs w:val="17"/>
                <w:color w:val="auto"/>
              </w:rPr>
            </w:pPr>
          </w:p>
        </w:tc>
        <w:tc>
          <w:tcPr>
            <w:tcW w:w="2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11,190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gridSpan w:val="3"/>
            <w:shd w:val="clear" w:color="auto" w:fill="E5E5E5"/>
          </w:tcPr>
          <w:p>
            <w:pPr>
              <w:spacing w:after="0" w:line="202" w:lineRule="exact"/>
              <w:rPr>
                <w:sz w:val="20"/>
                <w:szCs w:val="20"/>
                <w:color w:val="auto"/>
              </w:rPr>
            </w:pPr>
            <w:r>
              <w:rPr>
                <w:rFonts w:ascii="Arial" w:cs="Arial" w:eastAsia="Arial" w:hAnsi="Arial"/>
                <w:sz w:val="18"/>
                <w:szCs w:val="18"/>
                <w:color w:val="auto"/>
              </w:rPr>
              <w:t>Costs and expenses</w:t>
            </w:r>
          </w:p>
        </w:tc>
        <w:tc>
          <w:tcPr>
            <w:tcW w:w="140" w:type="dxa"/>
            <w:vAlign w:val="bottom"/>
            <w:tcBorders>
              <w:bottom w:val="single" w:sz="8" w:color="auto"/>
            </w:tcBorders>
            <w:shd w:val="clear" w:color="auto" w:fill="E5E5E5"/>
          </w:tcPr>
          <w:p>
            <w:pPr>
              <w:spacing w:after="0"/>
              <w:rPr>
                <w:sz w:val="17"/>
                <w:szCs w:val="17"/>
                <w:color w:val="auto"/>
              </w:rPr>
            </w:pPr>
          </w:p>
        </w:tc>
        <w:tc>
          <w:tcPr>
            <w:tcW w:w="600" w:type="dxa"/>
            <w:vAlign w:val="bottom"/>
            <w:tcBorders>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10,659</w:t>
            </w:r>
          </w:p>
        </w:tc>
        <w:tc>
          <w:tcPr>
            <w:tcW w:w="200" w:type="dxa"/>
            <w:vAlign w:val="bottom"/>
            <w:shd w:val="clear" w:color="auto" w:fill="E5E5E5"/>
          </w:tcPr>
          <w:p>
            <w:pPr>
              <w:spacing w:after="0"/>
              <w:rPr>
                <w:sz w:val="17"/>
                <w:szCs w:val="17"/>
                <w:color w:val="auto"/>
              </w:rPr>
            </w:pPr>
          </w:p>
        </w:tc>
        <w:tc>
          <w:tcPr>
            <w:tcW w:w="140" w:type="dxa"/>
            <w:vAlign w:val="bottom"/>
            <w:tcBorders>
              <w:bottom w:val="single" w:sz="8" w:color="auto"/>
            </w:tcBorders>
            <w:shd w:val="clear" w:color="auto" w:fill="E5E5E5"/>
          </w:tcPr>
          <w:p>
            <w:pPr>
              <w:spacing w:after="0"/>
              <w:rPr>
                <w:sz w:val="17"/>
                <w:szCs w:val="17"/>
                <w:color w:val="auto"/>
              </w:rPr>
            </w:pPr>
          </w:p>
        </w:tc>
        <w:tc>
          <w:tcPr>
            <w:tcW w:w="500" w:type="dxa"/>
            <w:vAlign w:val="bottom"/>
            <w:tcBorders>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9,781</w:t>
            </w:r>
          </w:p>
        </w:tc>
        <w:tc>
          <w:tcPr>
            <w:tcW w:w="1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40" w:type="dxa"/>
            <w:vAlign w:val="bottom"/>
            <w:tcBorders>
              <w:bottom w:val="single" w:sz="8" w:color="auto"/>
            </w:tcBorders>
            <w:shd w:val="clear" w:color="auto" w:fill="E5E5E5"/>
          </w:tcPr>
          <w:p>
            <w:pPr>
              <w:spacing w:after="0"/>
              <w:rPr>
                <w:sz w:val="17"/>
                <w:szCs w:val="17"/>
                <w:color w:val="auto"/>
              </w:rPr>
            </w:pPr>
          </w:p>
        </w:tc>
        <w:tc>
          <w:tcPr>
            <w:tcW w:w="600" w:type="dxa"/>
            <w:vAlign w:val="bottom"/>
            <w:tcBorders>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10,451</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940" w:type="dxa"/>
            <w:vAlign w:val="bottom"/>
            <w:gridSpan w:val="4"/>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gridSpan w:val="3"/>
            <w:shd w:val="clear" w:color="auto" w:fill="E5E5E5"/>
          </w:tcPr>
          <w:p>
            <w:pPr>
              <w:spacing w:after="0" w:line="202" w:lineRule="exact"/>
              <w:rPr>
                <w:sz w:val="20"/>
                <w:szCs w:val="20"/>
                <w:color w:val="auto"/>
              </w:rPr>
            </w:pPr>
            <w:r>
              <w:rPr>
                <w:rFonts w:ascii="Arial" w:cs="Arial" w:eastAsia="Arial" w:hAnsi="Arial"/>
                <w:sz w:val="18"/>
                <w:szCs w:val="18"/>
                <w:color w:val="auto"/>
              </w:rPr>
              <w:t>Income tax expense</w:t>
            </w:r>
          </w:p>
        </w:tc>
        <w:tc>
          <w:tcPr>
            <w:tcW w:w="140" w:type="dxa"/>
            <w:vAlign w:val="bottom"/>
            <w:tcBorders>
              <w:bottom w:val="single" w:sz="8" w:color="auto"/>
            </w:tcBorders>
            <w:shd w:val="clear" w:color="auto" w:fill="E5E5E5"/>
          </w:tcPr>
          <w:p>
            <w:pPr>
              <w:spacing w:after="0"/>
              <w:rPr>
                <w:sz w:val="17"/>
                <w:szCs w:val="17"/>
                <w:color w:val="auto"/>
              </w:rPr>
            </w:pPr>
          </w:p>
        </w:tc>
        <w:tc>
          <w:tcPr>
            <w:tcW w:w="600" w:type="dxa"/>
            <w:vAlign w:val="bottom"/>
            <w:tcBorders>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291</w:t>
            </w:r>
          </w:p>
        </w:tc>
        <w:tc>
          <w:tcPr>
            <w:tcW w:w="200" w:type="dxa"/>
            <w:vAlign w:val="bottom"/>
            <w:shd w:val="clear" w:color="auto" w:fill="E5E5E5"/>
          </w:tcPr>
          <w:p>
            <w:pPr>
              <w:spacing w:after="0"/>
              <w:rPr>
                <w:sz w:val="17"/>
                <w:szCs w:val="17"/>
                <w:color w:val="auto"/>
              </w:rPr>
            </w:pPr>
          </w:p>
        </w:tc>
        <w:tc>
          <w:tcPr>
            <w:tcW w:w="140" w:type="dxa"/>
            <w:vAlign w:val="bottom"/>
            <w:tcBorders>
              <w:bottom w:val="single" w:sz="8" w:color="auto"/>
            </w:tcBorders>
            <w:shd w:val="clear" w:color="auto" w:fill="E5E5E5"/>
          </w:tcPr>
          <w:p>
            <w:pPr>
              <w:spacing w:after="0"/>
              <w:rPr>
                <w:sz w:val="17"/>
                <w:szCs w:val="17"/>
                <w:color w:val="auto"/>
              </w:rPr>
            </w:pPr>
          </w:p>
        </w:tc>
        <w:tc>
          <w:tcPr>
            <w:tcW w:w="500" w:type="dxa"/>
            <w:vAlign w:val="bottom"/>
            <w:tcBorders>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67</w:t>
            </w:r>
          </w:p>
        </w:tc>
        <w:tc>
          <w:tcPr>
            <w:tcW w:w="1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40" w:type="dxa"/>
            <w:vAlign w:val="bottom"/>
            <w:tcBorders>
              <w:bottom w:val="single" w:sz="8" w:color="auto"/>
            </w:tcBorders>
            <w:shd w:val="clear" w:color="auto" w:fill="E5E5E5"/>
          </w:tcPr>
          <w:p>
            <w:pPr>
              <w:spacing w:after="0"/>
              <w:rPr>
                <w:sz w:val="17"/>
                <w:szCs w:val="17"/>
                <w:color w:val="auto"/>
              </w:rPr>
            </w:pPr>
          </w:p>
        </w:tc>
        <w:tc>
          <w:tcPr>
            <w:tcW w:w="600" w:type="dxa"/>
            <w:vAlign w:val="bottom"/>
            <w:tcBorders>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287</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940" w:type="dxa"/>
            <w:vAlign w:val="bottom"/>
            <w:gridSpan w:val="4"/>
          </w:tcPr>
          <w:p>
            <w:pPr>
              <w:spacing w:after="0"/>
              <w:rPr>
                <w:sz w:val="20"/>
                <w:szCs w:val="20"/>
                <w:color w:val="auto"/>
              </w:rPr>
            </w:pPr>
            <w:r>
              <w:rPr>
                <w:rFonts w:ascii="Arial" w:cs="Arial" w:eastAsia="Arial" w:hAnsi="Arial"/>
                <w:sz w:val="18"/>
                <w:szCs w:val="18"/>
                <w:b w:val="1"/>
                <w:bCs w:val="1"/>
                <w:color w:val="auto"/>
              </w:rPr>
              <w:t>Net Income</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gridSpan w:val="3"/>
            <w:shd w:val="clear" w:color="auto" w:fill="E5E5E5"/>
          </w:tcPr>
          <w:p>
            <w:pPr>
              <w:spacing w:after="0" w:line="202" w:lineRule="exact"/>
              <w:rPr>
                <w:sz w:val="20"/>
                <w:szCs w:val="20"/>
                <w:color w:val="auto"/>
              </w:rPr>
            </w:pPr>
            <w:r>
              <w:rPr>
                <w:rFonts w:ascii="Arial" w:cs="Arial" w:eastAsia="Arial" w:hAnsi="Arial"/>
                <w:sz w:val="18"/>
                <w:szCs w:val="18"/>
                <w:color w:val="auto"/>
              </w:rPr>
              <w:t>Less: Net income - noncontrolling interests</w:t>
            </w:r>
          </w:p>
        </w:tc>
        <w:tc>
          <w:tcPr>
            <w:tcW w:w="140" w:type="dxa"/>
            <w:vAlign w:val="bottom"/>
            <w:shd w:val="clear" w:color="auto" w:fill="E5E5E5"/>
          </w:tcPr>
          <w:p>
            <w:pPr>
              <w:spacing w:after="0"/>
              <w:rPr>
                <w:sz w:val="17"/>
                <w:szCs w:val="17"/>
                <w:color w:val="auto"/>
              </w:rPr>
            </w:pPr>
          </w:p>
        </w:tc>
        <w:tc>
          <w:tcPr>
            <w:tcW w:w="6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5</w:t>
            </w:r>
          </w:p>
        </w:tc>
        <w:tc>
          <w:tcPr>
            <w:tcW w:w="20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6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w:t>
            </w:r>
          </w:p>
        </w:tc>
        <w:tc>
          <w:tcPr>
            <w:tcW w:w="10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7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694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Net Income - Fuji Xerox</w:t>
            </w: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gridSpan w:val="4"/>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1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920" w:type="dxa"/>
            <w:vAlign w:val="bottom"/>
            <w:gridSpan w:val="3"/>
            <w:shd w:val="clear" w:color="auto" w:fill="E5E5E5"/>
          </w:tcPr>
          <w:p>
            <w:pPr>
              <w:spacing w:after="0" w:line="176" w:lineRule="exact"/>
              <w:rPr>
                <w:sz w:val="20"/>
                <w:szCs w:val="20"/>
                <w:color w:val="auto"/>
              </w:rPr>
            </w:pPr>
            <w:r>
              <w:rPr>
                <w:rFonts w:ascii="Arial" w:cs="Arial" w:eastAsia="Arial" w:hAnsi="Arial"/>
                <w:sz w:val="18"/>
                <w:szCs w:val="18"/>
                <w:b w:val="1"/>
                <w:bCs w:val="1"/>
                <w:color w:val="auto"/>
              </w:rPr>
              <w:t>Balance Sheet</w:t>
            </w:r>
          </w:p>
        </w:tc>
        <w:tc>
          <w:tcPr>
            <w:tcW w:w="140" w:type="dxa"/>
            <w:vAlign w:val="bottom"/>
            <w:shd w:val="clear" w:color="auto" w:fill="E5E5E5"/>
          </w:tcPr>
          <w:p>
            <w:pPr>
              <w:spacing w:after="0"/>
              <w:rPr>
                <w:sz w:val="15"/>
                <w:szCs w:val="15"/>
                <w:color w:val="auto"/>
              </w:rPr>
            </w:pPr>
          </w:p>
        </w:tc>
        <w:tc>
          <w:tcPr>
            <w:tcW w:w="600" w:type="dxa"/>
            <w:vAlign w:val="bottom"/>
            <w:shd w:val="clear" w:color="auto" w:fill="E5E5E5"/>
          </w:tcPr>
          <w:p>
            <w:pPr>
              <w:spacing w:after="0"/>
              <w:rPr>
                <w:sz w:val="15"/>
                <w:szCs w:val="15"/>
                <w:color w:val="auto"/>
              </w:rPr>
            </w:pPr>
          </w:p>
        </w:tc>
        <w:tc>
          <w:tcPr>
            <w:tcW w:w="200" w:type="dxa"/>
            <w:vAlign w:val="bottom"/>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50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60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800" w:type="dxa"/>
            <w:vAlign w:val="bottom"/>
            <w:shd w:val="clear" w:color="auto" w:fill="E5E5E5"/>
          </w:tcPr>
          <w:p>
            <w:pPr>
              <w:spacing w:after="0"/>
              <w:rPr>
                <w:sz w:val="2"/>
                <w:szCs w:val="2"/>
                <w:color w:val="auto"/>
              </w:rPr>
            </w:pPr>
          </w:p>
        </w:tc>
        <w:tc>
          <w:tcPr>
            <w:tcW w:w="4940" w:type="dxa"/>
            <w:vAlign w:val="bottom"/>
            <w:shd w:val="clear" w:color="auto" w:fill="E5E5E5"/>
          </w:tcPr>
          <w:p>
            <w:pPr>
              <w:spacing w:after="0"/>
              <w:rPr>
                <w:sz w:val="2"/>
                <w:szCs w:val="2"/>
                <w:color w:val="auto"/>
              </w:rPr>
            </w:pPr>
          </w:p>
        </w:tc>
        <w:tc>
          <w:tcPr>
            <w:tcW w:w="140" w:type="dxa"/>
            <w:vAlign w:val="bottom"/>
            <w:shd w:val="clear" w:color="auto" w:fill="E5E5E5"/>
          </w:tcPr>
          <w:p>
            <w:pPr>
              <w:spacing w:after="0"/>
              <w:rPr>
                <w:sz w:val="2"/>
                <w:szCs w:val="2"/>
                <w:color w:val="auto"/>
              </w:rPr>
            </w:pPr>
          </w:p>
        </w:tc>
        <w:tc>
          <w:tcPr>
            <w:tcW w:w="600" w:type="dxa"/>
            <w:vAlign w:val="bottom"/>
            <w:shd w:val="clear" w:color="auto" w:fill="E5E5E5"/>
          </w:tcPr>
          <w:p>
            <w:pPr>
              <w:spacing w:after="0"/>
              <w:rPr>
                <w:sz w:val="2"/>
                <w:szCs w:val="2"/>
                <w:color w:val="auto"/>
              </w:rPr>
            </w:pPr>
          </w:p>
        </w:tc>
        <w:tc>
          <w:tcPr>
            <w:tcW w:w="200" w:type="dxa"/>
            <w:vAlign w:val="bottom"/>
            <w:shd w:val="clear" w:color="auto" w:fill="E5E5E5"/>
          </w:tcPr>
          <w:p>
            <w:pPr>
              <w:spacing w:after="0"/>
              <w:rPr>
                <w:sz w:val="2"/>
                <w:szCs w:val="2"/>
                <w:color w:val="auto"/>
              </w:rPr>
            </w:pPr>
          </w:p>
        </w:tc>
        <w:tc>
          <w:tcPr>
            <w:tcW w:w="140" w:type="dxa"/>
            <w:vAlign w:val="bottom"/>
            <w:shd w:val="clear" w:color="auto" w:fill="E5E5E5"/>
          </w:tcPr>
          <w:p>
            <w:pPr>
              <w:spacing w:after="0"/>
              <w:rPr>
                <w:sz w:val="2"/>
                <w:szCs w:val="2"/>
                <w:color w:val="auto"/>
              </w:rPr>
            </w:pPr>
          </w:p>
        </w:tc>
        <w:tc>
          <w:tcPr>
            <w:tcW w:w="500" w:type="dxa"/>
            <w:vAlign w:val="bottom"/>
            <w:shd w:val="clear" w:color="auto" w:fill="E5E5E5"/>
          </w:tcPr>
          <w:p>
            <w:pPr>
              <w:spacing w:after="0"/>
              <w:rPr>
                <w:sz w:val="2"/>
                <w:szCs w:val="2"/>
                <w:color w:val="auto"/>
              </w:rPr>
            </w:pPr>
          </w:p>
        </w:tc>
        <w:tc>
          <w:tcPr>
            <w:tcW w:w="120" w:type="dxa"/>
            <w:vAlign w:val="bottom"/>
            <w:shd w:val="clear" w:color="auto" w:fill="E5E5E5"/>
          </w:tcPr>
          <w:p>
            <w:pPr>
              <w:spacing w:after="0"/>
              <w:rPr>
                <w:sz w:val="2"/>
                <w:szCs w:val="2"/>
                <w:color w:val="auto"/>
              </w:rPr>
            </w:pPr>
          </w:p>
        </w:tc>
        <w:tc>
          <w:tcPr>
            <w:tcW w:w="100" w:type="dxa"/>
            <w:vAlign w:val="bottom"/>
            <w:shd w:val="clear" w:color="auto" w:fill="E5E5E5"/>
          </w:tcPr>
          <w:p>
            <w:pPr>
              <w:spacing w:after="0"/>
              <w:rPr>
                <w:sz w:val="2"/>
                <w:szCs w:val="2"/>
                <w:color w:val="auto"/>
              </w:rPr>
            </w:pPr>
          </w:p>
        </w:tc>
        <w:tc>
          <w:tcPr>
            <w:tcW w:w="140" w:type="dxa"/>
            <w:vAlign w:val="bottom"/>
            <w:shd w:val="clear" w:color="auto" w:fill="E5E5E5"/>
          </w:tcPr>
          <w:p>
            <w:pPr>
              <w:spacing w:after="0"/>
              <w:rPr>
                <w:sz w:val="2"/>
                <w:szCs w:val="2"/>
                <w:color w:val="auto"/>
              </w:rPr>
            </w:pPr>
          </w:p>
        </w:tc>
        <w:tc>
          <w:tcPr>
            <w:tcW w:w="600" w:type="dxa"/>
            <w:vAlign w:val="bottom"/>
            <w:shd w:val="clear" w:color="auto" w:fill="E5E5E5"/>
          </w:tcPr>
          <w:p>
            <w:pPr>
              <w:spacing w:after="0"/>
              <w:rPr>
                <w:sz w:val="2"/>
                <w:szCs w:val="2"/>
                <w:color w:val="auto"/>
              </w:rPr>
            </w:pPr>
          </w:p>
        </w:tc>
        <w:tc>
          <w:tcPr>
            <w:tcW w:w="100" w:type="dxa"/>
            <w:vAlign w:val="bottom"/>
            <w:shd w:val="clear" w:color="auto" w:fill="E5E5E5"/>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940" w:type="dxa"/>
            <w:vAlign w:val="bottom"/>
            <w:gridSpan w:val="4"/>
          </w:tcPr>
          <w:p>
            <w:pPr>
              <w:spacing w:after="0" w:line="202" w:lineRule="exact"/>
              <w:rPr>
                <w:sz w:val="20"/>
                <w:szCs w:val="20"/>
                <w:color w:val="auto"/>
              </w:rPr>
            </w:pPr>
            <w:r>
              <w:rPr>
                <w:rFonts w:ascii="Arial" w:cs="Arial" w:eastAsia="Arial" w:hAnsi="Arial"/>
                <w:sz w:val="18"/>
                <w:szCs w:val="18"/>
                <w:color w:val="auto"/>
              </w:rPr>
              <w:t>Assets:</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gridSpan w:val="3"/>
            <w:shd w:val="clear" w:color="auto" w:fill="E5E5E5"/>
          </w:tcPr>
          <w:p>
            <w:pPr>
              <w:ind w:left="200"/>
              <w:spacing w:after="0" w:line="202" w:lineRule="exact"/>
              <w:rPr>
                <w:sz w:val="20"/>
                <w:szCs w:val="20"/>
                <w:color w:val="auto"/>
              </w:rPr>
            </w:pPr>
            <w:r>
              <w:rPr>
                <w:rFonts w:ascii="Arial" w:cs="Arial" w:eastAsia="Arial" w:hAnsi="Arial"/>
                <w:sz w:val="18"/>
                <w:szCs w:val="18"/>
                <w:color w:val="auto"/>
              </w:rPr>
              <w:t>Current assets</w:t>
            </w:r>
          </w:p>
        </w:tc>
        <w:tc>
          <w:tcPr>
            <w:tcW w:w="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4,884</w:t>
            </w:r>
          </w:p>
        </w:tc>
        <w:tc>
          <w:tcPr>
            <w:tcW w:w="200" w:type="dxa"/>
            <w:vAlign w:val="bottom"/>
            <w:shd w:val="clear" w:color="auto" w:fill="E5E5E5"/>
          </w:tcPr>
          <w:p>
            <w:pPr>
              <w:spacing w:after="0"/>
              <w:rPr>
                <w:sz w:val="17"/>
                <w:szCs w:val="17"/>
                <w:color w:val="auto"/>
              </w:rPr>
            </w:pPr>
          </w:p>
        </w:tc>
        <w:tc>
          <w:tcPr>
            <w:tcW w:w="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4,111</w:t>
            </w:r>
          </w:p>
        </w:tc>
        <w:tc>
          <w:tcPr>
            <w:tcW w:w="120" w:type="dxa"/>
            <w:vAlign w:val="bottom"/>
            <w:shd w:val="clear" w:color="auto" w:fill="E5E5E5"/>
          </w:tcPr>
          <w:p>
            <w:pPr>
              <w:spacing w:after="0"/>
              <w:rPr>
                <w:sz w:val="17"/>
                <w:szCs w:val="17"/>
                <w:color w:val="auto"/>
              </w:rPr>
            </w:pPr>
          </w:p>
        </w:tc>
        <w:tc>
          <w:tcPr>
            <w:tcW w:w="24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4,734</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Long-term assets</w:t>
            </w: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5,978</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gridSpan w:val="3"/>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Total Assets</w:t>
            </w:r>
          </w:p>
        </w:tc>
        <w:tc>
          <w:tcPr>
            <w:tcW w:w="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10,862</w:t>
            </w:r>
          </w:p>
        </w:tc>
        <w:tc>
          <w:tcPr>
            <w:tcW w:w="200" w:type="dxa"/>
            <w:vAlign w:val="bottom"/>
            <w:shd w:val="clear" w:color="auto" w:fill="E5E5E5"/>
          </w:tcPr>
          <w:p>
            <w:pPr>
              <w:spacing w:after="0"/>
              <w:rPr>
                <w:sz w:val="17"/>
                <w:szCs w:val="17"/>
                <w:color w:val="auto"/>
              </w:rPr>
            </w:pPr>
          </w:p>
        </w:tc>
        <w:tc>
          <w:tcPr>
            <w:tcW w:w="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9,568</w:t>
            </w:r>
          </w:p>
        </w:tc>
        <w:tc>
          <w:tcPr>
            <w:tcW w:w="120" w:type="dxa"/>
            <w:vAlign w:val="bottom"/>
            <w:shd w:val="clear" w:color="auto" w:fill="E5E5E5"/>
          </w:tcPr>
          <w:p>
            <w:pPr>
              <w:spacing w:after="0"/>
              <w:rPr>
                <w:sz w:val="17"/>
                <w:szCs w:val="17"/>
                <w:color w:val="auto"/>
              </w:rPr>
            </w:pPr>
          </w:p>
        </w:tc>
        <w:tc>
          <w:tcPr>
            <w:tcW w:w="24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10,204</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40" w:type="dxa"/>
            <w:vAlign w:val="bottom"/>
            <w:gridSpan w:val="4"/>
            <w:vMerge w:val="restart"/>
          </w:tcPr>
          <w:p>
            <w:pPr>
              <w:spacing w:after="0"/>
              <w:rPr>
                <w:sz w:val="20"/>
                <w:szCs w:val="20"/>
                <w:color w:val="auto"/>
              </w:rPr>
            </w:pPr>
            <w:r>
              <w:rPr>
                <w:rFonts w:ascii="Arial" w:cs="Arial" w:eastAsia="Arial" w:hAnsi="Arial"/>
                <w:sz w:val="18"/>
                <w:szCs w:val="18"/>
                <w:color w:val="auto"/>
              </w:rPr>
              <w:t>Liabilities and Equity: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40" w:type="dxa"/>
            <w:vAlign w:val="bottom"/>
            <w:gridSpan w:val="4"/>
            <w:vMerge w:val="continue"/>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gridSpan w:val="3"/>
            <w:shd w:val="clear" w:color="auto" w:fill="E5E5E5"/>
          </w:tcPr>
          <w:p>
            <w:pPr>
              <w:ind w:left="200"/>
              <w:spacing w:after="0" w:line="202" w:lineRule="exact"/>
              <w:rPr>
                <w:sz w:val="20"/>
                <w:szCs w:val="20"/>
                <w:color w:val="auto"/>
              </w:rPr>
            </w:pPr>
            <w:r>
              <w:rPr>
                <w:rFonts w:ascii="Arial" w:cs="Arial" w:eastAsia="Arial" w:hAnsi="Arial"/>
                <w:sz w:val="18"/>
                <w:szCs w:val="18"/>
                <w:color w:val="auto"/>
              </w:rPr>
              <w:t>Current liabilities</w:t>
            </w:r>
          </w:p>
        </w:tc>
        <w:tc>
          <w:tcPr>
            <w:tcW w:w="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3,534</w:t>
            </w:r>
          </w:p>
        </w:tc>
        <w:tc>
          <w:tcPr>
            <w:tcW w:w="200" w:type="dxa"/>
            <w:vAlign w:val="bottom"/>
            <w:shd w:val="clear" w:color="auto" w:fill="E5E5E5"/>
          </w:tcPr>
          <w:p>
            <w:pPr>
              <w:spacing w:after="0"/>
              <w:rPr>
                <w:sz w:val="17"/>
                <w:szCs w:val="17"/>
                <w:color w:val="auto"/>
              </w:rPr>
            </w:pPr>
          </w:p>
        </w:tc>
        <w:tc>
          <w:tcPr>
            <w:tcW w:w="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2,643</w:t>
            </w:r>
          </w:p>
        </w:tc>
        <w:tc>
          <w:tcPr>
            <w:tcW w:w="120" w:type="dxa"/>
            <w:vAlign w:val="bottom"/>
            <w:shd w:val="clear" w:color="auto" w:fill="E5E5E5"/>
          </w:tcPr>
          <w:p>
            <w:pPr>
              <w:spacing w:after="0"/>
              <w:rPr>
                <w:sz w:val="17"/>
                <w:szCs w:val="17"/>
                <w:color w:val="auto"/>
              </w:rPr>
            </w:pPr>
          </w:p>
        </w:tc>
        <w:tc>
          <w:tcPr>
            <w:tcW w:w="24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3,534</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1,260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1,368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996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gridSpan w:val="3"/>
            <w:shd w:val="clear" w:color="auto" w:fill="E5E5E5"/>
          </w:tcPr>
          <w:p>
            <w:pPr>
              <w:ind w:left="200"/>
              <w:spacing w:after="0" w:line="202" w:lineRule="exact"/>
              <w:rPr>
                <w:sz w:val="20"/>
                <w:szCs w:val="20"/>
                <w:color w:val="auto"/>
              </w:rPr>
            </w:pPr>
            <w:r>
              <w:rPr>
                <w:rFonts w:ascii="Arial" w:cs="Arial" w:eastAsia="Arial" w:hAnsi="Arial"/>
                <w:sz w:val="18"/>
                <w:szCs w:val="18"/>
                <w:color w:val="auto"/>
              </w:rPr>
              <w:t>Other long-term liabilities</w:t>
            </w:r>
          </w:p>
        </w:tc>
        <w:tc>
          <w:tcPr>
            <w:tcW w:w="140" w:type="dxa"/>
            <w:vAlign w:val="bottom"/>
            <w:shd w:val="clear" w:color="auto" w:fill="E5E5E5"/>
          </w:tcPr>
          <w:p>
            <w:pPr>
              <w:spacing w:after="0"/>
              <w:rPr>
                <w:sz w:val="17"/>
                <w:szCs w:val="17"/>
                <w:color w:val="auto"/>
              </w:rPr>
            </w:pPr>
          </w:p>
        </w:tc>
        <w:tc>
          <w:tcPr>
            <w:tcW w:w="6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707</w:t>
            </w:r>
          </w:p>
        </w:tc>
        <w:tc>
          <w:tcPr>
            <w:tcW w:w="20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5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1,104</w:t>
            </w:r>
          </w:p>
        </w:tc>
        <w:tc>
          <w:tcPr>
            <w:tcW w:w="1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6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1,095</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Noncontrolling interests</w:t>
            </w:r>
          </w:p>
        </w:tc>
        <w:tc>
          <w:tcPr>
            <w:tcW w:w="1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gridSpan w:val="3"/>
            <w:shd w:val="clear" w:color="auto" w:fill="E5E5E5"/>
          </w:tcPr>
          <w:p>
            <w:pPr>
              <w:ind w:left="200"/>
              <w:spacing w:after="0" w:line="202" w:lineRule="exact"/>
              <w:rPr>
                <w:sz w:val="20"/>
                <w:szCs w:val="20"/>
                <w:color w:val="auto"/>
              </w:rPr>
            </w:pPr>
            <w:r>
              <w:rPr>
                <w:rFonts w:ascii="Arial" w:cs="Arial" w:eastAsia="Arial" w:hAnsi="Arial"/>
                <w:sz w:val="18"/>
                <w:szCs w:val="18"/>
                <w:color w:val="auto"/>
              </w:rPr>
              <w:t>Fuji Xerox shareholders’ equity</w:t>
            </w:r>
          </w:p>
        </w:tc>
        <w:tc>
          <w:tcPr>
            <w:tcW w:w="140" w:type="dxa"/>
            <w:vAlign w:val="bottom"/>
            <w:tcBorders>
              <w:bottom w:val="single" w:sz="8" w:color="auto"/>
            </w:tcBorders>
            <w:shd w:val="clear" w:color="auto" w:fill="E5E5E5"/>
          </w:tcPr>
          <w:p>
            <w:pPr>
              <w:spacing w:after="0"/>
              <w:rPr>
                <w:sz w:val="17"/>
                <w:szCs w:val="17"/>
                <w:color w:val="auto"/>
              </w:rPr>
            </w:pPr>
          </w:p>
        </w:tc>
        <w:tc>
          <w:tcPr>
            <w:tcW w:w="600" w:type="dxa"/>
            <w:vAlign w:val="bottom"/>
            <w:tcBorders>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5,339</w:t>
            </w:r>
          </w:p>
        </w:tc>
        <w:tc>
          <w:tcPr>
            <w:tcW w:w="200" w:type="dxa"/>
            <w:vAlign w:val="bottom"/>
            <w:shd w:val="clear" w:color="auto" w:fill="E5E5E5"/>
          </w:tcPr>
          <w:p>
            <w:pPr>
              <w:spacing w:after="0"/>
              <w:rPr>
                <w:sz w:val="17"/>
                <w:szCs w:val="17"/>
                <w:color w:val="auto"/>
              </w:rPr>
            </w:pPr>
          </w:p>
        </w:tc>
        <w:tc>
          <w:tcPr>
            <w:tcW w:w="140" w:type="dxa"/>
            <w:vAlign w:val="bottom"/>
            <w:tcBorders>
              <w:bottom w:val="single" w:sz="8" w:color="auto"/>
            </w:tcBorders>
            <w:shd w:val="clear" w:color="auto" w:fill="E5E5E5"/>
          </w:tcPr>
          <w:p>
            <w:pPr>
              <w:spacing w:after="0"/>
              <w:rPr>
                <w:sz w:val="17"/>
                <w:szCs w:val="17"/>
                <w:color w:val="auto"/>
              </w:rPr>
            </w:pPr>
          </w:p>
        </w:tc>
        <w:tc>
          <w:tcPr>
            <w:tcW w:w="500" w:type="dxa"/>
            <w:vAlign w:val="bottom"/>
            <w:tcBorders>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4,434</w:t>
            </w:r>
          </w:p>
        </w:tc>
        <w:tc>
          <w:tcPr>
            <w:tcW w:w="1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40" w:type="dxa"/>
            <w:vAlign w:val="bottom"/>
            <w:tcBorders>
              <w:bottom w:val="single" w:sz="8" w:color="auto"/>
            </w:tcBorders>
            <w:shd w:val="clear" w:color="auto" w:fill="E5E5E5"/>
          </w:tcPr>
          <w:p>
            <w:pPr>
              <w:spacing w:after="0"/>
              <w:rPr>
                <w:sz w:val="17"/>
                <w:szCs w:val="17"/>
                <w:color w:val="auto"/>
              </w:rPr>
            </w:pPr>
          </w:p>
        </w:tc>
        <w:tc>
          <w:tcPr>
            <w:tcW w:w="600" w:type="dxa"/>
            <w:vAlign w:val="bottom"/>
            <w:tcBorders>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4,556</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940" w:type="dxa"/>
            <w:vAlign w:val="bottom"/>
            <w:gridSpan w:val="4"/>
          </w:tcPr>
          <w:p>
            <w:pPr>
              <w:spacing w:after="0"/>
              <w:rPr>
                <w:sz w:val="20"/>
                <w:szCs w:val="20"/>
                <w:color w:val="auto"/>
              </w:rPr>
            </w:pPr>
            <w:r>
              <w:rPr>
                <w:rFonts w:ascii="Arial" w:cs="Arial" w:eastAsia="Arial" w:hAnsi="Arial"/>
                <w:sz w:val="18"/>
                <w:szCs w:val="18"/>
                <w:b w:val="1"/>
                <w:bCs w:val="1"/>
                <w:color w:val="auto"/>
              </w:rPr>
              <w:t>Total Liabilities and Equity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10,862</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9,568</w:t>
            </w:r>
          </w:p>
        </w:tc>
        <w:tc>
          <w:tcPr>
            <w:tcW w:w="12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10,204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right"/>
        <w:spacing w:after="0"/>
        <w:rPr>
          <w:sz w:val="20"/>
          <w:szCs w:val="20"/>
          <w:color w:val="auto"/>
        </w:rPr>
      </w:pPr>
      <w:r>
        <w:rPr>
          <w:rFonts w:ascii="Arial" w:cs="Arial" w:eastAsia="Arial" w:hAnsi="Arial"/>
          <w:sz w:val="14"/>
          <w:szCs w:val="14"/>
          <w:color w:val="4C9F40"/>
        </w:rPr>
        <w:t>Xerox 2010 Annual Report 66</w:t>
      </w:r>
    </w:p>
    <w:p>
      <w:pPr>
        <w:sectPr>
          <w:pgSz w:w="11900" w:h="16838" w:orient="portrait"/>
          <w:cols w:equalWidth="0" w:num="1">
            <w:col w:w="11420"/>
          </w:cols>
          <w:pgMar w:left="240" w:top="310" w:right="2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Yen/U.S. Dollar exchange rates used to translate are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340" w:type="dxa"/>
            <w:vAlign w:val="bottom"/>
          </w:tcPr>
          <w:p>
            <w:pPr>
              <w:spacing w:after="0"/>
              <w:rPr>
                <w:sz w:val="15"/>
                <w:szCs w:val="15"/>
                <w:color w:val="auto"/>
              </w:rPr>
            </w:pPr>
          </w:p>
        </w:tc>
        <w:tc>
          <w:tcPr>
            <w:tcW w:w="4760" w:type="dxa"/>
            <w:vAlign w:val="bottom"/>
          </w:tcPr>
          <w:p>
            <w:pPr>
              <w:ind w:left="40"/>
              <w:spacing w:after="0"/>
              <w:rPr>
                <w:sz w:val="20"/>
                <w:szCs w:val="20"/>
                <w:color w:val="auto"/>
              </w:rPr>
            </w:pPr>
            <w:r>
              <w:rPr>
                <w:rFonts w:ascii="Arial" w:cs="Arial" w:eastAsia="Arial" w:hAnsi="Arial"/>
                <w:sz w:val="14"/>
                <w:szCs w:val="14"/>
                <w:b w:val="1"/>
                <w:bCs w:val="1"/>
                <w:color w:val="auto"/>
              </w:rPr>
              <w:t>Exchange Basis</w:t>
            </w:r>
          </w:p>
        </w:tc>
        <w:tc>
          <w:tcPr>
            <w:tcW w:w="180" w:type="dxa"/>
            <w:vAlign w:val="bottom"/>
          </w:tcPr>
          <w:p>
            <w:pPr>
              <w:spacing w:after="0"/>
              <w:rPr>
                <w:sz w:val="15"/>
                <w:szCs w:val="15"/>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color w:val="auto"/>
              </w:rPr>
              <w:t>2010</w:t>
            </w:r>
          </w:p>
        </w:tc>
        <w:tc>
          <w:tcPr>
            <w:tcW w:w="800" w:type="dxa"/>
            <w:vAlign w:val="bottom"/>
            <w:gridSpan w:val="2"/>
          </w:tcPr>
          <w:p>
            <w:pPr>
              <w:jc w:val="right"/>
              <w:ind w:right="300"/>
              <w:spacing w:after="0"/>
              <w:rPr>
                <w:sz w:val="20"/>
                <w:szCs w:val="20"/>
                <w:color w:val="auto"/>
              </w:rPr>
            </w:pPr>
            <w:r>
              <w:rPr>
                <w:rFonts w:ascii="Arial" w:cs="Arial" w:eastAsia="Arial" w:hAnsi="Arial"/>
                <w:sz w:val="14"/>
                <w:szCs w:val="14"/>
                <w:color w:val="auto"/>
              </w:rPr>
              <w:t>2009</w:t>
            </w:r>
          </w:p>
        </w:tc>
        <w:tc>
          <w:tcPr>
            <w:tcW w:w="600" w:type="dxa"/>
            <w:vAlign w:val="bottom"/>
          </w:tcPr>
          <w:p>
            <w:pPr>
              <w:jc w:val="right"/>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5"/>
                <w:szCs w:val="15"/>
                <w:color w:val="auto"/>
              </w:rPr>
            </w:pPr>
          </w:p>
        </w:tc>
      </w:tr>
      <w:tr>
        <w:trPr>
          <w:trHeight w:val="277"/>
        </w:trPr>
        <w:tc>
          <w:tcPr>
            <w:tcW w:w="2340" w:type="dxa"/>
            <w:vAlign w:val="bottom"/>
            <w:shd w:val="clear" w:color="auto" w:fill="E5E5E5"/>
          </w:tcPr>
          <w:p>
            <w:pPr>
              <w:spacing w:after="0"/>
              <w:rPr>
                <w:sz w:val="20"/>
                <w:szCs w:val="20"/>
                <w:color w:val="auto"/>
              </w:rPr>
            </w:pPr>
            <w:r>
              <w:rPr>
                <w:rFonts w:ascii="Arial" w:cs="Arial" w:eastAsia="Arial" w:hAnsi="Arial"/>
                <w:sz w:val="18"/>
                <w:szCs w:val="18"/>
                <w:color w:val="auto"/>
              </w:rPr>
              <w:t>Summary of Operations</w:t>
            </w:r>
          </w:p>
        </w:tc>
        <w:tc>
          <w:tcPr>
            <w:tcW w:w="4760" w:type="dxa"/>
            <w:vAlign w:val="bottom"/>
            <w:tcBorders>
              <w:top w:val="single" w:sz="8" w:color="auto"/>
            </w:tcBorders>
            <w:shd w:val="clear" w:color="auto" w:fill="E5E5E5"/>
          </w:tcPr>
          <w:p>
            <w:pPr>
              <w:ind w:left="60"/>
              <w:spacing w:after="0"/>
              <w:rPr>
                <w:sz w:val="20"/>
                <w:szCs w:val="20"/>
                <w:color w:val="auto"/>
              </w:rPr>
            </w:pPr>
            <w:r>
              <w:rPr>
                <w:rFonts w:ascii="Arial" w:cs="Arial" w:eastAsia="Arial" w:hAnsi="Arial"/>
                <w:sz w:val="18"/>
                <w:szCs w:val="18"/>
                <w:color w:val="auto"/>
              </w:rPr>
              <w:t>Weighted Average Rate</w:t>
            </w:r>
          </w:p>
        </w:tc>
        <w:tc>
          <w:tcPr>
            <w:tcW w:w="180" w:type="dxa"/>
            <w:vAlign w:val="bottom"/>
            <w:shd w:val="clear" w:color="auto" w:fill="E5E5E5"/>
          </w:tcPr>
          <w:p>
            <w:pPr>
              <w:spacing w:after="0"/>
              <w:rPr>
                <w:sz w:val="24"/>
                <w:szCs w:val="24"/>
                <w:color w:val="auto"/>
              </w:rPr>
            </w:pPr>
          </w:p>
        </w:tc>
        <w:tc>
          <w:tcPr>
            <w:tcW w:w="5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87.64</w:t>
            </w:r>
          </w:p>
        </w:tc>
        <w:tc>
          <w:tcPr>
            <w:tcW w:w="300" w:type="dxa"/>
            <w:vAlign w:val="bottom"/>
            <w:shd w:val="clear" w:color="auto" w:fill="E5E5E5"/>
          </w:tcPr>
          <w:p>
            <w:pPr>
              <w:spacing w:after="0"/>
              <w:rPr>
                <w:sz w:val="24"/>
                <w:szCs w:val="24"/>
                <w:color w:val="auto"/>
              </w:rPr>
            </w:pPr>
          </w:p>
        </w:tc>
        <w:tc>
          <w:tcPr>
            <w:tcW w:w="5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93.51</w:t>
            </w:r>
          </w:p>
        </w:tc>
        <w:tc>
          <w:tcPr>
            <w:tcW w:w="300" w:type="dxa"/>
            <w:vAlign w:val="bottom"/>
            <w:shd w:val="clear" w:color="auto" w:fill="E5E5E5"/>
          </w:tcPr>
          <w:p>
            <w:pPr>
              <w:spacing w:after="0"/>
              <w:rPr>
                <w:sz w:val="24"/>
                <w:szCs w:val="24"/>
                <w:color w:val="auto"/>
              </w:rPr>
            </w:pPr>
          </w:p>
        </w:tc>
        <w:tc>
          <w:tcPr>
            <w:tcW w:w="6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103.31</w:t>
            </w:r>
          </w:p>
        </w:tc>
        <w:tc>
          <w:tcPr>
            <w:tcW w:w="100" w:type="dxa"/>
            <w:vAlign w:val="bottom"/>
            <w:shd w:val="clear" w:color="auto" w:fill="E5E5E5"/>
          </w:tcPr>
          <w:p>
            <w:pPr>
              <w:spacing w:after="0"/>
              <w:rPr>
                <w:sz w:val="24"/>
                <w:szCs w:val="24"/>
                <w:color w:val="auto"/>
              </w:rPr>
            </w:pPr>
          </w:p>
        </w:tc>
      </w:tr>
      <w:tr>
        <w:trPr>
          <w:trHeight w:val="214"/>
        </w:trPr>
        <w:tc>
          <w:tcPr>
            <w:tcW w:w="2340" w:type="dxa"/>
            <w:vAlign w:val="bottom"/>
          </w:tcPr>
          <w:p>
            <w:pPr>
              <w:spacing w:after="0"/>
              <w:rPr>
                <w:sz w:val="20"/>
                <w:szCs w:val="20"/>
                <w:color w:val="auto"/>
              </w:rPr>
            </w:pPr>
            <w:r>
              <w:rPr>
                <w:rFonts w:ascii="Arial" w:cs="Arial" w:eastAsia="Arial" w:hAnsi="Arial"/>
                <w:sz w:val="18"/>
                <w:szCs w:val="18"/>
                <w:color w:val="auto"/>
              </w:rPr>
              <w:t>Balance Sheet</w:t>
            </w:r>
          </w:p>
        </w:tc>
        <w:tc>
          <w:tcPr>
            <w:tcW w:w="4760" w:type="dxa"/>
            <w:vAlign w:val="bottom"/>
          </w:tcPr>
          <w:p>
            <w:pPr>
              <w:ind w:left="60"/>
              <w:spacing w:after="0"/>
              <w:rPr>
                <w:sz w:val="20"/>
                <w:szCs w:val="20"/>
                <w:color w:val="auto"/>
              </w:rPr>
            </w:pPr>
            <w:r>
              <w:rPr>
                <w:rFonts w:ascii="Arial" w:cs="Arial" w:eastAsia="Arial" w:hAnsi="Arial"/>
                <w:sz w:val="18"/>
                <w:szCs w:val="18"/>
                <w:color w:val="auto"/>
              </w:rPr>
              <w:t>Year-End Rate</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81.66</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92.46</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90.28</w:t>
            </w:r>
          </w:p>
        </w:tc>
        <w:tc>
          <w:tcPr>
            <w:tcW w:w="100" w:type="dxa"/>
            <w:vAlign w:val="bottom"/>
          </w:tcPr>
          <w:p>
            <w:pPr>
              <w:spacing w:after="0"/>
              <w:rPr>
                <w:sz w:val="18"/>
                <w:szCs w:val="18"/>
                <w:color w:val="auto"/>
              </w:rPr>
            </w:pPr>
          </w:p>
        </w:tc>
      </w:tr>
    </w:tbl>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Transactions with Fuji Xerox</w:t>
      </w:r>
    </w:p>
    <w:p>
      <w:pPr>
        <w:spacing w:after="0" w:line="18" w:lineRule="exact"/>
        <w:rPr>
          <w:sz w:val="20"/>
          <w:szCs w:val="20"/>
          <w:color w:val="auto"/>
        </w:rPr>
      </w:pPr>
    </w:p>
    <w:p>
      <w:pPr>
        <w:ind w:right="220"/>
        <w:spacing w:after="0" w:line="236" w:lineRule="auto"/>
        <w:rPr>
          <w:sz w:val="20"/>
          <w:szCs w:val="20"/>
          <w:color w:val="auto"/>
        </w:rPr>
      </w:pPr>
      <w:r>
        <w:rPr>
          <w:rFonts w:ascii="Arial" w:cs="Arial" w:eastAsia="Arial" w:hAnsi="Arial"/>
          <w:sz w:val="18"/>
          <w:szCs w:val="18"/>
          <w:color w:val="auto"/>
        </w:rPr>
        <w:t xml:space="preserve">We receive </w:t>
      </w:r>
      <w:r>
        <w:rPr>
          <w:rFonts w:ascii="Arial" w:cs="Arial" w:eastAsia="Arial" w:hAnsi="Arial"/>
          <w:sz w:val="18"/>
          <w:szCs w:val="18"/>
          <w:b w:val="1"/>
          <w:bCs w:val="1"/>
          <w:color w:val="auto"/>
        </w:rPr>
        <w:t>dividends</w:t>
      </w:r>
      <w:r>
        <w:rPr>
          <w:rFonts w:ascii="Arial" w:cs="Arial" w:eastAsia="Arial" w:hAnsi="Arial"/>
          <w:sz w:val="18"/>
          <w:szCs w:val="18"/>
          <w:color w:val="auto"/>
        </w:rPr>
        <w:t xml:space="preserve"> from Fuji Xerox, which are reflected as a reduction in our investment. Additionally, we have a Technology Agreement with Fuji Xerox whereby we receive </w:t>
      </w:r>
      <w:r>
        <w:rPr>
          <w:rFonts w:ascii="Arial" w:cs="Arial" w:eastAsia="Arial" w:hAnsi="Arial"/>
          <w:sz w:val="18"/>
          <w:szCs w:val="18"/>
          <w:b w:val="1"/>
          <w:bCs w:val="1"/>
          <w:color w:val="auto"/>
        </w:rPr>
        <w:t>royalty</w:t>
      </w:r>
      <w:r>
        <w:rPr>
          <w:rFonts w:ascii="Arial" w:cs="Arial" w:eastAsia="Arial" w:hAnsi="Arial"/>
          <w:sz w:val="18"/>
          <w:szCs w:val="18"/>
          <w:color w:val="auto"/>
        </w:rPr>
        <w:t xml:space="preserve"> payments for their use of our Xerox brand trademark, as well as rights to access their patent portfolio in exchange for access to our patent portfolio. These payments are included in Service, outsourcing and rental revenues in the Consolidated Statements of Income. We also have arrangements with Fuji Xerox whereby we </w:t>
      </w:r>
      <w:r>
        <w:rPr>
          <w:rFonts w:ascii="Arial" w:cs="Arial" w:eastAsia="Arial" w:hAnsi="Arial"/>
          <w:sz w:val="18"/>
          <w:szCs w:val="18"/>
          <w:b w:val="1"/>
          <w:bCs w:val="1"/>
          <w:color w:val="auto"/>
        </w:rPr>
        <w:t>purchase inventory</w:t>
      </w:r>
      <w:r>
        <w:rPr>
          <w:rFonts w:ascii="Arial" w:cs="Arial" w:eastAsia="Arial" w:hAnsi="Arial"/>
          <w:sz w:val="18"/>
          <w:szCs w:val="18"/>
          <w:color w:val="auto"/>
        </w:rPr>
        <w:t xml:space="preserve"> from and </w:t>
      </w:r>
      <w:r>
        <w:rPr>
          <w:rFonts w:ascii="Arial" w:cs="Arial" w:eastAsia="Arial" w:hAnsi="Arial"/>
          <w:sz w:val="18"/>
          <w:szCs w:val="18"/>
          <w:b w:val="1"/>
          <w:bCs w:val="1"/>
          <w:color w:val="auto"/>
        </w:rPr>
        <w:t>sell inventory</w:t>
      </w:r>
      <w:r>
        <w:rPr>
          <w:rFonts w:ascii="Arial" w:cs="Arial" w:eastAsia="Arial" w:hAnsi="Arial"/>
          <w:sz w:val="18"/>
          <w:szCs w:val="18"/>
          <w:color w:val="auto"/>
        </w:rPr>
        <w:t xml:space="preserve"> to Fuji Xerox. Pricing of the transactions under these arrangements is based upon terms the Company believes to be conducted at arm’s length. Our purchase commitments with Fuji Xerox are in the normal course of business and typically have a lead time of three months. In addition, we pay Fuji Xerox and they pay us for unique </w:t>
      </w:r>
      <w:r>
        <w:rPr>
          <w:rFonts w:ascii="Arial" w:cs="Arial" w:eastAsia="Arial" w:hAnsi="Arial"/>
          <w:sz w:val="18"/>
          <w:szCs w:val="18"/>
          <w:b w:val="1"/>
          <w:bCs w:val="1"/>
          <w:color w:val="auto"/>
        </w:rPr>
        <w:t>research and development</w:t>
      </w:r>
      <w:r>
        <w:rPr>
          <w:rFonts w:ascii="Arial" w:cs="Arial" w:eastAsia="Arial" w:hAnsi="Arial"/>
          <w:sz w:val="18"/>
          <w:szCs w:val="18"/>
          <w:color w:val="auto"/>
        </w:rPr>
        <w:t xml:space="preserve"> costs.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Transactions with Fuji Xerox for the three years ended December 31, 2010 were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w w:val="96"/>
              </w:rPr>
              <w:t>2009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w w:val="96"/>
              </w:rPr>
              <w:t>2008</w:t>
            </w:r>
          </w:p>
        </w:tc>
        <w:tc>
          <w:tcPr>
            <w:tcW w:w="100" w:type="dxa"/>
            <w:vAlign w:val="bottom"/>
          </w:tcPr>
          <w:p>
            <w:pPr>
              <w:spacing w:after="0"/>
              <w:rPr>
                <w:sz w:val="14"/>
                <w:szCs w:val="14"/>
                <w:color w:val="auto"/>
              </w:rPr>
            </w:pPr>
          </w:p>
        </w:tc>
      </w:tr>
      <w:tr>
        <w:trPr>
          <w:trHeight w:val="196"/>
        </w:trPr>
        <w:tc>
          <w:tcPr>
            <w:tcW w:w="6180" w:type="dxa"/>
            <w:vAlign w:val="bottom"/>
            <w:shd w:val="clear" w:color="auto" w:fill="E5E5E5"/>
          </w:tcPr>
          <w:p>
            <w:pPr>
              <w:spacing w:after="0" w:line="196" w:lineRule="exact"/>
              <w:rPr>
                <w:sz w:val="20"/>
                <w:szCs w:val="20"/>
                <w:color w:val="auto"/>
              </w:rPr>
            </w:pPr>
            <w:r>
              <w:rPr>
                <w:rFonts w:ascii="Arial" w:cs="Arial" w:eastAsia="Arial" w:hAnsi="Arial"/>
                <w:sz w:val="18"/>
                <w:szCs w:val="18"/>
                <w:color w:val="auto"/>
              </w:rPr>
              <w:t>Dividends received from Fuji Xerox</w:t>
            </w:r>
          </w:p>
        </w:tc>
        <w:tc>
          <w:tcPr>
            <w:tcW w:w="3700" w:type="dxa"/>
            <w:vAlign w:val="bottom"/>
            <w:gridSpan w:val="3"/>
            <w:shd w:val="clear" w:color="auto" w:fill="E5E5E5"/>
          </w:tcPr>
          <w:p>
            <w:pPr>
              <w:jc w:val="right"/>
              <w:ind w:right="100"/>
              <w:spacing w:after="0" w:line="196" w:lineRule="exact"/>
              <w:rPr>
                <w:sz w:val="20"/>
                <w:szCs w:val="20"/>
                <w:color w:val="auto"/>
              </w:rPr>
            </w:pPr>
            <w:r>
              <w:rPr>
                <w:rFonts w:ascii="Arial" w:cs="Arial" w:eastAsia="Arial" w:hAnsi="Arial"/>
                <w:sz w:val="18"/>
                <w:szCs w:val="18"/>
                <w:color w:val="auto"/>
              </w:rPr>
              <w:t>$   36</w:t>
            </w:r>
          </w:p>
        </w:tc>
        <w:tc>
          <w:tcPr>
            <w:tcW w:w="220" w:type="dxa"/>
            <w:vAlign w:val="bottom"/>
            <w:gridSpan w:val="2"/>
            <w:shd w:val="clear" w:color="auto" w:fill="E5E5E5"/>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560" w:type="dxa"/>
            <w:vAlign w:val="bottom"/>
            <w:gridSpan w:val="2"/>
            <w:shd w:val="clear" w:color="auto" w:fill="E5E5E5"/>
          </w:tcPr>
          <w:p>
            <w:pPr>
              <w:jc w:val="right"/>
              <w:ind w:right="120"/>
              <w:spacing w:after="0" w:line="196" w:lineRule="exact"/>
              <w:rPr>
                <w:sz w:val="20"/>
                <w:szCs w:val="20"/>
                <w:color w:val="auto"/>
              </w:rPr>
            </w:pPr>
            <w:r>
              <w:rPr>
                <w:rFonts w:ascii="Arial" w:cs="Arial" w:eastAsia="Arial" w:hAnsi="Arial"/>
                <w:sz w:val="18"/>
                <w:szCs w:val="18"/>
                <w:color w:val="auto"/>
              </w:rPr>
              <w:t>10</w:t>
            </w:r>
          </w:p>
        </w:tc>
        <w:tc>
          <w:tcPr>
            <w:tcW w:w="200" w:type="dxa"/>
            <w:vAlign w:val="bottom"/>
            <w:gridSpan w:val="2"/>
            <w:shd w:val="clear" w:color="auto" w:fill="E5E5E5"/>
          </w:tcPr>
          <w:p>
            <w:pPr>
              <w:jc w:val="right"/>
              <w:spacing w:after="0" w:line="196" w:lineRule="exact"/>
              <w:rPr>
                <w:sz w:val="20"/>
                <w:szCs w:val="20"/>
                <w:color w:val="auto"/>
              </w:rPr>
            </w:pPr>
            <w:r>
              <w:rPr>
                <w:rFonts w:ascii="Arial" w:cs="Arial" w:eastAsia="Arial" w:hAnsi="Arial"/>
                <w:sz w:val="18"/>
                <w:szCs w:val="18"/>
                <w:color w:val="auto"/>
              </w:rPr>
              <w:t>$</w:t>
            </w:r>
          </w:p>
        </w:tc>
        <w:tc>
          <w:tcPr>
            <w:tcW w:w="560" w:type="dxa"/>
            <w:vAlign w:val="bottom"/>
            <w:gridSpan w:val="2"/>
            <w:shd w:val="clear" w:color="auto" w:fill="E5E5E5"/>
          </w:tcPr>
          <w:p>
            <w:pPr>
              <w:jc w:val="right"/>
              <w:ind w:right="100"/>
              <w:spacing w:after="0" w:line="196" w:lineRule="exact"/>
              <w:rPr>
                <w:sz w:val="20"/>
                <w:szCs w:val="20"/>
                <w:color w:val="auto"/>
              </w:rPr>
            </w:pPr>
            <w:r>
              <w:rPr>
                <w:rFonts w:ascii="Arial" w:cs="Arial" w:eastAsia="Arial" w:hAnsi="Arial"/>
                <w:sz w:val="18"/>
                <w:szCs w:val="18"/>
                <w:color w:val="auto"/>
              </w:rPr>
              <w:t>56</w:t>
            </w: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Royalty revenue earned</w:t>
            </w:r>
          </w:p>
        </w:tc>
        <w:tc>
          <w:tcPr>
            <w:tcW w:w="3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106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112</w:t>
            </w:r>
          </w:p>
        </w:tc>
        <w:tc>
          <w:tcPr>
            <w:tcW w:w="100" w:type="dxa"/>
            <w:vAlign w:val="bottom"/>
          </w:tcPr>
          <w:p>
            <w:pPr>
              <w:spacing w:after="0"/>
              <w:rPr>
                <w:sz w:val="17"/>
                <w:szCs w:val="17"/>
                <w:color w:val="auto"/>
              </w:rPr>
            </w:pPr>
          </w:p>
        </w:tc>
      </w:tr>
      <w:tr>
        <w:trPr>
          <w:trHeight w:val="203"/>
        </w:trPr>
        <w:tc>
          <w:tcPr>
            <w:tcW w:w="61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Inventory purchases from Fuji Xerox</w:t>
            </w:r>
          </w:p>
        </w:tc>
        <w:tc>
          <w:tcPr>
            <w:tcW w:w="360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2,098</w:t>
            </w:r>
          </w:p>
        </w:tc>
        <w:tc>
          <w:tcPr>
            <w:tcW w:w="1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4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93"/>
              </w:rPr>
              <w:t>1,590</w:t>
            </w:r>
          </w:p>
        </w:tc>
        <w:tc>
          <w:tcPr>
            <w:tcW w:w="1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4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97"/>
              </w:rPr>
              <w:t>2,150</w:t>
            </w:r>
          </w:p>
        </w:tc>
        <w:tc>
          <w:tcPr>
            <w:tcW w:w="100" w:type="dxa"/>
            <w:vAlign w:val="bottom"/>
            <w:shd w:val="clear" w:color="auto" w:fill="E5E5E5"/>
          </w:tcPr>
          <w:p>
            <w:pPr>
              <w:spacing w:after="0"/>
              <w:rPr>
                <w:sz w:val="17"/>
                <w:szCs w:val="17"/>
                <w:color w:val="auto"/>
              </w:rPr>
            </w:pP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Inventory sales to Fuji Xerox</w:t>
            </w:r>
          </w:p>
        </w:tc>
        <w:tc>
          <w:tcPr>
            <w:tcW w:w="3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133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162</w:t>
            </w:r>
          </w:p>
        </w:tc>
        <w:tc>
          <w:tcPr>
            <w:tcW w:w="100" w:type="dxa"/>
            <w:vAlign w:val="bottom"/>
          </w:tcPr>
          <w:p>
            <w:pPr>
              <w:spacing w:after="0"/>
              <w:rPr>
                <w:sz w:val="17"/>
                <w:szCs w:val="17"/>
                <w:color w:val="auto"/>
              </w:rPr>
            </w:pPr>
          </w:p>
        </w:tc>
      </w:tr>
      <w:tr>
        <w:trPr>
          <w:trHeight w:val="203"/>
        </w:trPr>
        <w:tc>
          <w:tcPr>
            <w:tcW w:w="61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R&amp;D payments received from Fuji Xerox</w:t>
            </w:r>
          </w:p>
        </w:tc>
        <w:tc>
          <w:tcPr>
            <w:tcW w:w="3700" w:type="dxa"/>
            <w:vAlign w:val="bottom"/>
            <w:gridSpan w:val="3"/>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w:t>
            </w:r>
          </w:p>
        </w:tc>
        <w:tc>
          <w:tcPr>
            <w:tcW w:w="1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56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3</w:t>
            </w:r>
          </w:p>
        </w:tc>
        <w:tc>
          <w:tcPr>
            <w:tcW w:w="1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5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5</w:t>
            </w:r>
          </w:p>
        </w:tc>
      </w:tr>
      <w:tr>
        <w:trPr>
          <w:trHeight w:val="214"/>
        </w:trPr>
        <w:tc>
          <w:tcPr>
            <w:tcW w:w="6180" w:type="dxa"/>
            <w:vAlign w:val="bottom"/>
          </w:tcPr>
          <w:p>
            <w:pPr>
              <w:spacing w:after="0"/>
              <w:rPr>
                <w:sz w:val="20"/>
                <w:szCs w:val="20"/>
                <w:color w:val="auto"/>
              </w:rPr>
            </w:pPr>
            <w:r>
              <w:rPr>
                <w:rFonts w:ascii="Arial" w:cs="Arial" w:eastAsia="Arial" w:hAnsi="Arial"/>
                <w:sz w:val="18"/>
                <w:szCs w:val="18"/>
                <w:color w:val="auto"/>
              </w:rPr>
              <w:t>R&amp;D payments paid to Fuji Xerox</w:t>
            </w:r>
          </w:p>
        </w:tc>
        <w:tc>
          <w:tcPr>
            <w:tcW w:w="3700" w:type="dxa"/>
            <w:vAlign w:val="bottom"/>
            <w:gridSpan w:val="3"/>
          </w:tcPr>
          <w:p>
            <w:pPr>
              <w:jc w:val="right"/>
              <w:ind w:right="10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2010 and 2009, net amounts due to Fuji Xerox were $109 and $114,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4C9F40"/>
        </w:rPr>
        <w:t>Note 8 – Goodwill and Intangible Assets, Net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Goodwill</w:t>
      </w:r>
    </w:p>
    <w:p>
      <w:pPr>
        <w:spacing w:after="0" w:line="180"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In 2010, as a result of our acquisition of ACS, we realigned our internal reporting structure (see Note 2 – Segments for additional information). Our December 31, 2010 goodwill balance was reallocated to properly reflect our new segments and to align goodwill to the reporting units benefiting from the synergies of our acquisitions.</w:t>
      </w:r>
    </w:p>
    <w:p>
      <w:pPr>
        <w:spacing w:after="0" w:line="137" w:lineRule="exact"/>
        <w:rPr>
          <w:sz w:val="20"/>
          <w:szCs w:val="20"/>
          <w:color w:val="auto"/>
        </w:rPr>
      </w:pPr>
    </w:p>
    <w:p>
      <w:pPr>
        <w:jc w:val="right"/>
        <w:spacing w:after="0"/>
        <w:rPr>
          <w:sz w:val="20"/>
          <w:szCs w:val="20"/>
          <w:color w:val="auto"/>
        </w:rPr>
      </w:pPr>
      <w:r>
        <w:rPr>
          <w:rFonts w:ascii="Arial" w:cs="Arial" w:eastAsia="Arial" w:hAnsi="Arial"/>
          <w:sz w:val="14"/>
          <w:szCs w:val="14"/>
          <w:color w:val="4C9F40"/>
        </w:rPr>
        <w:t>Xerox 2010 Annual Report 67</w:t>
      </w:r>
    </w:p>
    <w:p>
      <w:pPr>
        <w:sectPr>
          <w:pgSz w:w="11900" w:h="16838" w:orient="portrait"/>
          <w:cols w:equalWidth="0" w:num="1">
            <w:col w:w="11420"/>
          </w:cols>
          <w:pgMar w:left="240" w:top="426" w:right="239" w:bottom="1440" w:gutter="0" w:footer="0" w:header="0"/>
        </w:sectPr>
      </w:pPr>
    </w:p>
    <w:bookmarkStart w:id="144" w:name="page145"/>
    <w:bookmarkEnd w:id="14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following table presents the changes in the carrying amount of goodwill, by reportable segment, for the three years ended December 31, 2010:</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7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w w:val="91"/>
              </w:rPr>
              <w:t>Technology</w:t>
            </w:r>
          </w:p>
        </w:tc>
        <w:tc>
          <w:tcPr>
            <w:tcW w:w="200" w:type="dxa"/>
            <w:vAlign w:val="bottom"/>
          </w:tcPr>
          <w:p>
            <w:pPr>
              <w:spacing w:after="0"/>
              <w:rPr>
                <w:sz w:val="14"/>
                <w:szCs w:val="14"/>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Services</w:t>
            </w:r>
          </w:p>
        </w:tc>
        <w:tc>
          <w:tcPr>
            <w:tcW w:w="220" w:type="dxa"/>
            <w:vAlign w:val="bottom"/>
          </w:tcPr>
          <w:p>
            <w:pPr>
              <w:spacing w:after="0"/>
              <w:rPr>
                <w:sz w:val="14"/>
                <w:szCs w:val="14"/>
                <w:color w:val="auto"/>
              </w:rPr>
            </w:pPr>
          </w:p>
        </w:tc>
        <w:tc>
          <w:tcPr>
            <w:tcW w:w="3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1"/>
              </w:rPr>
              <w:t>Other</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20" w:type="dxa"/>
            <w:vAlign w:val="bottom"/>
            <w:shd w:val="clear" w:color="auto" w:fill="E5E5E5"/>
          </w:tcPr>
          <w:p>
            <w:pPr>
              <w:spacing w:after="0" w:line="196" w:lineRule="exact"/>
              <w:rPr>
                <w:sz w:val="20"/>
                <w:szCs w:val="20"/>
                <w:color w:val="auto"/>
              </w:rPr>
            </w:pPr>
            <w:r>
              <w:rPr>
                <w:rFonts w:ascii="Arial" w:cs="Arial" w:eastAsia="Arial" w:hAnsi="Arial"/>
                <w:sz w:val="18"/>
                <w:szCs w:val="18"/>
                <w:b w:val="1"/>
                <w:bCs w:val="1"/>
                <w:color w:val="auto"/>
              </w:rPr>
              <w:t>Balance at December 31, 2007</w:t>
            </w:r>
          </w:p>
        </w:tc>
        <w:tc>
          <w:tcPr>
            <w:tcW w:w="180" w:type="dxa"/>
            <w:vAlign w:val="bottom"/>
            <w:shd w:val="clear" w:color="auto" w:fill="E5E5E5"/>
          </w:tcPr>
          <w:p>
            <w:pPr>
              <w:spacing w:after="0" w:line="196" w:lineRule="exact"/>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rPr>
              <w:t>2,317</w:t>
            </w:r>
          </w:p>
        </w:tc>
        <w:tc>
          <w:tcPr>
            <w:tcW w:w="200" w:type="dxa"/>
            <w:vAlign w:val="bottom"/>
            <w:shd w:val="clear" w:color="auto" w:fill="E5E5E5"/>
          </w:tcPr>
          <w:p>
            <w:pPr>
              <w:spacing w:after="0"/>
              <w:rPr>
                <w:sz w:val="17"/>
                <w:szCs w:val="17"/>
                <w:color w:val="auto"/>
              </w:rPr>
            </w:pPr>
          </w:p>
        </w:tc>
        <w:tc>
          <w:tcPr>
            <w:tcW w:w="16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rPr>
              <w:t>1,122</w:t>
            </w:r>
          </w:p>
        </w:tc>
        <w:tc>
          <w:tcPr>
            <w:tcW w:w="2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line="196" w:lineRule="exact"/>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E5E5E5"/>
          </w:tcPr>
          <w:p>
            <w:pPr>
              <w:jc w:val="right"/>
              <w:ind w:right="200"/>
              <w:spacing w:after="0" w:line="196" w:lineRule="exact"/>
              <w:rPr>
                <w:sz w:val="20"/>
                <w:szCs w:val="20"/>
                <w:color w:val="auto"/>
              </w:rPr>
            </w:pPr>
            <w:r>
              <w:rPr>
                <w:rFonts w:ascii="Arial" w:cs="Arial" w:eastAsia="Arial" w:hAnsi="Arial"/>
                <w:sz w:val="18"/>
                <w:szCs w:val="18"/>
                <w:color w:val="auto"/>
              </w:rPr>
              <w:t>9</w:t>
            </w:r>
          </w:p>
        </w:tc>
        <w:tc>
          <w:tcPr>
            <w:tcW w:w="14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E5E5E5"/>
          </w:tcPr>
          <w:p>
            <w:pPr>
              <w:jc w:val="right"/>
              <w:ind w:right="100"/>
              <w:spacing w:after="0" w:line="196" w:lineRule="exact"/>
              <w:rPr>
                <w:sz w:val="20"/>
                <w:szCs w:val="20"/>
                <w:color w:val="auto"/>
              </w:rPr>
            </w:pPr>
            <w:r>
              <w:rPr>
                <w:rFonts w:ascii="Arial" w:cs="Arial" w:eastAsia="Arial" w:hAnsi="Arial"/>
                <w:sz w:val="18"/>
                <w:szCs w:val="18"/>
                <w:color w:val="auto"/>
              </w:rPr>
              <w:t>3,448</w:t>
            </w:r>
          </w:p>
        </w:tc>
        <w:tc>
          <w:tcPr>
            <w:tcW w:w="0" w:type="dxa"/>
            <w:vAlign w:val="bottom"/>
          </w:tcPr>
          <w:p>
            <w:pPr>
              <w:spacing w:after="0"/>
              <w:rPr>
                <w:sz w:val="1"/>
                <w:szCs w:val="1"/>
                <w:color w:val="auto"/>
              </w:rPr>
            </w:pPr>
          </w:p>
        </w:tc>
      </w:tr>
      <w:tr>
        <w:trPr>
          <w:trHeight w:val="203"/>
        </w:trPr>
        <w:tc>
          <w:tcPr>
            <w:tcW w:w="7440" w:type="dxa"/>
            <w:vAlign w:val="bottom"/>
            <w:gridSpan w:val="2"/>
          </w:tcPr>
          <w:p>
            <w:pPr>
              <w:spacing w:after="0" w:line="202" w:lineRule="exact"/>
              <w:rPr>
                <w:sz w:val="20"/>
                <w:szCs w:val="20"/>
                <w:color w:val="auto"/>
              </w:rPr>
            </w:pPr>
            <w:r>
              <w:rPr>
                <w:rFonts w:ascii="Arial" w:cs="Arial" w:eastAsia="Arial" w:hAnsi="Arial"/>
                <w:sz w:val="18"/>
                <w:szCs w:val="18"/>
                <w:color w:val="auto"/>
              </w:rPr>
              <w:t>Foreign currency translation</w:t>
            </w:r>
          </w:p>
        </w:tc>
        <w:tc>
          <w:tcPr>
            <w:tcW w:w="180" w:type="dxa"/>
            <w:vAlign w:val="bottom"/>
          </w:tcPr>
          <w:p>
            <w:pPr>
              <w:spacing w:after="0"/>
              <w:rPr>
                <w:sz w:val="17"/>
                <w:szCs w:val="17"/>
                <w:color w:val="auto"/>
              </w:rPr>
            </w:pPr>
          </w:p>
        </w:tc>
        <w:tc>
          <w:tcPr>
            <w:tcW w:w="7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(200)</w:t>
            </w:r>
          </w:p>
        </w:tc>
        <w:tc>
          <w:tcPr>
            <w:tcW w:w="160" w:type="dxa"/>
            <w:vAlign w:val="bottom"/>
          </w:tcPr>
          <w:p>
            <w:pPr>
              <w:spacing w:after="0"/>
              <w:rPr>
                <w:sz w:val="17"/>
                <w:szCs w:val="17"/>
                <w:color w:val="auto"/>
              </w:rPr>
            </w:pPr>
          </w:p>
        </w:tc>
        <w:tc>
          <w:tcPr>
            <w:tcW w:w="7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(193)</w:t>
            </w:r>
          </w:p>
        </w:tc>
        <w:tc>
          <w:tcPr>
            <w:tcW w:w="120" w:type="dxa"/>
            <w:vAlign w:val="bottom"/>
          </w:tcPr>
          <w:p>
            <w:pPr>
              <w:spacing w:after="0"/>
              <w:rPr>
                <w:sz w:val="17"/>
                <w:szCs w:val="17"/>
                <w:color w:val="auto"/>
              </w:rPr>
            </w:pPr>
          </w:p>
        </w:tc>
        <w:tc>
          <w:tcPr>
            <w:tcW w:w="4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w:t>
            </w:r>
          </w:p>
        </w:tc>
        <w:tc>
          <w:tcPr>
            <w:tcW w:w="140" w:type="dxa"/>
            <w:vAlign w:val="bottom"/>
          </w:tcPr>
          <w:p>
            <w:pPr>
              <w:spacing w:after="0"/>
              <w:rPr>
                <w:sz w:val="17"/>
                <w:szCs w:val="17"/>
                <w:color w:val="auto"/>
              </w:rPr>
            </w:pPr>
          </w:p>
        </w:tc>
        <w:tc>
          <w:tcPr>
            <w:tcW w:w="6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Acquisition of Veenman B.V.</w:t>
            </w:r>
          </w:p>
        </w:tc>
        <w:tc>
          <w:tcPr>
            <w:tcW w:w="180" w:type="dxa"/>
            <w:vAlign w:val="bottom"/>
            <w:shd w:val="clear" w:color="auto" w:fill="E5E5E5"/>
          </w:tcPr>
          <w:p>
            <w:pPr>
              <w:spacing w:after="0"/>
              <w:rPr>
                <w:sz w:val="17"/>
                <w:szCs w:val="17"/>
                <w:color w:val="auto"/>
              </w:rPr>
            </w:pPr>
          </w:p>
        </w:tc>
        <w:tc>
          <w:tcPr>
            <w:tcW w:w="5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44</w:t>
            </w:r>
          </w:p>
        </w:tc>
        <w:tc>
          <w:tcPr>
            <w:tcW w:w="2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70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E5E5E5"/>
          </w:tcPr>
          <w:p>
            <w:pPr>
              <w:spacing w:after="0"/>
              <w:rPr>
                <w:sz w:val="17"/>
                <w:szCs w:val="17"/>
                <w:color w:val="auto"/>
              </w:rPr>
            </w:pPr>
          </w:p>
        </w:tc>
        <w:tc>
          <w:tcPr>
            <w:tcW w:w="42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E5E5E5"/>
          </w:tcPr>
          <w:p>
            <w:pPr>
              <w:spacing w:after="0"/>
              <w:rPr>
                <w:sz w:val="17"/>
                <w:szCs w:val="17"/>
                <w:color w:val="auto"/>
              </w:rPr>
            </w:pPr>
          </w:p>
        </w:tc>
        <w:tc>
          <w:tcPr>
            <w:tcW w:w="6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3"/>
        </w:trPr>
        <w:tc>
          <w:tcPr>
            <w:tcW w:w="7440" w:type="dxa"/>
            <w:vAlign w:val="bottom"/>
            <w:gridSpan w:val="2"/>
          </w:tcPr>
          <w:p>
            <w:pPr>
              <w:spacing w:after="0" w:line="202" w:lineRule="exact"/>
              <w:rPr>
                <w:sz w:val="20"/>
                <w:szCs w:val="20"/>
                <w:color w:val="auto"/>
              </w:rPr>
            </w:pPr>
            <w:r>
              <w:rPr>
                <w:rFonts w:ascii="Arial" w:cs="Arial" w:eastAsia="Arial" w:hAnsi="Arial"/>
                <w:sz w:val="18"/>
                <w:szCs w:val="18"/>
                <w:color w:val="auto"/>
              </w:rPr>
              <w:t>GIS acquisitions</w:t>
            </w:r>
          </w:p>
        </w:tc>
        <w:tc>
          <w:tcPr>
            <w:tcW w:w="18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73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4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6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Purchase Price allocation adjustment – GIS</w:t>
            </w:r>
          </w:p>
        </w:tc>
        <w:tc>
          <w:tcPr>
            <w:tcW w:w="180" w:type="dxa"/>
            <w:vAlign w:val="bottom"/>
            <w:shd w:val="clear" w:color="auto" w:fill="E5E5E5"/>
          </w:tcPr>
          <w:p>
            <w:pPr>
              <w:spacing w:after="0"/>
              <w:rPr>
                <w:sz w:val="17"/>
                <w:szCs w:val="17"/>
                <w:color w:val="auto"/>
              </w:rPr>
            </w:pPr>
          </w:p>
        </w:tc>
        <w:tc>
          <w:tcPr>
            <w:tcW w:w="5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12</w:t>
            </w:r>
          </w:p>
        </w:tc>
        <w:tc>
          <w:tcPr>
            <w:tcW w:w="2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70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E5E5E5"/>
          </w:tcPr>
          <w:p>
            <w:pPr>
              <w:spacing w:after="0"/>
              <w:rPr>
                <w:sz w:val="17"/>
                <w:szCs w:val="17"/>
                <w:color w:val="auto"/>
              </w:rPr>
            </w:pPr>
          </w:p>
        </w:tc>
        <w:tc>
          <w:tcPr>
            <w:tcW w:w="42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E5E5E5"/>
          </w:tcPr>
          <w:p>
            <w:pPr>
              <w:spacing w:after="0"/>
              <w:rPr>
                <w:sz w:val="17"/>
                <w:szCs w:val="17"/>
                <w:color w:val="auto"/>
              </w:rPr>
            </w:pPr>
          </w:p>
        </w:tc>
        <w:tc>
          <w:tcPr>
            <w:tcW w:w="6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at December 31, 2008</w:t>
            </w: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40" w:type="dxa"/>
            <w:vAlign w:val="bottom"/>
            <w:gridSpan w:val="2"/>
            <w:vMerge w:val="continue"/>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2,246</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929</w:t>
            </w:r>
          </w:p>
        </w:tc>
        <w:tc>
          <w:tcPr>
            <w:tcW w:w="2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3,182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Foreign currency translation</w:t>
            </w:r>
          </w:p>
        </w:tc>
        <w:tc>
          <w:tcPr>
            <w:tcW w:w="180" w:type="dxa"/>
            <w:vAlign w:val="bottom"/>
            <w:shd w:val="clear" w:color="auto" w:fill="E5E5E5"/>
          </w:tcPr>
          <w:p>
            <w:pPr>
              <w:spacing w:after="0"/>
              <w:rPr>
                <w:sz w:val="17"/>
                <w:szCs w:val="17"/>
                <w:color w:val="auto"/>
              </w:rPr>
            </w:pPr>
          </w:p>
        </w:tc>
        <w:tc>
          <w:tcPr>
            <w:tcW w:w="5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61</w:t>
            </w:r>
          </w:p>
        </w:tc>
        <w:tc>
          <w:tcPr>
            <w:tcW w:w="2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4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60</w:t>
            </w:r>
          </w:p>
        </w:tc>
        <w:tc>
          <w:tcPr>
            <w:tcW w:w="2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42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1</w:t>
            </w:r>
          </w:p>
        </w:tc>
        <w:tc>
          <w:tcPr>
            <w:tcW w:w="140" w:type="dxa"/>
            <w:vAlign w:val="bottom"/>
            <w:shd w:val="clear" w:color="auto" w:fill="E5E5E5"/>
          </w:tcPr>
          <w:p>
            <w:pPr>
              <w:spacing w:after="0"/>
              <w:rPr>
                <w:sz w:val="17"/>
                <w:szCs w:val="17"/>
                <w:color w:val="auto"/>
              </w:rPr>
            </w:pPr>
          </w:p>
        </w:tc>
        <w:tc>
          <w:tcPr>
            <w:tcW w:w="6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3"/>
        </w:trPr>
        <w:tc>
          <w:tcPr>
            <w:tcW w:w="7440" w:type="dxa"/>
            <w:vAlign w:val="bottom"/>
            <w:gridSpan w:val="2"/>
          </w:tcPr>
          <w:p>
            <w:pPr>
              <w:spacing w:after="0" w:line="202" w:lineRule="exact"/>
              <w:rPr>
                <w:sz w:val="20"/>
                <w:szCs w:val="20"/>
                <w:color w:val="auto"/>
              </w:rPr>
            </w:pPr>
            <w:r>
              <w:rPr>
                <w:rFonts w:ascii="Arial" w:cs="Arial" w:eastAsia="Arial" w:hAnsi="Arial"/>
                <w:sz w:val="18"/>
                <w:szCs w:val="18"/>
                <w:color w:val="auto"/>
              </w:rPr>
              <w:t>GIS acquisitions</w:t>
            </w:r>
          </w:p>
        </w:tc>
        <w:tc>
          <w:tcPr>
            <w:tcW w:w="18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118</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4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6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2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Balance at December 31, 2009</w:t>
            </w:r>
          </w:p>
        </w:tc>
        <w:tc>
          <w:tcPr>
            <w:tcW w:w="1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2,425</w:t>
            </w:r>
          </w:p>
        </w:tc>
        <w:tc>
          <w:tcPr>
            <w:tcW w:w="200" w:type="dxa"/>
            <w:vAlign w:val="bottom"/>
            <w:shd w:val="clear" w:color="auto" w:fill="E5E5E5"/>
          </w:tcPr>
          <w:p>
            <w:pPr>
              <w:spacing w:after="0"/>
              <w:rPr>
                <w:sz w:val="17"/>
                <w:szCs w:val="17"/>
                <w:color w:val="auto"/>
              </w:rPr>
            </w:pPr>
          </w:p>
        </w:tc>
        <w:tc>
          <w:tcPr>
            <w:tcW w:w="1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989</w:t>
            </w:r>
          </w:p>
        </w:tc>
        <w:tc>
          <w:tcPr>
            <w:tcW w:w="2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8</w:t>
            </w:r>
          </w:p>
        </w:tc>
        <w:tc>
          <w:tcPr>
            <w:tcW w:w="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3,422</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gridSpan w:val="2"/>
          </w:tcPr>
          <w:p>
            <w:pPr>
              <w:spacing w:after="0" w:line="202" w:lineRule="exact"/>
              <w:rPr>
                <w:sz w:val="20"/>
                <w:szCs w:val="20"/>
                <w:color w:val="auto"/>
              </w:rPr>
            </w:pPr>
            <w:r>
              <w:rPr>
                <w:rFonts w:ascii="Arial" w:cs="Arial" w:eastAsia="Arial" w:hAnsi="Arial"/>
                <w:sz w:val="18"/>
                <w:szCs w:val="18"/>
                <w:color w:val="auto"/>
              </w:rPr>
              <w:t>Foreign currency translation</w:t>
            </w:r>
          </w:p>
        </w:tc>
        <w:tc>
          <w:tcPr>
            <w:tcW w:w="180" w:type="dxa"/>
            <w:vAlign w:val="bottom"/>
          </w:tcPr>
          <w:p>
            <w:pPr>
              <w:spacing w:after="0"/>
              <w:rPr>
                <w:sz w:val="17"/>
                <w:szCs w:val="17"/>
                <w:color w:val="auto"/>
              </w:rPr>
            </w:pPr>
          </w:p>
        </w:tc>
        <w:tc>
          <w:tcPr>
            <w:tcW w:w="7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(25)</w:t>
            </w:r>
          </w:p>
        </w:tc>
        <w:tc>
          <w:tcPr>
            <w:tcW w:w="160" w:type="dxa"/>
            <w:vAlign w:val="bottom"/>
          </w:tcPr>
          <w:p>
            <w:pPr>
              <w:spacing w:after="0"/>
              <w:rPr>
                <w:sz w:val="17"/>
                <w:szCs w:val="17"/>
                <w:color w:val="auto"/>
              </w:rPr>
            </w:pPr>
          </w:p>
        </w:tc>
        <w:tc>
          <w:tcPr>
            <w:tcW w:w="7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(22)</w:t>
            </w:r>
          </w:p>
        </w:tc>
        <w:tc>
          <w:tcPr>
            <w:tcW w:w="120" w:type="dxa"/>
            <w:vAlign w:val="bottom"/>
          </w:tcPr>
          <w:p>
            <w:pPr>
              <w:spacing w:after="0"/>
              <w:rPr>
                <w:sz w:val="17"/>
                <w:szCs w:val="17"/>
                <w:color w:val="auto"/>
              </w:rPr>
            </w:pPr>
          </w:p>
        </w:tc>
        <w:tc>
          <w:tcPr>
            <w:tcW w:w="4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6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420" w:type="dxa"/>
            <w:vAlign w:val="bottom"/>
            <w:shd w:val="clear" w:color="auto" w:fill="E5E5E5"/>
          </w:tcPr>
          <w:p>
            <w:pPr>
              <w:spacing w:after="0" w:line="206" w:lineRule="exact"/>
              <w:rPr>
                <w:sz w:val="20"/>
                <w:szCs w:val="20"/>
                <w:color w:val="auto"/>
              </w:rPr>
            </w:pPr>
            <w:r>
              <w:rPr>
                <w:rFonts w:ascii="Arial" w:cs="Arial" w:eastAsia="Arial" w:hAnsi="Arial"/>
                <w:sz w:val="18"/>
                <w:szCs w:val="18"/>
                <w:color w:val="auto"/>
              </w:rPr>
              <w:t>Acquisition of Affiliated Computer</w:t>
            </w:r>
          </w:p>
        </w:tc>
        <w:tc>
          <w:tcPr>
            <w:tcW w:w="180" w:type="dxa"/>
            <w:vAlign w:val="bottom"/>
            <w:shd w:val="clear" w:color="auto" w:fill="E5E5E5"/>
          </w:tcPr>
          <w:p>
            <w:pPr>
              <w:spacing w:after="0"/>
              <w:rPr>
                <w:sz w:val="17"/>
                <w:szCs w:val="17"/>
                <w:color w:val="auto"/>
              </w:rPr>
            </w:pPr>
          </w:p>
        </w:tc>
        <w:tc>
          <w:tcPr>
            <w:tcW w:w="720" w:type="dxa"/>
            <w:vAlign w:val="bottom"/>
            <w:gridSpan w:val="2"/>
            <w:shd w:val="clear" w:color="auto" w:fill="E5E5E5"/>
          </w:tcPr>
          <w:p>
            <w:pPr>
              <w:jc w:val="right"/>
              <w:ind w:right="200"/>
              <w:spacing w:after="0" w:line="206" w:lineRule="exact"/>
              <w:rPr>
                <w:sz w:val="20"/>
                <w:szCs w:val="20"/>
                <w:color w:val="auto"/>
              </w:rPr>
            </w:pPr>
            <w:r>
              <w:rPr>
                <w:rFonts w:ascii="Arial" w:cs="Arial" w:eastAsia="Arial" w:hAnsi="Arial"/>
                <w:sz w:val="18"/>
                <w:szCs w:val="18"/>
                <w:color w:val="auto"/>
              </w:rPr>
              <w:t>—</w:t>
            </w:r>
          </w:p>
        </w:tc>
        <w:tc>
          <w:tcPr>
            <w:tcW w:w="160" w:type="dxa"/>
            <w:vAlign w:val="bottom"/>
            <w:shd w:val="clear" w:color="auto" w:fill="E5E5E5"/>
          </w:tcPr>
          <w:p>
            <w:pPr>
              <w:spacing w:after="0"/>
              <w:rPr>
                <w:sz w:val="17"/>
                <w:szCs w:val="17"/>
                <w:color w:val="auto"/>
              </w:rPr>
            </w:pPr>
          </w:p>
        </w:tc>
        <w:tc>
          <w:tcPr>
            <w:tcW w:w="480" w:type="dxa"/>
            <w:vAlign w:val="bottom"/>
            <w:shd w:val="clear" w:color="auto" w:fill="E5E5E5"/>
          </w:tcPr>
          <w:p>
            <w:pPr>
              <w:jc w:val="right"/>
              <w:spacing w:after="0" w:line="206" w:lineRule="exact"/>
              <w:rPr>
                <w:sz w:val="20"/>
                <w:szCs w:val="20"/>
                <w:color w:val="auto"/>
              </w:rPr>
            </w:pPr>
            <w:r>
              <w:rPr>
                <w:rFonts w:ascii="Arial" w:cs="Arial" w:eastAsia="Arial" w:hAnsi="Arial"/>
                <w:sz w:val="18"/>
                <w:szCs w:val="18"/>
                <w:color w:val="auto"/>
              </w:rPr>
              <w:t>5,127</w:t>
            </w:r>
          </w:p>
        </w:tc>
        <w:tc>
          <w:tcPr>
            <w:tcW w:w="2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420" w:type="dxa"/>
            <w:vAlign w:val="bottom"/>
            <w:gridSpan w:val="2"/>
            <w:shd w:val="clear" w:color="auto" w:fill="E5E5E5"/>
          </w:tcPr>
          <w:p>
            <w:pPr>
              <w:jc w:val="right"/>
              <w:ind w:right="200"/>
              <w:spacing w:after="0" w:line="206" w:lineRule="exact"/>
              <w:rPr>
                <w:sz w:val="20"/>
                <w:szCs w:val="20"/>
                <w:color w:val="auto"/>
              </w:rPr>
            </w:pPr>
            <w:r>
              <w:rPr>
                <w:rFonts w:ascii="Arial" w:cs="Arial" w:eastAsia="Arial" w:hAnsi="Arial"/>
                <w:sz w:val="18"/>
                <w:szCs w:val="18"/>
                <w:color w:val="auto"/>
              </w:rPr>
              <w:t>—</w:t>
            </w:r>
          </w:p>
        </w:tc>
        <w:tc>
          <w:tcPr>
            <w:tcW w:w="140" w:type="dxa"/>
            <w:vAlign w:val="bottom"/>
            <w:shd w:val="clear" w:color="auto" w:fill="E5E5E5"/>
          </w:tcPr>
          <w:p>
            <w:pPr>
              <w:spacing w:after="0"/>
              <w:rPr>
                <w:sz w:val="17"/>
                <w:szCs w:val="17"/>
                <w:color w:val="auto"/>
              </w:rPr>
            </w:pPr>
          </w:p>
        </w:tc>
        <w:tc>
          <w:tcPr>
            <w:tcW w:w="520" w:type="dxa"/>
            <w:vAlign w:val="bottom"/>
            <w:shd w:val="clear" w:color="auto" w:fill="E5E5E5"/>
          </w:tcPr>
          <w:p>
            <w:pPr>
              <w:jc w:val="right"/>
              <w:spacing w:after="0" w:line="206" w:lineRule="exact"/>
              <w:rPr>
                <w:sz w:val="20"/>
                <w:szCs w:val="20"/>
                <w:color w:val="auto"/>
              </w:rPr>
            </w:pPr>
            <w:r>
              <w:rPr>
                <w:rFonts w:ascii="Arial" w:cs="Arial" w:eastAsia="Arial" w:hAnsi="Arial"/>
                <w:sz w:val="18"/>
                <w:szCs w:val="18"/>
                <w:color w:val="auto"/>
              </w:rPr>
              <w:t>5,127</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420" w:type="dxa"/>
            <w:vAlign w:val="bottom"/>
            <w:shd w:val="clear" w:color="auto" w:fill="E5E5E5"/>
          </w:tcPr>
          <w:p>
            <w:pPr>
              <w:ind w:left="200"/>
              <w:spacing w:after="0" w:line="200" w:lineRule="exact"/>
              <w:rPr>
                <w:sz w:val="20"/>
                <w:szCs w:val="20"/>
                <w:color w:val="auto"/>
              </w:rPr>
            </w:pPr>
            <w:r>
              <w:rPr>
                <w:rFonts w:ascii="Arial" w:cs="Arial" w:eastAsia="Arial" w:hAnsi="Arial"/>
                <w:sz w:val="18"/>
                <w:szCs w:val="18"/>
                <w:color w:val="auto"/>
              </w:rPr>
              <w:t>Services, Inc. (“ACS”)</w:t>
            </w:r>
          </w:p>
        </w:tc>
        <w:tc>
          <w:tcPr>
            <w:tcW w:w="180" w:type="dxa"/>
            <w:vAlign w:val="bottom"/>
            <w:shd w:val="clear" w:color="auto" w:fill="E5E5E5"/>
          </w:tcPr>
          <w:p>
            <w:pPr>
              <w:spacing w:after="0"/>
              <w:rPr>
                <w:sz w:val="17"/>
                <w:szCs w:val="17"/>
                <w:color w:val="auto"/>
              </w:rPr>
            </w:pPr>
          </w:p>
        </w:tc>
        <w:tc>
          <w:tcPr>
            <w:tcW w:w="52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48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5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gridSpan w:val="2"/>
          </w:tcPr>
          <w:p>
            <w:pPr>
              <w:spacing w:after="0" w:line="202" w:lineRule="exact"/>
              <w:rPr>
                <w:sz w:val="20"/>
                <w:szCs w:val="20"/>
                <w:color w:val="auto"/>
              </w:rPr>
            </w:pPr>
            <w:r>
              <w:rPr>
                <w:rFonts w:ascii="Arial" w:cs="Arial" w:eastAsia="Arial" w:hAnsi="Arial"/>
                <w:sz w:val="18"/>
                <w:szCs w:val="18"/>
                <w:color w:val="auto"/>
              </w:rPr>
              <w:t>ACS acquisitions</w:t>
            </w:r>
          </w:p>
        </w:tc>
        <w:tc>
          <w:tcPr>
            <w:tcW w:w="180" w:type="dxa"/>
            <w:vAlign w:val="bottom"/>
          </w:tcPr>
          <w:p>
            <w:pPr>
              <w:spacing w:after="0"/>
              <w:rPr>
                <w:sz w:val="17"/>
                <w:szCs w:val="17"/>
                <w:color w:val="auto"/>
              </w:rPr>
            </w:pPr>
          </w:p>
        </w:tc>
        <w:tc>
          <w:tcPr>
            <w:tcW w:w="7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124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6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GIS acquisitions</w:t>
            </w:r>
          </w:p>
        </w:tc>
        <w:tc>
          <w:tcPr>
            <w:tcW w:w="180" w:type="dxa"/>
            <w:vAlign w:val="bottom"/>
            <w:shd w:val="clear" w:color="auto" w:fill="E5E5E5"/>
          </w:tcPr>
          <w:p>
            <w:pPr>
              <w:spacing w:after="0"/>
              <w:rPr>
                <w:sz w:val="17"/>
                <w:szCs w:val="17"/>
                <w:color w:val="auto"/>
              </w:rPr>
            </w:pPr>
          </w:p>
        </w:tc>
        <w:tc>
          <w:tcPr>
            <w:tcW w:w="5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11</w:t>
            </w:r>
          </w:p>
        </w:tc>
        <w:tc>
          <w:tcPr>
            <w:tcW w:w="2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70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E5E5E5"/>
          </w:tcPr>
          <w:p>
            <w:pPr>
              <w:spacing w:after="0"/>
              <w:rPr>
                <w:sz w:val="17"/>
                <w:szCs w:val="17"/>
                <w:color w:val="auto"/>
              </w:rPr>
            </w:pPr>
          </w:p>
        </w:tc>
        <w:tc>
          <w:tcPr>
            <w:tcW w:w="42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E5E5E5"/>
          </w:tcPr>
          <w:p>
            <w:pPr>
              <w:spacing w:after="0"/>
              <w:rPr>
                <w:sz w:val="17"/>
                <w:szCs w:val="17"/>
                <w:color w:val="auto"/>
              </w:rPr>
            </w:pPr>
          </w:p>
        </w:tc>
        <w:tc>
          <w:tcPr>
            <w:tcW w:w="6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7440" w:type="dxa"/>
            <w:vAlign w:val="bottom"/>
            <w:gridSpan w:val="2"/>
          </w:tcPr>
          <w:p>
            <w:pPr>
              <w:spacing w:after="0" w:line="202" w:lineRule="exact"/>
              <w:rPr>
                <w:sz w:val="20"/>
                <w:szCs w:val="20"/>
                <w:color w:val="auto"/>
              </w:rPr>
            </w:pPr>
            <w:r>
              <w:rPr>
                <w:rFonts w:ascii="Arial" w:cs="Arial" w:eastAsia="Arial" w:hAnsi="Arial"/>
                <w:sz w:val="18"/>
                <w:szCs w:val="18"/>
                <w:color w:val="auto"/>
              </w:rPr>
              <w:t>Acquisition of Irish Business Systems, Ltd.</w:t>
            </w:r>
          </w:p>
        </w:tc>
        <w:tc>
          <w:tcPr>
            <w:tcW w:w="18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4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6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Other</w:t>
            </w:r>
          </w:p>
        </w:tc>
        <w:tc>
          <w:tcPr>
            <w:tcW w:w="180" w:type="dxa"/>
            <w:vAlign w:val="bottom"/>
            <w:shd w:val="clear" w:color="auto" w:fill="E5E5E5"/>
          </w:tcPr>
          <w:p>
            <w:pPr>
              <w:spacing w:after="0"/>
              <w:rPr>
                <w:sz w:val="17"/>
                <w:szCs w:val="17"/>
                <w:color w:val="auto"/>
              </w:rPr>
            </w:pPr>
          </w:p>
        </w:tc>
        <w:tc>
          <w:tcPr>
            <w:tcW w:w="5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70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(2)</w:t>
            </w:r>
          </w:p>
        </w:tc>
        <w:tc>
          <w:tcPr>
            <w:tcW w:w="120" w:type="dxa"/>
            <w:vAlign w:val="bottom"/>
            <w:shd w:val="clear" w:color="auto" w:fill="E5E5E5"/>
          </w:tcPr>
          <w:p>
            <w:pPr>
              <w:spacing w:after="0"/>
              <w:rPr>
                <w:sz w:val="17"/>
                <w:szCs w:val="17"/>
                <w:color w:val="auto"/>
              </w:rPr>
            </w:pPr>
          </w:p>
        </w:tc>
        <w:tc>
          <w:tcPr>
            <w:tcW w:w="42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E5E5E5"/>
          </w:tcPr>
          <w:p>
            <w:pPr>
              <w:spacing w:after="0"/>
              <w:rPr>
                <w:sz w:val="17"/>
                <w:szCs w:val="17"/>
                <w:color w:val="auto"/>
              </w:rPr>
            </w:pPr>
          </w:p>
        </w:tc>
        <w:tc>
          <w:tcPr>
            <w:tcW w:w="62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at December 31, 2010</w:t>
            </w: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40" w:type="dxa"/>
            <w:vAlign w:val="bottom"/>
            <w:gridSpan w:val="2"/>
            <w:vMerge w:val="continue"/>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2,425</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6,216</w:t>
            </w:r>
          </w:p>
        </w:tc>
        <w:tc>
          <w:tcPr>
            <w:tcW w:w="2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8,649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Intangible Assets, Net</w:t>
      </w:r>
    </w:p>
    <w:p>
      <w:pPr>
        <w:spacing w:after="0" w:line="180"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Intangible assets primarily relate to the Services operating segment. Intangible assets were comprised of the following as of December 31, 2010 and 2009:</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w w:val="93"/>
              </w:rPr>
              <w:t>Weighted Average</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w w:val="94"/>
              </w:rPr>
              <w:t>December 31, 2010</w:t>
            </w: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8"/>
          </w:tcPr>
          <w:p>
            <w:pPr>
              <w:ind w:left="340"/>
              <w:spacing w:after="0"/>
              <w:rPr>
                <w:sz w:val="20"/>
                <w:szCs w:val="20"/>
                <w:color w:val="auto"/>
              </w:rPr>
            </w:pPr>
            <w:r>
              <w:rPr>
                <w:rFonts w:ascii="Arial" w:cs="Arial" w:eastAsia="Arial" w:hAnsi="Arial"/>
                <w:sz w:val="14"/>
                <w:szCs w:val="14"/>
                <w:color w:val="auto"/>
              </w:rPr>
              <w:t>December 31, 2009</w:t>
            </w: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center"/>
              <w:ind w:right="36"/>
              <w:spacing w:after="0" w:line="141" w:lineRule="exact"/>
              <w:rPr>
                <w:sz w:val="20"/>
                <w:szCs w:val="20"/>
                <w:color w:val="auto"/>
              </w:rPr>
            </w:pPr>
            <w:r>
              <w:rPr>
                <w:rFonts w:ascii="Arial" w:cs="Arial" w:eastAsia="Arial" w:hAnsi="Arial"/>
                <w:sz w:val="14"/>
                <w:szCs w:val="14"/>
                <w:color w:val="auto"/>
                <w:w w:val="96"/>
              </w:rPr>
              <w:t>Gross</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3"/>
          </w:tcPr>
          <w:p>
            <w:pPr>
              <w:ind w:left="80"/>
              <w:spacing w:after="0" w:line="141" w:lineRule="exact"/>
              <w:rPr>
                <w:sz w:val="20"/>
                <w:szCs w:val="20"/>
                <w:color w:val="auto"/>
              </w:rPr>
            </w:pPr>
            <w:r>
              <w:rPr>
                <w:rFonts w:ascii="Arial" w:cs="Arial" w:eastAsia="Arial" w:hAnsi="Arial"/>
                <w:sz w:val="14"/>
                <w:szCs w:val="14"/>
                <w:color w:val="auto"/>
              </w:rPr>
              <w:t>Gross</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100" w:type="dxa"/>
            <w:vAlign w:val="bottom"/>
          </w:tcPr>
          <w:p>
            <w:pPr>
              <w:jc w:val="right"/>
              <w:ind w:right="101"/>
              <w:spacing w:after="0" w:line="149" w:lineRule="exact"/>
              <w:rPr>
                <w:sz w:val="20"/>
                <w:szCs w:val="20"/>
                <w:color w:val="auto"/>
              </w:rPr>
            </w:pPr>
            <w:r>
              <w:rPr>
                <w:rFonts w:ascii="Arial" w:cs="Arial" w:eastAsia="Arial" w:hAnsi="Arial"/>
                <w:sz w:val="14"/>
                <w:szCs w:val="14"/>
                <w:color w:val="auto"/>
              </w:rPr>
              <w:t>Amortization</w:t>
            </w:r>
          </w:p>
        </w:tc>
        <w:tc>
          <w:tcPr>
            <w:tcW w:w="22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4"/>
              </w:rPr>
              <w:t>Carrying</w:t>
            </w:r>
          </w:p>
        </w:tc>
        <w:tc>
          <w:tcPr>
            <w:tcW w:w="20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color w:val="auto"/>
              </w:rPr>
              <w:t>Accumulated</w:t>
            </w:r>
          </w:p>
        </w:tc>
        <w:tc>
          <w:tcPr>
            <w:tcW w:w="160" w:type="dxa"/>
            <w:vAlign w:val="bottom"/>
          </w:tcPr>
          <w:p>
            <w:pPr>
              <w:spacing w:after="0"/>
              <w:rPr>
                <w:sz w:val="12"/>
                <w:szCs w:val="12"/>
                <w:color w:val="auto"/>
              </w:rPr>
            </w:pPr>
          </w:p>
        </w:tc>
        <w:tc>
          <w:tcPr>
            <w:tcW w:w="70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rPr>
              <w:t>Net</w:t>
            </w:r>
          </w:p>
        </w:tc>
        <w:tc>
          <w:tcPr>
            <w:tcW w:w="600" w:type="dxa"/>
            <w:vAlign w:val="bottom"/>
            <w:gridSpan w:val="3"/>
          </w:tcPr>
          <w:p>
            <w:pPr>
              <w:spacing w:after="0" w:line="149" w:lineRule="exact"/>
              <w:rPr>
                <w:sz w:val="20"/>
                <w:szCs w:val="20"/>
                <w:color w:val="auto"/>
              </w:rPr>
            </w:pPr>
            <w:r>
              <w:rPr>
                <w:rFonts w:ascii="Arial" w:cs="Arial" w:eastAsia="Arial" w:hAnsi="Arial"/>
                <w:sz w:val="14"/>
                <w:szCs w:val="14"/>
                <w:color w:val="auto"/>
              </w:rPr>
              <w:t>Carrying</w:t>
            </w:r>
          </w:p>
        </w:tc>
        <w:tc>
          <w:tcPr>
            <w:tcW w:w="10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color w:val="auto"/>
              </w:rPr>
              <w:t>Accumulated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100" w:type="dxa"/>
            <w:vAlign w:val="bottom"/>
            <w:tcBorders>
              <w:bottom w:val="single" w:sz="8" w:color="auto"/>
            </w:tcBorders>
          </w:tcPr>
          <w:p>
            <w:pPr>
              <w:jc w:val="right"/>
              <w:ind w:right="281"/>
              <w:spacing w:after="0" w:line="149" w:lineRule="exact"/>
              <w:rPr>
                <w:sz w:val="20"/>
                <w:szCs w:val="20"/>
                <w:color w:val="auto"/>
              </w:rPr>
            </w:pPr>
            <w:r>
              <w:rPr>
                <w:rFonts w:ascii="Arial" w:cs="Arial" w:eastAsia="Arial" w:hAnsi="Arial"/>
                <w:sz w:val="14"/>
                <w:szCs w:val="14"/>
                <w:color w:val="auto"/>
              </w:rPr>
              <w:t>Period</w:t>
            </w:r>
          </w:p>
        </w:tc>
        <w:tc>
          <w:tcPr>
            <w:tcW w:w="220" w:type="dxa"/>
            <w:vAlign w:val="bottom"/>
          </w:tcPr>
          <w:p>
            <w:pPr>
              <w:spacing w:after="0"/>
              <w:rPr>
                <w:sz w:val="12"/>
                <w:szCs w:val="12"/>
                <w:color w:val="auto"/>
              </w:rPr>
            </w:pPr>
          </w:p>
        </w:tc>
        <w:tc>
          <w:tcPr>
            <w:tcW w:w="640" w:type="dxa"/>
            <w:vAlign w:val="bottom"/>
            <w:tcBorders>
              <w:bottom w:val="single" w:sz="8" w:color="auto"/>
            </w:tcBorders>
            <w:gridSpan w:val="2"/>
          </w:tcPr>
          <w:p>
            <w:pPr>
              <w:jc w:val="center"/>
              <w:spacing w:after="0" w:line="149" w:lineRule="exact"/>
              <w:rPr>
                <w:sz w:val="20"/>
                <w:szCs w:val="20"/>
                <w:color w:val="auto"/>
              </w:rPr>
            </w:pPr>
            <w:r>
              <w:rPr>
                <w:rFonts w:ascii="Arial" w:cs="Arial" w:eastAsia="Arial" w:hAnsi="Arial"/>
                <w:sz w:val="14"/>
                <w:szCs w:val="14"/>
                <w:color w:val="auto"/>
                <w:w w:val="95"/>
              </w:rPr>
              <w:t>Amount</w:t>
            </w:r>
          </w:p>
        </w:tc>
        <w:tc>
          <w:tcPr>
            <w:tcW w:w="200" w:type="dxa"/>
            <w:vAlign w:val="bottom"/>
          </w:tcPr>
          <w:p>
            <w:pPr>
              <w:spacing w:after="0"/>
              <w:rPr>
                <w:sz w:val="12"/>
                <w:szCs w:val="12"/>
                <w:color w:val="auto"/>
              </w:rPr>
            </w:pPr>
          </w:p>
        </w:tc>
        <w:tc>
          <w:tcPr>
            <w:tcW w:w="780" w:type="dxa"/>
            <w:vAlign w:val="bottom"/>
            <w:tcBorders>
              <w:bottom w:val="single" w:sz="8" w:color="auto"/>
            </w:tcBorders>
            <w:gridSpan w:val="2"/>
          </w:tcPr>
          <w:p>
            <w:pPr>
              <w:ind w:left="20"/>
              <w:spacing w:after="0" w:line="149" w:lineRule="exact"/>
              <w:rPr>
                <w:sz w:val="20"/>
                <w:szCs w:val="20"/>
                <w:color w:val="auto"/>
              </w:rPr>
            </w:pPr>
            <w:r>
              <w:rPr>
                <w:rFonts w:ascii="Arial" w:cs="Arial" w:eastAsia="Arial" w:hAnsi="Arial"/>
                <w:sz w:val="14"/>
                <w:szCs w:val="14"/>
                <w:color w:val="auto"/>
                <w:w w:val="95"/>
              </w:rPr>
              <w:t>Amortization</w:t>
            </w:r>
          </w:p>
        </w:tc>
        <w:tc>
          <w:tcPr>
            <w:tcW w:w="200" w:type="dxa"/>
            <w:vAlign w:val="bottom"/>
          </w:tcPr>
          <w:p>
            <w:pPr>
              <w:spacing w:after="0"/>
              <w:rPr>
                <w:sz w:val="12"/>
                <w:szCs w:val="12"/>
                <w:color w:val="auto"/>
              </w:rPr>
            </w:pPr>
          </w:p>
        </w:tc>
        <w:tc>
          <w:tcPr>
            <w:tcW w:w="660" w:type="dxa"/>
            <w:vAlign w:val="bottom"/>
            <w:tcBorders>
              <w:bottom w:val="single" w:sz="8" w:color="auto"/>
            </w:tcBorders>
            <w:gridSpan w:val="2"/>
          </w:tcPr>
          <w:p>
            <w:pPr>
              <w:jc w:val="center"/>
              <w:spacing w:after="0" w:line="149" w:lineRule="exact"/>
              <w:rPr>
                <w:sz w:val="20"/>
                <w:szCs w:val="20"/>
                <w:color w:val="auto"/>
              </w:rPr>
            </w:pPr>
            <w:r>
              <w:rPr>
                <w:rFonts w:ascii="Arial" w:cs="Arial" w:eastAsia="Arial" w:hAnsi="Arial"/>
                <w:sz w:val="14"/>
                <w:szCs w:val="14"/>
                <w:color w:val="auto"/>
                <w:w w:val="95"/>
              </w:rPr>
              <w:t>Amount</w:t>
            </w:r>
          </w:p>
        </w:tc>
        <w:tc>
          <w:tcPr>
            <w:tcW w:w="200" w:type="dxa"/>
            <w:vAlign w:val="bottom"/>
          </w:tcPr>
          <w:p>
            <w:pPr>
              <w:spacing w:after="0"/>
              <w:rPr>
                <w:sz w:val="12"/>
                <w:szCs w:val="12"/>
                <w:color w:val="auto"/>
              </w:rPr>
            </w:pPr>
          </w:p>
        </w:tc>
        <w:tc>
          <w:tcPr>
            <w:tcW w:w="520" w:type="dxa"/>
            <w:vAlign w:val="bottom"/>
            <w:tcBorders>
              <w:bottom w:val="single" w:sz="8" w:color="auto"/>
            </w:tcBorders>
            <w:gridSpan w:val="2"/>
          </w:tcPr>
          <w:p>
            <w:pPr>
              <w:ind w:left="20"/>
              <w:spacing w:after="0" w:line="149" w:lineRule="exact"/>
              <w:rPr>
                <w:sz w:val="20"/>
                <w:szCs w:val="20"/>
                <w:color w:val="auto"/>
              </w:rPr>
            </w:pPr>
            <w:r>
              <w:rPr>
                <w:rFonts w:ascii="Arial" w:cs="Arial" w:eastAsia="Arial" w:hAnsi="Arial"/>
                <w:sz w:val="14"/>
                <w:szCs w:val="14"/>
                <w:color w:val="auto"/>
                <w:w w:val="99"/>
              </w:rPr>
              <w:t>Amount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bottom w:val="single" w:sz="8" w:color="auto"/>
            </w:tcBorders>
            <w:gridSpan w:val="2"/>
          </w:tcPr>
          <w:p>
            <w:pPr>
              <w:ind w:left="20"/>
              <w:spacing w:after="0" w:line="149" w:lineRule="exact"/>
              <w:rPr>
                <w:sz w:val="20"/>
                <w:szCs w:val="20"/>
                <w:color w:val="auto"/>
              </w:rPr>
            </w:pPr>
            <w:r>
              <w:rPr>
                <w:rFonts w:ascii="Arial" w:cs="Arial" w:eastAsia="Arial" w:hAnsi="Arial"/>
                <w:sz w:val="14"/>
                <w:szCs w:val="14"/>
                <w:color w:val="auto"/>
                <w:w w:val="95"/>
              </w:rPr>
              <w:t>Amortization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w w:val="99"/>
              </w:rPr>
              <w:t>Amount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20" w:type="dxa"/>
            <w:vAlign w:val="bottom"/>
            <w:shd w:val="clear" w:color="auto" w:fill="E5E5E5"/>
          </w:tcPr>
          <w:p>
            <w:pPr>
              <w:spacing w:after="0" w:line="196" w:lineRule="exact"/>
              <w:rPr>
                <w:sz w:val="20"/>
                <w:szCs w:val="20"/>
                <w:color w:val="auto"/>
              </w:rPr>
            </w:pPr>
            <w:r>
              <w:rPr>
                <w:rFonts w:ascii="Arial" w:cs="Arial" w:eastAsia="Arial" w:hAnsi="Arial"/>
                <w:sz w:val="18"/>
                <w:szCs w:val="18"/>
                <w:color w:val="auto"/>
              </w:rPr>
              <w:t>Customer base</w:t>
            </w:r>
          </w:p>
        </w:tc>
        <w:tc>
          <w:tcPr>
            <w:tcW w:w="110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rPr>
              <w:t>12 years</w:t>
            </w:r>
          </w:p>
        </w:tc>
        <w:tc>
          <w:tcPr>
            <w:tcW w:w="340" w:type="dxa"/>
            <w:vAlign w:val="bottom"/>
            <w:gridSpan w:val="2"/>
            <w:shd w:val="clear" w:color="auto" w:fill="E5E5E5"/>
          </w:tcPr>
          <w:p>
            <w:pPr>
              <w:jc w:val="right"/>
              <w:spacing w:after="0" w:line="196" w:lineRule="exact"/>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rPr>
              <w:t>3,487</w:t>
            </w:r>
          </w:p>
        </w:tc>
        <w:tc>
          <w:tcPr>
            <w:tcW w:w="500" w:type="dxa"/>
            <w:vAlign w:val="bottom"/>
            <w:gridSpan w:val="2"/>
            <w:shd w:val="clear" w:color="auto" w:fill="E5E5E5"/>
          </w:tcPr>
          <w:p>
            <w:pPr>
              <w:ind w:left="200"/>
              <w:spacing w:after="0" w:line="196"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E5E5E5"/>
          </w:tcPr>
          <w:p>
            <w:pPr>
              <w:jc w:val="right"/>
              <w:ind w:right="200"/>
              <w:spacing w:after="0" w:line="196" w:lineRule="exact"/>
              <w:rPr>
                <w:sz w:val="20"/>
                <w:szCs w:val="20"/>
                <w:color w:val="auto"/>
              </w:rPr>
            </w:pPr>
            <w:r>
              <w:rPr>
                <w:rFonts w:ascii="Arial" w:cs="Arial" w:eastAsia="Arial" w:hAnsi="Arial"/>
                <w:sz w:val="18"/>
                <w:szCs w:val="18"/>
                <w:color w:val="auto"/>
              </w:rPr>
              <w:t>464</w:t>
            </w:r>
          </w:p>
        </w:tc>
        <w:tc>
          <w:tcPr>
            <w:tcW w:w="16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E5E5E5"/>
          </w:tcPr>
          <w:p>
            <w:pPr>
              <w:jc w:val="right"/>
              <w:ind w:right="200"/>
              <w:spacing w:after="0" w:line="196" w:lineRule="exact"/>
              <w:rPr>
                <w:sz w:val="20"/>
                <w:szCs w:val="20"/>
                <w:color w:val="auto"/>
              </w:rPr>
            </w:pPr>
            <w:r>
              <w:rPr>
                <w:rFonts w:ascii="Arial" w:cs="Arial" w:eastAsia="Arial" w:hAnsi="Arial"/>
                <w:sz w:val="18"/>
                <w:szCs w:val="18"/>
                <w:color w:val="auto"/>
              </w:rPr>
              <w:t>3,023</w:t>
            </w:r>
          </w:p>
        </w:tc>
        <w:tc>
          <w:tcPr>
            <w:tcW w:w="160" w:type="dxa"/>
            <w:vAlign w:val="bottom"/>
            <w:shd w:val="clear" w:color="auto" w:fill="E5E5E5"/>
          </w:tcPr>
          <w:p>
            <w:pPr>
              <w:spacing w:after="0" w:line="196" w:lineRule="exact"/>
              <w:rPr>
                <w:sz w:val="20"/>
                <w:szCs w:val="20"/>
                <w:color w:val="auto"/>
              </w:rPr>
            </w:pPr>
            <w:r>
              <w:rPr>
                <w:rFonts w:ascii="Arial" w:cs="Arial" w:eastAsia="Arial" w:hAnsi="Arial"/>
                <w:sz w:val="18"/>
                <w:szCs w:val="18"/>
                <w:color w:val="auto"/>
              </w:rPr>
              <w:t>$</w:t>
            </w:r>
          </w:p>
        </w:tc>
        <w:tc>
          <w:tcPr>
            <w:tcW w:w="440" w:type="dxa"/>
            <w:vAlign w:val="bottom"/>
            <w:gridSpan w:val="2"/>
            <w:shd w:val="clear" w:color="auto" w:fill="E5E5E5"/>
          </w:tcPr>
          <w:p>
            <w:pPr>
              <w:jc w:val="right"/>
              <w:ind w:right="80"/>
              <w:spacing w:after="0" w:line="196" w:lineRule="exact"/>
              <w:rPr>
                <w:sz w:val="20"/>
                <w:szCs w:val="20"/>
                <w:color w:val="auto"/>
              </w:rPr>
            </w:pPr>
            <w:r>
              <w:rPr>
                <w:rFonts w:ascii="Arial" w:cs="Arial" w:eastAsia="Arial" w:hAnsi="Arial"/>
                <w:sz w:val="18"/>
                <w:szCs w:val="18"/>
                <w:color w:val="auto"/>
              </w:rPr>
              <w:t>525</w:t>
            </w:r>
          </w:p>
        </w:tc>
        <w:tc>
          <w:tcPr>
            <w:tcW w:w="400" w:type="dxa"/>
            <w:vAlign w:val="bottom"/>
            <w:gridSpan w:val="2"/>
            <w:shd w:val="clear" w:color="auto" w:fill="E5E5E5"/>
          </w:tcPr>
          <w:p>
            <w:pPr>
              <w:ind w:left="100"/>
              <w:spacing w:after="0" w:line="196" w:lineRule="exact"/>
              <w:rPr>
                <w:sz w:val="20"/>
                <w:szCs w:val="20"/>
                <w:color w:val="auto"/>
              </w:rPr>
            </w:pPr>
            <w:r>
              <w:rPr>
                <w:rFonts w:ascii="Arial" w:cs="Arial" w:eastAsia="Arial" w:hAnsi="Arial"/>
                <w:sz w:val="18"/>
                <w:szCs w:val="18"/>
                <w:color w:val="auto"/>
              </w:rPr>
              <w:t>$</w:t>
            </w:r>
          </w:p>
        </w:tc>
        <w:tc>
          <w:tcPr>
            <w:tcW w:w="580" w:type="dxa"/>
            <w:vAlign w:val="bottom"/>
            <w:gridSpan w:val="2"/>
            <w:shd w:val="clear" w:color="auto" w:fill="E5E5E5"/>
          </w:tcPr>
          <w:p>
            <w:pPr>
              <w:jc w:val="right"/>
              <w:ind w:right="100"/>
              <w:spacing w:after="0" w:line="196" w:lineRule="exact"/>
              <w:rPr>
                <w:sz w:val="20"/>
                <w:szCs w:val="20"/>
                <w:color w:val="auto"/>
              </w:rPr>
            </w:pPr>
            <w:r>
              <w:rPr>
                <w:rFonts w:ascii="Arial" w:cs="Arial" w:eastAsia="Arial" w:hAnsi="Arial"/>
                <w:sz w:val="18"/>
                <w:szCs w:val="18"/>
                <w:color w:val="auto"/>
              </w:rPr>
              <w:t>198</w:t>
            </w:r>
          </w:p>
        </w:tc>
        <w:tc>
          <w:tcPr>
            <w:tcW w:w="220" w:type="dxa"/>
            <w:vAlign w:val="bottom"/>
            <w:gridSpan w:val="2"/>
            <w:shd w:val="clear" w:color="auto" w:fill="E5E5E5"/>
          </w:tcPr>
          <w:p>
            <w:pPr>
              <w:ind w:left="100"/>
              <w:spacing w:after="0" w:line="196" w:lineRule="exact"/>
              <w:rPr>
                <w:sz w:val="20"/>
                <w:szCs w:val="20"/>
                <w:color w:val="auto"/>
              </w:rPr>
            </w:pPr>
            <w:r>
              <w:rPr>
                <w:rFonts w:ascii="Arial" w:cs="Arial" w:eastAsia="Arial" w:hAnsi="Arial"/>
                <w:sz w:val="18"/>
                <w:szCs w:val="18"/>
                <w:color w:val="auto"/>
                <w:w w:val="99"/>
              </w:rPr>
              <w:t>$</w:t>
            </w:r>
          </w:p>
        </w:tc>
        <w:tc>
          <w:tcPr>
            <w:tcW w:w="38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rPr>
              <w:t>327</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gridSpan w:val="2"/>
          </w:tcPr>
          <w:p>
            <w:pPr>
              <w:spacing w:after="0" w:line="202" w:lineRule="exact"/>
              <w:rPr>
                <w:sz w:val="20"/>
                <w:szCs w:val="20"/>
                <w:color w:val="auto"/>
              </w:rPr>
            </w:pPr>
            <w:r>
              <w:rPr>
                <w:rFonts w:ascii="Arial" w:cs="Arial" w:eastAsia="Arial" w:hAnsi="Arial"/>
                <w:sz w:val="18"/>
                <w:szCs w:val="18"/>
                <w:color w:val="auto"/>
              </w:rPr>
              <w:t>Distribution network</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25 years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123</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54</w:t>
            </w:r>
          </w:p>
        </w:tc>
        <w:tc>
          <w:tcPr>
            <w:tcW w:w="160" w:type="dxa"/>
            <w:vAlign w:val="bottom"/>
          </w:tcPr>
          <w:p>
            <w:pPr>
              <w:spacing w:after="0"/>
              <w:rPr>
                <w:sz w:val="17"/>
                <w:szCs w:val="17"/>
                <w:color w:val="auto"/>
              </w:rPr>
            </w:pPr>
          </w:p>
        </w:tc>
        <w:tc>
          <w:tcPr>
            <w:tcW w:w="7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69</w:t>
            </w:r>
          </w:p>
        </w:tc>
        <w:tc>
          <w:tcPr>
            <w:tcW w:w="160" w:type="dxa"/>
            <w:vAlign w:val="bottom"/>
          </w:tcPr>
          <w:p>
            <w:pPr>
              <w:spacing w:after="0"/>
              <w:rPr>
                <w:sz w:val="17"/>
                <w:szCs w:val="17"/>
                <w:color w:val="auto"/>
              </w:rPr>
            </w:pPr>
          </w:p>
        </w:tc>
        <w:tc>
          <w:tcPr>
            <w:tcW w:w="4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123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shd w:val="clear" w:color="auto" w:fill="E5E5E5"/>
          </w:tcPr>
          <w:p>
            <w:pPr>
              <w:spacing w:after="0" w:line="203" w:lineRule="exact"/>
              <w:rPr>
                <w:sz w:val="20"/>
                <w:szCs w:val="20"/>
                <w:color w:val="auto"/>
              </w:rPr>
            </w:pPr>
            <w:r>
              <w:rPr>
                <w:rFonts w:ascii="Arial" w:cs="Arial" w:eastAsia="Arial" w:hAnsi="Arial"/>
                <w:sz w:val="18"/>
                <w:szCs w:val="18"/>
                <w:color w:val="auto"/>
              </w:rPr>
              <w:t>Trademarks</w:t>
            </w:r>
            <w:r>
              <w:rPr>
                <w:rFonts w:ascii="Arial" w:cs="Arial" w:eastAsia="Arial" w:hAnsi="Arial"/>
                <w:sz w:val="22"/>
                <w:szCs w:val="22"/>
                <w:b w:val="1"/>
                <w:bCs w:val="1"/>
                <w:color w:val="auto"/>
                <w:vertAlign w:val="superscript"/>
              </w:rPr>
              <w:t>(1)</w:t>
            </w:r>
          </w:p>
        </w:tc>
        <w:tc>
          <w:tcPr>
            <w:tcW w:w="11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15 years</w:t>
            </w:r>
          </w:p>
        </w:tc>
        <w:tc>
          <w:tcPr>
            <w:tcW w:w="2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5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325</w:t>
            </w:r>
          </w:p>
        </w:tc>
        <w:tc>
          <w:tcPr>
            <w:tcW w:w="20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68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59</w:t>
            </w:r>
          </w:p>
        </w:tc>
        <w:tc>
          <w:tcPr>
            <w:tcW w:w="160" w:type="dxa"/>
            <w:vAlign w:val="bottom"/>
            <w:shd w:val="clear" w:color="auto" w:fill="E5E5E5"/>
          </w:tcPr>
          <w:p>
            <w:pPr>
              <w:spacing w:after="0"/>
              <w:rPr>
                <w:sz w:val="17"/>
                <w:szCs w:val="17"/>
                <w:color w:val="auto"/>
              </w:rPr>
            </w:pPr>
          </w:p>
        </w:tc>
        <w:tc>
          <w:tcPr>
            <w:tcW w:w="70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266</w:t>
            </w:r>
          </w:p>
        </w:tc>
        <w:tc>
          <w:tcPr>
            <w:tcW w:w="160" w:type="dxa"/>
            <w:vAlign w:val="bottom"/>
            <w:shd w:val="clear" w:color="auto" w:fill="E5E5E5"/>
          </w:tcPr>
          <w:p>
            <w:pPr>
              <w:spacing w:after="0"/>
              <w:rPr>
                <w:sz w:val="17"/>
                <w:szCs w:val="17"/>
                <w:color w:val="auto"/>
              </w:rPr>
            </w:pPr>
          </w:p>
        </w:tc>
        <w:tc>
          <w:tcPr>
            <w:tcW w:w="44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210</w:t>
            </w:r>
          </w:p>
        </w:tc>
        <w:tc>
          <w:tcPr>
            <w:tcW w:w="10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5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25</w:t>
            </w:r>
          </w:p>
        </w:tc>
        <w:tc>
          <w:tcPr>
            <w:tcW w:w="1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3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185</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140" w:type="dxa"/>
            <w:vAlign w:val="bottom"/>
            <w:gridSpan w:val="2"/>
          </w:tcPr>
          <w:p>
            <w:pPr>
              <w:spacing w:after="0" w:line="195" w:lineRule="exact"/>
              <w:rPr>
                <w:sz w:val="20"/>
                <w:szCs w:val="20"/>
                <w:color w:val="auto"/>
              </w:rPr>
            </w:pPr>
            <w:r>
              <w:rPr>
                <w:rFonts w:ascii="Arial" w:cs="Arial" w:eastAsia="Arial" w:hAnsi="Arial"/>
                <w:sz w:val="18"/>
                <w:szCs w:val="18"/>
                <w:color w:val="auto"/>
              </w:rPr>
              <w:t>Technology, patents and</w:t>
            </w: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tcPr>
          <w:p>
            <w:pPr>
              <w:ind w:left="200"/>
              <w:spacing w:after="0" w:line="210" w:lineRule="exact"/>
              <w:rPr>
                <w:sz w:val="20"/>
                <w:szCs w:val="20"/>
                <w:color w:val="auto"/>
              </w:rPr>
            </w:pPr>
            <w:r>
              <w:rPr>
                <w:rFonts w:ascii="Arial" w:cs="Arial" w:eastAsia="Arial" w:hAnsi="Arial"/>
                <w:sz w:val="18"/>
                <w:szCs w:val="18"/>
                <w:color w:val="auto"/>
              </w:rPr>
              <w:t>non-compete</w:t>
            </w:r>
            <w:r>
              <w:rPr>
                <w:rFonts w:ascii="Arial" w:cs="Arial" w:eastAsia="Arial" w:hAnsi="Arial"/>
                <w:sz w:val="22"/>
                <w:szCs w:val="22"/>
                <w:b w:val="1"/>
                <w:bCs w:val="1"/>
                <w:color w:val="auto"/>
                <w:vertAlign w:val="superscript"/>
              </w:rPr>
              <w:t>(1)</w:t>
            </w:r>
          </w:p>
        </w:tc>
        <w:tc>
          <w:tcPr>
            <w:tcW w:w="1100" w:type="dxa"/>
            <w:vAlign w:val="bottom"/>
          </w:tcPr>
          <w:p>
            <w:pPr>
              <w:jc w:val="right"/>
              <w:spacing w:after="0"/>
              <w:rPr>
                <w:sz w:val="20"/>
                <w:szCs w:val="20"/>
                <w:color w:val="auto"/>
              </w:rPr>
            </w:pPr>
            <w:r>
              <w:rPr>
                <w:rFonts w:ascii="Arial" w:cs="Arial" w:eastAsia="Arial" w:hAnsi="Arial"/>
                <w:sz w:val="18"/>
                <w:szCs w:val="18"/>
                <w:color w:val="auto"/>
              </w:rPr>
              <w:t>6 years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12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Total Intangible Assets</w:t>
            </w:r>
          </w:p>
        </w:tc>
        <w:tc>
          <w:tcPr>
            <w:tcW w:w="1100" w:type="dxa"/>
            <w:vAlign w:val="bottom"/>
            <w:shd w:val="clear" w:color="auto" w:fill="E5E5E5"/>
          </w:tcPr>
          <w:p>
            <w:pPr>
              <w:spacing w:after="0"/>
              <w:rPr>
                <w:sz w:val="17"/>
                <w:szCs w:val="17"/>
                <w:color w:val="auto"/>
              </w:rPr>
            </w:pPr>
          </w:p>
        </w:tc>
        <w:tc>
          <w:tcPr>
            <w:tcW w:w="34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3,982</w:t>
            </w:r>
          </w:p>
        </w:tc>
        <w:tc>
          <w:tcPr>
            <w:tcW w:w="500" w:type="dxa"/>
            <w:vAlign w:val="bottom"/>
            <w:gridSpan w:val="2"/>
            <w:shd w:val="clear" w:color="auto" w:fill="E5E5E5"/>
          </w:tcPr>
          <w:p>
            <w:pPr>
              <w:ind w:left="200"/>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611</w:t>
            </w:r>
          </w:p>
        </w:tc>
        <w:tc>
          <w:tcPr>
            <w:tcW w:w="1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3,371</w:t>
            </w:r>
          </w:p>
        </w:tc>
        <w:tc>
          <w:tcPr>
            <w:tcW w:w="1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w:t>
            </w:r>
          </w:p>
        </w:tc>
        <w:tc>
          <w:tcPr>
            <w:tcW w:w="44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898</w:t>
            </w:r>
          </w:p>
        </w:tc>
        <w:tc>
          <w:tcPr>
            <w:tcW w:w="400" w:type="dxa"/>
            <w:vAlign w:val="bottom"/>
            <w:gridSpan w:val="2"/>
            <w:shd w:val="clear" w:color="auto" w:fill="E5E5E5"/>
          </w:tcPr>
          <w:p>
            <w:pPr>
              <w:ind w:left="100"/>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300</w:t>
            </w:r>
          </w:p>
        </w:tc>
        <w:tc>
          <w:tcPr>
            <w:tcW w:w="220" w:type="dxa"/>
            <w:vAlign w:val="bottom"/>
            <w:gridSpan w:val="2"/>
            <w:shd w:val="clear" w:color="auto" w:fill="E5E5E5"/>
          </w:tcPr>
          <w:p>
            <w:pPr>
              <w:ind w:left="100"/>
              <w:spacing w:after="0" w:line="202" w:lineRule="exact"/>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1" w:lineRule="exact"/>
        <w:rPr>
          <w:sz w:val="20"/>
          <w:szCs w:val="20"/>
          <w:color w:val="auto"/>
        </w:rPr>
      </w:pPr>
    </w:p>
    <w:p>
      <w:pPr>
        <w:ind w:left="340" w:hanging="332"/>
        <w:spacing w:after="0"/>
        <w:tabs>
          <w:tab w:leader="none" w:pos="340" w:val="left"/>
        </w:tabs>
        <w:numPr>
          <w:ilvl w:val="0"/>
          <w:numId w:val="155"/>
        </w:numPr>
        <w:rPr>
          <w:rFonts w:ascii="Arial" w:cs="Arial" w:eastAsia="Arial" w:hAnsi="Arial"/>
          <w:sz w:val="14"/>
          <w:szCs w:val="14"/>
          <w:color w:val="auto"/>
        </w:rPr>
      </w:pPr>
      <w:r>
        <w:rPr>
          <w:rFonts w:ascii="Arial" w:cs="Arial" w:eastAsia="Arial" w:hAnsi="Arial"/>
          <w:sz w:val="14"/>
          <w:szCs w:val="14"/>
          <w:color w:val="auto"/>
        </w:rPr>
        <w:t>Includes $10 and $5 of non-amortizable assets within trademarks and technology, respectively, related to the 2010 acquisition of ACS.</w:t>
      </w:r>
    </w:p>
    <w:p>
      <w:pPr>
        <w:spacing w:after="0" w:line="153" w:lineRule="exact"/>
        <w:rPr>
          <w:sz w:val="20"/>
          <w:szCs w:val="20"/>
          <w:color w:val="auto"/>
        </w:rPr>
      </w:pPr>
    </w:p>
    <w:p>
      <w:pPr>
        <w:jc w:val="both"/>
        <w:ind w:right="180"/>
        <w:spacing w:after="0" w:line="238" w:lineRule="auto"/>
        <w:rPr>
          <w:sz w:val="20"/>
          <w:szCs w:val="20"/>
          <w:color w:val="auto"/>
        </w:rPr>
      </w:pPr>
      <w:r>
        <w:rPr>
          <w:rFonts w:ascii="Arial" w:cs="Arial" w:eastAsia="Arial" w:hAnsi="Arial"/>
          <w:sz w:val="18"/>
          <w:szCs w:val="18"/>
          <w:color w:val="auto"/>
        </w:rPr>
        <w:t>Amortization expense related to intangible assets was $316, $64, and $58 for the years ended December 31, 2010, 2009 and 2008, respectively. Excluding the impact of additional acquisitions, amortization expense is expected to approximate $345 in 2011; $335 in 2012 and 2013 and $312 in 2014 and 2015.</w:t>
      </w:r>
    </w:p>
    <w:p>
      <w:pPr>
        <w:spacing w:after="0" w:line="137" w:lineRule="exact"/>
        <w:rPr>
          <w:sz w:val="20"/>
          <w:szCs w:val="20"/>
          <w:color w:val="auto"/>
        </w:rPr>
      </w:pPr>
    </w:p>
    <w:p>
      <w:pPr>
        <w:jc w:val="right"/>
        <w:spacing w:after="0"/>
        <w:rPr>
          <w:sz w:val="20"/>
          <w:szCs w:val="20"/>
          <w:color w:val="auto"/>
        </w:rPr>
      </w:pPr>
      <w:r>
        <w:rPr>
          <w:rFonts w:ascii="Arial" w:cs="Arial" w:eastAsia="Arial" w:hAnsi="Arial"/>
          <w:sz w:val="14"/>
          <w:szCs w:val="14"/>
          <w:color w:val="4C9F40"/>
        </w:rPr>
        <w:t>Xerox 2010 Annual Report 68</w:t>
      </w:r>
    </w:p>
    <w:p>
      <w:pPr>
        <w:sectPr>
          <w:pgSz w:w="11900" w:h="16838" w:orient="portrait"/>
          <w:cols w:equalWidth="0" w:num="1">
            <w:col w:w="11420"/>
          </w:cols>
          <w:pgMar w:left="240" w:top="345" w:right="239" w:bottom="1440" w:gutter="0" w:footer="0" w:header="0"/>
        </w:sectPr>
      </w:pPr>
    </w:p>
    <w:bookmarkStart w:id="145" w:name="page146"/>
    <w:bookmarkEnd w:id="145"/>
    <w:p>
      <w:pPr>
        <w:spacing w:after="0"/>
        <w:rPr>
          <w:sz w:val="20"/>
          <w:szCs w:val="20"/>
          <w:color w:val="auto"/>
        </w:rPr>
      </w:pPr>
      <w:r>
        <w:rPr>
          <w:rFonts w:ascii="Arial" w:cs="Arial" w:eastAsia="Arial" w:hAnsi="Arial"/>
          <w:sz w:val="22"/>
          <w:szCs w:val="22"/>
          <w:b w:val="1"/>
          <w:bCs w:val="1"/>
          <w:color w:val="4C9F40"/>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 9 – Restructuring and Asset Impairment Charges</w:t>
      </w:r>
    </w:p>
    <w:p>
      <w:pPr>
        <w:spacing w:after="0" w:line="188"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net restructuring and asset impairment charges (credits) in the Consolidated Statements of Income totaled $483, $(8) and $429 in 2010, 2009 and 2008, respectively. Detailed information related to restructuring program activity during the three years ended December 31, 2010 is outlined below:</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4"/>
                <w:szCs w:val="14"/>
                <w:color w:val="auto"/>
              </w:rPr>
              <w:t>Lease</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3"/>
          </w:tcPr>
          <w:p>
            <w:pPr>
              <w:ind w:left="20"/>
              <w:spacing w:after="0" w:line="123" w:lineRule="exact"/>
              <w:rPr>
                <w:sz w:val="20"/>
                <w:szCs w:val="20"/>
                <w:color w:val="auto"/>
              </w:rPr>
            </w:pPr>
            <w:r>
              <w:rPr>
                <w:rFonts w:ascii="Arial" w:cs="Arial" w:eastAsia="Arial" w:hAnsi="Arial"/>
                <w:sz w:val="14"/>
                <w:szCs w:val="14"/>
                <w:color w:val="auto"/>
              </w:rPr>
              <w:t>Severance and</w:t>
            </w:r>
          </w:p>
        </w:tc>
        <w:tc>
          <w:tcPr>
            <w:tcW w:w="60" w:type="dxa"/>
            <w:vAlign w:val="bottom"/>
          </w:tcPr>
          <w:p>
            <w:pPr>
              <w:spacing w:after="0"/>
              <w:rPr>
                <w:sz w:val="10"/>
                <w:szCs w:val="10"/>
                <w:color w:val="auto"/>
              </w:rPr>
            </w:pPr>
          </w:p>
        </w:tc>
        <w:tc>
          <w:tcPr>
            <w:tcW w:w="1220" w:type="dxa"/>
            <w:vAlign w:val="bottom"/>
            <w:gridSpan w:val="3"/>
          </w:tcPr>
          <w:p>
            <w:pPr>
              <w:ind w:left="20"/>
              <w:spacing w:after="0" w:line="123" w:lineRule="exact"/>
              <w:rPr>
                <w:sz w:val="20"/>
                <w:szCs w:val="20"/>
                <w:color w:val="auto"/>
              </w:rPr>
            </w:pPr>
            <w:r>
              <w:rPr>
                <w:rFonts w:ascii="Arial" w:cs="Arial" w:eastAsia="Arial" w:hAnsi="Arial"/>
                <w:sz w:val="14"/>
                <w:szCs w:val="14"/>
                <w:color w:val="auto"/>
              </w:rPr>
              <w:t>Cancellation and</w:t>
            </w:r>
          </w:p>
        </w:tc>
        <w:tc>
          <w:tcPr>
            <w:tcW w:w="200" w:type="dxa"/>
            <w:vAlign w:val="bottom"/>
          </w:tcPr>
          <w:p>
            <w:pPr>
              <w:spacing w:after="0"/>
              <w:rPr>
                <w:sz w:val="10"/>
                <w:szCs w:val="10"/>
                <w:color w:val="auto"/>
              </w:rPr>
            </w:pPr>
          </w:p>
        </w:tc>
        <w:tc>
          <w:tcPr>
            <w:tcW w:w="820" w:type="dxa"/>
            <w:vAlign w:val="bottom"/>
            <w:gridSpan w:val="2"/>
          </w:tcPr>
          <w:p>
            <w:pPr>
              <w:jc w:val="right"/>
              <w:ind w:right="400"/>
              <w:spacing w:after="0" w:line="123" w:lineRule="exact"/>
              <w:rPr>
                <w:sz w:val="20"/>
                <w:szCs w:val="20"/>
                <w:color w:val="auto"/>
              </w:rPr>
            </w:pPr>
            <w:r>
              <w:rPr>
                <w:rFonts w:ascii="Arial" w:cs="Arial" w:eastAsia="Arial" w:hAnsi="Arial"/>
                <w:sz w:val="14"/>
                <w:szCs w:val="14"/>
                <w:color w:val="auto"/>
              </w:rPr>
              <w:t>Asset</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7300" w:type="dxa"/>
            <w:vAlign w:val="bottom"/>
            <w:gridSpan w:val="2"/>
          </w:tcPr>
          <w:p>
            <w:pPr>
              <w:spacing w:after="0"/>
              <w:rPr>
                <w:sz w:val="20"/>
                <w:szCs w:val="20"/>
                <w:color w:val="auto"/>
              </w:rPr>
            </w:pPr>
            <w:r>
              <w:rPr>
                <w:rFonts w:ascii="Arial" w:cs="Arial" w:eastAsia="Arial" w:hAnsi="Arial"/>
                <w:sz w:val="14"/>
                <w:szCs w:val="14"/>
                <w:color w:val="auto"/>
              </w:rPr>
              <w:t>Restructuring Activity</w:t>
            </w:r>
          </w:p>
        </w:tc>
        <w:tc>
          <w:tcPr>
            <w:tcW w:w="100" w:type="dxa"/>
            <w:vAlign w:val="bottom"/>
          </w:tcPr>
          <w:p>
            <w:pPr>
              <w:spacing w:after="0"/>
              <w:rPr>
                <w:sz w:val="15"/>
                <w:szCs w:val="15"/>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4"/>
                <w:szCs w:val="14"/>
                <w:color w:val="auto"/>
              </w:rPr>
              <w:t>Related Costs</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4"/>
                <w:szCs w:val="14"/>
                <w:color w:val="auto"/>
                <w:w w:val="96"/>
              </w:rPr>
              <w:t>Other Costs</w:t>
            </w:r>
          </w:p>
        </w:tc>
        <w:tc>
          <w:tcPr>
            <w:tcW w:w="1020" w:type="dxa"/>
            <w:vAlign w:val="bottom"/>
            <w:gridSpan w:val="3"/>
          </w:tcPr>
          <w:p>
            <w:pPr>
              <w:ind w:left="20"/>
              <w:spacing w:after="0" w:line="176" w:lineRule="exact"/>
              <w:rPr>
                <w:sz w:val="20"/>
                <w:szCs w:val="20"/>
                <w:color w:val="auto"/>
              </w:rPr>
            </w:pPr>
            <w:r>
              <w:rPr>
                <w:rFonts w:ascii="Arial" w:cs="Arial" w:eastAsia="Arial" w:hAnsi="Arial"/>
                <w:sz w:val="13"/>
                <w:szCs w:val="13"/>
                <w:color w:val="auto"/>
              </w:rPr>
              <w:t>Impairments</w:t>
            </w:r>
            <w:r>
              <w:rPr>
                <w:rFonts w:ascii="Arial" w:cs="Arial" w:eastAsia="Arial" w:hAnsi="Arial"/>
                <w:sz w:val="20"/>
                <w:szCs w:val="20"/>
                <w:color w:val="auto"/>
                <w:vertAlign w:val="superscript"/>
              </w:rPr>
              <w:t>(1)</w:t>
            </w:r>
          </w:p>
        </w:tc>
        <w:tc>
          <w:tcPr>
            <w:tcW w:w="80" w:type="dxa"/>
            <w:vAlign w:val="bottom"/>
          </w:tcPr>
          <w:p>
            <w:pPr>
              <w:spacing w:after="0"/>
              <w:rPr>
                <w:sz w:val="15"/>
                <w:szCs w:val="15"/>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280" w:type="dxa"/>
            <w:vAlign w:val="bottom"/>
            <w:shd w:val="clear" w:color="auto" w:fill="E5E5E5"/>
          </w:tcPr>
          <w:p>
            <w:pPr>
              <w:spacing w:after="0" w:line="196" w:lineRule="exact"/>
              <w:rPr>
                <w:sz w:val="20"/>
                <w:szCs w:val="20"/>
                <w:color w:val="auto"/>
              </w:rPr>
            </w:pPr>
            <w:r>
              <w:rPr>
                <w:rFonts w:ascii="Arial" w:cs="Arial" w:eastAsia="Arial" w:hAnsi="Arial"/>
                <w:sz w:val="18"/>
                <w:szCs w:val="18"/>
                <w:b w:val="1"/>
                <w:bCs w:val="1"/>
                <w:color w:val="auto"/>
              </w:rPr>
              <w:t>Balance December 31, 2007</w:t>
            </w:r>
          </w:p>
        </w:tc>
        <w:tc>
          <w:tcPr>
            <w:tcW w:w="10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line="196" w:lineRule="exact"/>
              <w:rPr>
                <w:sz w:val="20"/>
                <w:szCs w:val="20"/>
                <w:color w:val="auto"/>
              </w:rPr>
            </w:pPr>
            <w:r>
              <w:rPr>
                <w:rFonts w:ascii="Arial" w:cs="Arial" w:eastAsia="Arial" w:hAnsi="Arial"/>
                <w:sz w:val="18"/>
                <w:szCs w:val="18"/>
                <w:color w:val="auto"/>
              </w:rPr>
              <w:t>$</w:t>
            </w:r>
          </w:p>
        </w:tc>
        <w:tc>
          <w:tcPr>
            <w:tcW w:w="58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rPr>
              <w:t>71</w:t>
            </w:r>
          </w:p>
        </w:tc>
        <w:tc>
          <w:tcPr>
            <w:tcW w:w="14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E5E5E5"/>
          </w:tcPr>
          <w:p>
            <w:pPr>
              <w:jc w:val="right"/>
              <w:ind w:right="200"/>
              <w:spacing w:after="0" w:line="196" w:lineRule="exact"/>
              <w:rPr>
                <w:sz w:val="20"/>
                <w:szCs w:val="20"/>
                <w:color w:val="auto"/>
              </w:rPr>
            </w:pPr>
            <w:r>
              <w:rPr>
                <w:rFonts w:ascii="Arial" w:cs="Arial" w:eastAsia="Arial" w:hAnsi="Arial"/>
                <w:sz w:val="18"/>
                <w:szCs w:val="18"/>
                <w:color w:val="auto"/>
              </w:rPr>
              <w:t>38</w:t>
            </w:r>
          </w:p>
        </w:tc>
        <w:tc>
          <w:tcPr>
            <w:tcW w:w="200" w:type="dxa"/>
            <w:vAlign w:val="bottom"/>
            <w:shd w:val="clear" w:color="auto" w:fill="E5E5E5"/>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E5E5E5"/>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560" w:type="dxa"/>
            <w:vAlign w:val="bottom"/>
            <w:gridSpan w:val="2"/>
            <w:shd w:val="clear" w:color="auto" w:fill="E5E5E5"/>
          </w:tcPr>
          <w:p>
            <w:pPr>
              <w:jc w:val="right"/>
              <w:spacing w:after="0" w:line="196" w:lineRule="exact"/>
              <w:rPr>
                <w:sz w:val="20"/>
                <w:szCs w:val="20"/>
                <w:color w:val="auto"/>
              </w:rPr>
            </w:pPr>
            <w:r>
              <w:rPr>
                <w:rFonts w:ascii="Arial" w:cs="Arial" w:eastAsia="Arial" w:hAnsi="Arial"/>
                <w:sz w:val="18"/>
                <w:szCs w:val="18"/>
                <w:color w:val="auto"/>
              </w:rPr>
              <w:t>$ 109</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00" w:type="dxa"/>
            <w:vAlign w:val="bottom"/>
            <w:gridSpan w:val="2"/>
          </w:tcPr>
          <w:p>
            <w:pPr>
              <w:spacing w:after="0" w:line="202" w:lineRule="exact"/>
              <w:rPr>
                <w:sz w:val="20"/>
                <w:szCs w:val="20"/>
                <w:color w:val="auto"/>
              </w:rPr>
            </w:pPr>
            <w:r>
              <w:rPr>
                <w:rFonts w:ascii="Arial" w:cs="Arial" w:eastAsia="Arial" w:hAnsi="Arial"/>
                <w:sz w:val="18"/>
                <w:szCs w:val="18"/>
                <w:color w:val="auto"/>
              </w:rPr>
              <w:t>Restructuring provision</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363</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20</w:t>
            </w: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53</w:t>
            </w:r>
          </w:p>
        </w:tc>
        <w:tc>
          <w:tcPr>
            <w:tcW w:w="120" w:type="dxa"/>
            <w:vAlign w:val="bottom"/>
          </w:tcPr>
          <w:p>
            <w:pPr>
              <w:spacing w:after="0"/>
              <w:rPr>
                <w:sz w:val="17"/>
                <w:szCs w:val="17"/>
                <w:color w:val="auto"/>
              </w:rPr>
            </w:pPr>
          </w:p>
        </w:tc>
        <w:tc>
          <w:tcPr>
            <w:tcW w:w="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Reversals of prior accruals</w:t>
            </w:r>
          </w:p>
        </w:tc>
        <w:tc>
          <w:tcPr>
            <w:tcW w:w="10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72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(6)</w:t>
            </w:r>
          </w:p>
        </w:tc>
        <w:tc>
          <w:tcPr>
            <w:tcW w:w="6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(1)</w:t>
            </w:r>
          </w:p>
        </w:tc>
        <w:tc>
          <w:tcPr>
            <w:tcW w:w="200" w:type="dxa"/>
            <w:vAlign w:val="bottom"/>
            <w:shd w:val="clear" w:color="auto" w:fill="E5E5E5"/>
          </w:tcPr>
          <w:p>
            <w:pPr>
              <w:spacing w:after="0"/>
              <w:rPr>
                <w:sz w:val="17"/>
                <w:szCs w:val="17"/>
                <w:color w:val="auto"/>
              </w:rPr>
            </w:pPr>
          </w:p>
        </w:tc>
        <w:tc>
          <w:tcPr>
            <w:tcW w:w="8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3"/>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tcPr>
          <w:p>
            <w:pPr>
              <w:ind w:left="420"/>
              <w:spacing w:after="0" w:line="209" w:lineRule="exact"/>
              <w:rPr>
                <w:sz w:val="20"/>
                <w:szCs w:val="20"/>
                <w:color w:val="auto"/>
              </w:rPr>
            </w:pPr>
            <w:r>
              <w:rPr>
                <w:rFonts w:ascii="Arial" w:cs="Arial" w:eastAsia="Arial" w:hAnsi="Arial"/>
                <w:sz w:val="18"/>
                <w:szCs w:val="18"/>
                <w:color w:val="auto"/>
              </w:rPr>
              <w:t>Net current year charges</w:t>
            </w:r>
            <w:r>
              <w:rPr>
                <w:rFonts w:ascii="Arial" w:cs="Arial" w:eastAsia="Arial" w:hAnsi="Arial"/>
                <w:sz w:val="22"/>
                <w:szCs w:val="22"/>
                <w:color w:val="auto"/>
                <w:vertAlign w:val="superscript"/>
              </w:rPr>
              <w:t>(2)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Charges against reserve and currency</w:t>
            </w:r>
          </w:p>
        </w:tc>
        <w:tc>
          <w:tcPr>
            <w:tcW w:w="10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72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(108)</w:t>
            </w:r>
          </w:p>
        </w:tc>
        <w:tc>
          <w:tcPr>
            <w:tcW w:w="6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(25)</w:t>
            </w:r>
          </w:p>
        </w:tc>
        <w:tc>
          <w:tcPr>
            <w:tcW w:w="200" w:type="dxa"/>
            <w:vAlign w:val="bottom"/>
            <w:shd w:val="clear" w:color="auto" w:fill="E5E5E5"/>
          </w:tcPr>
          <w:p>
            <w:pPr>
              <w:spacing w:after="0"/>
              <w:rPr>
                <w:sz w:val="17"/>
                <w:szCs w:val="17"/>
                <w:color w:val="auto"/>
              </w:rPr>
            </w:pPr>
          </w:p>
        </w:tc>
        <w:tc>
          <w:tcPr>
            <w:tcW w:w="82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(53)</w:t>
            </w:r>
          </w:p>
        </w:tc>
        <w:tc>
          <w:tcPr>
            <w:tcW w:w="660" w:type="dxa"/>
            <w:vAlign w:val="bottom"/>
            <w:gridSpan w:val="3"/>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December 31, 2008</w:t>
            </w: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Restructuring provision</w:t>
            </w:r>
          </w:p>
        </w:tc>
        <w:tc>
          <w:tcPr>
            <w:tcW w:w="10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5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28</w:t>
            </w:r>
          </w:p>
        </w:tc>
        <w:tc>
          <w:tcPr>
            <w:tcW w:w="14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9</w:t>
            </w:r>
          </w:p>
        </w:tc>
        <w:tc>
          <w:tcPr>
            <w:tcW w:w="200" w:type="dxa"/>
            <w:vAlign w:val="bottom"/>
            <w:shd w:val="clear" w:color="auto" w:fill="E5E5E5"/>
          </w:tcPr>
          <w:p>
            <w:pPr>
              <w:spacing w:after="0"/>
              <w:rPr>
                <w:sz w:val="17"/>
                <w:szCs w:val="17"/>
                <w:color w:val="auto"/>
              </w:rPr>
            </w:pPr>
          </w:p>
        </w:tc>
        <w:tc>
          <w:tcPr>
            <w:tcW w:w="8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3"/>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3"/>
        </w:trPr>
        <w:tc>
          <w:tcPr>
            <w:tcW w:w="7300" w:type="dxa"/>
            <w:vAlign w:val="bottom"/>
            <w:gridSpan w:val="2"/>
          </w:tcPr>
          <w:p>
            <w:pPr>
              <w:spacing w:after="0" w:line="202" w:lineRule="exact"/>
              <w:rPr>
                <w:sz w:val="20"/>
                <w:szCs w:val="20"/>
                <w:color w:val="auto"/>
              </w:rPr>
            </w:pPr>
            <w:r>
              <w:rPr>
                <w:rFonts w:ascii="Arial" w:cs="Arial" w:eastAsia="Arial" w:hAnsi="Arial"/>
                <w:sz w:val="18"/>
                <w:szCs w:val="18"/>
                <w:color w:val="auto"/>
              </w:rPr>
              <w:t>Reversals of prior accruals</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(39)</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w:t>
            </w:r>
          </w:p>
        </w:tc>
        <w:tc>
          <w:tcPr>
            <w:tcW w:w="200" w:type="dxa"/>
            <w:vAlign w:val="bottom"/>
          </w:tcPr>
          <w:p>
            <w:pPr>
              <w:spacing w:after="0"/>
              <w:rPr>
                <w:sz w:val="17"/>
                <w:szCs w:val="17"/>
                <w:color w:val="auto"/>
              </w:rPr>
            </w:pP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shd w:val="clear" w:color="auto" w:fill="E5E5E5"/>
          </w:tcPr>
          <w:p>
            <w:pPr>
              <w:ind w:left="420"/>
              <w:spacing w:after="0" w:line="203" w:lineRule="exact"/>
              <w:rPr>
                <w:sz w:val="20"/>
                <w:szCs w:val="20"/>
                <w:color w:val="auto"/>
              </w:rPr>
            </w:pPr>
            <w:r>
              <w:rPr>
                <w:rFonts w:ascii="Arial" w:cs="Arial" w:eastAsia="Arial" w:hAnsi="Arial"/>
                <w:sz w:val="18"/>
                <w:szCs w:val="18"/>
                <w:color w:val="auto"/>
              </w:rPr>
              <w:t>Net current year charges</w:t>
            </w:r>
            <w:r>
              <w:rPr>
                <w:rFonts w:ascii="Arial" w:cs="Arial" w:eastAsia="Arial" w:hAnsi="Arial"/>
                <w:sz w:val="22"/>
                <w:szCs w:val="22"/>
                <w:color w:val="auto"/>
                <w:vertAlign w:val="superscript"/>
              </w:rPr>
              <w:t>(2)</w:t>
            </w:r>
          </w:p>
        </w:tc>
        <w:tc>
          <w:tcPr>
            <w:tcW w:w="10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72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(11)</w:t>
            </w:r>
          </w:p>
        </w:tc>
        <w:tc>
          <w:tcPr>
            <w:tcW w:w="6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3</w:t>
            </w:r>
          </w:p>
        </w:tc>
        <w:tc>
          <w:tcPr>
            <w:tcW w:w="200" w:type="dxa"/>
            <w:vAlign w:val="bottom"/>
            <w:shd w:val="clear" w:color="auto" w:fill="E5E5E5"/>
          </w:tcPr>
          <w:p>
            <w:pPr>
              <w:spacing w:after="0"/>
              <w:rPr>
                <w:sz w:val="17"/>
                <w:szCs w:val="17"/>
                <w:color w:val="auto"/>
              </w:rPr>
            </w:pPr>
          </w:p>
        </w:tc>
        <w:tc>
          <w:tcPr>
            <w:tcW w:w="8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3"/>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7300" w:type="dxa"/>
            <w:vAlign w:val="bottom"/>
            <w:gridSpan w:val="2"/>
          </w:tcPr>
          <w:p>
            <w:pPr>
              <w:spacing w:after="0" w:line="202" w:lineRule="exact"/>
              <w:rPr>
                <w:sz w:val="20"/>
                <w:szCs w:val="20"/>
                <w:color w:val="auto"/>
              </w:rPr>
            </w:pPr>
            <w:r>
              <w:rPr>
                <w:rFonts w:ascii="Arial" w:cs="Arial" w:eastAsia="Arial" w:hAnsi="Arial"/>
                <w:sz w:val="18"/>
                <w:szCs w:val="18"/>
                <w:color w:val="auto"/>
              </w:rPr>
              <w:t>Charges against reserve and currency</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(255)</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(15)</w:t>
            </w:r>
          </w:p>
        </w:tc>
        <w:tc>
          <w:tcPr>
            <w:tcW w:w="200" w:type="dxa"/>
            <w:vAlign w:val="bottom"/>
          </w:tcPr>
          <w:p>
            <w:pPr>
              <w:spacing w:after="0"/>
              <w:rPr>
                <w:sz w:val="17"/>
                <w:szCs w:val="17"/>
                <w:color w:val="auto"/>
              </w:rPr>
            </w:pP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28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Balance December 31, 2009</w:t>
            </w:r>
          </w:p>
        </w:tc>
        <w:tc>
          <w:tcPr>
            <w:tcW w:w="10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5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54</w:t>
            </w:r>
          </w:p>
        </w:tc>
        <w:tc>
          <w:tcPr>
            <w:tcW w:w="14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20</w:t>
            </w:r>
          </w:p>
        </w:tc>
        <w:tc>
          <w:tcPr>
            <w:tcW w:w="200" w:type="dxa"/>
            <w:vAlign w:val="bottom"/>
            <w:shd w:val="clear" w:color="auto" w:fill="E5E5E5"/>
          </w:tcPr>
          <w:p>
            <w:pPr>
              <w:spacing w:after="0"/>
              <w:rPr>
                <w:sz w:val="17"/>
                <w:szCs w:val="17"/>
                <w:color w:val="auto"/>
              </w:rPr>
            </w:pPr>
          </w:p>
        </w:tc>
        <w:tc>
          <w:tcPr>
            <w:tcW w:w="8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3"/>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3"/>
        </w:trPr>
        <w:tc>
          <w:tcPr>
            <w:tcW w:w="7300" w:type="dxa"/>
            <w:vAlign w:val="bottom"/>
            <w:gridSpan w:val="2"/>
          </w:tcPr>
          <w:p>
            <w:pPr>
              <w:spacing w:after="0" w:line="202" w:lineRule="exact"/>
              <w:rPr>
                <w:sz w:val="20"/>
                <w:szCs w:val="20"/>
                <w:color w:val="auto"/>
              </w:rPr>
            </w:pPr>
            <w:r>
              <w:rPr>
                <w:rFonts w:ascii="Arial" w:cs="Arial" w:eastAsia="Arial" w:hAnsi="Arial"/>
                <w:sz w:val="18"/>
                <w:szCs w:val="18"/>
                <w:color w:val="auto"/>
              </w:rPr>
              <w:t>Restructuring provision</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470</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28</w:t>
            </w: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26</w:t>
            </w:r>
          </w:p>
        </w:tc>
        <w:tc>
          <w:tcPr>
            <w:tcW w:w="120" w:type="dxa"/>
            <w:vAlign w:val="bottom"/>
          </w:tcPr>
          <w:p>
            <w:pPr>
              <w:spacing w:after="0"/>
              <w:rPr>
                <w:sz w:val="17"/>
                <w:szCs w:val="17"/>
                <w:color w:val="auto"/>
              </w:rPr>
            </w:pPr>
          </w:p>
        </w:tc>
        <w:tc>
          <w:tcPr>
            <w:tcW w:w="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Reversals of prior accruals</w:t>
            </w:r>
          </w:p>
        </w:tc>
        <w:tc>
          <w:tcPr>
            <w:tcW w:w="10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72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(32)</w:t>
            </w:r>
          </w:p>
        </w:tc>
        <w:tc>
          <w:tcPr>
            <w:tcW w:w="6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(9)</w:t>
            </w:r>
          </w:p>
        </w:tc>
        <w:tc>
          <w:tcPr>
            <w:tcW w:w="200" w:type="dxa"/>
            <w:vAlign w:val="bottom"/>
            <w:shd w:val="clear" w:color="auto" w:fill="E5E5E5"/>
          </w:tcPr>
          <w:p>
            <w:pPr>
              <w:spacing w:after="0"/>
              <w:rPr>
                <w:sz w:val="17"/>
                <w:szCs w:val="17"/>
                <w:color w:val="auto"/>
              </w:rPr>
            </w:pPr>
          </w:p>
        </w:tc>
        <w:tc>
          <w:tcPr>
            <w:tcW w:w="8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3"/>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tcPr>
          <w:p>
            <w:pPr>
              <w:ind w:left="420"/>
              <w:spacing w:after="0" w:line="209" w:lineRule="exact"/>
              <w:rPr>
                <w:sz w:val="20"/>
                <w:szCs w:val="20"/>
                <w:color w:val="auto"/>
              </w:rPr>
            </w:pPr>
            <w:r>
              <w:rPr>
                <w:rFonts w:ascii="Arial" w:cs="Arial" w:eastAsia="Arial" w:hAnsi="Arial"/>
                <w:sz w:val="18"/>
                <w:szCs w:val="18"/>
                <w:color w:val="auto"/>
              </w:rPr>
              <w:t>Net current year charges</w:t>
            </w:r>
            <w:r>
              <w:rPr>
                <w:rFonts w:ascii="Arial" w:cs="Arial" w:eastAsia="Arial" w:hAnsi="Arial"/>
                <w:sz w:val="22"/>
                <w:szCs w:val="22"/>
                <w:color w:val="auto"/>
                <w:vertAlign w:val="superscript"/>
              </w:rPr>
              <w:t>(2)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Charges against reserve and currency</w:t>
            </w:r>
          </w:p>
        </w:tc>
        <w:tc>
          <w:tcPr>
            <w:tcW w:w="10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72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(194)</w:t>
            </w:r>
          </w:p>
        </w:tc>
        <w:tc>
          <w:tcPr>
            <w:tcW w:w="6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(14)</w:t>
            </w:r>
          </w:p>
        </w:tc>
        <w:tc>
          <w:tcPr>
            <w:tcW w:w="200" w:type="dxa"/>
            <w:vAlign w:val="bottom"/>
            <w:shd w:val="clear" w:color="auto" w:fill="E5E5E5"/>
          </w:tcPr>
          <w:p>
            <w:pPr>
              <w:spacing w:after="0"/>
              <w:rPr>
                <w:sz w:val="17"/>
                <w:szCs w:val="17"/>
                <w:color w:val="auto"/>
              </w:rPr>
            </w:pPr>
          </w:p>
        </w:tc>
        <w:tc>
          <w:tcPr>
            <w:tcW w:w="82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(26)</w:t>
            </w:r>
          </w:p>
        </w:tc>
        <w:tc>
          <w:tcPr>
            <w:tcW w:w="660" w:type="dxa"/>
            <w:vAlign w:val="bottom"/>
            <w:gridSpan w:val="3"/>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December 31, 2010</w:t>
            </w: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$ 323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1" w:lineRule="exact"/>
        <w:rPr>
          <w:sz w:val="20"/>
          <w:szCs w:val="20"/>
          <w:color w:val="auto"/>
        </w:rPr>
      </w:pPr>
    </w:p>
    <w:p>
      <w:pPr>
        <w:ind w:left="340" w:hanging="332"/>
        <w:spacing w:after="0"/>
        <w:tabs>
          <w:tab w:leader="none" w:pos="340" w:val="left"/>
        </w:tabs>
        <w:numPr>
          <w:ilvl w:val="0"/>
          <w:numId w:val="156"/>
        </w:numPr>
        <w:rPr>
          <w:rFonts w:ascii="Arial" w:cs="Arial" w:eastAsia="Arial" w:hAnsi="Arial"/>
          <w:sz w:val="12"/>
          <w:szCs w:val="12"/>
          <w:color w:val="auto"/>
        </w:rPr>
      </w:pPr>
      <w:r>
        <w:rPr>
          <w:rFonts w:ascii="Arial" w:cs="Arial" w:eastAsia="Arial" w:hAnsi="Arial"/>
          <w:sz w:val="12"/>
          <w:szCs w:val="12"/>
          <w:color w:val="auto"/>
        </w:rPr>
        <w:t>Charges associated with asset impairments represent the write-down of the related assets to their new cost basis and are recorded concurrently with the recognition of the provision.</w:t>
      </w:r>
    </w:p>
    <w:p>
      <w:pPr>
        <w:spacing w:after="0" w:line="10" w:lineRule="exact"/>
        <w:rPr>
          <w:rFonts w:ascii="Arial" w:cs="Arial" w:eastAsia="Arial" w:hAnsi="Arial"/>
          <w:sz w:val="12"/>
          <w:szCs w:val="12"/>
          <w:color w:val="auto"/>
        </w:rPr>
      </w:pPr>
    </w:p>
    <w:p>
      <w:pPr>
        <w:ind w:left="340" w:hanging="332"/>
        <w:spacing w:after="0"/>
        <w:tabs>
          <w:tab w:leader="none" w:pos="340" w:val="left"/>
        </w:tabs>
        <w:numPr>
          <w:ilvl w:val="0"/>
          <w:numId w:val="156"/>
        </w:numPr>
        <w:rPr>
          <w:rFonts w:ascii="Arial" w:cs="Arial" w:eastAsia="Arial" w:hAnsi="Arial"/>
          <w:sz w:val="14"/>
          <w:szCs w:val="14"/>
          <w:color w:val="auto"/>
        </w:rPr>
      </w:pPr>
      <w:r>
        <w:rPr>
          <w:rFonts w:ascii="Arial" w:cs="Arial" w:eastAsia="Arial" w:hAnsi="Arial"/>
          <w:sz w:val="14"/>
          <w:szCs w:val="14"/>
          <w:color w:val="auto"/>
        </w:rPr>
        <w:t>Represents amount recognized within the Consolidated Statements of Income for the years shown.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reconciliation to the Consolidated Statements of Cash Flows for the three years ended December 31, 2010:</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color w:val="auto"/>
                <w:w w:val="96"/>
              </w:rPr>
              <w:t>2010</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w w:val="96"/>
              </w:rPr>
              <w:t>2009</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color w:val="auto"/>
                <w:w w:val="96"/>
              </w:rPr>
              <w:t>2008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8280" w:type="dxa"/>
            <w:vAlign w:val="bottom"/>
            <w:shd w:val="clear" w:color="auto" w:fill="E5E5E5"/>
          </w:tcPr>
          <w:p>
            <w:pPr>
              <w:spacing w:after="0" w:line="196" w:lineRule="exact"/>
              <w:rPr>
                <w:sz w:val="20"/>
                <w:szCs w:val="20"/>
                <w:color w:val="auto"/>
              </w:rPr>
            </w:pPr>
            <w:r>
              <w:rPr>
                <w:rFonts w:ascii="Arial" w:cs="Arial" w:eastAsia="Arial" w:hAnsi="Arial"/>
                <w:sz w:val="18"/>
                <w:szCs w:val="18"/>
                <w:color w:val="auto"/>
              </w:rPr>
              <w:t>Charges to reserve</w:t>
            </w:r>
          </w:p>
        </w:tc>
        <w:tc>
          <w:tcPr>
            <w:tcW w:w="12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E5E5E5"/>
          </w:tcPr>
          <w:p>
            <w:pPr>
              <w:jc w:val="right"/>
              <w:ind w:right="140"/>
              <w:spacing w:after="0" w:line="196" w:lineRule="exact"/>
              <w:rPr>
                <w:sz w:val="20"/>
                <w:szCs w:val="20"/>
                <w:color w:val="auto"/>
              </w:rPr>
            </w:pPr>
            <w:r>
              <w:rPr>
                <w:rFonts w:ascii="Arial" w:cs="Arial" w:eastAsia="Arial" w:hAnsi="Arial"/>
                <w:sz w:val="18"/>
                <w:szCs w:val="18"/>
                <w:color w:val="auto"/>
              </w:rPr>
              <w:t>(234)</w:t>
            </w:r>
          </w:p>
        </w:tc>
        <w:tc>
          <w:tcPr>
            <w:tcW w:w="12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E5E5E5"/>
          </w:tcPr>
          <w:p>
            <w:pPr>
              <w:jc w:val="right"/>
              <w:ind w:right="140"/>
              <w:spacing w:after="0" w:line="196" w:lineRule="exact"/>
              <w:rPr>
                <w:sz w:val="20"/>
                <w:szCs w:val="20"/>
                <w:color w:val="auto"/>
              </w:rPr>
            </w:pPr>
            <w:r>
              <w:rPr>
                <w:rFonts w:ascii="Arial" w:cs="Arial" w:eastAsia="Arial" w:hAnsi="Arial"/>
                <w:sz w:val="18"/>
                <w:szCs w:val="18"/>
                <w:color w:val="auto"/>
              </w:rPr>
              <w:t>(270)</w:t>
            </w:r>
          </w:p>
        </w:tc>
        <w:tc>
          <w:tcPr>
            <w:tcW w:w="12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E5E5E5"/>
          </w:tcPr>
          <w:p>
            <w:pPr>
              <w:jc w:val="right"/>
              <w:ind w:right="40"/>
              <w:spacing w:after="0" w:line="196" w:lineRule="exact"/>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03"/>
        </w:trPr>
        <w:tc>
          <w:tcPr>
            <w:tcW w:w="8280" w:type="dxa"/>
            <w:vAlign w:val="bottom"/>
          </w:tcPr>
          <w:p>
            <w:pPr>
              <w:spacing w:after="0" w:line="202" w:lineRule="exact"/>
              <w:rPr>
                <w:sz w:val="20"/>
                <w:szCs w:val="20"/>
                <w:color w:val="auto"/>
              </w:rPr>
            </w:pPr>
            <w:r>
              <w:rPr>
                <w:rFonts w:ascii="Arial" w:cs="Arial" w:eastAsia="Arial" w:hAnsi="Arial"/>
                <w:sz w:val="18"/>
                <w:szCs w:val="18"/>
                <w:color w:val="auto"/>
              </w:rPr>
              <w:t>Asset impairments</w:t>
            </w:r>
          </w:p>
        </w:tc>
        <w:tc>
          <w:tcPr>
            <w:tcW w:w="120" w:type="dxa"/>
            <w:vAlign w:val="bottom"/>
          </w:tcPr>
          <w:p>
            <w:pPr>
              <w:spacing w:after="0"/>
              <w:rPr>
                <w:sz w:val="17"/>
                <w:szCs w:val="17"/>
                <w:color w:val="auto"/>
              </w:rPr>
            </w:pPr>
          </w:p>
        </w:tc>
        <w:tc>
          <w:tcPr>
            <w:tcW w:w="6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26</w:t>
            </w:r>
          </w:p>
        </w:tc>
        <w:tc>
          <w:tcPr>
            <w:tcW w:w="120" w:type="dxa"/>
            <w:vAlign w:val="bottom"/>
          </w:tcPr>
          <w:p>
            <w:pPr>
              <w:spacing w:after="0"/>
              <w:rPr>
                <w:sz w:val="17"/>
                <w:szCs w:val="17"/>
                <w:color w:val="auto"/>
              </w:rPr>
            </w:pPr>
          </w:p>
        </w:tc>
        <w:tc>
          <w:tcPr>
            <w:tcW w:w="6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3"/>
        </w:trPr>
        <w:tc>
          <w:tcPr>
            <w:tcW w:w="82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Effects of foreign currency and other non-cash items</w:t>
            </w:r>
          </w:p>
        </w:tc>
        <w:tc>
          <w:tcPr>
            <w:tcW w:w="120" w:type="dxa"/>
            <w:vAlign w:val="bottom"/>
            <w:shd w:val="clear" w:color="auto" w:fill="E5E5E5"/>
          </w:tcPr>
          <w:p>
            <w:pPr>
              <w:spacing w:after="0"/>
              <w:rPr>
                <w:sz w:val="17"/>
                <w:szCs w:val="17"/>
                <w:color w:val="auto"/>
              </w:rPr>
            </w:pPr>
          </w:p>
        </w:tc>
        <w:tc>
          <w:tcPr>
            <w:tcW w:w="66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(5)</w:t>
            </w:r>
          </w:p>
        </w:tc>
        <w:tc>
          <w:tcPr>
            <w:tcW w:w="120" w:type="dxa"/>
            <w:vAlign w:val="bottom"/>
            <w:shd w:val="clear" w:color="auto" w:fill="E5E5E5"/>
          </w:tcPr>
          <w:p>
            <w:pPr>
              <w:spacing w:after="0"/>
              <w:rPr>
                <w:sz w:val="17"/>
                <w:szCs w:val="17"/>
                <w:color w:val="auto"/>
              </w:rPr>
            </w:pPr>
          </w:p>
        </w:tc>
        <w:tc>
          <w:tcPr>
            <w:tcW w:w="64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E5E5E5"/>
          </w:tcPr>
          <w:p>
            <w:pPr>
              <w:spacing w:after="0"/>
              <w:rPr>
                <w:sz w:val="17"/>
                <w:szCs w:val="17"/>
                <w:color w:val="auto"/>
              </w:rPr>
            </w:pPr>
          </w:p>
        </w:tc>
        <w:tc>
          <w:tcPr>
            <w:tcW w:w="5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8280" w:type="dxa"/>
            <w:vAlign w:val="bottom"/>
            <w:vMerge w:val="restart"/>
          </w:tcPr>
          <w:p>
            <w:pPr>
              <w:spacing w:after="0"/>
              <w:rPr>
                <w:sz w:val="20"/>
                <w:szCs w:val="20"/>
                <w:color w:val="auto"/>
              </w:rPr>
            </w:pPr>
            <w:r>
              <w:rPr>
                <w:rFonts w:ascii="Arial" w:cs="Arial" w:eastAsia="Arial" w:hAnsi="Arial"/>
                <w:sz w:val="18"/>
                <w:szCs w:val="18"/>
                <w:b w:val="1"/>
                <w:bCs w:val="1"/>
                <w:color w:val="auto"/>
              </w:rPr>
              <w:t>Cash Payments for Restructurings</w:t>
            </w: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(213)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(270)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The following table summarizes the total amount of costs incurred in connection with these restructuring programs by segment for the three years ended December 31, 2010: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w w:val="89"/>
              </w:rPr>
              <w:t>2010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2009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w w:val="89"/>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620" w:type="dxa"/>
            <w:vAlign w:val="bottom"/>
            <w:shd w:val="clear" w:color="auto" w:fill="E5E5E5"/>
          </w:tcPr>
          <w:p>
            <w:pPr>
              <w:spacing w:after="0" w:line="196" w:lineRule="exact"/>
              <w:rPr>
                <w:sz w:val="20"/>
                <w:szCs w:val="20"/>
                <w:color w:val="auto"/>
              </w:rPr>
            </w:pPr>
            <w:r>
              <w:rPr>
                <w:rFonts w:ascii="Arial" w:cs="Arial" w:eastAsia="Arial" w:hAnsi="Arial"/>
                <w:sz w:val="18"/>
                <w:szCs w:val="18"/>
                <w:color w:val="auto"/>
              </w:rPr>
              <w:t>Technology</w:t>
            </w:r>
          </w:p>
        </w:tc>
        <w:tc>
          <w:tcPr>
            <w:tcW w:w="10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E5E5E5"/>
          </w:tcPr>
          <w:p>
            <w:pPr>
              <w:jc w:val="right"/>
              <w:ind w:right="100"/>
              <w:spacing w:after="0" w:line="196" w:lineRule="exact"/>
              <w:rPr>
                <w:sz w:val="20"/>
                <w:szCs w:val="20"/>
                <w:color w:val="auto"/>
              </w:rPr>
            </w:pPr>
            <w:r>
              <w:rPr>
                <w:rFonts w:ascii="Arial" w:cs="Arial" w:eastAsia="Arial" w:hAnsi="Arial"/>
                <w:sz w:val="18"/>
                <w:szCs w:val="18"/>
                <w:color w:val="auto"/>
              </w:rPr>
              <w:t>325</w:t>
            </w:r>
          </w:p>
        </w:tc>
        <w:tc>
          <w:tcPr>
            <w:tcW w:w="260" w:type="dxa"/>
            <w:vAlign w:val="bottom"/>
            <w:gridSpan w:val="2"/>
            <w:shd w:val="clear" w:color="auto" w:fill="E5E5E5"/>
          </w:tcPr>
          <w:p>
            <w:pPr>
              <w:jc w:val="right"/>
              <w:spacing w:after="0" w:line="196" w:lineRule="exact"/>
              <w:rPr>
                <w:sz w:val="20"/>
                <w:szCs w:val="20"/>
                <w:color w:val="auto"/>
              </w:rPr>
            </w:pPr>
            <w:r>
              <w:rPr>
                <w:rFonts w:ascii="Arial" w:cs="Arial" w:eastAsia="Arial" w:hAnsi="Arial"/>
                <w:sz w:val="18"/>
                <w:szCs w:val="18"/>
                <w:color w:val="auto"/>
              </w:rPr>
              <w:t>$</w:t>
            </w:r>
          </w:p>
        </w:tc>
        <w:tc>
          <w:tcPr>
            <w:tcW w:w="340" w:type="dxa"/>
            <w:vAlign w:val="bottom"/>
            <w:gridSpan w:val="2"/>
            <w:shd w:val="clear" w:color="auto" w:fill="E5E5E5"/>
          </w:tcPr>
          <w:p>
            <w:pPr>
              <w:jc w:val="right"/>
              <w:ind w:right="80"/>
              <w:spacing w:after="0" w:line="196" w:lineRule="exact"/>
              <w:rPr>
                <w:sz w:val="20"/>
                <w:szCs w:val="20"/>
                <w:color w:val="auto"/>
              </w:rPr>
            </w:pPr>
            <w:r>
              <w:rPr>
                <w:rFonts w:ascii="Arial" w:cs="Arial" w:eastAsia="Arial" w:hAnsi="Arial"/>
                <w:sz w:val="18"/>
                <w:szCs w:val="18"/>
                <w:color w:val="auto"/>
              </w:rPr>
              <w:t>(5)</w:t>
            </w:r>
          </w:p>
        </w:tc>
        <w:tc>
          <w:tcPr>
            <w:tcW w:w="180" w:type="dxa"/>
            <w:vAlign w:val="bottom"/>
            <w:gridSpan w:val="2"/>
            <w:shd w:val="clear" w:color="auto" w:fill="E5E5E5"/>
          </w:tcPr>
          <w:p>
            <w:pPr>
              <w:jc w:val="right"/>
              <w:spacing w:after="0" w:line="196" w:lineRule="exact"/>
              <w:rPr>
                <w:sz w:val="20"/>
                <w:szCs w:val="20"/>
                <w:color w:val="auto"/>
              </w:rPr>
            </w:pPr>
            <w:r>
              <w:rPr>
                <w:rFonts w:ascii="Arial" w:cs="Arial" w:eastAsia="Arial" w:hAnsi="Arial"/>
                <w:sz w:val="18"/>
                <w:szCs w:val="18"/>
                <w:color w:val="auto"/>
              </w:rPr>
              <w:t>$</w:t>
            </w:r>
          </w:p>
        </w:tc>
        <w:tc>
          <w:tcPr>
            <w:tcW w:w="500" w:type="dxa"/>
            <w:vAlign w:val="bottom"/>
            <w:gridSpan w:val="2"/>
            <w:shd w:val="clear" w:color="auto" w:fill="E5E5E5"/>
          </w:tcPr>
          <w:p>
            <w:pPr>
              <w:jc w:val="right"/>
              <w:ind w:right="100"/>
              <w:spacing w:after="0" w:line="196" w:lineRule="exact"/>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03"/>
        </w:trPr>
        <w:tc>
          <w:tcPr>
            <w:tcW w:w="8620" w:type="dxa"/>
            <w:vAlign w:val="bottom"/>
          </w:tcPr>
          <w:p>
            <w:pPr>
              <w:spacing w:after="0" w:line="202" w:lineRule="exact"/>
              <w:rPr>
                <w:sz w:val="20"/>
                <w:szCs w:val="20"/>
                <w:color w:val="auto"/>
              </w:rPr>
            </w:pPr>
            <w:r>
              <w:rPr>
                <w:rFonts w:ascii="Arial" w:cs="Arial" w:eastAsia="Arial" w:hAnsi="Arial"/>
                <w:sz w:val="18"/>
                <w:szCs w:val="18"/>
                <w:color w:val="auto"/>
              </w:rPr>
              <w:t>Services</w:t>
            </w:r>
          </w:p>
        </w:tc>
        <w:tc>
          <w:tcPr>
            <w:tcW w:w="10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104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3"/>
        </w:trPr>
        <w:tc>
          <w:tcPr>
            <w:tcW w:w="86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Other</w:t>
            </w:r>
          </w:p>
        </w:tc>
        <w:tc>
          <w:tcPr>
            <w:tcW w:w="100" w:type="dxa"/>
            <w:vAlign w:val="bottom"/>
            <w:shd w:val="clear" w:color="auto" w:fill="E5E5E5"/>
          </w:tcPr>
          <w:p>
            <w:pPr>
              <w:spacing w:after="0"/>
              <w:rPr>
                <w:sz w:val="17"/>
                <w:szCs w:val="17"/>
                <w:color w:val="auto"/>
              </w:rPr>
            </w:pPr>
          </w:p>
        </w:tc>
        <w:tc>
          <w:tcPr>
            <w:tcW w:w="5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54</w:t>
            </w:r>
          </w:p>
        </w:tc>
        <w:tc>
          <w:tcPr>
            <w:tcW w:w="1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34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(1)</w:t>
            </w:r>
          </w:p>
        </w:tc>
        <w:tc>
          <w:tcPr>
            <w:tcW w:w="8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5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8620" w:type="dxa"/>
            <w:vAlign w:val="bottom"/>
            <w:vMerge w:val="restart"/>
          </w:tcPr>
          <w:p>
            <w:pPr>
              <w:spacing w:after="0"/>
              <w:rPr>
                <w:sz w:val="20"/>
                <w:szCs w:val="20"/>
                <w:color w:val="auto"/>
              </w:rPr>
            </w:pPr>
            <w:r>
              <w:rPr>
                <w:rFonts w:ascii="Arial" w:cs="Arial" w:eastAsia="Arial" w:hAnsi="Arial"/>
                <w:sz w:val="18"/>
                <w:szCs w:val="18"/>
                <w:b w:val="1"/>
                <w:bCs w:val="1"/>
                <w:color w:val="auto"/>
              </w:rPr>
              <w:t>Total Net Restructuring Charges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9600"/>
        <w:spacing w:after="0"/>
        <w:rPr>
          <w:sz w:val="20"/>
          <w:szCs w:val="20"/>
          <w:color w:val="auto"/>
        </w:rPr>
      </w:pPr>
      <w:r>
        <w:rPr>
          <w:rFonts w:ascii="Arial" w:cs="Arial" w:eastAsia="Arial" w:hAnsi="Arial"/>
          <w:sz w:val="12"/>
          <w:szCs w:val="12"/>
          <w:color w:val="4C9F40"/>
        </w:rPr>
        <w:t>Xerox 2010 Annual Report 69</w:t>
      </w:r>
    </w:p>
    <w:p>
      <w:pPr>
        <w:sectPr>
          <w:pgSz w:w="11900" w:h="16838" w:orient="portrait"/>
          <w:cols w:equalWidth="0" w:num="1">
            <w:col w:w="11420"/>
          </w:cols>
          <w:pgMar w:left="240" w:top="391" w:right="239" w:bottom="1440" w:gutter="0" w:footer="0" w:header="0"/>
        </w:sectPr>
      </w:pPr>
    </w:p>
    <w:bookmarkStart w:id="146" w:name="page147"/>
    <w:bookmarkEnd w:id="146"/>
    <w:p>
      <w:pPr>
        <w:ind w:right="40"/>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Over the past several years, we have engaged in a series of restructuring programs related to downsizing our employee base, exiting certain activities, outsourcing certain internal functions and engaging in other actions designed to reduce our cost structure and improve productivity. These initiatives primarily include severance actions and impact all major geographies and segments. Management continues to evaluate our business and, therefore, in future years, there may be additional provisions for new plan initiatives, as well as changes in estimates to amounts previously recorded, as payments are made or actions are completed. However, we do not expect that there will be significant new restructuring initiatives in 2011. Asset impairment charges were also incurred in connection with these restructuring actions for those assets made obsolete as a result of these programs.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2010 Activity</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During 2010, we recorded $483 of net restructuring and asset impairment charges, which included the following:</w:t>
      </w:r>
    </w:p>
    <w:p>
      <w:pPr>
        <w:ind w:left="340" w:right="140" w:hanging="332"/>
        <w:spacing w:after="0" w:line="234" w:lineRule="auto"/>
        <w:tabs>
          <w:tab w:leader="none" w:pos="3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$470 of severance costs related to headcount reductions of approximately 9,000 employees. The costs associated with these actions applied about equally to North America and Europe, with approximately 20% related to our developing market countries. Approximately 50% of the costs were focused on gross margin improvements, 40% on SAG and 10% on the optimization of RD&amp;E investments and impacted the following functional areas:</w:t>
      </w:r>
    </w:p>
    <w:p>
      <w:pPr>
        <w:spacing w:after="0" w:line="3" w:lineRule="exact"/>
        <w:rPr>
          <w:rFonts w:ascii="Arial" w:cs="Arial" w:eastAsia="Arial" w:hAnsi="Arial"/>
          <w:sz w:val="18"/>
          <w:szCs w:val="18"/>
          <w:color w:val="auto"/>
        </w:rPr>
      </w:pPr>
    </w:p>
    <w:p>
      <w:pPr>
        <w:ind w:left="340"/>
        <w:spacing w:after="0" w:line="234" w:lineRule="auto"/>
        <w:rPr>
          <w:rFonts w:ascii="Arial" w:cs="Arial" w:eastAsia="Arial" w:hAnsi="Arial"/>
          <w:sz w:val="18"/>
          <w:szCs w:val="18"/>
          <w:color w:val="auto"/>
        </w:rPr>
      </w:pPr>
      <w:r>
        <w:rPr>
          <w:rFonts w:ascii="Arial" w:cs="Arial" w:eastAsia="Arial" w:hAnsi="Arial"/>
          <w:sz w:val="18"/>
          <w:szCs w:val="18"/>
          <w:color w:val="auto"/>
        </w:rPr>
        <w:t>–   Services</w:t>
      </w:r>
    </w:p>
    <w:p>
      <w:pPr>
        <w:ind w:left="340"/>
        <w:spacing w:after="0" w:line="234" w:lineRule="auto"/>
        <w:rPr>
          <w:rFonts w:ascii="Arial" w:cs="Arial" w:eastAsia="Arial" w:hAnsi="Arial"/>
          <w:sz w:val="18"/>
          <w:szCs w:val="18"/>
          <w:color w:val="auto"/>
        </w:rPr>
      </w:pPr>
      <w:r>
        <w:rPr>
          <w:rFonts w:ascii="Arial" w:cs="Arial" w:eastAsia="Arial" w:hAnsi="Arial"/>
          <w:sz w:val="18"/>
          <w:szCs w:val="18"/>
          <w:color w:val="auto"/>
        </w:rPr>
        <w:t>–   Supply chain and manufacturing</w:t>
      </w:r>
    </w:p>
    <w:p>
      <w:pPr>
        <w:ind w:left="340"/>
        <w:spacing w:after="0" w:line="234" w:lineRule="auto"/>
        <w:rPr>
          <w:rFonts w:ascii="Arial" w:cs="Arial" w:eastAsia="Arial" w:hAnsi="Arial"/>
          <w:sz w:val="18"/>
          <w:szCs w:val="18"/>
          <w:color w:val="auto"/>
        </w:rPr>
      </w:pPr>
      <w:r>
        <w:rPr>
          <w:rFonts w:ascii="Arial" w:cs="Arial" w:eastAsia="Arial" w:hAnsi="Arial"/>
          <w:sz w:val="18"/>
          <w:szCs w:val="18"/>
          <w:color w:val="auto"/>
        </w:rPr>
        <w:t>–   Back office administration</w:t>
      </w:r>
    </w:p>
    <w:p>
      <w:pPr>
        <w:ind w:left="340"/>
        <w:spacing w:after="0" w:line="234" w:lineRule="auto"/>
        <w:rPr>
          <w:rFonts w:ascii="Arial" w:cs="Arial" w:eastAsia="Arial" w:hAnsi="Arial"/>
          <w:sz w:val="18"/>
          <w:szCs w:val="18"/>
          <w:color w:val="auto"/>
        </w:rPr>
      </w:pPr>
      <w:r>
        <w:rPr>
          <w:rFonts w:ascii="Arial" w:cs="Arial" w:eastAsia="Arial" w:hAnsi="Arial"/>
          <w:sz w:val="18"/>
          <w:szCs w:val="18"/>
          <w:color w:val="auto"/>
        </w:rPr>
        <w:t>–   Development and engineering costs.</w:t>
      </w:r>
    </w:p>
    <w:p>
      <w:pPr>
        <w:ind w:left="340" w:right="760" w:hanging="332"/>
        <w:spacing w:after="0" w:line="234" w:lineRule="auto"/>
        <w:tabs>
          <w:tab w:leader="none" w:pos="3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$28 for lease termination costs primarily reflecting the continued rationalization and optimization of our worldwide operating locations, particularly in light of our recent acquisition of ACS.</w:t>
      </w:r>
    </w:p>
    <w:p>
      <w:pPr>
        <w:spacing w:after="0" w:line="1" w:lineRule="exact"/>
        <w:rPr>
          <w:rFonts w:ascii="Arial" w:cs="Arial" w:eastAsia="Arial" w:hAnsi="Arial"/>
          <w:sz w:val="18"/>
          <w:szCs w:val="18"/>
          <w:color w:val="auto"/>
        </w:rPr>
      </w:pPr>
    </w:p>
    <w:p>
      <w:pPr>
        <w:ind w:left="340" w:right="40" w:hanging="332"/>
        <w:spacing w:after="0" w:line="236" w:lineRule="auto"/>
        <w:tabs>
          <w:tab w:leader="none" w:pos="3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$19 loss associated with the sale of our Venezuelan subsidiary. The loss primarily reflects the write-off of our Venezuelan net assets including working capital and long-lived assets. We will continue to sell equipment, parts and supplies to the acquiring company through a distribution arrangement but will no longer have any direct or local operations in Venezuela. The sale of our operations and change in business model follows a decision by management in the fourth quarter of 2010 to reduce the Company’s future exposure and risk associated with operating in this unpredictable economy.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above charges were partially offset by $41 of net reversals for changes in estimated reserves from prior period initiatives.</w:t>
      </w:r>
    </w:p>
    <w:p>
      <w:pPr>
        <w:spacing w:after="0" w:line="158"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The restructuring reserve balance as of December 31, 2010, for all programs was $323, of which approximately $309 is expected to be spent over the next twelve months.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2009 Activity</w:t>
      </w:r>
    </w:p>
    <w:p>
      <w:pPr>
        <w:spacing w:after="0" w:line="18"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Restructuring activity was minimal in 2009 and the related charges primarily reflected changes in estimates in severance costs from previously recorded actions.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2008 Activity</w:t>
      </w:r>
    </w:p>
    <w:p>
      <w:pPr>
        <w:spacing w:after="0" w:line="18" w:lineRule="exact"/>
        <w:rPr>
          <w:sz w:val="20"/>
          <w:szCs w:val="20"/>
          <w:color w:val="auto"/>
        </w:rPr>
      </w:pPr>
    </w:p>
    <w:p>
      <w:pPr>
        <w:ind w:right="780"/>
        <w:spacing w:after="0" w:line="299" w:lineRule="auto"/>
        <w:rPr>
          <w:sz w:val="20"/>
          <w:szCs w:val="20"/>
          <w:color w:val="auto"/>
        </w:rPr>
      </w:pPr>
      <w:r>
        <w:rPr>
          <w:rFonts w:ascii="Arial" w:cs="Arial" w:eastAsia="Arial" w:hAnsi="Arial"/>
          <w:sz w:val="16"/>
          <w:szCs w:val="16"/>
          <w:color w:val="auto"/>
        </w:rPr>
        <w:t>During 2008, we recorded $357 of net restructuring charges predominantly consisting of severance and costs related to the elimination of approximately 4,900 positions primarily in both North America and Europe. Focus areas for the actions include the following:</w:t>
      </w:r>
    </w:p>
    <w:p>
      <w:pPr>
        <w:spacing w:after="0" w:line="145" w:lineRule="exact"/>
        <w:rPr>
          <w:sz w:val="20"/>
          <w:szCs w:val="20"/>
          <w:color w:val="auto"/>
        </w:rPr>
      </w:pPr>
    </w:p>
    <w:p>
      <w:pPr>
        <w:ind w:left="340" w:hanging="332"/>
        <w:spacing w:after="0"/>
        <w:tabs>
          <w:tab w:leader="none" w:pos="3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Improving efficiency and effectiveness of infrastructure including: marketing, finance, human resources &amp; training.</w:t>
      </w:r>
    </w:p>
    <w:p>
      <w:pPr>
        <w:ind w:left="340" w:hanging="332"/>
        <w:spacing w:after="0" w:line="234" w:lineRule="auto"/>
        <w:tabs>
          <w:tab w:leader="none" w:pos="3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Capturing efficiencies in technical services, managed services and supply chain and manufacturing infrastructure.</w:t>
      </w:r>
    </w:p>
    <w:p>
      <w:pPr>
        <w:ind w:left="340" w:hanging="332"/>
        <w:spacing w:after="0"/>
        <w:tabs>
          <w:tab w:leader="none" w:pos="3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Optimizing product development and engineering resources.</w:t>
      </w:r>
    </w:p>
    <w:p>
      <w:pPr>
        <w:spacing w:after="0" w:line="158"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In addition, related to these activities, we also recorded lease cancellation and other costs of $19 and asset impairment charges of $53. The lease termination and asset impairment charges primarily related to: (i) the relocation of certain manufacturing operations including the closing of our toner plant in Oklahoma City and the consolidation of our manufacturing operations in Ireland; and (ii) the exit from certain leased and owned facilities as a result of the actions noted above.</w:t>
      </w:r>
    </w:p>
    <w:p>
      <w:pPr>
        <w:spacing w:after="0" w:line="137" w:lineRule="exact"/>
        <w:rPr>
          <w:sz w:val="20"/>
          <w:szCs w:val="20"/>
          <w:color w:val="auto"/>
        </w:rPr>
      </w:pPr>
    </w:p>
    <w:p>
      <w:pPr>
        <w:jc w:val="right"/>
        <w:spacing w:after="0"/>
        <w:rPr>
          <w:sz w:val="20"/>
          <w:szCs w:val="20"/>
          <w:color w:val="auto"/>
        </w:rPr>
      </w:pPr>
      <w:r>
        <w:rPr>
          <w:rFonts w:ascii="Arial" w:cs="Arial" w:eastAsia="Arial" w:hAnsi="Arial"/>
          <w:sz w:val="14"/>
          <w:szCs w:val="14"/>
          <w:color w:val="4C9F40"/>
        </w:rPr>
        <w:t>Xerox 2010 Annual Report 70</w:t>
      </w:r>
    </w:p>
    <w:p>
      <w:pPr>
        <w:sectPr>
          <w:pgSz w:w="11900" w:h="16838" w:orient="portrait"/>
          <w:cols w:equalWidth="0" w:num="1">
            <w:col w:w="11420"/>
          </w:cols>
          <w:pgMar w:left="240" w:top="345" w:right="239" w:bottom="1440" w:gutter="0" w:footer="0" w:header="0"/>
        </w:sectPr>
      </w:pPr>
    </w:p>
    <w:bookmarkStart w:id="147" w:name="page148"/>
    <w:bookmarkEnd w:id="147"/>
    <w:p>
      <w:pPr>
        <w:spacing w:after="0"/>
        <w:rPr>
          <w:sz w:val="20"/>
          <w:szCs w:val="20"/>
          <w:color w:val="auto"/>
        </w:rPr>
      </w:pPr>
      <w:r>
        <w:rPr>
          <w:rFonts w:ascii="Arial" w:cs="Arial" w:eastAsia="Arial" w:hAnsi="Arial"/>
          <w:sz w:val="22"/>
          <w:szCs w:val="22"/>
          <w:b w:val="1"/>
          <w:bCs w:val="1"/>
          <w:color w:val="4C9F40"/>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 10 – Supplementary Financial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current assets and other current liabilities at December 31, 2010 and 2009 were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color w:val="auto"/>
              </w:rPr>
              <w:t>2010</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80" w:type="dxa"/>
            <w:vAlign w:val="bottom"/>
            <w:shd w:val="clear" w:color="auto" w:fill="E5E5E5"/>
          </w:tcPr>
          <w:p>
            <w:pPr>
              <w:spacing w:after="0" w:line="196" w:lineRule="exact"/>
              <w:rPr>
                <w:sz w:val="20"/>
                <w:szCs w:val="20"/>
                <w:color w:val="auto"/>
              </w:rPr>
            </w:pPr>
            <w:r>
              <w:rPr>
                <w:rFonts w:ascii="Arial" w:cs="Arial" w:eastAsia="Arial" w:hAnsi="Arial"/>
                <w:sz w:val="18"/>
                <w:szCs w:val="18"/>
                <w:b w:val="1"/>
                <w:bCs w:val="1"/>
                <w:color w:val="auto"/>
              </w:rPr>
              <w:t>Other Current Assets</w:t>
            </w:r>
          </w:p>
        </w:tc>
        <w:tc>
          <w:tcPr>
            <w:tcW w:w="26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52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4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5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gridSpan w:val="2"/>
          </w:tcPr>
          <w:p>
            <w:pPr>
              <w:spacing w:after="0" w:line="202" w:lineRule="exact"/>
              <w:rPr>
                <w:sz w:val="20"/>
                <w:szCs w:val="20"/>
                <w:color w:val="auto"/>
              </w:rPr>
            </w:pPr>
            <w:r>
              <w:rPr>
                <w:rFonts w:ascii="Arial" w:cs="Arial" w:eastAsia="Arial" w:hAnsi="Arial"/>
                <w:sz w:val="18"/>
                <w:szCs w:val="18"/>
                <w:color w:val="auto"/>
              </w:rPr>
              <w:t>Deferred taxes and income taxes receivable</w:t>
            </w:r>
          </w:p>
        </w:tc>
        <w:tc>
          <w:tcPr>
            <w:tcW w:w="2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gridSpan w:val="2"/>
          </w:tcPr>
          <w:p>
            <w:pPr>
              <w:jc w:val="right"/>
              <w:ind w:right="92"/>
              <w:spacing w:after="0" w:line="202" w:lineRule="exact"/>
              <w:rPr>
                <w:sz w:val="20"/>
                <w:szCs w:val="20"/>
                <w:color w:val="auto"/>
              </w:rPr>
            </w:pPr>
            <w:r>
              <w:rPr>
                <w:rFonts w:ascii="Arial" w:cs="Arial" w:eastAsia="Arial" w:hAnsi="Arial"/>
                <w:sz w:val="18"/>
                <w:szCs w:val="18"/>
                <w:color w:val="auto"/>
                <w:w w:val="99"/>
              </w:rPr>
              <w:t>345</w:t>
            </w:r>
          </w:p>
        </w:tc>
        <w:tc>
          <w:tcPr>
            <w:tcW w:w="20" w:type="dxa"/>
            <w:vAlign w:val="bottom"/>
          </w:tcPr>
          <w:p>
            <w:pPr>
              <w:spacing w:after="0"/>
              <w:rPr>
                <w:sz w:val="17"/>
                <w:szCs w:val="17"/>
                <w:color w:val="auto"/>
              </w:rPr>
            </w:pPr>
          </w:p>
        </w:tc>
        <w:tc>
          <w:tcPr>
            <w:tcW w:w="16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328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Royalties, license fees and software maintenance</w:t>
            </w:r>
          </w:p>
        </w:tc>
        <w:tc>
          <w:tcPr>
            <w:tcW w:w="26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52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4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500" w:type="dxa"/>
            <w:vAlign w:val="bottom"/>
            <w:gridSpan w:val="2"/>
            <w:shd w:val="clear" w:color="auto" w:fill="E5E5E5"/>
          </w:tcPr>
          <w:p>
            <w:pPr>
              <w:jc w:val="right"/>
              <w:ind w:right="92"/>
              <w:spacing w:after="0" w:line="202" w:lineRule="exact"/>
              <w:rPr>
                <w:sz w:val="20"/>
                <w:szCs w:val="20"/>
                <w:color w:val="auto"/>
              </w:rPr>
            </w:pPr>
            <w:r>
              <w:rPr>
                <w:rFonts w:ascii="Arial" w:cs="Arial" w:eastAsia="Arial" w:hAnsi="Arial"/>
                <w:sz w:val="18"/>
                <w:szCs w:val="18"/>
                <w:color w:val="auto"/>
                <w:w w:val="99"/>
              </w:rPr>
              <w:t>155</w:t>
            </w:r>
          </w:p>
        </w:tc>
        <w:tc>
          <w:tcPr>
            <w:tcW w:w="2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6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3"/>
        </w:trPr>
        <w:tc>
          <w:tcPr>
            <w:tcW w:w="6500" w:type="dxa"/>
            <w:vAlign w:val="bottom"/>
            <w:gridSpan w:val="2"/>
          </w:tcPr>
          <w:p>
            <w:pPr>
              <w:spacing w:after="0" w:line="202" w:lineRule="exact"/>
              <w:rPr>
                <w:sz w:val="20"/>
                <w:szCs w:val="20"/>
                <w:color w:val="auto"/>
              </w:rPr>
            </w:pPr>
            <w:r>
              <w:rPr>
                <w:rFonts w:ascii="Arial" w:cs="Arial" w:eastAsia="Arial" w:hAnsi="Arial"/>
                <w:sz w:val="18"/>
                <w:szCs w:val="18"/>
                <w:color w:val="auto"/>
              </w:rPr>
              <w:t>Restricted cash</w:t>
            </w:r>
          </w:p>
        </w:tc>
        <w:tc>
          <w:tcPr>
            <w:tcW w:w="2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gridSpan w:val="2"/>
          </w:tcPr>
          <w:p>
            <w:pPr>
              <w:jc w:val="right"/>
              <w:ind w:right="92"/>
              <w:spacing w:after="0" w:line="202" w:lineRule="exact"/>
              <w:rPr>
                <w:sz w:val="20"/>
                <w:szCs w:val="20"/>
                <w:color w:val="auto"/>
              </w:rPr>
            </w:pPr>
            <w:r>
              <w:rPr>
                <w:rFonts w:ascii="Arial" w:cs="Arial" w:eastAsia="Arial" w:hAnsi="Arial"/>
                <w:sz w:val="18"/>
                <w:szCs w:val="18"/>
                <w:color w:val="auto"/>
              </w:rPr>
              <w:t>91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Prepaid expenses</w:t>
            </w:r>
          </w:p>
        </w:tc>
        <w:tc>
          <w:tcPr>
            <w:tcW w:w="26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52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4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500" w:type="dxa"/>
            <w:vAlign w:val="bottom"/>
            <w:gridSpan w:val="2"/>
            <w:shd w:val="clear" w:color="auto" w:fill="E5E5E5"/>
          </w:tcPr>
          <w:p>
            <w:pPr>
              <w:jc w:val="right"/>
              <w:ind w:right="92"/>
              <w:spacing w:after="0" w:line="202" w:lineRule="exact"/>
              <w:rPr>
                <w:sz w:val="20"/>
                <w:szCs w:val="20"/>
                <w:color w:val="auto"/>
              </w:rPr>
            </w:pPr>
            <w:r>
              <w:rPr>
                <w:rFonts w:ascii="Arial" w:cs="Arial" w:eastAsia="Arial" w:hAnsi="Arial"/>
                <w:sz w:val="18"/>
                <w:szCs w:val="18"/>
                <w:color w:val="auto"/>
                <w:w w:val="99"/>
              </w:rPr>
              <w:t>133</w:t>
            </w:r>
          </w:p>
        </w:tc>
        <w:tc>
          <w:tcPr>
            <w:tcW w:w="2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6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3"/>
        </w:trPr>
        <w:tc>
          <w:tcPr>
            <w:tcW w:w="6500" w:type="dxa"/>
            <w:vAlign w:val="bottom"/>
            <w:gridSpan w:val="2"/>
          </w:tcPr>
          <w:p>
            <w:pPr>
              <w:spacing w:after="0" w:line="202" w:lineRule="exact"/>
              <w:rPr>
                <w:sz w:val="20"/>
                <w:szCs w:val="20"/>
                <w:color w:val="auto"/>
              </w:rPr>
            </w:pPr>
            <w:r>
              <w:rPr>
                <w:rFonts w:ascii="Arial" w:cs="Arial" w:eastAsia="Arial" w:hAnsi="Arial"/>
                <w:sz w:val="18"/>
                <w:szCs w:val="18"/>
                <w:color w:val="auto"/>
              </w:rPr>
              <w:t>Derivative instruments</w:t>
            </w:r>
          </w:p>
        </w:tc>
        <w:tc>
          <w:tcPr>
            <w:tcW w:w="2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gridSpan w:val="2"/>
          </w:tcPr>
          <w:p>
            <w:pPr>
              <w:jc w:val="right"/>
              <w:ind w:right="92"/>
              <w:spacing w:after="0" w:line="202" w:lineRule="exact"/>
              <w:rPr>
                <w:sz w:val="20"/>
                <w:szCs w:val="20"/>
                <w:color w:val="auto"/>
              </w:rPr>
            </w:pPr>
            <w:r>
              <w:rPr>
                <w:rFonts w:ascii="Arial" w:cs="Arial" w:eastAsia="Arial" w:hAnsi="Arial"/>
                <w:sz w:val="18"/>
                <w:szCs w:val="18"/>
                <w:color w:val="auto"/>
              </w:rPr>
              <w:t>45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Deferred purchase price from sale of receivables</w:t>
            </w:r>
          </w:p>
        </w:tc>
        <w:tc>
          <w:tcPr>
            <w:tcW w:w="26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52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4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500" w:type="dxa"/>
            <w:vAlign w:val="bottom"/>
            <w:gridSpan w:val="2"/>
            <w:shd w:val="clear" w:color="auto" w:fill="E5E5E5"/>
          </w:tcPr>
          <w:p>
            <w:pPr>
              <w:jc w:val="right"/>
              <w:ind w:right="92"/>
              <w:spacing w:after="0" w:line="202" w:lineRule="exact"/>
              <w:rPr>
                <w:sz w:val="20"/>
                <w:szCs w:val="20"/>
                <w:color w:val="auto"/>
              </w:rPr>
            </w:pPr>
            <w:r>
              <w:rPr>
                <w:rFonts w:ascii="Arial" w:cs="Arial" w:eastAsia="Arial" w:hAnsi="Arial"/>
                <w:sz w:val="18"/>
                <w:szCs w:val="18"/>
                <w:color w:val="auto"/>
              </w:rPr>
              <w:t>90</w:t>
            </w:r>
          </w:p>
        </w:tc>
        <w:tc>
          <w:tcPr>
            <w:tcW w:w="2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6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500" w:type="dxa"/>
            <w:vAlign w:val="bottom"/>
            <w:gridSpan w:val="2"/>
          </w:tcPr>
          <w:p>
            <w:pPr>
              <w:spacing w:after="0" w:line="202" w:lineRule="exact"/>
              <w:rPr>
                <w:sz w:val="20"/>
                <w:szCs w:val="20"/>
                <w:color w:val="auto"/>
              </w:rPr>
            </w:pPr>
            <w:r>
              <w:rPr>
                <w:rFonts w:ascii="Arial" w:cs="Arial" w:eastAsia="Arial" w:hAnsi="Arial"/>
                <w:sz w:val="18"/>
                <w:szCs w:val="18"/>
                <w:color w:val="auto"/>
              </w:rPr>
              <w:t>Advances and deposits</w:t>
            </w:r>
          </w:p>
        </w:tc>
        <w:tc>
          <w:tcPr>
            <w:tcW w:w="2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gridSpan w:val="2"/>
          </w:tcPr>
          <w:p>
            <w:pPr>
              <w:jc w:val="right"/>
              <w:ind w:right="92"/>
              <w:spacing w:after="0" w:line="202"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Other</w:t>
            </w:r>
          </w:p>
        </w:tc>
        <w:tc>
          <w:tcPr>
            <w:tcW w:w="26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52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4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500" w:type="dxa"/>
            <w:vAlign w:val="bottom"/>
            <w:gridSpan w:val="2"/>
            <w:shd w:val="clear" w:color="auto" w:fill="E5E5E5"/>
          </w:tcPr>
          <w:p>
            <w:pPr>
              <w:jc w:val="right"/>
              <w:ind w:right="92"/>
              <w:spacing w:after="0" w:line="202" w:lineRule="exact"/>
              <w:rPr>
                <w:sz w:val="20"/>
                <w:szCs w:val="20"/>
                <w:color w:val="auto"/>
              </w:rPr>
            </w:pPr>
            <w:r>
              <w:rPr>
                <w:rFonts w:ascii="Arial" w:cs="Arial" w:eastAsia="Arial" w:hAnsi="Arial"/>
                <w:sz w:val="18"/>
                <w:szCs w:val="18"/>
                <w:color w:val="auto"/>
                <w:w w:val="99"/>
              </w:rPr>
              <w:t>244</w:t>
            </w:r>
          </w:p>
        </w:tc>
        <w:tc>
          <w:tcPr>
            <w:tcW w:w="2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5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205</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Total Other Current Assets</w:t>
            </w:r>
          </w:p>
        </w:tc>
        <w:tc>
          <w:tcPr>
            <w:tcW w:w="2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vMerge w:val="continue"/>
          </w:tcPr>
          <w:p>
            <w:pPr>
              <w:spacing w:after="0"/>
              <w:rPr>
                <w:sz w:val="18"/>
                <w:szCs w:val="18"/>
                <w:color w:val="auto"/>
              </w:rPr>
            </w:pP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4"/>
          </w:tcPr>
          <w:p>
            <w:pPr>
              <w:jc w:val="right"/>
              <w:ind w:right="92"/>
              <w:spacing w:after="0"/>
              <w:rPr>
                <w:sz w:val="20"/>
                <w:szCs w:val="20"/>
                <w:color w:val="auto"/>
              </w:rPr>
            </w:pPr>
            <w:r>
              <w:rPr>
                <w:rFonts w:ascii="Arial" w:cs="Arial" w:eastAsia="Arial" w:hAnsi="Arial"/>
                <w:sz w:val="18"/>
                <w:szCs w:val="18"/>
                <w:color w:val="auto"/>
              </w:rPr>
              <w:t>1,126</w:t>
            </w:r>
          </w:p>
        </w:tc>
        <w:tc>
          <w:tcPr>
            <w:tcW w:w="20" w:type="dxa"/>
            <w:vAlign w:val="bottom"/>
          </w:tcPr>
          <w:p>
            <w:pPr>
              <w:spacing w:after="0"/>
              <w:rPr>
                <w:sz w:val="18"/>
                <w:szCs w:val="18"/>
                <w:color w:val="auto"/>
              </w:rPr>
            </w:pPr>
          </w:p>
        </w:tc>
        <w:tc>
          <w:tcPr>
            <w:tcW w:w="160" w:type="dxa"/>
            <w:vAlign w:val="bottom"/>
            <w:gridSpan w:val="3"/>
          </w:tcPr>
          <w:p>
            <w:pPr>
              <w:jc w:val="right"/>
              <w:ind w:right="4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648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48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Other Current Liabilities</w:t>
            </w:r>
          </w:p>
        </w:tc>
        <w:tc>
          <w:tcPr>
            <w:tcW w:w="26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52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4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5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gridSpan w:val="2"/>
          </w:tcPr>
          <w:p>
            <w:pPr>
              <w:spacing w:after="0" w:line="202" w:lineRule="exact"/>
              <w:rPr>
                <w:sz w:val="20"/>
                <w:szCs w:val="20"/>
                <w:color w:val="auto"/>
              </w:rPr>
            </w:pPr>
            <w:r>
              <w:rPr>
                <w:rFonts w:ascii="Arial" w:cs="Arial" w:eastAsia="Arial" w:hAnsi="Arial"/>
                <w:sz w:val="18"/>
                <w:szCs w:val="18"/>
                <w:color w:val="auto"/>
              </w:rPr>
              <w:t>Deferred taxes and income taxes payable</w:t>
            </w:r>
          </w:p>
        </w:tc>
        <w:tc>
          <w:tcPr>
            <w:tcW w:w="2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gridSpan w:val="2"/>
          </w:tcPr>
          <w:p>
            <w:pPr>
              <w:jc w:val="right"/>
              <w:ind w:right="92"/>
              <w:spacing w:after="0" w:line="202" w:lineRule="exact"/>
              <w:rPr>
                <w:sz w:val="20"/>
                <w:szCs w:val="20"/>
                <w:color w:val="auto"/>
              </w:rPr>
            </w:pPr>
            <w:r>
              <w:rPr>
                <w:rFonts w:ascii="Arial" w:cs="Arial" w:eastAsia="Arial" w:hAnsi="Arial"/>
                <w:sz w:val="18"/>
                <w:szCs w:val="18"/>
                <w:color w:val="auto"/>
              </w:rPr>
              <w:t>59</w:t>
            </w:r>
          </w:p>
        </w:tc>
        <w:tc>
          <w:tcPr>
            <w:tcW w:w="20" w:type="dxa"/>
            <w:vAlign w:val="bottom"/>
          </w:tcPr>
          <w:p>
            <w:pPr>
              <w:spacing w:after="0"/>
              <w:rPr>
                <w:sz w:val="17"/>
                <w:szCs w:val="17"/>
                <w:color w:val="auto"/>
              </w:rPr>
            </w:pPr>
          </w:p>
        </w:tc>
        <w:tc>
          <w:tcPr>
            <w:tcW w:w="16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Other taxes payable</w:t>
            </w:r>
          </w:p>
        </w:tc>
        <w:tc>
          <w:tcPr>
            <w:tcW w:w="26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52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4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500" w:type="dxa"/>
            <w:vAlign w:val="bottom"/>
            <w:gridSpan w:val="2"/>
            <w:shd w:val="clear" w:color="auto" w:fill="E5E5E5"/>
          </w:tcPr>
          <w:p>
            <w:pPr>
              <w:jc w:val="right"/>
              <w:ind w:right="92"/>
              <w:spacing w:after="0" w:line="202" w:lineRule="exact"/>
              <w:rPr>
                <w:sz w:val="20"/>
                <w:szCs w:val="20"/>
                <w:color w:val="auto"/>
              </w:rPr>
            </w:pPr>
            <w:r>
              <w:rPr>
                <w:rFonts w:ascii="Arial" w:cs="Arial" w:eastAsia="Arial" w:hAnsi="Arial"/>
                <w:sz w:val="18"/>
                <w:szCs w:val="18"/>
                <w:color w:val="auto"/>
                <w:w w:val="99"/>
              </w:rPr>
              <w:t>177</w:t>
            </w:r>
          </w:p>
        </w:tc>
        <w:tc>
          <w:tcPr>
            <w:tcW w:w="2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5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161</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gridSpan w:val="2"/>
          </w:tcPr>
          <w:p>
            <w:pPr>
              <w:spacing w:after="0" w:line="202" w:lineRule="exact"/>
              <w:rPr>
                <w:sz w:val="20"/>
                <w:szCs w:val="20"/>
                <w:color w:val="auto"/>
              </w:rPr>
            </w:pPr>
            <w:r>
              <w:rPr>
                <w:rFonts w:ascii="Arial" w:cs="Arial" w:eastAsia="Arial" w:hAnsi="Arial"/>
                <w:sz w:val="18"/>
                <w:szCs w:val="18"/>
                <w:color w:val="auto"/>
              </w:rPr>
              <w:t>Interest payable</w:t>
            </w:r>
          </w:p>
        </w:tc>
        <w:tc>
          <w:tcPr>
            <w:tcW w:w="2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gridSpan w:val="2"/>
          </w:tcPr>
          <w:p>
            <w:pPr>
              <w:jc w:val="right"/>
              <w:ind w:right="92"/>
              <w:spacing w:after="0" w:line="202" w:lineRule="exact"/>
              <w:rPr>
                <w:sz w:val="20"/>
                <w:szCs w:val="20"/>
                <w:color w:val="auto"/>
              </w:rPr>
            </w:pPr>
            <w:r>
              <w:rPr>
                <w:rFonts w:ascii="Arial" w:cs="Arial" w:eastAsia="Arial" w:hAnsi="Arial"/>
                <w:sz w:val="18"/>
                <w:szCs w:val="18"/>
                <w:color w:val="auto"/>
                <w:w w:val="99"/>
              </w:rPr>
              <w:t>122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Restructuring reserves</w:t>
            </w:r>
          </w:p>
        </w:tc>
        <w:tc>
          <w:tcPr>
            <w:tcW w:w="26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52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4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500" w:type="dxa"/>
            <w:vAlign w:val="bottom"/>
            <w:gridSpan w:val="2"/>
            <w:shd w:val="clear" w:color="auto" w:fill="E5E5E5"/>
          </w:tcPr>
          <w:p>
            <w:pPr>
              <w:jc w:val="right"/>
              <w:ind w:right="92"/>
              <w:spacing w:after="0" w:line="202" w:lineRule="exact"/>
              <w:rPr>
                <w:sz w:val="20"/>
                <w:szCs w:val="20"/>
                <w:color w:val="auto"/>
              </w:rPr>
            </w:pPr>
            <w:r>
              <w:rPr>
                <w:rFonts w:ascii="Arial" w:cs="Arial" w:eastAsia="Arial" w:hAnsi="Arial"/>
                <w:sz w:val="18"/>
                <w:szCs w:val="18"/>
                <w:color w:val="auto"/>
                <w:w w:val="99"/>
              </w:rPr>
              <w:t>309</w:t>
            </w:r>
          </w:p>
        </w:tc>
        <w:tc>
          <w:tcPr>
            <w:tcW w:w="2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6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3"/>
        </w:trPr>
        <w:tc>
          <w:tcPr>
            <w:tcW w:w="6500" w:type="dxa"/>
            <w:vAlign w:val="bottom"/>
            <w:gridSpan w:val="2"/>
          </w:tcPr>
          <w:p>
            <w:pPr>
              <w:spacing w:after="0" w:line="202" w:lineRule="exact"/>
              <w:rPr>
                <w:sz w:val="20"/>
                <w:szCs w:val="20"/>
                <w:color w:val="auto"/>
              </w:rPr>
            </w:pPr>
            <w:r>
              <w:rPr>
                <w:rFonts w:ascii="Arial" w:cs="Arial" w:eastAsia="Arial" w:hAnsi="Arial"/>
                <w:sz w:val="18"/>
                <w:szCs w:val="18"/>
                <w:color w:val="auto"/>
              </w:rPr>
              <w:t>Derivative instruments</w:t>
            </w:r>
          </w:p>
        </w:tc>
        <w:tc>
          <w:tcPr>
            <w:tcW w:w="2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gridSpan w:val="2"/>
          </w:tcPr>
          <w:p>
            <w:pPr>
              <w:jc w:val="right"/>
              <w:ind w:right="92"/>
              <w:spacing w:after="0" w:line="202" w:lineRule="exact"/>
              <w:rPr>
                <w:sz w:val="20"/>
                <w:szCs w:val="20"/>
                <w:color w:val="auto"/>
              </w:rPr>
            </w:pPr>
            <w:r>
              <w:rPr>
                <w:rFonts w:ascii="Arial" w:cs="Arial" w:eastAsia="Arial" w:hAnsi="Arial"/>
                <w:sz w:val="18"/>
                <w:szCs w:val="18"/>
                <w:color w:val="auto"/>
              </w:rPr>
              <w:t>19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Product warranties</w:t>
            </w:r>
          </w:p>
        </w:tc>
        <w:tc>
          <w:tcPr>
            <w:tcW w:w="26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52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4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500" w:type="dxa"/>
            <w:vAlign w:val="bottom"/>
            <w:gridSpan w:val="2"/>
            <w:shd w:val="clear" w:color="auto" w:fill="E5E5E5"/>
          </w:tcPr>
          <w:p>
            <w:pPr>
              <w:jc w:val="right"/>
              <w:ind w:right="92"/>
              <w:spacing w:after="0" w:line="202" w:lineRule="exact"/>
              <w:rPr>
                <w:sz w:val="20"/>
                <w:szCs w:val="20"/>
                <w:color w:val="auto"/>
              </w:rPr>
            </w:pPr>
            <w:r>
              <w:rPr>
                <w:rFonts w:ascii="Arial" w:cs="Arial" w:eastAsia="Arial" w:hAnsi="Arial"/>
                <w:sz w:val="18"/>
                <w:szCs w:val="18"/>
                <w:color w:val="auto"/>
              </w:rPr>
              <w:t>17</w:t>
            </w:r>
          </w:p>
        </w:tc>
        <w:tc>
          <w:tcPr>
            <w:tcW w:w="2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6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3"/>
        </w:trPr>
        <w:tc>
          <w:tcPr>
            <w:tcW w:w="6500" w:type="dxa"/>
            <w:vAlign w:val="bottom"/>
            <w:gridSpan w:val="2"/>
          </w:tcPr>
          <w:p>
            <w:pPr>
              <w:spacing w:after="0" w:line="202" w:lineRule="exact"/>
              <w:rPr>
                <w:sz w:val="20"/>
                <w:szCs w:val="20"/>
                <w:color w:val="auto"/>
              </w:rPr>
            </w:pPr>
            <w:r>
              <w:rPr>
                <w:rFonts w:ascii="Arial" w:cs="Arial" w:eastAsia="Arial" w:hAnsi="Arial"/>
                <w:sz w:val="18"/>
                <w:szCs w:val="18"/>
                <w:color w:val="auto"/>
              </w:rPr>
              <w:t>Dividends payable</w:t>
            </w:r>
          </w:p>
        </w:tc>
        <w:tc>
          <w:tcPr>
            <w:tcW w:w="2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gridSpan w:val="2"/>
          </w:tcPr>
          <w:p>
            <w:pPr>
              <w:jc w:val="right"/>
              <w:ind w:right="92"/>
              <w:spacing w:after="0" w:line="202" w:lineRule="exact"/>
              <w:rPr>
                <w:sz w:val="20"/>
                <w:szCs w:val="20"/>
                <w:color w:val="auto"/>
              </w:rPr>
            </w:pPr>
            <w:r>
              <w:rPr>
                <w:rFonts w:ascii="Arial" w:cs="Arial" w:eastAsia="Arial" w:hAnsi="Arial"/>
                <w:sz w:val="18"/>
                <w:szCs w:val="18"/>
                <w:color w:val="auto"/>
              </w:rPr>
              <w:t>74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Distributor and reseller rebates/commissions</w:t>
            </w:r>
          </w:p>
        </w:tc>
        <w:tc>
          <w:tcPr>
            <w:tcW w:w="26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52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4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500" w:type="dxa"/>
            <w:vAlign w:val="bottom"/>
            <w:gridSpan w:val="2"/>
            <w:shd w:val="clear" w:color="auto" w:fill="E5E5E5"/>
          </w:tcPr>
          <w:p>
            <w:pPr>
              <w:jc w:val="right"/>
              <w:ind w:right="92"/>
              <w:spacing w:after="0" w:line="202" w:lineRule="exact"/>
              <w:rPr>
                <w:sz w:val="20"/>
                <w:szCs w:val="20"/>
                <w:color w:val="auto"/>
              </w:rPr>
            </w:pPr>
            <w:r>
              <w:rPr>
                <w:rFonts w:ascii="Arial" w:cs="Arial" w:eastAsia="Arial" w:hAnsi="Arial"/>
                <w:sz w:val="18"/>
                <w:szCs w:val="18"/>
                <w:color w:val="auto"/>
                <w:w w:val="99"/>
              </w:rPr>
              <w:t>105</w:t>
            </w:r>
          </w:p>
        </w:tc>
        <w:tc>
          <w:tcPr>
            <w:tcW w:w="2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5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127</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gridSpan w:val="2"/>
          </w:tcPr>
          <w:p>
            <w:pPr>
              <w:spacing w:after="0" w:line="202" w:lineRule="exact"/>
              <w:rPr>
                <w:sz w:val="20"/>
                <w:szCs w:val="20"/>
                <w:color w:val="auto"/>
              </w:rPr>
            </w:pPr>
            <w:r>
              <w:rPr>
                <w:rFonts w:ascii="Arial" w:cs="Arial" w:eastAsia="Arial" w:hAnsi="Arial"/>
                <w:sz w:val="18"/>
                <w:szCs w:val="18"/>
                <w:color w:val="auto"/>
              </w:rPr>
              <w:t>Other</w:t>
            </w:r>
          </w:p>
        </w:tc>
        <w:tc>
          <w:tcPr>
            <w:tcW w:w="2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gridSpan w:val="2"/>
          </w:tcPr>
          <w:p>
            <w:pPr>
              <w:jc w:val="right"/>
              <w:ind w:right="92"/>
              <w:spacing w:after="0" w:line="202" w:lineRule="exact"/>
              <w:rPr>
                <w:sz w:val="20"/>
                <w:szCs w:val="20"/>
                <w:color w:val="auto"/>
              </w:rPr>
            </w:pPr>
            <w:r>
              <w:rPr>
                <w:rFonts w:ascii="Arial" w:cs="Arial" w:eastAsia="Arial" w:hAnsi="Arial"/>
                <w:sz w:val="18"/>
                <w:szCs w:val="18"/>
                <w:color w:val="auto"/>
                <w:w w:val="99"/>
              </w:rPr>
              <w:t>925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517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E5E5E5"/>
          </w:tcPr>
          <w:p>
            <w:pPr>
              <w:ind w:left="420"/>
              <w:spacing w:after="0" w:line="202" w:lineRule="exact"/>
              <w:rPr>
                <w:sz w:val="20"/>
                <w:szCs w:val="20"/>
                <w:color w:val="auto"/>
              </w:rPr>
            </w:pPr>
            <w:r>
              <w:rPr>
                <w:rFonts w:ascii="Arial" w:cs="Arial" w:eastAsia="Arial" w:hAnsi="Arial"/>
                <w:sz w:val="18"/>
                <w:szCs w:val="18"/>
                <w:b w:val="1"/>
                <w:bCs w:val="1"/>
                <w:color w:val="auto"/>
              </w:rPr>
              <w:t>Total Other Current Liabilities</w:t>
            </w:r>
          </w:p>
        </w:tc>
        <w:tc>
          <w:tcPr>
            <w:tcW w:w="26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52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gridSpan w:val="4"/>
            <w:shd w:val="clear" w:color="auto" w:fill="E5E5E5"/>
          </w:tcPr>
          <w:p>
            <w:pPr>
              <w:jc w:val="right"/>
              <w:ind w:right="92"/>
              <w:spacing w:after="0" w:line="202" w:lineRule="exact"/>
              <w:rPr>
                <w:sz w:val="20"/>
                <w:szCs w:val="20"/>
                <w:color w:val="auto"/>
              </w:rPr>
            </w:pPr>
            <w:r>
              <w:rPr>
                <w:rFonts w:ascii="Arial" w:cs="Arial" w:eastAsia="Arial" w:hAnsi="Arial"/>
                <w:sz w:val="18"/>
                <w:szCs w:val="18"/>
                <w:color w:val="auto"/>
              </w:rPr>
              <w:t>1,807</w:t>
            </w:r>
          </w:p>
        </w:tc>
        <w:tc>
          <w:tcPr>
            <w:tcW w:w="20" w:type="dxa"/>
            <w:vAlign w:val="bottom"/>
            <w:shd w:val="clear" w:color="auto" w:fill="E5E5E5"/>
          </w:tcPr>
          <w:p>
            <w:pPr>
              <w:spacing w:after="0"/>
              <w:rPr>
                <w:sz w:val="17"/>
                <w:szCs w:val="17"/>
                <w:color w:val="auto"/>
              </w:rPr>
            </w:pPr>
          </w:p>
        </w:tc>
        <w:tc>
          <w:tcPr>
            <w:tcW w:w="160" w:type="dxa"/>
            <w:vAlign w:val="bottom"/>
            <w:gridSpan w:val="3"/>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20"/>
        </w:trPr>
        <w:tc>
          <w:tcPr>
            <w:tcW w:w="9800" w:type="dxa"/>
            <w:vAlign w:val="bottom"/>
            <w:gridSpan w:val="6"/>
            <w:vMerge w:val="restart"/>
          </w:tcPr>
          <w:p>
            <w:pPr>
              <w:spacing w:after="0"/>
              <w:rPr>
                <w:sz w:val="20"/>
                <w:szCs w:val="20"/>
                <w:color w:val="auto"/>
              </w:rPr>
            </w:pPr>
            <w:r>
              <w:rPr>
                <w:rFonts w:ascii="Arial" w:cs="Arial" w:eastAsia="Arial" w:hAnsi="Arial"/>
                <w:sz w:val="18"/>
                <w:szCs w:val="18"/>
                <w:color w:val="auto"/>
              </w:rPr>
              <w:t>The components of other long-term assets and other long-term liabilities at December 31, 2010 and 2009 were as follows: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9800" w:type="dxa"/>
            <w:vAlign w:val="bottom"/>
            <w:gridSpan w:val="6"/>
            <w:vMerge w:val="continue"/>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2010</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4"/>
                <w:szCs w:val="14"/>
                <w:color w:val="auto"/>
                <w:w w:val="96"/>
              </w:rPr>
              <w:t>2009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80" w:type="dxa"/>
            <w:vAlign w:val="bottom"/>
            <w:shd w:val="clear" w:color="auto" w:fill="E5E5E5"/>
          </w:tcPr>
          <w:p>
            <w:pPr>
              <w:spacing w:after="0" w:line="196" w:lineRule="exact"/>
              <w:rPr>
                <w:sz w:val="20"/>
                <w:szCs w:val="20"/>
                <w:color w:val="auto"/>
              </w:rPr>
            </w:pPr>
            <w:r>
              <w:rPr>
                <w:rFonts w:ascii="Arial" w:cs="Arial" w:eastAsia="Arial" w:hAnsi="Arial"/>
                <w:sz w:val="18"/>
                <w:szCs w:val="18"/>
                <w:b w:val="1"/>
                <w:bCs w:val="1"/>
                <w:color w:val="auto"/>
              </w:rPr>
              <w:t>Other Long-term Assets</w:t>
            </w:r>
          </w:p>
        </w:tc>
        <w:tc>
          <w:tcPr>
            <w:tcW w:w="26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52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4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gridSpan w:val="2"/>
          </w:tcPr>
          <w:p>
            <w:pPr>
              <w:spacing w:after="0" w:line="202" w:lineRule="exact"/>
              <w:rPr>
                <w:sz w:val="20"/>
                <w:szCs w:val="20"/>
                <w:color w:val="auto"/>
              </w:rPr>
            </w:pPr>
            <w:r>
              <w:rPr>
                <w:rFonts w:ascii="Arial" w:cs="Arial" w:eastAsia="Arial" w:hAnsi="Arial"/>
                <w:sz w:val="18"/>
                <w:szCs w:val="18"/>
                <w:color w:val="auto"/>
              </w:rPr>
              <w:t>Prepaid pension costs</w:t>
            </w:r>
          </w:p>
        </w:tc>
        <w:tc>
          <w:tcPr>
            <w:tcW w:w="2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92</w:t>
            </w:r>
          </w:p>
        </w:tc>
        <w:tc>
          <w:tcPr>
            <w:tcW w:w="140" w:type="dxa"/>
            <w:vAlign w:val="bottom"/>
          </w:tcPr>
          <w:p>
            <w:pPr>
              <w:spacing w:after="0"/>
              <w:rPr>
                <w:sz w:val="17"/>
                <w:szCs w:val="17"/>
                <w:color w:val="auto"/>
              </w:rPr>
            </w:pPr>
          </w:p>
        </w:tc>
        <w:tc>
          <w:tcPr>
            <w:tcW w:w="18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w:t>
            </w:r>
          </w:p>
        </w:tc>
        <w:tc>
          <w:tcPr>
            <w:tcW w:w="52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155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E5E5E5"/>
          </w:tcPr>
          <w:p>
            <w:pPr>
              <w:spacing w:after="0" w:line="203" w:lineRule="exact"/>
              <w:rPr>
                <w:sz w:val="20"/>
                <w:szCs w:val="20"/>
                <w:color w:val="auto"/>
              </w:rPr>
            </w:pPr>
            <w:r>
              <w:rPr>
                <w:rFonts w:ascii="Arial" w:cs="Arial" w:eastAsia="Arial" w:hAnsi="Arial"/>
                <w:sz w:val="18"/>
                <w:szCs w:val="18"/>
                <w:color w:val="auto"/>
              </w:rPr>
              <w:t xml:space="preserve">Net investment in discontinued operations </w:t>
            </w:r>
            <w:r>
              <w:rPr>
                <w:rFonts w:ascii="Arial" w:cs="Arial" w:eastAsia="Arial" w:hAnsi="Arial"/>
                <w:sz w:val="22"/>
                <w:szCs w:val="22"/>
                <w:color w:val="auto"/>
                <w:vertAlign w:val="superscript"/>
              </w:rPr>
              <w:t>(1)</w:t>
            </w:r>
          </w:p>
        </w:tc>
        <w:tc>
          <w:tcPr>
            <w:tcW w:w="26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5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224</w:t>
            </w:r>
          </w:p>
        </w:tc>
        <w:tc>
          <w:tcPr>
            <w:tcW w:w="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4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520" w:type="dxa"/>
            <w:vAlign w:val="bottom"/>
            <w:gridSpan w:val="3"/>
            <w:shd w:val="clear" w:color="auto" w:fill="E5E5E5"/>
          </w:tcPr>
          <w:p>
            <w:pPr>
              <w:jc w:val="right"/>
              <w:ind w:right="20"/>
              <w:spacing w:after="0" w:line="202" w:lineRule="exact"/>
              <w:rPr>
                <w:sz w:val="20"/>
                <w:szCs w:val="20"/>
                <w:color w:val="auto"/>
              </w:rPr>
            </w:pPr>
            <w:r>
              <w:rPr>
                <w:rFonts w:ascii="Arial" w:cs="Arial" w:eastAsia="Arial" w:hAnsi="Arial"/>
                <w:sz w:val="18"/>
                <w:szCs w:val="18"/>
                <w:color w:val="auto"/>
              </w:rPr>
              <w:t>240</w:t>
            </w:r>
          </w:p>
        </w:tc>
        <w:tc>
          <w:tcPr>
            <w:tcW w:w="2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gridSpan w:val="2"/>
          </w:tcPr>
          <w:p>
            <w:pPr>
              <w:spacing w:after="0" w:line="202" w:lineRule="exact"/>
              <w:rPr>
                <w:sz w:val="20"/>
                <w:szCs w:val="20"/>
                <w:color w:val="auto"/>
              </w:rPr>
            </w:pPr>
            <w:r>
              <w:rPr>
                <w:rFonts w:ascii="Arial" w:cs="Arial" w:eastAsia="Arial" w:hAnsi="Arial"/>
                <w:sz w:val="18"/>
                <w:szCs w:val="18"/>
                <w:color w:val="auto"/>
              </w:rPr>
              <w:t>Internal use software, net</w:t>
            </w:r>
          </w:p>
        </w:tc>
        <w:tc>
          <w:tcPr>
            <w:tcW w:w="2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468</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354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Product software, net</w:t>
            </w:r>
          </w:p>
        </w:tc>
        <w:tc>
          <w:tcPr>
            <w:tcW w:w="26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5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145</w:t>
            </w:r>
          </w:p>
        </w:tc>
        <w:tc>
          <w:tcPr>
            <w:tcW w:w="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4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520" w:type="dxa"/>
            <w:vAlign w:val="bottom"/>
            <w:gridSpan w:val="3"/>
            <w:shd w:val="clear" w:color="auto" w:fill="E5E5E5"/>
          </w:tcPr>
          <w:p>
            <w:pPr>
              <w:jc w:val="right"/>
              <w:ind w:right="20"/>
              <w:spacing w:after="0" w:line="202" w:lineRule="exact"/>
              <w:rPr>
                <w:sz w:val="20"/>
                <w:szCs w:val="20"/>
                <w:color w:val="auto"/>
              </w:rPr>
            </w:pPr>
            <w:r>
              <w:rPr>
                <w:rFonts w:ascii="Arial" w:cs="Arial" w:eastAsia="Arial" w:hAnsi="Arial"/>
                <w:sz w:val="18"/>
                <w:szCs w:val="18"/>
                <w:color w:val="auto"/>
              </w:rPr>
              <w:t>10</w:t>
            </w:r>
          </w:p>
        </w:tc>
        <w:tc>
          <w:tcPr>
            <w:tcW w:w="2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gridSpan w:val="2"/>
          </w:tcPr>
          <w:p>
            <w:pPr>
              <w:spacing w:after="0" w:line="202" w:lineRule="exact"/>
              <w:rPr>
                <w:sz w:val="20"/>
                <w:szCs w:val="20"/>
                <w:color w:val="auto"/>
              </w:rPr>
            </w:pPr>
            <w:r>
              <w:rPr>
                <w:rFonts w:ascii="Arial" w:cs="Arial" w:eastAsia="Arial" w:hAnsi="Arial"/>
                <w:sz w:val="18"/>
                <w:szCs w:val="18"/>
                <w:color w:val="auto"/>
              </w:rPr>
              <w:t>Restricted cash</w:t>
            </w:r>
          </w:p>
        </w:tc>
        <w:tc>
          <w:tcPr>
            <w:tcW w:w="2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280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258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Debt issuance costs, net</w:t>
            </w:r>
          </w:p>
        </w:tc>
        <w:tc>
          <w:tcPr>
            <w:tcW w:w="26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54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color w:val="auto"/>
              </w:rPr>
              <w:t>42</w:t>
            </w:r>
          </w:p>
        </w:tc>
        <w:tc>
          <w:tcPr>
            <w:tcW w:w="140" w:type="dxa"/>
            <w:vAlign w:val="bottom"/>
            <w:shd w:val="clear" w:color="auto" w:fill="E5E5E5"/>
          </w:tcPr>
          <w:p>
            <w:pPr>
              <w:spacing w:after="0"/>
              <w:rPr>
                <w:sz w:val="17"/>
                <w:szCs w:val="17"/>
                <w:color w:val="auto"/>
              </w:rPr>
            </w:pPr>
          </w:p>
        </w:tc>
        <w:tc>
          <w:tcPr>
            <w:tcW w:w="4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520" w:type="dxa"/>
            <w:vAlign w:val="bottom"/>
            <w:gridSpan w:val="3"/>
            <w:shd w:val="clear" w:color="auto" w:fill="E5E5E5"/>
          </w:tcPr>
          <w:p>
            <w:pPr>
              <w:jc w:val="right"/>
              <w:ind w:right="20"/>
              <w:spacing w:after="0" w:line="202" w:lineRule="exact"/>
              <w:rPr>
                <w:sz w:val="20"/>
                <w:szCs w:val="20"/>
                <w:color w:val="auto"/>
              </w:rPr>
            </w:pPr>
            <w:r>
              <w:rPr>
                <w:rFonts w:ascii="Arial" w:cs="Arial" w:eastAsia="Arial" w:hAnsi="Arial"/>
                <w:sz w:val="18"/>
                <w:szCs w:val="18"/>
                <w:color w:val="auto"/>
              </w:rPr>
              <w:t>62</w:t>
            </w:r>
          </w:p>
        </w:tc>
        <w:tc>
          <w:tcPr>
            <w:tcW w:w="2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gridSpan w:val="2"/>
          </w:tcPr>
          <w:p>
            <w:pPr>
              <w:spacing w:after="0" w:line="202" w:lineRule="exact"/>
              <w:rPr>
                <w:sz w:val="20"/>
                <w:szCs w:val="20"/>
                <w:color w:val="auto"/>
              </w:rPr>
            </w:pPr>
            <w:r>
              <w:rPr>
                <w:rFonts w:ascii="Arial" w:cs="Arial" w:eastAsia="Arial" w:hAnsi="Arial"/>
                <w:sz w:val="18"/>
                <w:szCs w:val="18"/>
                <w:color w:val="auto"/>
              </w:rPr>
              <w:t>Customer contract costs, net</w:t>
            </w:r>
          </w:p>
        </w:tc>
        <w:tc>
          <w:tcPr>
            <w:tcW w:w="2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134</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Derivative instruments</w:t>
            </w:r>
          </w:p>
        </w:tc>
        <w:tc>
          <w:tcPr>
            <w:tcW w:w="26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54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color w:val="auto"/>
              </w:rPr>
              <w:t>11</w:t>
            </w:r>
          </w:p>
        </w:tc>
        <w:tc>
          <w:tcPr>
            <w:tcW w:w="140" w:type="dxa"/>
            <w:vAlign w:val="bottom"/>
            <w:shd w:val="clear" w:color="auto" w:fill="E5E5E5"/>
          </w:tcPr>
          <w:p>
            <w:pPr>
              <w:spacing w:after="0"/>
              <w:rPr>
                <w:sz w:val="17"/>
                <w:szCs w:val="17"/>
                <w:color w:val="auto"/>
              </w:rPr>
            </w:pPr>
          </w:p>
        </w:tc>
        <w:tc>
          <w:tcPr>
            <w:tcW w:w="4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520" w:type="dxa"/>
            <w:vAlign w:val="bottom"/>
            <w:gridSpan w:val="3"/>
            <w:shd w:val="clear" w:color="auto" w:fill="E5E5E5"/>
          </w:tcPr>
          <w:p>
            <w:pPr>
              <w:jc w:val="right"/>
              <w:ind w:right="20"/>
              <w:spacing w:after="0" w:line="202" w:lineRule="exact"/>
              <w:rPr>
                <w:sz w:val="20"/>
                <w:szCs w:val="20"/>
                <w:color w:val="auto"/>
              </w:rPr>
            </w:pPr>
            <w:r>
              <w:rPr>
                <w:rFonts w:ascii="Arial" w:cs="Arial" w:eastAsia="Arial" w:hAnsi="Arial"/>
                <w:sz w:val="18"/>
                <w:szCs w:val="18"/>
                <w:color w:val="auto"/>
              </w:rPr>
              <w:t>10</w:t>
            </w:r>
          </w:p>
        </w:tc>
        <w:tc>
          <w:tcPr>
            <w:tcW w:w="2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gridSpan w:val="2"/>
          </w:tcPr>
          <w:p>
            <w:pPr>
              <w:spacing w:after="0" w:line="202" w:lineRule="exact"/>
              <w:rPr>
                <w:sz w:val="20"/>
                <w:szCs w:val="20"/>
                <w:color w:val="auto"/>
              </w:rPr>
            </w:pPr>
            <w:r>
              <w:rPr>
                <w:rFonts w:ascii="Arial" w:cs="Arial" w:eastAsia="Arial" w:hAnsi="Arial"/>
                <w:sz w:val="18"/>
                <w:szCs w:val="18"/>
                <w:color w:val="auto"/>
              </w:rPr>
              <w:t>Other</w:t>
            </w:r>
          </w:p>
        </w:tc>
        <w:tc>
          <w:tcPr>
            <w:tcW w:w="2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378</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231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E5E5E5"/>
          </w:tcPr>
          <w:p>
            <w:pPr>
              <w:ind w:left="420"/>
              <w:spacing w:after="0" w:line="202" w:lineRule="exact"/>
              <w:rPr>
                <w:sz w:val="20"/>
                <w:szCs w:val="20"/>
                <w:color w:val="auto"/>
              </w:rPr>
            </w:pPr>
            <w:r>
              <w:rPr>
                <w:rFonts w:ascii="Arial" w:cs="Arial" w:eastAsia="Arial" w:hAnsi="Arial"/>
                <w:sz w:val="18"/>
                <w:szCs w:val="18"/>
                <w:b w:val="1"/>
                <w:bCs w:val="1"/>
                <w:color w:val="auto"/>
              </w:rPr>
              <w:t>Total Other Long-term Assets</w:t>
            </w:r>
          </w:p>
        </w:tc>
        <w:tc>
          <w:tcPr>
            <w:tcW w:w="2620" w:type="dxa"/>
            <w:vAlign w:val="bottom"/>
            <w:shd w:val="clear" w:color="auto" w:fill="E5E5E5"/>
          </w:tcPr>
          <w:p>
            <w:pPr>
              <w:spacing w:after="0"/>
              <w:rPr>
                <w:sz w:val="17"/>
                <w:szCs w:val="17"/>
                <w:color w:val="auto"/>
              </w:rPr>
            </w:pPr>
          </w:p>
        </w:tc>
        <w:tc>
          <w:tcPr>
            <w:tcW w:w="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1,774</w:t>
            </w:r>
          </w:p>
        </w:tc>
        <w:tc>
          <w:tcPr>
            <w:tcW w:w="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80" w:type="dxa"/>
            <w:vAlign w:val="bottom"/>
            <w:gridSpan w:val="2"/>
            <w:shd w:val="clear" w:color="auto" w:fill="E5E5E5"/>
          </w:tcPr>
          <w:p>
            <w:pPr>
              <w:ind w:left="40"/>
              <w:spacing w:after="0" w:line="202" w:lineRule="exact"/>
              <w:rPr>
                <w:sz w:val="20"/>
                <w:szCs w:val="20"/>
                <w:color w:val="auto"/>
              </w:rPr>
            </w:pPr>
            <w:r>
              <w:rPr>
                <w:rFonts w:ascii="Arial" w:cs="Arial" w:eastAsia="Arial" w:hAnsi="Arial"/>
                <w:sz w:val="18"/>
                <w:szCs w:val="18"/>
                <w:color w:val="auto"/>
              </w:rPr>
              <w:t>$</w:t>
            </w:r>
          </w:p>
        </w:tc>
        <w:tc>
          <w:tcPr>
            <w:tcW w:w="520" w:type="dxa"/>
            <w:vAlign w:val="bottom"/>
            <w:gridSpan w:val="3"/>
            <w:shd w:val="clear" w:color="auto" w:fill="E5E5E5"/>
          </w:tcPr>
          <w:p>
            <w:pPr>
              <w:jc w:val="right"/>
              <w:ind w:right="20"/>
              <w:spacing w:after="0" w:line="202" w:lineRule="exact"/>
              <w:rPr>
                <w:sz w:val="20"/>
                <w:szCs w:val="20"/>
                <w:color w:val="auto"/>
              </w:rPr>
            </w:pPr>
            <w:r>
              <w:rPr>
                <w:rFonts w:ascii="Arial" w:cs="Arial" w:eastAsia="Arial" w:hAnsi="Arial"/>
                <w:sz w:val="18"/>
                <w:szCs w:val="18"/>
                <w:color w:val="auto"/>
              </w:rPr>
              <w:t>1,320</w:t>
            </w:r>
          </w:p>
        </w:tc>
        <w:tc>
          <w:tcPr>
            <w:tcW w:w="2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Other Long-term Liabilities</w:t>
            </w:r>
          </w:p>
        </w:tc>
        <w:tc>
          <w:tcPr>
            <w:tcW w:w="2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500" w:type="dxa"/>
            <w:vAlign w:val="bottom"/>
            <w:gridSpan w:val="2"/>
            <w:vMerge w:val="continue"/>
          </w:tcPr>
          <w:p>
            <w:pPr>
              <w:spacing w:after="0"/>
              <w:rPr>
                <w:sz w:val="22"/>
                <w:szCs w:val="22"/>
                <w:color w:val="auto"/>
              </w:rPr>
            </w:pPr>
          </w:p>
        </w:tc>
        <w:tc>
          <w:tcPr>
            <w:tcW w:w="2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Deferred and other tax liabilities</w:t>
            </w:r>
          </w:p>
        </w:tc>
        <w:tc>
          <w:tcPr>
            <w:tcW w:w="276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200</w:t>
            </w:r>
          </w:p>
        </w:tc>
        <w:tc>
          <w:tcPr>
            <w:tcW w:w="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80" w:type="dxa"/>
            <w:vAlign w:val="bottom"/>
            <w:gridSpan w:val="2"/>
            <w:shd w:val="clear" w:color="auto" w:fill="E5E5E5"/>
          </w:tcPr>
          <w:p>
            <w:pPr>
              <w:ind w:left="40"/>
              <w:spacing w:after="0" w:line="202" w:lineRule="exact"/>
              <w:rPr>
                <w:sz w:val="20"/>
                <w:szCs w:val="20"/>
                <w:color w:val="auto"/>
              </w:rPr>
            </w:pPr>
            <w:r>
              <w:rPr>
                <w:rFonts w:ascii="Arial" w:cs="Arial" w:eastAsia="Arial" w:hAnsi="Arial"/>
                <w:sz w:val="18"/>
                <w:szCs w:val="18"/>
                <w:color w:val="auto"/>
              </w:rPr>
              <w:t>$</w:t>
            </w:r>
          </w:p>
        </w:tc>
        <w:tc>
          <w:tcPr>
            <w:tcW w:w="520" w:type="dxa"/>
            <w:vAlign w:val="bottom"/>
            <w:gridSpan w:val="3"/>
            <w:shd w:val="clear" w:color="auto" w:fill="E5E5E5"/>
          </w:tcPr>
          <w:p>
            <w:pPr>
              <w:jc w:val="right"/>
              <w:ind w:right="20"/>
              <w:spacing w:after="0" w:line="202" w:lineRule="exact"/>
              <w:rPr>
                <w:sz w:val="20"/>
                <w:szCs w:val="20"/>
                <w:color w:val="auto"/>
              </w:rPr>
            </w:pPr>
            <w:r>
              <w:rPr>
                <w:rFonts w:ascii="Arial" w:cs="Arial" w:eastAsia="Arial" w:hAnsi="Arial"/>
                <w:sz w:val="18"/>
                <w:szCs w:val="18"/>
                <w:color w:val="auto"/>
              </w:rPr>
              <w:t>167</w:t>
            </w:r>
          </w:p>
        </w:tc>
        <w:tc>
          <w:tcPr>
            <w:tcW w:w="2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gridSpan w:val="2"/>
          </w:tcPr>
          <w:p>
            <w:pPr>
              <w:spacing w:after="0" w:line="202" w:lineRule="exact"/>
              <w:rPr>
                <w:sz w:val="20"/>
                <w:szCs w:val="20"/>
                <w:color w:val="auto"/>
              </w:rPr>
            </w:pPr>
            <w:r>
              <w:rPr>
                <w:rFonts w:ascii="Arial" w:cs="Arial" w:eastAsia="Arial" w:hAnsi="Arial"/>
                <w:sz w:val="18"/>
                <w:szCs w:val="18"/>
                <w:color w:val="auto"/>
              </w:rPr>
              <w:t>Derivative instruments</w:t>
            </w:r>
          </w:p>
        </w:tc>
        <w:tc>
          <w:tcPr>
            <w:tcW w:w="2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Environmental reserves</w:t>
            </w:r>
          </w:p>
        </w:tc>
        <w:tc>
          <w:tcPr>
            <w:tcW w:w="26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54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color w:val="auto"/>
              </w:rPr>
              <w:t>20</w:t>
            </w:r>
          </w:p>
        </w:tc>
        <w:tc>
          <w:tcPr>
            <w:tcW w:w="140" w:type="dxa"/>
            <w:vAlign w:val="bottom"/>
            <w:shd w:val="clear" w:color="auto" w:fill="E5E5E5"/>
          </w:tcPr>
          <w:p>
            <w:pPr>
              <w:spacing w:after="0"/>
              <w:rPr>
                <w:sz w:val="17"/>
                <w:szCs w:val="17"/>
                <w:color w:val="auto"/>
              </w:rPr>
            </w:pPr>
          </w:p>
        </w:tc>
        <w:tc>
          <w:tcPr>
            <w:tcW w:w="4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520" w:type="dxa"/>
            <w:vAlign w:val="bottom"/>
            <w:gridSpan w:val="3"/>
            <w:shd w:val="clear" w:color="auto" w:fill="E5E5E5"/>
          </w:tcPr>
          <w:p>
            <w:pPr>
              <w:jc w:val="right"/>
              <w:ind w:right="20"/>
              <w:spacing w:after="0" w:line="202" w:lineRule="exact"/>
              <w:rPr>
                <w:sz w:val="20"/>
                <w:szCs w:val="20"/>
                <w:color w:val="auto"/>
              </w:rPr>
            </w:pPr>
            <w:r>
              <w:rPr>
                <w:rFonts w:ascii="Arial" w:cs="Arial" w:eastAsia="Arial" w:hAnsi="Arial"/>
                <w:sz w:val="18"/>
                <w:szCs w:val="18"/>
                <w:color w:val="auto"/>
              </w:rPr>
              <w:t>23</w:t>
            </w:r>
          </w:p>
        </w:tc>
        <w:tc>
          <w:tcPr>
            <w:tcW w:w="2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gridSpan w:val="2"/>
          </w:tcPr>
          <w:p>
            <w:pPr>
              <w:spacing w:after="0" w:line="202" w:lineRule="exact"/>
              <w:rPr>
                <w:sz w:val="20"/>
                <w:szCs w:val="20"/>
                <w:color w:val="auto"/>
              </w:rPr>
            </w:pPr>
            <w:r>
              <w:rPr>
                <w:rFonts w:ascii="Arial" w:cs="Arial" w:eastAsia="Arial" w:hAnsi="Arial"/>
                <w:sz w:val="18"/>
                <w:szCs w:val="18"/>
                <w:color w:val="auto"/>
              </w:rPr>
              <w:t>Unearned income</w:t>
            </w:r>
          </w:p>
        </w:tc>
        <w:tc>
          <w:tcPr>
            <w:tcW w:w="2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36</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Restructuring reserves</w:t>
            </w:r>
          </w:p>
        </w:tc>
        <w:tc>
          <w:tcPr>
            <w:tcW w:w="26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54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color w:val="auto"/>
              </w:rPr>
              <w:t>14</w:t>
            </w:r>
          </w:p>
        </w:tc>
        <w:tc>
          <w:tcPr>
            <w:tcW w:w="140" w:type="dxa"/>
            <w:vAlign w:val="bottom"/>
            <w:shd w:val="clear" w:color="auto" w:fill="E5E5E5"/>
          </w:tcPr>
          <w:p>
            <w:pPr>
              <w:spacing w:after="0"/>
              <w:rPr>
                <w:sz w:val="17"/>
                <w:szCs w:val="17"/>
                <w:color w:val="auto"/>
              </w:rPr>
            </w:pPr>
          </w:p>
        </w:tc>
        <w:tc>
          <w:tcPr>
            <w:tcW w:w="4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520" w:type="dxa"/>
            <w:vAlign w:val="bottom"/>
            <w:gridSpan w:val="3"/>
            <w:shd w:val="clear" w:color="auto" w:fill="E5E5E5"/>
          </w:tcPr>
          <w:p>
            <w:pPr>
              <w:jc w:val="right"/>
              <w:ind w:right="20"/>
              <w:spacing w:after="0" w:line="202" w:lineRule="exact"/>
              <w:rPr>
                <w:sz w:val="20"/>
                <w:szCs w:val="20"/>
                <w:color w:val="auto"/>
              </w:rPr>
            </w:pPr>
            <w:r>
              <w:rPr>
                <w:rFonts w:ascii="Arial" w:cs="Arial" w:eastAsia="Arial" w:hAnsi="Arial"/>
                <w:sz w:val="18"/>
                <w:szCs w:val="18"/>
                <w:color w:val="auto"/>
              </w:rPr>
              <w:t>10</w:t>
            </w:r>
          </w:p>
        </w:tc>
        <w:tc>
          <w:tcPr>
            <w:tcW w:w="2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gridSpan w:val="2"/>
          </w:tcPr>
          <w:p>
            <w:pPr>
              <w:spacing w:after="0" w:line="202" w:lineRule="exact"/>
              <w:rPr>
                <w:sz w:val="20"/>
                <w:szCs w:val="20"/>
                <w:color w:val="auto"/>
              </w:rPr>
            </w:pPr>
            <w:r>
              <w:rPr>
                <w:rFonts w:ascii="Arial" w:cs="Arial" w:eastAsia="Arial" w:hAnsi="Arial"/>
                <w:sz w:val="18"/>
                <w:szCs w:val="18"/>
                <w:color w:val="auto"/>
              </w:rPr>
              <w:t>Other</w:t>
            </w:r>
          </w:p>
        </w:tc>
        <w:tc>
          <w:tcPr>
            <w:tcW w:w="2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527</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363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E5E5E5"/>
          </w:tcPr>
          <w:p>
            <w:pPr>
              <w:ind w:left="420"/>
              <w:spacing w:after="0" w:line="202" w:lineRule="exact"/>
              <w:rPr>
                <w:sz w:val="20"/>
                <w:szCs w:val="20"/>
                <w:color w:val="auto"/>
              </w:rPr>
            </w:pPr>
            <w:r>
              <w:rPr>
                <w:rFonts w:ascii="Arial" w:cs="Arial" w:eastAsia="Arial" w:hAnsi="Arial"/>
                <w:sz w:val="18"/>
                <w:szCs w:val="18"/>
                <w:b w:val="1"/>
                <w:bCs w:val="1"/>
                <w:color w:val="auto"/>
              </w:rPr>
              <w:t>Total Other Long-term Liabilities</w:t>
            </w:r>
          </w:p>
        </w:tc>
        <w:tc>
          <w:tcPr>
            <w:tcW w:w="2620" w:type="dxa"/>
            <w:vAlign w:val="bottom"/>
            <w:shd w:val="clear" w:color="auto" w:fill="E5E5E5"/>
          </w:tcPr>
          <w:p>
            <w:pPr>
              <w:spacing w:after="0"/>
              <w:rPr>
                <w:sz w:val="17"/>
                <w:szCs w:val="17"/>
                <w:color w:val="auto"/>
              </w:rPr>
            </w:pPr>
          </w:p>
        </w:tc>
        <w:tc>
          <w:tcPr>
            <w:tcW w:w="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797</w:t>
            </w:r>
          </w:p>
        </w:tc>
        <w:tc>
          <w:tcPr>
            <w:tcW w:w="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80" w:type="dxa"/>
            <w:vAlign w:val="bottom"/>
            <w:gridSpan w:val="2"/>
            <w:shd w:val="clear" w:color="auto" w:fill="E5E5E5"/>
          </w:tcPr>
          <w:p>
            <w:pPr>
              <w:ind w:left="40"/>
              <w:spacing w:after="0" w:line="202" w:lineRule="exact"/>
              <w:rPr>
                <w:sz w:val="20"/>
                <w:szCs w:val="20"/>
                <w:color w:val="auto"/>
              </w:rPr>
            </w:pPr>
            <w:r>
              <w:rPr>
                <w:rFonts w:ascii="Arial" w:cs="Arial" w:eastAsia="Arial" w:hAnsi="Arial"/>
                <w:sz w:val="18"/>
                <w:szCs w:val="18"/>
                <w:color w:val="auto"/>
              </w:rPr>
              <w:t>$</w:t>
            </w:r>
          </w:p>
        </w:tc>
        <w:tc>
          <w:tcPr>
            <w:tcW w:w="520" w:type="dxa"/>
            <w:vAlign w:val="bottom"/>
            <w:gridSpan w:val="3"/>
            <w:shd w:val="clear" w:color="auto" w:fill="E5E5E5"/>
          </w:tcPr>
          <w:p>
            <w:pPr>
              <w:jc w:val="right"/>
              <w:ind w:right="20"/>
              <w:spacing w:after="0" w:line="202" w:lineRule="exact"/>
              <w:rPr>
                <w:sz w:val="20"/>
                <w:szCs w:val="20"/>
                <w:color w:val="auto"/>
              </w:rPr>
            </w:pPr>
            <w:r>
              <w:rPr>
                <w:rFonts w:ascii="Arial" w:cs="Arial" w:eastAsia="Arial" w:hAnsi="Arial"/>
                <w:sz w:val="18"/>
                <w:szCs w:val="18"/>
                <w:color w:val="auto"/>
              </w:rPr>
              <w:t>572</w:t>
            </w:r>
          </w:p>
        </w:tc>
        <w:tc>
          <w:tcPr>
            <w:tcW w:w="2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1" w:lineRule="exact"/>
        <w:rPr>
          <w:sz w:val="20"/>
          <w:szCs w:val="20"/>
          <w:color w:val="auto"/>
        </w:rPr>
      </w:pPr>
    </w:p>
    <w:p>
      <w:pPr>
        <w:ind w:left="340" w:right="180" w:hanging="332"/>
        <w:spacing w:after="0" w:line="228" w:lineRule="auto"/>
        <w:tabs>
          <w:tab w:leader="none" w:pos="340" w:val="left"/>
        </w:tabs>
        <w:numPr>
          <w:ilvl w:val="0"/>
          <w:numId w:val="159"/>
        </w:numPr>
        <w:rPr>
          <w:rFonts w:ascii="Arial" w:cs="Arial" w:eastAsia="Arial" w:hAnsi="Arial"/>
          <w:sz w:val="14"/>
          <w:szCs w:val="14"/>
          <w:color w:val="auto"/>
        </w:rPr>
      </w:pPr>
      <w:r>
        <w:rPr>
          <w:rFonts w:ascii="Arial" w:cs="Arial" w:eastAsia="Arial" w:hAnsi="Arial"/>
          <w:sz w:val="14"/>
          <w:szCs w:val="14"/>
          <w:color w:val="auto"/>
        </w:rPr>
        <w:t>At December 31, 2010, our net investment in discontinued operations primarily consists of a $245 performance-based instrument relating to the 1997 sale of The Resolution Group (“TRG”) net of remaining net liabilities associated with our discontinued operations of $21. The recovery of the performance-based instrument is dependent on the sufficiency of TRG’s available cash flows, as guaranteed by TRG’s ultimate parent, which are expected to be recovered in annual cash distributions through 2017.</w:t>
      </w:r>
    </w:p>
    <w:p>
      <w:pPr>
        <w:spacing w:after="0" w:line="135" w:lineRule="exact"/>
        <w:rPr>
          <w:sz w:val="20"/>
          <w:szCs w:val="20"/>
          <w:color w:val="auto"/>
        </w:rPr>
      </w:pPr>
    </w:p>
    <w:p>
      <w:pPr>
        <w:ind w:left="9600"/>
        <w:spacing w:after="0"/>
        <w:rPr>
          <w:sz w:val="20"/>
          <w:szCs w:val="20"/>
          <w:color w:val="auto"/>
        </w:rPr>
      </w:pPr>
      <w:r>
        <w:rPr>
          <w:rFonts w:ascii="Arial" w:cs="Arial" w:eastAsia="Arial" w:hAnsi="Arial"/>
          <w:sz w:val="12"/>
          <w:szCs w:val="12"/>
          <w:color w:val="4C9F40"/>
        </w:rPr>
        <w:t>Xerox 2010 Annual Report 71</w:t>
      </w:r>
    </w:p>
    <w:p>
      <w:pPr>
        <w:sectPr>
          <w:pgSz w:w="11900" w:h="16838" w:orient="portrait"/>
          <w:cols w:equalWidth="0" w:num="1">
            <w:col w:w="11420"/>
          </w:cols>
          <w:pgMar w:left="240" w:top="309" w:right="239" w:bottom="1440" w:gutter="0" w:footer="0" w:header="0"/>
        </w:sectPr>
      </w:pPr>
    </w:p>
    <w:bookmarkStart w:id="148" w:name="page149"/>
    <w:bookmarkEnd w:id="148"/>
    <w:p>
      <w:pPr>
        <w:spacing w:after="0"/>
        <w:rPr>
          <w:sz w:val="20"/>
          <w:szCs w:val="20"/>
          <w:color w:val="auto"/>
        </w:rPr>
      </w:pPr>
      <w:r>
        <w:rPr>
          <w:rFonts w:ascii="Arial" w:cs="Arial" w:eastAsia="Arial" w:hAnsi="Arial"/>
          <w:sz w:val="22"/>
          <w:szCs w:val="22"/>
          <w:b w:val="1"/>
          <w:bCs w:val="1"/>
          <w:color w:val="4C9F40"/>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11 – Debt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Short-term borrowings at December 31, 2010 and 2009 were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color w:val="auto"/>
                <w:w w:val="89"/>
              </w:rPr>
              <w:t>2009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00" w:type="dxa"/>
            <w:vAlign w:val="bottom"/>
            <w:shd w:val="clear" w:color="auto" w:fill="E5E5E5"/>
          </w:tcPr>
          <w:p>
            <w:pPr>
              <w:spacing w:after="0" w:line="196" w:lineRule="exact"/>
              <w:rPr>
                <w:sz w:val="20"/>
                <w:szCs w:val="20"/>
                <w:color w:val="auto"/>
              </w:rPr>
            </w:pPr>
            <w:r>
              <w:rPr>
                <w:rFonts w:ascii="Arial" w:cs="Arial" w:eastAsia="Arial" w:hAnsi="Arial"/>
                <w:sz w:val="18"/>
                <w:szCs w:val="18"/>
                <w:color w:val="auto"/>
              </w:rPr>
              <w:t>Commercial paper</w:t>
            </w:r>
          </w:p>
        </w:tc>
        <w:tc>
          <w:tcPr>
            <w:tcW w:w="3380" w:type="dxa"/>
            <w:vAlign w:val="bottom"/>
            <w:gridSpan w:val="2"/>
            <w:shd w:val="clear" w:color="auto" w:fill="E5E5E5"/>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rPr>
              <w:t>300</w:t>
            </w:r>
          </w:p>
        </w:tc>
        <w:tc>
          <w:tcPr>
            <w:tcW w:w="100" w:type="dxa"/>
            <w:vAlign w:val="bottom"/>
            <w:shd w:val="clear" w:color="auto" w:fill="E5E5E5"/>
          </w:tcPr>
          <w:p>
            <w:pPr>
              <w:spacing w:after="0"/>
              <w:rPr>
                <w:sz w:val="17"/>
                <w:szCs w:val="17"/>
                <w:color w:val="auto"/>
              </w:rPr>
            </w:pPr>
          </w:p>
        </w:tc>
        <w:tc>
          <w:tcPr>
            <w:tcW w:w="200" w:type="dxa"/>
            <w:vAlign w:val="bottom"/>
            <w:gridSpan w:val="2"/>
            <w:shd w:val="clear" w:color="auto" w:fill="E5E5E5"/>
          </w:tcPr>
          <w:p>
            <w:pPr>
              <w:jc w:val="right"/>
              <w:spacing w:after="0" w:line="196" w:lineRule="exact"/>
              <w:rPr>
                <w:sz w:val="20"/>
                <w:szCs w:val="20"/>
                <w:color w:val="auto"/>
              </w:rPr>
            </w:pPr>
            <w:r>
              <w:rPr>
                <w:rFonts w:ascii="Arial" w:cs="Arial" w:eastAsia="Arial" w:hAnsi="Arial"/>
                <w:sz w:val="18"/>
                <w:szCs w:val="18"/>
                <w:color w:val="auto"/>
              </w:rPr>
              <w:t>$</w:t>
            </w:r>
          </w:p>
        </w:tc>
        <w:tc>
          <w:tcPr>
            <w:tcW w:w="520" w:type="dxa"/>
            <w:vAlign w:val="bottom"/>
            <w:gridSpan w:val="2"/>
            <w:shd w:val="clear" w:color="auto" w:fill="E5E5E5"/>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020" w:type="dxa"/>
            <w:vAlign w:val="bottom"/>
            <w:gridSpan w:val="2"/>
          </w:tcPr>
          <w:p>
            <w:pPr>
              <w:spacing w:after="0" w:line="202" w:lineRule="exact"/>
              <w:rPr>
                <w:sz w:val="20"/>
                <w:szCs w:val="20"/>
                <w:color w:val="auto"/>
              </w:rPr>
            </w:pPr>
            <w:r>
              <w:rPr>
                <w:rFonts w:ascii="Arial" w:cs="Arial" w:eastAsia="Arial" w:hAnsi="Arial"/>
                <w:sz w:val="18"/>
                <w:szCs w:val="18"/>
                <w:color w:val="auto"/>
              </w:rPr>
              <w:t>Current maturities of long-term debt</w:t>
            </w:r>
          </w:p>
        </w:tc>
        <w:tc>
          <w:tcPr>
            <w:tcW w:w="3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1,070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0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Total Short-term Debt</w:t>
            </w:r>
          </w:p>
        </w:tc>
        <w:tc>
          <w:tcPr>
            <w:tcW w:w="338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1,370</w:t>
            </w:r>
          </w:p>
        </w:tc>
        <w:tc>
          <w:tcPr>
            <w:tcW w:w="20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The weighted-average interest rate for commercial paper at December 31, 2010, including issuance costs, was 1.02 percent and had maturities ranging from 18 to 32 days.</w:t>
      </w:r>
    </w:p>
    <w:p>
      <w:pPr>
        <w:spacing w:after="0" w:line="155"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classify our debt based on the contractual maturity dates of the underlying debt instruments or as of the earliest put date available to the debt holders. We defer costs associated with debt issuance over the applicable term, or to the first put date in the case of convertible debt or debt with a put feature. These costs are amortized as interest expense in our Consolidated Statements of Income.</w:t>
      </w:r>
    </w:p>
    <w:p>
      <w:pPr>
        <w:spacing w:after="0" w:line="137" w:lineRule="exact"/>
        <w:rPr>
          <w:sz w:val="20"/>
          <w:szCs w:val="20"/>
          <w:color w:val="auto"/>
        </w:rPr>
      </w:pPr>
    </w:p>
    <w:p>
      <w:pPr>
        <w:jc w:val="right"/>
        <w:spacing w:after="0"/>
        <w:rPr>
          <w:sz w:val="20"/>
          <w:szCs w:val="20"/>
          <w:color w:val="auto"/>
        </w:rPr>
      </w:pPr>
      <w:r>
        <w:rPr>
          <w:rFonts w:ascii="Arial" w:cs="Arial" w:eastAsia="Arial" w:hAnsi="Arial"/>
          <w:sz w:val="14"/>
          <w:szCs w:val="14"/>
          <w:color w:val="4C9F40"/>
        </w:rPr>
        <w:t>Xerox 2010 Annual Report 72</w:t>
      </w:r>
    </w:p>
    <w:p>
      <w:pPr>
        <w:sectPr>
          <w:pgSz w:w="11900" w:h="16838" w:orient="portrait"/>
          <w:cols w:equalWidth="0" w:num="1">
            <w:col w:w="11420"/>
          </w:cols>
          <w:pgMar w:left="240" w:top="472" w:right="2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Long-term debt at December 31, 2010 and 2009 was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2000" w:type="dxa"/>
            <w:vAlign w:val="bottom"/>
            <w:gridSpan w:val="2"/>
          </w:tcPr>
          <w:p>
            <w:pPr>
              <w:jc w:val="center"/>
              <w:ind w:right="660"/>
              <w:spacing w:after="0"/>
              <w:rPr>
                <w:sz w:val="20"/>
                <w:szCs w:val="20"/>
                <w:color w:val="auto"/>
              </w:rPr>
            </w:pPr>
            <w:r>
              <w:rPr>
                <w:rFonts w:ascii="Arial" w:cs="Arial" w:eastAsia="Arial" w:hAnsi="Arial"/>
                <w:sz w:val="14"/>
                <w:szCs w:val="14"/>
                <w:color w:val="auto"/>
                <w:w w:val="95"/>
              </w:rPr>
              <w:t>Weighted Average</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22"/>
        </w:trPr>
        <w:tc>
          <w:tcPr>
            <w:tcW w:w="20" w:type="dxa"/>
            <w:vAlign w:val="bottom"/>
          </w:tcPr>
          <w:p>
            <w:pPr>
              <w:spacing w:after="0"/>
              <w:rPr>
                <w:sz w:val="10"/>
                <w:szCs w:val="10"/>
                <w:color w:val="auto"/>
              </w:rPr>
            </w:pPr>
          </w:p>
        </w:tc>
        <w:tc>
          <w:tcPr>
            <w:tcW w:w="7460" w:type="dxa"/>
            <w:vAlign w:val="bottom"/>
          </w:tcPr>
          <w:p>
            <w:pPr>
              <w:spacing w:after="0"/>
              <w:rPr>
                <w:sz w:val="10"/>
                <w:szCs w:val="10"/>
                <w:color w:val="auto"/>
              </w:rPr>
            </w:pPr>
          </w:p>
        </w:tc>
        <w:tc>
          <w:tcPr>
            <w:tcW w:w="2000" w:type="dxa"/>
            <w:vAlign w:val="bottom"/>
            <w:gridSpan w:val="2"/>
          </w:tcPr>
          <w:p>
            <w:pPr>
              <w:jc w:val="center"/>
              <w:ind w:right="680"/>
              <w:spacing w:after="0" w:line="123" w:lineRule="exact"/>
              <w:rPr>
                <w:sz w:val="20"/>
                <w:szCs w:val="20"/>
                <w:color w:val="auto"/>
              </w:rPr>
            </w:pPr>
            <w:r>
              <w:rPr>
                <w:rFonts w:ascii="Arial" w:cs="Arial" w:eastAsia="Arial" w:hAnsi="Arial"/>
                <w:sz w:val="14"/>
                <w:szCs w:val="14"/>
                <w:color w:val="auto"/>
                <w:w w:val="97"/>
              </w:rPr>
              <w:t>Interest Rates at</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76"/>
        </w:trPr>
        <w:tc>
          <w:tcPr>
            <w:tcW w:w="20" w:type="dxa"/>
            <w:vAlign w:val="bottom"/>
          </w:tcPr>
          <w:p>
            <w:pPr>
              <w:spacing w:after="0"/>
              <w:rPr>
                <w:sz w:val="15"/>
                <w:szCs w:val="15"/>
                <w:color w:val="auto"/>
              </w:rPr>
            </w:pPr>
          </w:p>
        </w:tc>
        <w:tc>
          <w:tcPr>
            <w:tcW w:w="7460" w:type="dxa"/>
            <w:vAlign w:val="bottom"/>
          </w:tcPr>
          <w:p>
            <w:pPr>
              <w:spacing w:after="0"/>
              <w:rPr>
                <w:sz w:val="15"/>
                <w:szCs w:val="15"/>
                <w:color w:val="auto"/>
              </w:rPr>
            </w:pPr>
          </w:p>
        </w:tc>
        <w:tc>
          <w:tcPr>
            <w:tcW w:w="2000" w:type="dxa"/>
            <w:vAlign w:val="bottom"/>
            <w:gridSpan w:val="2"/>
          </w:tcPr>
          <w:p>
            <w:pPr>
              <w:jc w:val="center"/>
              <w:ind w:right="680"/>
              <w:spacing w:after="0" w:line="176" w:lineRule="exact"/>
              <w:rPr>
                <w:sz w:val="20"/>
                <w:szCs w:val="20"/>
                <w:color w:val="auto"/>
              </w:rPr>
            </w:pPr>
            <w:r>
              <w:rPr>
                <w:rFonts w:ascii="Arial" w:cs="Arial" w:eastAsia="Arial" w:hAnsi="Arial"/>
                <w:sz w:val="13"/>
                <w:szCs w:val="13"/>
                <w:color w:val="auto"/>
              </w:rPr>
              <w:t>December 31, 2010</w:t>
            </w:r>
            <w:r>
              <w:rPr>
                <w:rFonts w:ascii="Arial" w:cs="Arial" w:eastAsia="Arial" w:hAnsi="Arial"/>
                <w:sz w:val="20"/>
                <w:szCs w:val="20"/>
                <w:color w:val="auto"/>
                <w:vertAlign w:val="superscript"/>
              </w:rPr>
              <w:t>(2)</w:t>
            </w:r>
          </w:p>
        </w:tc>
        <w:tc>
          <w:tcPr>
            <w:tcW w:w="120" w:type="dxa"/>
            <w:vAlign w:val="bottom"/>
          </w:tcPr>
          <w:p>
            <w:pPr>
              <w:spacing w:after="0"/>
              <w:rPr>
                <w:sz w:val="15"/>
                <w:szCs w:val="15"/>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color w:val="auto"/>
              </w:rPr>
              <w:t>2010</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ind w:right="93"/>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7460" w:type="dxa"/>
            <w:vAlign w:val="bottom"/>
            <w:shd w:val="clear" w:color="auto" w:fill="E5E5E5"/>
          </w:tcPr>
          <w:p>
            <w:pPr>
              <w:spacing w:after="0" w:line="196" w:lineRule="exact"/>
              <w:rPr>
                <w:sz w:val="20"/>
                <w:szCs w:val="20"/>
                <w:color w:val="auto"/>
              </w:rPr>
            </w:pPr>
            <w:r>
              <w:rPr>
                <w:rFonts w:ascii="Arial" w:cs="Arial" w:eastAsia="Arial" w:hAnsi="Arial"/>
                <w:sz w:val="18"/>
                <w:szCs w:val="18"/>
                <w:b w:val="1"/>
                <w:bCs w:val="1"/>
                <w:color w:val="auto"/>
              </w:rPr>
              <w:t>Xerox Corporation</w:t>
            </w:r>
          </w:p>
        </w:tc>
        <w:tc>
          <w:tcPr>
            <w:tcW w:w="1340" w:type="dxa"/>
            <w:vAlign w:val="bottom"/>
            <w:tcBorders>
              <w:top w:val="single" w:sz="8" w:color="auto"/>
            </w:tcBorders>
            <w:shd w:val="clear" w:color="auto" w:fill="E5E5E5"/>
          </w:tcPr>
          <w:p>
            <w:pPr>
              <w:spacing w:after="0"/>
              <w:rPr>
                <w:sz w:val="17"/>
                <w:szCs w:val="17"/>
                <w:color w:val="auto"/>
              </w:rPr>
            </w:pPr>
          </w:p>
        </w:tc>
        <w:tc>
          <w:tcPr>
            <w:tcW w:w="660" w:type="dxa"/>
            <w:vAlign w:val="bottom"/>
            <w:shd w:val="clear" w:color="auto" w:fill="E5E5E5"/>
          </w:tcPr>
          <w:p>
            <w:pPr>
              <w:spacing w:after="0"/>
              <w:rPr>
                <w:sz w:val="17"/>
                <w:szCs w:val="17"/>
                <w:color w:val="auto"/>
              </w:rPr>
            </w:pPr>
          </w:p>
        </w:tc>
        <w:tc>
          <w:tcPr>
            <w:tcW w:w="120" w:type="dxa"/>
            <w:vAlign w:val="bottom"/>
            <w:tcBorders>
              <w:top w:val="single" w:sz="8" w:color="auto"/>
            </w:tcBorders>
            <w:shd w:val="clear" w:color="auto" w:fill="E5E5E5"/>
          </w:tcPr>
          <w:p>
            <w:pPr>
              <w:spacing w:after="0"/>
              <w:rPr>
                <w:sz w:val="17"/>
                <w:szCs w:val="17"/>
                <w:color w:val="auto"/>
              </w:rPr>
            </w:pPr>
          </w:p>
        </w:tc>
        <w:tc>
          <w:tcPr>
            <w:tcW w:w="500" w:type="dxa"/>
            <w:vAlign w:val="bottom"/>
            <w:tcBorders>
              <w:top w:val="single" w:sz="8" w:color="auto"/>
            </w:tcBorders>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140" w:type="dxa"/>
            <w:vAlign w:val="bottom"/>
            <w:tcBorders>
              <w:top w:val="single" w:sz="8" w:color="auto"/>
            </w:tcBorders>
            <w:shd w:val="clear" w:color="auto" w:fill="E5E5E5"/>
          </w:tcPr>
          <w:p>
            <w:pPr>
              <w:spacing w:after="0"/>
              <w:rPr>
                <w:sz w:val="17"/>
                <w:szCs w:val="17"/>
                <w:color w:val="auto"/>
              </w:rPr>
            </w:pPr>
          </w:p>
        </w:tc>
        <w:tc>
          <w:tcPr>
            <w:tcW w:w="520" w:type="dxa"/>
            <w:vAlign w:val="bottom"/>
            <w:tcBorders>
              <w:top w:val="single" w:sz="8" w:color="auto"/>
            </w:tcBorders>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460" w:type="dxa"/>
            <w:vAlign w:val="bottom"/>
          </w:tcPr>
          <w:p>
            <w:pPr>
              <w:ind w:left="420"/>
              <w:spacing w:after="0" w:line="202" w:lineRule="exact"/>
              <w:rPr>
                <w:sz w:val="20"/>
                <w:szCs w:val="20"/>
                <w:color w:val="auto"/>
              </w:rPr>
            </w:pPr>
            <w:r>
              <w:rPr>
                <w:rFonts w:ascii="Arial" w:cs="Arial" w:eastAsia="Arial" w:hAnsi="Arial"/>
                <w:sz w:val="18"/>
                <w:szCs w:val="18"/>
                <w:color w:val="auto"/>
              </w:rPr>
              <w:t>Senior Notes due 2010</w:t>
            </w:r>
          </w:p>
        </w:tc>
        <w:tc>
          <w:tcPr>
            <w:tcW w:w="200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700</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E5E5E5"/>
          </w:tcPr>
          <w:p>
            <w:pPr>
              <w:ind w:left="420"/>
              <w:spacing w:after="0" w:line="202" w:lineRule="exact"/>
              <w:rPr>
                <w:sz w:val="20"/>
                <w:szCs w:val="20"/>
                <w:color w:val="auto"/>
              </w:rPr>
            </w:pPr>
            <w:r>
              <w:rPr>
                <w:rFonts w:ascii="Arial" w:cs="Arial" w:eastAsia="Arial" w:hAnsi="Arial"/>
                <w:sz w:val="18"/>
                <w:szCs w:val="18"/>
                <w:color w:val="auto"/>
              </w:rPr>
              <w:t>Notes due 2011</w:t>
            </w:r>
          </w:p>
        </w:tc>
        <w:tc>
          <w:tcPr>
            <w:tcW w:w="2000" w:type="dxa"/>
            <w:vAlign w:val="bottom"/>
            <w:gridSpan w:val="2"/>
            <w:shd w:val="clear" w:color="auto" w:fill="E5E5E5"/>
          </w:tcPr>
          <w:p>
            <w:pPr>
              <w:jc w:val="right"/>
              <w:ind w:right="520"/>
              <w:spacing w:after="0" w:line="202" w:lineRule="exact"/>
              <w:rPr>
                <w:sz w:val="20"/>
                <w:szCs w:val="20"/>
                <w:color w:val="auto"/>
              </w:rPr>
            </w:pPr>
            <w:r>
              <w:rPr>
                <w:rFonts w:ascii="Arial" w:cs="Arial" w:eastAsia="Arial" w:hAnsi="Arial"/>
                <w:sz w:val="18"/>
                <w:szCs w:val="18"/>
                <w:color w:val="auto"/>
              </w:rPr>
              <w:t>0.09%</w:t>
            </w:r>
          </w:p>
        </w:tc>
        <w:tc>
          <w:tcPr>
            <w:tcW w:w="120" w:type="dxa"/>
            <w:vAlign w:val="bottom"/>
            <w:shd w:val="clear" w:color="auto" w:fill="E5E5E5"/>
          </w:tcPr>
          <w:p>
            <w:pPr>
              <w:spacing w:after="0"/>
              <w:rPr>
                <w:sz w:val="17"/>
                <w:szCs w:val="17"/>
                <w:color w:val="auto"/>
              </w:rPr>
            </w:pPr>
          </w:p>
        </w:tc>
        <w:tc>
          <w:tcPr>
            <w:tcW w:w="800" w:type="dxa"/>
            <w:vAlign w:val="bottom"/>
            <w:gridSpan w:val="2"/>
            <w:shd w:val="clear" w:color="auto" w:fill="E5E5E5"/>
          </w:tcPr>
          <w:p>
            <w:pPr>
              <w:jc w:val="right"/>
              <w:ind w:right="300"/>
              <w:spacing w:after="0" w:line="202" w:lineRule="exact"/>
              <w:rPr>
                <w:sz w:val="20"/>
                <w:szCs w:val="20"/>
                <w:color w:val="auto"/>
              </w:rPr>
            </w:pPr>
            <w:r>
              <w:rPr>
                <w:rFonts w:ascii="Arial" w:cs="Arial" w:eastAsia="Arial" w:hAnsi="Arial"/>
                <w:sz w:val="18"/>
                <w:szCs w:val="18"/>
                <w:color w:val="auto"/>
              </w:rPr>
              <w:t>1</w:t>
            </w:r>
          </w:p>
        </w:tc>
        <w:tc>
          <w:tcPr>
            <w:tcW w:w="26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6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w:t>
            </w:r>
          </w:p>
        </w:tc>
      </w:tr>
      <w:tr>
        <w:trPr>
          <w:trHeight w:val="203"/>
        </w:trPr>
        <w:tc>
          <w:tcPr>
            <w:tcW w:w="20" w:type="dxa"/>
            <w:vAlign w:val="bottom"/>
          </w:tcPr>
          <w:p>
            <w:pPr>
              <w:spacing w:after="0"/>
              <w:rPr>
                <w:sz w:val="17"/>
                <w:szCs w:val="17"/>
                <w:color w:val="auto"/>
              </w:rPr>
            </w:pPr>
          </w:p>
        </w:tc>
        <w:tc>
          <w:tcPr>
            <w:tcW w:w="7460" w:type="dxa"/>
            <w:vAlign w:val="bottom"/>
          </w:tcPr>
          <w:p>
            <w:pPr>
              <w:ind w:left="420"/>
              <w:spacing w:after="0" w:line="202" w:lineRule="exact"/>
              <w:rPr>
                <w:sz w:val="20"/>
                <w:szCs w:val="20"/>
                <w:color w:val="auto"/>
              </w:rPr>
            </w:pPr>
            <w:r>
              <w:rPr>
                <w:rFonts w:ascii="Arial" w:cs="Arial" w:eastAsia="Arial" w:hAnsi="Arial"/>
                <w:sz w:val="18"/>
                <w:szCs w:val="18"/>
                <w:color w:val="auto"/>
              </w:rPr>
              <w:t>Notes due 2011</w:t>
            </w:r>
          </w:p>
        </w:tc>
        <w:tc>
          <w:tcPr>
            <w:tcW w:w="200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50</w:t>
            </w:r>
          </w:p>
        </w:tc>
      </w:tr>
      <w:tr>
        <w:trPr>
          <w:trHeight w:val="203"/>
        </w:trPr>
        <w:tc>
          <w:tcPr>
            <w:tcW w:w="20" w:type="dxa"/>
            <w:vAlign w:val="bottom"/>
          </w:tcPr>
          <w:p>
            <w:pPr>
              <w:spacing w:after="0"/>
              <w:rPr>
                <w:sz w:val="17"/>
                <w:szCs w:val="17"/>
                <w:color w:val="auto"/>
              </w:rPr>
            </w:pPr>
          </w:p>
        </w:tc>
        <w:tc>
          <w:tcPr>
            <w:tcW w:w="7460" w:type="dxa"/>
            <w:vAlign w:val="bottom"/>
            <w:shd w:val="clear" w:color="auto" w:fill="E5E5E5"/>
          </w:tcPr>
          <w:p>
            <w:pPr>
              <w:ind w:left="420"/>
              <w:spacing w:after="0" w:line="202" w:lineRule="exact"/>
              <w:rPr>
                <w:sz w:val="20"/>
                <w:szCs w:val="20"/>
                <w:color w:val="auto"/>
              </w:rPr>
            </w:pPr>
            <w:r>
              <w:rPr>
                <w:rFonts w:ascii="Arial" w:cs="Arial" w:eastAsia="Arial" w:hAnsi="Arial"/>
                <w:sz w:val="18"/>
                <w:szCs w:val="18"/>
                <w:color w:val="auto"/>
              </w:rPr>
              <w:t>Senior Notes due 2011</w:t>
            </w:r>
          </w:p>
        </w:tc>
        <w:tc>
          <w:tcPr>
            <w:tcW w:w="2000" w:type="dxa"/>
            <w:vAlign w:val="bottom"/>
            <w:gridSpan w:val="2"/>
            <w:shd w:val="clear" w:color="auto" w:fill="E5E5E5"/>
          </w:tcPr>
          <w:p>
            <w:pPr>
              <w:jc w:val="right"/>
              <w:ind w:right="520"/>
              <w:spacing w:after="0" w:line="202" w:lineRule="exact"/>
              <w:rPr>
                <w:sz w:val="20"/>
                <w:szCs w:val="20"/>
                <w:color w:val="auto"/>
              </w:rPr>
            </w:pPr>
            <w:r>
              <w:rPr>
                <w:rFonts w:ascii="Arial" w:cs="Arial" w:eastAsia="Arial" w:hAnsi="Arial"/>
                <w:sz w:val="18"/>
                <w:szCs w:val="18"/>
                <w:color w:val="auto"/>
              </w:rPr>
              <w:t>6.59%</w:t>
            </w:r>
          </w:p>
        </w:tc>
        <w:tc>
          <w:tcPr>
            <w:tcW w:w="120" w:type="dxa"/>
            <w:vAlign w:val="bottom"/>
            <w:shd w:val="clear" w:color="auto" w:fill="E5E5E5"/>
          </w:tcPr>
          <w:p>
            <w:pPr>
              <w:spacing w:after="0"/>
              <w:rPr>
                <w:sz w:val="17"/>
                <w:szCs w:val="17"/>
                <w:color w:val="auto"/>
              </w:rPr>
            </w:pPr>
          </w:p>
        </w:tc>
        <w:tc>
          <w:tcPr>
            <w:tcW w:w="5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750</w:t>
            </w:r>
          </w:p>
        </w:tc>
        <w:tc>
          <w:tcPr>
            <w:tcW w:w="3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5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750</w:t>
            </w:r>
          </w:p>
        </w:tc>
        <w:tc>
          <w:tcPr>
            <w:tcW w:w="100" w:type="dxa"/>
            <w:vAlign w:val="bottom"/>
            <w:shd w:val="clear" w:color="auto" w:fill="E5E5E5"/>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460" w:type="dxa"/>
            <w:vAlign w:val="bottom"/>
          </w:tcPr>
          <w:p>
            <w:pPr>
              <w:ind w:left="420"/>
              <w:spacing w:after="0" w:line="202" w:lineRule="exact"/>
              <w:rPr>
                <w:sz w:val="20"/>
                <w:szCs w:val="20"/>
                <w:color w:val="auto"/>
              </w:rPr>
            </w:pPr>
            <w:r>
              <w:rPr>
                <w:rFonts w:ascii="Arial" w:cs="Arial" w:eastAsia="Arial" w:hAnsi="Arial"/>
                <w:sz w:val="18"/>
                <w:szCs w:val="18"/>
                <w:color w:val="auto"/>
              </w:rPr>
              <w:t>Senior Notes due 2012</w:t>
            </w:r>
          </w:p>
        </w:tc>
        <w:tc>
          <w:tcPr>
            <w:tcW w:w="200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5.59%</w:t>
            </w:r>
          </w:p>
        </w:tc>
        <w:tc>
          <w:tcPr>
            <w:tcW w:w="12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1,100</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1,100</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E5E5E5"/>
          </w:tcPr>
          <w:p>
            <w:pPr>
              <w:ind w:left="420"/>
              <w:spacing w:after="0" w:line="202" w:lineRule="exact"/>
              <w:rPr>
                <w:sz w:val="20"/>
                <w:szCs w:val="20"/>
                <w:color w:val="auto"/>
              </w:rPr>
            </w:pPr>
            <w:r>
              <w:rPr>
                <w:rFonts w:ascii="Arial" w:cs="Arial" w:eastAsia="Arial" w:hAnsi="Arial"/>
                <w:sz w:val="18"/>
                <w:szCs w:val="18"/>
                <w:color w:val="auto"/>
              </w:rPr>
              <w:t>Senior Notes due 2013</w:t>
            </w:r>
          </w:p>
        </w:tc>
        <w:tc>
          <w:tcPr>
            <w:tcW w:w="2000" w:type="dxa"/>
            <w:vAlign w:val="bottom"/>
            <w:gridSpan w:val="2"/>
            <w:shd w:val="clear" w:color="auto" w:fill="E5E5E5"/>
          </w:tcPr>
          <w:p>
            <w:pPr>
              <w:jc w:val="right"/>
              <w:ind w:right="520"/>
              <w:spacing w:after="0" w:line="202" w:lineRule="exact"/>
              <w:rPr>
                <w:sz w:val="20"/>
                <w:szCs w:val="20"/>
                <w:color w:val="auto"/>
              </w:rPr>
            </w:pPr>
            <w:r>
              <w:rPr>
                <w:rFonts w:ascii="Arial" w:cs="Arial" w:eastAsia="Arial" w:hAnsi="Arial"/>
                <w:sz w:val="18"/>
                <w:szCs w:val="18"/>
                <w:color w:val="auto"/>
              </w:rPr>
              <w:t>5.65%</w:t>
            </w:r>
          </w:p>
        </w:tc>
        <w:tc>
          <w:tcPr>
            <w:tcW w:w="120" w:type="dxa"/>
            <w:vAlign w:val="bottom"/>
            <w:shd w:val="clear" w:color="auto" w:fill="E5E5E5"/>
          </w:tcPr>
          <w:p>
            <w:pPr>
              <w:spacing w:after="0"/>
              <w:rPr>
                <w:sz w:val="17"/>
                <w:szCs w:val="17"/>
                <w:color w:val="auto"/>
              </w:rPr>
            </w:pPr>
          </w:p>
        </w:tc>
        <w:tc>
          <w:tcPr>
            <w:tcW w:w="5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400</w:t>
            </w:r>
          </w:p>
        </w:tc>
        <w:tc>
          <w:tcPr>
            <w:tcW w:w="3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5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400</w:t>
            </w:r>
          </w:p>
        </w:tc>
        <w:tc>
          <w:tcPr>
            <w:tcW w:w="100" w:type="dxa"/>
            <w:vAlign w:val="bottom"/>
            <w:shd w:val="clear" w:color="auto" w:fill="E5E5E5"/>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460" w:type="dxa"/>
            <w:vAlign w:val="bottom"/>
          </w:tcPr>
          <w:p>
            <w:pPr>
              <w:ind w:left="420"/>
              <w:spacing w:after="0" w:line="202" w:lineRule="exact"/>
              <w:rPr>
                <w:sz w:val="20"/>
                <w:szCs w:val="20"/>
                <w:color w:val="auto"/>
              </w:rPr>
            </w:pPr>
            <w:r>
              <w:rPr>
                <w:rFonts w:ascii="Arial" w:cs="Arial" w:eastAsia="Arial" w:hAnsi="Arial"/>
                <w:sz w:val="18"/>
                <w:szCs w:val="18"/>
                <w:color w:val="auto"/>
              </w:rPr>
              <w:t>Senior Notes due 2013</w:t>
            </w:r>
          </w:p>
        </w:tc>
        <w:tc>
          <w:tcPr>
            <w:tcW w:w="200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550</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E5E5E5"/>
          </w:tcPr>
          <w:p>
            <w:pPr>
              <w:ind w:left="420"/>
              <w:spacing w:after="0" w:line="202" w:lineRule="exact"/>
              <w:rPr>
                <w:sz w:val="20"/>
                <w:szCs w:val="20"/>
                <w:color w:val="auto"/>
              </w:rPr>
            </w:pPr>
            <w:r>
              <w:rPr>
                <w:rFonts w:ascii="Arial" w:cs="Arial" w:eastAsia="Arial" w:hAnsi="Arial"/>
                <w:sz w:val="18"/>
                <w:szCs w:val="18"/>
                <w:color w:val="auto"/>
              </w:rPr>
              <w:t>Convertible Notes due 2014</w:t>
            </w:r>
          </w:p>
        </w:tc>
        <w:tc>
          <w:tcPr>
            <w:tcW w:w="2000" w:type="dxa"/>
            <w:vAlign w:val="bottom"/>
            <w:gridSpan w:val="2"/>
            <w:shd w:val="clear" w:color="auto" w:fill="E5E5E5"/>
          </w:tcPr>
          <w:p>
            <w:pPr>
              <w:jc w:val="right"/>
              <w:ind w:right="520"/>
              <w:spacing w:after="0" w:line="202" w:lineRule="exact"/>
              <w:rPr>
                <w:sz w:val="20"/>
                <w:szCs w:val="20"/>
                <w:color w:val="auto"/>
              </w:rPr>
            </w:pPr>
            <w:r>
              <w:rPr>
                <w:rFonts w:ascii="Arial" w:cs="Arial" w:eastAsia="Arial" w:hAnsi="Arial"/>
                <w:sz w:val="18"/>
                <w:szCs w:val="18"/>
                <w:color w:val="auto"/>
              </w:rPr>
              <w:t>9.00%</w:t>
            </w:r>
          </w:p>
        </w:tc>
        <w:tc>
          <w:tcPr>
            <w:tcW w:w="120" w:type="dxa"/>
            <w:vAlign w:val="bottom"/>
            <w:shd w:val="clear" w:color="auto" w:fill="E5E5E5"/>
          </w:tcPr>
          <w:p>
            <w:pPr>
              <w:spacing w:after="0"/>
              <w:rPr>
                <w:sz w:val="17"/>
                <w:szCs w:val="17"/>
                <w:color w:val="auto"/>
              </w:rPr>
            </w:pPr>
          </w:p>
        </w:tc>
        <w:tc>
          <w:tcPr>
            <w:tcW w:w="5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19</w:t>
            </w:r>
          </w:p>
        </w:tc>
        <w:tc>
          <w:tcPr>
            <w:tcW w:w="3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6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19</w:t>
            </w:r>
          </w:p>
        </w:tc>
      </w:tr>
      <w:tr>
        <w:trPr>
          <w:trHeight w:val="203"/>
        </w:trPr>
        <w:tc>
          <w:tcPr>
            <w:tcW w:w="20" w:type="dxa"/>
            <w:vAlign w:val="bottom"/>
          </w:tcPr>
          <w:p>
            <w:pPr>
              <w:spacing w:after="0"/>
              <w:rPr>
                <w:sz w:val="17"/>
                <w:szCs w:val="17"/>
                <w:color w:val="auto"/>
              </w:rPr>
            </w:pPr>
          </w:p>
        </w:tc>
        <w:tc>
          <w:tcPr>
            <w:tcW w:w="7460" w:type="dxa"/>
            <w:vAlign w:val="bottom"/>
          </w:tcPr>
          <w:p>
            <w:pPr>
              <w:ind w:left="420"/>
              <w:spacing w:after="0" w:line="202" w:lineRule="exact"/>
              <w:rPr>
                <w:sz w:val="20"/>
                <w:szCs w:val="20"/>
                <w:color w:val="auto"/>
              </w:rPr>
            </w:pPr>
            <w:r>
              <w:rPr>
                <w:rFonts w:ascii="Arial" w:cs="Arial" w:eastAsia="Arial" w:hAnsi="Arial"/>
                <w:sz w:val="18"/>
                <w:szCs w:val="18"/>
                <w:color w:val="auto"/>
              </w:rPr>
              <w:t>Senior Notes due 2014</w:t>
            </w:r>
          </w:p>
        </w:tc>
        <w:tc>
          <w:tcPr>
            <w:tcW w:w="200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8.25%</w:t>
            </w:r>
          </w:p>
        </w:tc>
        <w:tc>
          <w:tcPr>
            <w:tcW w:w="12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750</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750</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E5E5E5"/>
          </w:tcPr>
          <w:p>
            <w:pPr>
              <w:ind w:left="420"/>
              <w:spacing w:after="0" w:line="202" w:lineRule="exact"/>
              <w:rPr>
                <w:sz w:val="20"/>
                <w:szCs w:val="20"/>
                <w:color w:val="auto"/>
              </w:rPr>
            </w:pPr>
            <w:r>
              <w:rPr>
                <w:rFonts w:ascii="Arial" w:cs="Arial" w:eastAsia="Arial" w:hAnsi="Arial"/>
                <w:sz w:val="18"/>
                <w:szCs w:val="18"/>
                <w:color w:val="auto"/>
              </w:rPr>
              <w:t>Senior Notes due 2015</w:t>
            </w:r>
          </w:p>
        </w:tc>
        <w:tc>
          <w:tcPr>
            <w:tcW w:w="2000" w:type="dxa"/>
            <w:vAlign w:val="bottom"/>
            <w:gridSpan w:val="2"/>
            <w:shd w:val="clear" w:color="auto" w:fill="E5E5E5"/>
          </w:tcPr>
          <w:p>
            <w:pPr>
              <w:jc w:val="right"/>
              <w:ind w:right="520"/>
              <w:spacing w:after="0" w:line="202" w:lineRule="exact"/>
              <w:rPr>
                <w:sz w:val="20"/>
                <w:szCs w:val="20"/>
                <w:color w:val="auto"/>
              </w:rPr>
            </w:pPr>
            <w:r>
              <w:rPr>
                <w:rFonts w:ascii="Arial" w:cs="Arial" w:eastAsia="Arial" w:hAnsi="Arial"/>
                <w:sz w:val="18"/>
                <w:szCs w:val="18"/>
                <w:color w:val="auto"/>
              </w:rPr>
              <w:t>4.29%</w:t>
            </w:r>
          </w:p>
        </w:tc>
        <w:tc>
          <w:tcPr>
            <w:tcW w:w="120" w:type="dxa"/>
            <w:vAlign w:val="bottom"/>
            <w:shd w:val="clear" w:color="auto" w:fill="E5E5E5"/>
          </w:tcPr>
          <w:p>
            <w:pPr>
              <w:spacing w:after="0"/>
              <w:rPr>
                <w:sz w:val="17"/>
                <w:szCs w:val="17"/>
                <w:color w:val="auto"/>
              </w:rPr>
            </w:pPr>
          </w:p>
        </w:tc>
        <w:tc>
          <w:tcPr>
            <w:tcW w:w="5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1,000</w:t>
            </w:r>
          </w:p>
        </w:tc>
        <w:tc>
          <w:tcPr>
            <w:tcW w:w="3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5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1,000</w:t>
            </w:r>
          </w:p>
        </w:tc>
        <w:tc>
          <w:tcPr>
            <w:tcW w:w="100" w:type="dxa"/>
            <w:vAlign w:val="bottom"/>
            <w:shd w:val="clear" w:color="auto" w:fill="E5E5E5"/>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460" w:type="dxa"/>
            <w:vAlign w:val="bottom"/>
          </w:tcPr>
          <w:p>
            <w:pPr>
              <w:ind w:left="420"/>
              <w:spacing w:after="0" w:line="202" w:lineRule="exact"/>
              <w:rPr>
                <w:sz w:val="20"/>
                <w:szCs w:val="20"/>
                <w:color w:val="auto"/>
              </w:rPr>
            </w:pPr>
            <w:r>
              <w:rPr>
                <w:rFonts w:ascii="Arial" w:cs="Arial" w:eastAsia="Arial" w:hAnsi="Arial"/>
                <w:sz w:val="18"/>
                <w:szCs w:val="18"/>
                <w:color w:val="auto"/>
              </w:rPr>
              <w:t>Notes due 2016</w:t>
            </w:r>
          </w:p>
        </w:tc>
        <w:tc>
          <w:tcPr>
            <w:tcW w:w="200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7.20%</w:t>
            </w:r>
          </w:p>
        </w:tc>
        <w:tc>
          <w:tcPr>
            <w:tcW w:w="12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250</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250</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E5E5E5"/>
          </w:tcPr>
          <w:p>
            <w:pPr>
              <w:ind w:left="420"/>
              <w:spacing w:after="0" w:line="202" w:lineRule="exact"/>
              <w:rPr>
                <w:sz w:val="20"/>
                <w:szCs w:val="20"/>
                <w:color w:val="auto"/>
              </w:rPr>
            </w:pPr>
            <w:r>
              <w:rPr>
                <w:rFonts w:ascii="Arial" w:cs="Arial" w:eastAsia="Arial" w:hAnsi="Arial"/>
                <w:sz w:val="18"/>
                <w:szCs w:val="18"/>
                <w:color w:val="auto"/>
              </w:rPr>
              <w:t>Senior Notes due 2016</w:t>
            </w:r>
          </w:p>
        </w:tc>
        <w:tc>
          <w:tcPr>
            <w:tcW w:w="2000" w:type="dxa"/>
            <w:vAlign w:val="bottom"/>
            <w:gridSpan w:val="2"/>
            <w:shd w:val="clear" w:color="auto" w:fill="E5E5E5"/>
          </w:tcPr>
          <w:p>
            <w:pPr>
              <w:jc w:val="right"/>
              <w:ind w:right="520"/>
              <w:spacing w:after="0" w:line="202" w:lineRule="exact"/>
              <w:rPr>
                <w:sz w:val="20"/>
                <w:szCs w:val="20"/>
                <w:color w:val="auto"/>
              </w:rPr>
            </w:pPr>
            <w:r>
              <w:rPr>
                <w:rFonts w:ascii="Arial" w:cs="Arial" w:eastAsia="Arial" w:hAnsi="Arial"/>
                <w:sz w:val="18"/>
                <w:szCs w:val="18"/>
                <w:color w:val="auto"/>
              </w:rPr>
              <w:t>6.48%</w:t>
            </w:r>
          </w:p>
        </w:tc>
        <w:tc>
          <w:tcPr>
            <w:tcW w:w="120" w:type="dxa"/>
            <w:vAlign w:val="bottom"/>
            <w:shd w:val="clear" w:color="auto" w:fill="E5E5E5"/>
          </w:tcPr>
          <w:p>
            <w:pPr>
              <w:spacing w:after="0"/>
              <w:rPr>
                <w:sz w:val="17"/>
                <w:szCs w:val="17"/>
                <w:color w:val="auto"/>
              </w:rPr>
            </w:pPr>
          </w:p>
        </w:tc>
        <w:tc>
          <w:tcPr>
            <w:tcW w:w="5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700</w:t>
            </w:r>
          </w:p>
        </w:tc>
        <w:tc>
          <w:tcPr>
            <w:tcW w:w="3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5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700</w:t>
            </w:r>
          </w:p>
        </w:tc>
        <w:tc>
          <w:tcPr>
            <w:tcW w:w="100" w:type="dxa"/>
            <w:vAlign w:val="bottom"/>
            <w:shd w:val="clear" w:color="auto" w:fill="E5E5E5"/>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460" w:type="dxa"/>
            <w:vAlign w:val="bottom"/>
          </w:tcPr>
          <w:p>
            <w:pPr>
              <w:ind w:left="420"/>
              <w:spacing w:after="0" w:line="202" w:lineRule="exact"/>
              <w:rPr>
                <w:sz w:val="20"/>
                <w:szCs w:val="20"/>
                <w:color w:val="auto"/>
              </w:rPr>
            </w:pPr>
            <w:r>
              <w:rPr>
                <w:rFonts w:ascii="Arial" w:cs="Arial" w:eastAsia="Arial" w:hAnsi="Arial"/>
                <w:sz w:val="18"/>
                <w:szCs w:val="18"/>
                <w:color w:val="auto"/>
              </w:rPr>
              <w:t>Senior Notes due 2017</w:t>
            </w:r>
          </w:p>
        </w:tc>
        <w:tc>
          <w:tcPr>
            <w:tcW w:w="200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6.83%</w:t>
            </w:r>
          </w:p>
        </w:tc>
        <w:tc>
          <w:tcPr>
            <w:tcW w:w="12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500</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500</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E5E5E5"/>
          </w:tcPr>
          <w:p>
            <w:pPr>
              <w:ind w:left="420"/>
              <w:spacing w:after="0" w:line="202" w:lineRule="exact"/>
              <w:rPr>
                <w:sz w:val="20"/>
                <w:szCs w:val="20"/>
                <w:color w:val="auto"/>
              </w:rPr>
            </w:pPr>
            <w:r>
              <w:rPr>
                <w:rFonts w:ascii="Arial" w:cs="Arial" w:eastAsia="Arial" w:hAnsi="Arial"/>
                <w:sz w:val="18"/>
                <w:szCs w:val="18"/>
                <w:color w:val="auto"/>
              </w:rPr>
              <w:t>Senior Notes due 2018</w:t>
            </w:r>
          </w:p>
        </w:tc>
        <w:tc>
          <w:tcPr>
            <w:tcW w:w="2000" w:type="dxa"/>
            <w:vAlign w:val="bottom"/>
            <w:gridSpan w:val="2"/>
            <w:shd w:val="clear" w:color="auto" w:fill="E5E5E5"/>
          </w:tcPr>
          <w:p>
            <w:pPr>
              <w:jc w:val="right"/>
              <w:ind w:right="520"/>
              <w:spacing w:after="0" w:line="202" w:lineRule="exact"/>
              <w:rPr>
                <w:sz w:val="20"/>
                <w:szCs w:val="20"/>
                <w:color w:val="auto"/>
              </w:rPr>
            </w:pPr>
            <w:r>
              <w:rPr>
                <w:rFonts w:ascii="Arial" w:cs="Arial" w:eastAsia="Arial" w:hAnsi="Arial"/>
                <w:sz w:val="18"/>
                <w:szCs w:val="18"/>
                <w:color w:val="auto"/>
              </w:rPr>
              <w:t>6.37%</w:t>
            </w:r>
          </w:p>
        </w:tc>
        <w:tc>
          <w:tcPr>
            <w:tcW w:w="120" w:type="dxa"/>
            <w:vAlign w:val="bottom"/>
            <w:shd w:val="clear" w:color="auto" w:fill="E5E5E5"/>
          </w:tcPr>
          <w:p>
            <w:pPr>
              <w:spacing w:after="0"/>
              <w:rPr>
                <w:sz w:val="17"/>
                <w:szCs w:val="17"/>
                <w:color w:val="auto"/>
              </w:rPr>
            </w:pPr>
          </w:p>
        </w:tc>
        <w:tc>
          <w:tcPr>
            <w:tcW w:w="5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1,000</w:t>
            </w:r>
          </w:p>
        </w:tc>
        <w:tc>
          <w:tcPr>
            <w:tcW w:w="3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5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1,000</w:t>
            </w:r>
          </w:p>
        </w:tc>
        <w:tc>
          <w:tcPr>
            <w:tcW w:w="100" w:type="dxa"/>
            <w:vAlign w:val="bottom"/>
            <w:shd w:val="clear" w:color="auto" w:fill="E5E5E5"/>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460" w:type="dxa"/>
            <w:vAlign w:val="bottom"/>
          </w:tcPr>
          <w:p>
            <w:pPr>
              <w:ind w:left="420"/>
              <w:spacing w:after="0" w:line="202" w:lineRule="exact"/>
              <w:rPr>
                <w:sz w:val="20"/>
                <w:szCs w:val="20"/>
                <w:color w:val="auto"/>
              </w:rPr>
            </w:pPr>
            <w:r>
              <w:rPr>
                <w:rFonts w:ascii="Arial" w:cs="Arial" w:eastAsia="Arial" w:hAnsi="Arial"/>
                <w:sz w:val="18"/>
                <w:szCs w:val="18"/>
                <w:color w:val="auto"/>
              </w:rPr>
              <w:t>Senior Notes due 2019</w:t>
            </w:r>
          </w:p>
        </w:tc>
        <w:tc>
          <w:tcPr>
            <w:tcW w:w="200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5.66%</w:t>
            </w:r>
          </w:p>
        </w:tc>
        <w:tc>
          <w:tcPr>
            <w:tcW w:w="12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650</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650</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E5E5E5"/>
          </w:tcPr>
          <w:p>
            <w:pPr>
              <w:ind w:left="420"/>
              <w:spacing w:after="0" w:line="202" w:lineRule="exact"/>
              <w:rPr>
                <w:sz w:val="20"/>
                <w:szCs w:val="20"/>
                <w:color w:val="auto"/>
              </w:rPr>
            </w:pPr>
            <w:r>
              <w:rPr>
                <w:rFonts w:ascii="Arial" w:cs="Arial" w:eastAsia="Arial" w:hAnsi="Arial"/>
                <w:sz w:val="18"/>
                <w:szCs w:val="18"/>
                <w:color w:val="auto"/>
              </w:rPr>
              <w:t>Zero Coupon Notes due 2023</w:t>
            </w:r>
          </w:p>
        </w:tc>
        <w:tc>
          <w:tcPr>
            <w:tcW w:w="2000" w:type="dxa"/>
            <w:vAlign w:val="bottom"/>
            <w:gridSpan w:val="2"/>
            <w:shd w:val="clear" w:color="auto" w:fill="E5E5E5"/>
          </w:tcPr>
          <w:p>
            <w:pPr>
              <w:jc w:val="right"/>
              <w:ind w:right="520"/>
              <w:spacing w:after="0" w:line="202" w:lineRule="exact"/>
              <w:rPr>
                <w:sz w:val="20"/>
                <w:szCs w:val="20"/>
                <w:color w:val="auto"/>
              </w:rPr>
            </w:pPr>
            <w:r>
              <w:rPr>
                <w:rFonts w:ascii="Arial" w:cs="Arial" w:eastAsia="Arial" w:hAnsi="Arial"/>
                <w:sz w:val="18"/>
                <w:szCs w:val="18"/>
                <w:color w:val="auto"/>
              </w:rPr>
              <w:t>5.41%</w:t>
            </w:r>
          </w:p>
        </w:tc>
        <w:tc>
          <w:tcPr>
            <w:tcW w:w="120" w:type="dxa"/>
            <w:vAlign w:val="bottom"/>
            <w:shd w:val="clear" w:color="auto" w:fill="E5E5E5"/>
          </w:tcPr>
          <w:p>
            <w:pPr>
              <w:spacing w:after="0"/>
              <w:rPr>
                <w:sz w:val="17"/>
                <w:szCs w:val="17"/>
                <w:color w:val="auto"/>
              </w:rPr>
            </w:pPr>
          </w:p>
        </w:tc>
        <w:tc>
          <w:tcPr>
            <w:tcW w:w="5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283</w:t>
            </w:r>
          </w:p>
        </w:tc>
        <w:tc>
          <w:tcPr>
            <w:tcW w:w="3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5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267</w:t>
            </w:r>
          </w:p>
        </w:tc>
        <w:tc>
          <w:tcPr>
            <w:tcW w:w="100" w:type="dxa"/>
            <w:vAlign w:val="bottom"/>
            <w:shd w:val="clear" w:color="auto" w:fill="E5E5E5"/>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7460" w:type="dxa"/>
            <w:vAlign w:val="bottom"/>
          </w:tcPr>
          <w:p>
            <w:pPr>
              <w:ind w:left="420"/>
              <w:spacing w:after="0" w:line="202" w:lineRule="exact"/>
              <w:rPr>
                <w:sz w:val="20"/>
                <w:szCs w:val="20"/>
                <w:color w:val="auto"/>
              </w:rPr>
            </w:pPr>
            <w:r>
              <w:rPr>
                <w:rFonts w:ascii="Arial" w:cs="Arial" w:eastAsia="Arial" w:hAnsi="Arial"/>
                <w:sz w:val="18"/>
                <w:szCs w:val="18"/>
                <w:color w:val="auto"/>
              </w:rPr>
              <w:t>Senior Notes due 2039</w:t>
            </w:r>
          </w:p>
        </w:tc>
        <w:tc>
          <w:tcPr>
            <w:tcW w:w="200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6.78%</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350</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E5E5E5"/>
          </w:tcPr>
          <w:p>
            <w:pPr>
              <w:ind w:left="860"/>
              <w:spacing w:after="0" w:line="202" w:lineRule="exact"/>
              <w:rPr>
                <w:sz w:val="20"/>
                <w:szCs w:val="20"/>
                <w:color w:val="auto"/>
              </w:rPr>
            </w:pPr>
            <w:r>
              <w:rPr>
                <w:rFonts w:ascii="Arial" w:cs="Arial" w:eastAsia="Arial" w:hAnsi="Arial"/>
                <w:sz w:val="18"/>
                <w:szCs w:val="18"/>
                <w:color w:val="auto"/>
              </w:rPr>
              <w:t>Subtotal</w:t>
            </w:r>
          </w:p>
        </w:tc>
        <w:tc>
          <w:tcPr>
            <w:tcW w:w="1340" w:type="dxa"/>
            <w:vAlign w:val="bottom"/>
            <w:shd w:val="clear" w:color="auto" w:fill="E5E5E5"/>
          </w:tcPr>
          <w:p>
            <w:pPr>
              <w:spacing w:after="0"/>
              <w:rPr>
                <w:sz w:val="17"/>
                <w:szCs w:val="17"/>
                <w:color w:val="auto"/>
              </w:rPr>
            </w:pPr>
          </w:p>
        </w:tc>
        <w:tc>
          <w:tcPr>
            <w:tcW w:w="660" w:type="dxa"/>
            <w:vAlign w:val="bottom"/>
            <w:shd w:val="clear" w:color="auto" w:fill="E5E5E5"/>
          </w:tcPr>
          <w:p>
            <w:pPr>
              <w:spacing w:after="0"/>
              <w:rPr>
                <w:sz w:val="17"/>
                <w:szCs w:val="17"/>
                <w:color w:val="auto"/>
              </w:rPr>
            </w:pPr>
          </w:p>
        </w:tc>
        <w:tc>
          <w:tcPr>
            <w:tcW w:w="1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7,753</w:t>
            </w:r>
          </w:p>
        </w:tc>
        <w:tc>
          <w:tcPr>
            <w:tcW w:w="300" w:type="dxa"/>
            <w:vAlign w:val="bottom"/>
            <w:shd w:val="clear" w:color="auto" w:fill="E5E5E5"/>
          </w:tcPr>
          <w:p>
            <w:pPr>
              <w:spacing w:after="0"/>
              <w:rPr>
                <w:sz w:val="17"/>
                <w:szCs w:val="17"/>
                <w:color w:val="auto"/>
              </w:rPr>
            </w:pPr>
          </w:p>
        </w:tc>
        <w:tc>
          <w:tcPr>
            <w:tcW w:w="40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9,037</w:t>
            </w:r>
          </w:p>
        </w:tc>
        <w:tc>
          <w:tcPr>
            <w:tcW w:w="100" w:type="dxa"/>
            <w:vAlign w:val="bottom"/>
            <w:shd w:val="clear" w:color="auto" w:fill="E5E5E5"/>
          </w:tcPr>
          <w:p>
            <w:pPr>
              <w:spacing w:after="0"/>
              <w:rPr>
                <w:sz w:val="17"/>
                <w:szCs w:val="17"/>
                <w:color w:val="auto"/>
              </w:rPr>
            </w:pPr>
          </w:p>
        </w:tc>
      </w:tr>
      <w:tr>
        <w:trPr>
          <w:trHeight w:val="210"/>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Xerox Credit Corporation</w:t>
            </w:r>
          </w:p>
        </w:tc>
        <w:tc>
          <w:tcPr>
            <w:tcW w:w="1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E5E5E5"/>
          </w:tcPr>
          <w:p>
            <w:pPr>
              <w:ind w:left="420"/>
              <w:spacing w:after="0" w:line="202" w:lineRule="exact"/>
              <w:rPr>
                <w:sz w:val="20"/>
                <w:szCs w:val="20"/>
                <w:color w:val="auto"/>
              </w:rPr>
            </w:pPr>
            <w:r>
              <w:rPr>
                <w:rFonts w:ascii="Arial" w:cs="Arial" w:eastAsia="Arial" w:hAnsi="Arial"/>
                <w:sz w:val="18"/>
                <w:szCs w:val="18"/>
                <w:color w:val="auto"/>
              </w:rPr>
              <w:t>Notes due 2013</w:t>
            </w:r>
          </w:p>
        </w:tc>
        <w:tc>
          <w:tcPr>
            <w:tcW w:w="2000" w:type="dxa"/>
            <w:vAlign w:val="bottom"/>
            <w:gridSpan w:val="2"/>
            <w:shd w:val="clear" w:color="auto" w:fill="E5E5E5"/>
          </w:tcPr>
          <w:p>
            <w:pPr>
              <w:jc w:val="right"/>
              <w:ind w:right="5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E5E5E5"/>
          </w:tcPr>
          <w:p>
            <w:pPr>
              <w:spacing w:after="0"/>
              <w:rPr>
                <w:sz w:val="17"/>
                <w:szCs w:val="17"/>
                <w:color w:val="auto"/>
              </w:rPr>
            </w:pPr>
          </w:p>
        </w:tc>
        <w:tc>
          <w:tcPr>
            <w:tcW w:w="800" w:type="dxa"/>
            <w:vAlign w:val="bottom"/>
            <w:gridSpan w:val="2"/>
            <w:shd w:val="clear" w:color="auto" w:fill="E5E5E5"/>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6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10</w:t>
            </w:r>
          </w:p>
        </w:tc>
      </w:tr>
      <w:tr>
        <w:trPr>
          <w:trHeight w:val="210"/>
        </w:trPr>
        <w:tc>
          <w:tcPr>
            <w:tcW w:w="20" w:type="dxa"/>
            <w:vAlign w:val="bottom"/>
          </w:tcPr>
          <w:p>
            <w:pPr>
              <w:spacing w:after="0"/>
              <w:rPr>
                <w:sz w:val="18"/>
                <w:szCs w:val="18"/>
                <w:color w:val="auto"/>
              </w:rPr>
            </w:pPr>
          </w:p>
        </w:tc>
        <w:tc>
          <w:tcPr>
            <w:tcW w:w="7460" w:type="dxa"/>
            <w:vAlign w:val="bottom"/>
          </w:tcPr>
          <w:p>
            <w:pPr>
              <w:ind w:left="420"/>
              <w:spacing w:after="0" w:line="202" w:lineRule="exact"/>
              <w:rPr>
                <w:sz w:val="20"/>
                <w:szCs w:val="20"/>
                <w:color w:val="auto"/>
              </w:rPr>
            </w:pPr>
            <w:r>
              <w:rPr>
                <w:rFonts w:ascii="Arial" w:cs="Arial" w:eastAsia="Arial" w:hAnsi="Arial"/>
                <w:sz w:val="18"/>
                <w:szCs w:val="18"/>
                <w:color w:val="auto"/>
              </w:rPr>
              <w:t>Notes due 2014</w:t>
            </w:r>
          </w:p>
        </w:tc>
        <w:tc>
          <w:tcPr>
            <w:tcW w:w="200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E5E5E5"/>
          </w:tcPr>
          <w:p>
            <w:pPr>
              <w:ind w:left="860"/>
              <w:spacing w:after="0" w:line="202" w:lineRule="exact"/>
              <w:rPr>
                <w:sz w:val="20"/>
                <w:szCs w:val="20"/>
                <w:color w:val="auto"/>
              </w:rPr>
            </w:pPr>
            <w:r>
              <w:rPr>
                <w:rFonts w:ascii="Arial" w:cs="Arial" w:eastAsia="Arial" w:hAnsi="Arial"/>
                <w:sz w:val="18"/>
                <w:szCs w:val="18"/>
                <w:color w:val="auto"/>
              </w:rPr>
              <w:t>Subtotal</w:t>
            </w:r>
          </w:p>
        </w:tc>
        <w:tc>
          <w:tcPr>
            <w:tcW w:w="1340" w:type="dxa"/>
            <w:vAlign w:val="bottom"/>
            <w:shd w:val="clear" w:color="auto" w:fill="E5E5E5"/>
          </w:tcPr>
          <w:p>
            <w:pPr>
              <w:spacing w:after="0"/>
              <w:rPr>
                <w:sz w:val="17"/>
                <w:szCs w:val="17"/>
                <w:color w:val="auto"/>
              </w:rPr>
            </w:pPr>
          </w:p>
        </w:tc>
        <w:tc>
          <w:tcPr>
            <w:tcW w:w="66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800" w:type="dxa"/>
            <w:vAlign w:val="bottom"/>
            <w:gridSpan w:val="2"/>
            <w:shd w:val="clear" w:color="auto" w:fill="E5E5E5"/>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6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60</w:t>
            </w:r>
          </w:p>
        </w:tc>
      </w:tr>
      <w:tr>
        <w:trPr>
          <w:trHeight w:val="210"/>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ACS</w:t>
            </w:r>
          </w:p>
        </w:tc>
        <w:tc>
          <w:tcPr>
            <w:tcW w:w="1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E5E5E5"/>
          </w:tcPr>
          <w:p>
            <w:pPr>
              <w:ind w:left="420"/>
              <w:spacing w:after="0" w:line="202" w:lineRule="exact"/>
              <w:rPr>
                <w:sz w:val="20"/>
                <w:szCs w:val="20"/>
                <w:color w:val="auto"/>
              </w:rPr>
            </w:pPr>
            <w:r>
              <w:rPr>
                <w:rFonts w:ascii="Arial" w:cs="Arial" w:eastAsia="Arial" w:hAnsi="Arial"/>
                <w:sz w:val="18"/>
                <w:szCs w:val="18"/>
                <w:color w:val="auto"/>
              </w:rPr>
              <w:t>Notes due 2015</w:t>
            </w:r>
          </w:p>
        </w:tc>
        <w:tc>
          <w:tcPr>
            <w:tcW w:w="2000" w:type="dxa"/>
            <w:vAlign w:val="bottom"/>
            <w:gridSpan w:val="2"/>
            <w:shd w:val="clear" w:color="auto" w:fill="E5E5E5"/>
          </w:tcPr>
          <w:p>
            <w:pPr>
              <w:jc w:val="right"/>
              <w:ind w:right="520"/>
              <w:spacing w:after="0" w:line="202" w:lineRule="exact"/>
              <w:rPr>
                <w:sz w:val="20"/>
                <w:szCs w:val="20"/>
                <w:color w:val="auto"/>
              </w:rPr>
            </w:pPr>
            <w:r>
              <w:rPr>
                <w:rFonts w:ascii="Arial" w:cs="Arial" w:eastAsia="Arial" w:hAnsi="Arial"/>
                <w:sz w:val="18"/>
                <w:szCs w:val="18"/>
                <w:color w:val="auto"/>
              </w:rPr>
              <w:t>4.25%</w:t>
            </w:r>
          </w:p>
        </w:tc>
        <w:tc>
          <w:tcPr>
            <w:tcW w:w="120" w:type="dxa"/>
            <w:vAlign w:val="bottom"/>
            <w:shd w:val="clear" w:color="auto" w:fill="E5E5E5"/>
          </w:tcPr>
          <w:p>
            <w:pPr>
              <w:spacing w:after="0"/>
              <w:rPr>
                <w:sz w:val="17"/>
                <w:szCs w:val="17"/>
                <w:color w:val="auto"/>
              </w:rPr>
            </w:pPr>
          </w:p>
        </w:tc>
        <w:tc>
          <w:tcPr>
            <w:tcW w:w="5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250</w:t>
            </w:r>
          </w:p>
        </w:tc>
        <w:tc>
          <w:tcPr>
            <w:tcW w:w="3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6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7460" w:type="dxa"/>
            <w:vAlign w:val="bottom"/>
          </w:tcPr>
          <w:p>
            <w:pPr>
              <w:ind w:left="420"/>
              <w:spacing w:after="0" w:line="202" w:lineRule="exact"/>
              <w:rPr>
                <w:sz w:val="20"/>
                <w:szCs w:val="20"/>
                <w:color w:val="auto"/>
              </w:rPr>
            </w:pPr>
            <w:r>
              <w:rPr>
                <w:rFonts w:ascii="Arial" w:cs="Arial" w:eastAsia="Arial" w:hAnsi="Arial"/>
                <w:sz w:val="18"/>
                <w:szCs w:val="18"/>
                <w:color w:val="auto"/>
              </w:rPr>
              <w:t>Borrowings secured by other assets</w:t>
            </w:r>
          </w:p>
        </w:tc>
        <w:tc>
          <w:tcPr>
            <w:tcW w:w="200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6.62%</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71</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E5E5E5"/>
          </w:tcPr>
          <w:p>
            <w:pPr>
              <w:ind w:left="860"/>
              <w:spacing w:after="0" w:line="202" w:lineRule="exact"/>
              <w:rPr>
                <w:sz w:val="20"/>
                <w:szCs w:val="20"/>
                <w:color w:val="auto"/>
              </w:rPr>
            </w:pPr>
            <w:r>
              <w:rPr>
                <w:rFonts w:ascii="Arial" w:cs="Arial" w:eastAsia="Arial" w:hAnsi="Arial"/>
                <w:sz w:val="18"/>
                <w:szCs w:val="18"/>
                <w:color w:val="auto"/>
              </w:rPr>
              <w:t>Subtotal</w:t>
            </w:r>
          </w:p>
        </w:tc>
        <w:tc>
          <w:tcPr>
            <w:tcW w:w="1340" w:type="dxa"/>
            <w:vAlign w:val="bottom"/>
            <w:shd w:val="clear" w:color="auto" w:fill="E5E5E5"/>
          </w:tcPr>
          <w:p>
            <w:pPr>
              <w:spacing w:after="0"/>
              <w:rPr>
                <w:sz w:val="17"/>
                <w:szCs w:val="17"/>
                <w:color w:val="auto"/>
              </w:rPr>
            </w:pPr>
          </w:p>
        </w:tc>
        <w:tc>
          <w:tcPr>
            <w:tcW w:w="66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5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321</w:t>
            </w:r>
          </w:p>
        </w:tc>
        <w:tc>
          <w:tcPr>
            <w:tcW w:w="3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6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10"/>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Other U.S. Operations</w:t>
            </w:r>
          </w:p>
        </w:tc>
        <w:tc>
          <w:tcPr>
            <w:tcW w:w="1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Borrowings secured by finance receivables</w:t>
            </w:r>
          </w:p>
        </w:tc>
        <w:tc>
          <w:tcPr>
            <w:tcW w:w="2000" w:type="dxa"/>
            <w:vAlign w:val="bottom"/>
            <w:gridSpan w:val="2"/>
            <w:shd w:val="clear" w:color="auto" w:fill="E5E5E5"/>
          </w:tcPr>
          <w:p>
            <w:pPr>
              <w:jc w:val="right"/>
              <w:ind w:right="5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E5E5E5"/>
          </w:tcPr>
          <w:p>
            <w:pPr>
              <w:spacing w:after="0"/>
              <w:rPr>
                <w:sz w:val="17"/>
                <w:szCs w:val="17"/>
                <w:color w:val="auto"/>
              </w:rPr>
            </w:pPr>
          </w:p>
        </w:tc>
        <w:tc>
          <w:tcPr>
            <w:tcW w:w="800" w:type="dxa"/>
            <w:vAlign w:val="bottom"/>
            <w:gridSpan w:val="2"/>
            <w:shd w:val="clear" w:color="auto" w:fill="E5E5E5"/>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6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w:t>
            </w:r>
          </w:p>
        </w:tc>
      </w:tr>
      <w:tr>
        <w:trPr>
          <w:trHeight w:val="210"/>
        </w:trPr>
        <w:tc>
          <w:tcPr>
            <w:tcW w:w="7480" w:type="dxa"/>
            <w:vAlign w:val="bottom"/>
            <w:gridSpan w:val="2"/>
          </w:tcPr>
          <w:p>
            <w:pPr>
              <w:spacing w:after="0" w:line="202" w:lineRule="exact"/>
              <w:rPr>
                <w:sz w:val="20"/>
                <w:szCs w:val="20"/>
                <w:color w:val="auto"/>
              </w:rPr>
            </w:pPr>
            <w:r>
              <w:rPr>
                <w:rFonts w:ascii="Arial" w:cs="Arial" w:eastAsia="Arial" w:hAnsi="Arial"/>
                <w:sz w:val="18"/>
                <w:szCs w:val="18"/>
                <w:color w:val="auto"/>
              </w:rPr>
              <w:t>Borrowings secured by other assets</w:t>
            </w:r>
          </w:p>
        </w:tc>
        <w:tc>
          <w:tcPr>
            <w:tcW w:w="200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12.39%</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E5E5E5"/>
          </w:tcPr>
          <w:p>
            <w:pPr>
              <w:ind w:left="860"/>
              <w:spacing w:after="0" w:line="202" w:lineRule="exact"/>
              <w:rPr>
                <w:sz w:val="20"/>
                <w:szCs w:val="20"/>
                <w:color w:val="auto"/>
              </w:rPr>
            </w:pPr>
            <w:r>
              <w:rPr>
                <w:rFonts w:ascii="Arial" w:cs="Arial" w:eastAsia="Arial" w:hAnsi="Arial"/>
                <w:sz w:val="18"/>
                <w:szCs w:val="18"/>
                <w:color w:val="auto"/>
              </w:rPr>
              <w:t>Subtotal</w:t>
            </w:r>
          </w:p>
        </w:tc>
        <w:tc>
          <w:tcPr>
            <w:tcW w:w="1340" w:type="dxa"/>
            <w:vAlign w:val="bottom"/>
            <w:shd w:val="clear" w:color="auto" w:fill="E5E5E5"/>
          </w:tcPr>
          <w:p>
            <w:pPr>
              <w:spacing w:after="0"/>
              <w:rPr>
                <w:sz w:val="17"/>
                <w:szCs w:val="17"/>
                <w:color w:val="auto"/>
              </w:rPr>
            </w:pPr>
          </w:p>
        </w:tc>
        <w:tc>
          <w:tcPr>
            <w:tcW w:w="66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800" w:type="dxa"/>
            <w:vAlign w:val="bottom"/>
            <w:gridSpan w:val="2"/>
            <w:shd w:val="clear" w:color="auto" w:fill="E5E5E5"/>
          </w:tcPr>
          <w:p>
            <w:pPr>
              <w:jc w:val="right"/>
              <w:ind w:right="300"/>
              <w:spacing w:after="0" w:line="202" w:lineRule="exact"/>
              <w:rPr>
                <w:sz w:val="20"/>
                <w:szCs w:val="20"/>
                <w:color w:val="auto"/>
              </w:rPr>
            </w:pPr>
            <w:r>
              <w:rPr>
                <w:rFonts w:ascii="Arial" w:cs="Arial" w:eastAsia="Arial" w:hAnsi="Arial"/>
                <w:sz w:val="18"/>
                <w:szCs w:val="18"/>
                <w:color w:val="auto"/>
              </w:rPr>
              <w:t>4</w:t>
            </w:r>
          </w:p>
        </w:tc>
        <w:tc>
          <w:tcPr>
            <w:tcW w:w="26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6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7</w:t>
            </w:r>
          </w:p>
        </w:tc>
      </w:tr>
      <w:tr>
        <w:trPr>
          <w:trHeight w:val="217"/>
        </w:trPr>
        <w:tc>
          <w:tcPr>
            <w:tcW w:w="20" w:type="dxa"/>
            <w:vAlign w:val="bottom"/>
          </w:tcPr>
          <w:p>
            <w:pPr>
              <w:spacing w:after="0"/>
              <w:rPr>
                <w:sz w:val="18"/>
                <w:szCs w:val="18"/>
                <w:color w:val="auto"/>
              </w:rPr>
            </w:pPr>
          </w:p>
        </w:tc>
        <w:tc>
          <w:tcPr>
            <w:tcW w:w="7460" w:type="dxa"/>
            <w:vAlign w:val="bottom"/>
          </w:tcPr>
          <w:p>
            <w:pPr>
              <w:ind w:left="860"/>
              <w:spacing w:after="0"/>
              <w:rPr>
                <w:sz w:val="20"/>
                <w:szCs w:val="20"/>
                <w:color w:val="auto"/>
              </w:rPr>
            </w:pPr>
            <w:r>
              <w:rPr>
                <w:rFonts w:ascii="Arial" w:cs="Arial" w:eastAsia="Arial" w:hAnsi="Arial"/>
                <w:sz w:val="18"/>
                <w:szCs w:val="18"/>
                <w:b w:val="1"/>
                <w:bCs w:val="1"/>
                <w:color w:val="auto"/>
              </w:rPr>
              <w:t>Total U.S. Operations</w:t>
            </w:r>
          </w:p>
        </w:tc>
        <w:tc>
          <w:tcPr>
            <w:tcW w:w="1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8,078</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9,104</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International Operations</w:t>
            </w:r>
          </w:p>
        </w:tc>
        <w:tc>
          <w:tcPr>
            <w:tcW w:w="1340" w:type="dxa"/>
            <w:vAlign w:val="bottom"/>
            <w:shd w:val="clear" w:color="auto" w:fill="E5E5E5"/>
          </w:tcPr>
          <w:p>
            <w:pPr>
              <w:spacing w:after="0"/>
              <w:rPr>
                <w:sz w:val="17"/>
                <w:szCs w:val="17"/>
                <w:color w:val="auto"/>
              </w:rPr>
            </w:pPr>
          </w:p>
        </w:tc>
        <w:tc>
          <w:tcPr>
            <w:tcW w:w="66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50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5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7460" w:type="dxa"/>
            <w:vAlign w:val="bottom"/>
          </w:tcPr>
          <w:p>
            <w:pPr>
              <w:ind w:left="420"/>
              <w:spacing w:after="0" w:line="202" w:lineRule="exact"/>
              <w:rPr>
                <w:sz w:val="20"/>
                <w:szCs w:val="20"/>
                <w:color w:val="auto"/>
              </w:rPr>
            </w:pPr>
            <w:r>
              <w:rPr>
                <w:rFonts w:ascii="Arial" w:cs="Arial" w:eastAsia="Arial" w:hAnsi="Arial"/>
                <w:sz w:val="18"/>
                <w:szCs w:val="18"/>
                <w:color w:val="auto"/>
              </w:rPr>
              <w:t>Other debt due 2011-2013</w:t>
            </w:r>
          </w:p>
        </w:tc>
        <w:tc>
          <w:tcPr>
            <w:tcW w:w="200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0.86%</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E5E5E5"/>
          </w:tcPr>
          <w:p>
            <w:pPr>
              <w:ind w:left="860"/>
              <w:spacing w:after="0" w:line="202" w:lineRule="exact"/>
              <w:rPr>
                <w:sz w:val="20"/>
                <w:szCs w:val="20"/>
                <w:color w:val="auto"/>
              </w:rPr>
            </w:pPr>
            <w:r>
              <w:rPr>
                <w:rFonts w:ascii="Arial" w:cs="Arial" w:eastAsia="Arial" w:hAnsi="Arial"/>
                <w:sz w:val="18"/>
                <w:szCs w:val="18"/>
                <w:b w:val="1"/>
                <w:bCs w:val="1"/>
                <w:color w:val="auto"/>
              </w:rPr>
              <w:t>Total International Operations</w:t>
            </w:r>
          </w:p>
        </w:tc>
        <w:tc>
          <w:tcPr>
            <w:tcW w:w="1340" w:type="dxa"/>
            <w:vAlign w:val="bottom"/>
            <w:shd w:val="clear" w:color="auto" w:fill="E5E5E5"/>
          </w:tcPr>
          <w:p>
            <w:pPr>
              <w:spacing w:after="0"/>
              <w:rPr>
                <w:sz w:val="17"/>
                <w:szCs w:val="17"/>
                <w:color w:val="auto"/>
              </w:rPr>
            </w:pPr>
          </w:p>
        </w:tc>
        <w:tc>
          <w:tcPr>
            <w:tcW w:w="66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800" w:type="dxa"/>
            <w:vAlign w:val="bottom"/>
            <w:gridSpan w:val="2"/>
            <w:shd w:val="clear" w:color="auto" w:fill="E5E5E5"/>
          </w:tcPr>
          <w:p>
            <w:pPr>
              <w:jc w:val="right"/>
              <w:ind w:right="300"/>
              <w:spacing w:after="0" w:line="202" w:lineRule="exact"/>
              <w:rPr>
                <w:sz w:val="20"/>
                <w:szCs w:val="20"/>
                <w:color w:val="auto"/>
              </w:rPr>
            </w:pPr>
            <w:r>
              <w:rPr>
                <w:rFonts w:ascii="Arial" w:cs="Arial" w:eastAsia="Arial" w:hAnsi="Arial"/>
                <w:sz w:val="18"/>
                <w:szCs w:val="18"/>
                <w:color w:val="auto"/>
              </w:rPr>
              <w:t>2</w:t>
            </w:r>
          </w:p>
        </w:tc>
        <w:tc>
          <w:tcPr>
            <w:tcW w:w="26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6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18</w:t>
            </w:r>
          </w:p>
        </w:tc>
      </w:tr>
      <w:tr>
        <w:trPr>
          <w:trHeight w:val="210"/>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Principal Debt Balance</w:t>
            </w:r>
          </w:p>
        </w:tc>
        <w:tc>
          <w:tcPr>
            <w:tcW w:w="1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8,080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9,122</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Unamortized discount</w:t>
            </w:r>
          </w:p>
        </w:tc>
        <w:tc>
          <w:tcPr>
            <w:tcW w:w="1340" w:type="dxa"/>
            <w:vAlign w:val="bottom"/>
            <w:shd w:val="clear" w:color="auto" w:fill="E5E5E5"/>
          </w:tcPr>
          <w:p>
            <w:pPr>
              <w:spacing w:after="0"/>
              <w:rPr>
                <w:sz w:val="17"/>
                <w:szCs w:val="17"/>
                <w:color w:val="auto"/>
              </w:rPr>
            </w:pPr>
          </w:p>
        </w:tc>
        <w:tc>
          <w:tcPr>
            <w:tcW w:w="66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80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color w:val="auto"/>
              </w:rPr>
              <w:t>(1)</w:t>
            </w:r>
          </w:p>
        </w:tc>
        <w:tc>
          <w:tcPr>
            <w:tcW w:w="26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62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(11)</w:t>
            </w:r>
          </w:p>
        </w:tc>
      </w:tr>
      <w:tr>
        <w:trPr>
          <w:trHeight w:val="203"/>
        </w:trPr>
        <w:tc>
          <w:tcPr>
            <w:tcW w:w="7480" w:type="dxa"/>
            <w:vAlign w:val="bottom"/>
            <w:gridSpan w:val="2"/>
          </w:tcPr>
          <w:p>
            <w:pPr>
              <w:spacing w:after="0" w:line="203" w:lineRule="exact"/>
              <w:rPr>
                <w:sz w:val="20"/>
                <w:szCs w:val="20"/>
                <w:color w:val="auto"/>
              </w:rPr>
            </w:pPr>
            <w:r>
              <w:rPr>
                <w:rFonts w:ascii="Arial" w:cs="Arial" w:eastAsia="Arial" w:hAnsi="Arial"/>
                <w:sz w:val="18"/>
                <w:szCs w:val="18"/>
                <w:color w:val="auto"/>
              </w:rPr>
              <w:t xml:space="preserve">Fair value adjustments </w:t>
            </w:r>
            <w:r>
              <w:rPr>
                <w:rFonts w:ascii="Arial" w:cs="Arial" w:eastAsia="Arial" w:hAnsi="Arial"/>
                <w:sz w:val="22"/>
                <w:szCs w:val="22"/>
                <w:color w:val="auto"/>
                <w:vertAlign w:val="superscript"/>
              </w:rPr>
              <w:t>(1)</w:t>
            </w:r>
          </w:p>
        </w:tc>
        <w:tc>
          <w:tcPr>
            <w:tcW w:w="1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228</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153</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Less: current maturities</w:t>
            </w:r>
          </w:p>
        </w:tc>
        <w:tc>
          <w:tcPr>
            <w:tcW w:w="1340" w:type="dxa"/>
            <w:vAlign w:val="bottom"/>
            <w:shd w:val="clear" w:color="auto" w:fill="E5E5E5"/>
          </w:tcPr>
          <w:p>
            <w:pPr>
              <w:spacing w:after="0"/>
              <w:rPr>
                <w:sz w:val="17"/>
                <w:szCs w:val="17"/>
                <w:color w:val="auto"/>
              </w:rPr>
            </w:pPr>
          </w:p>
        </w:tc>
        <w:tc>
          <w:tcPr>
            <w:tcW w:w="66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80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color w:val="auto"/>
                <w:w w:val="94"/>
              </w:rPr>
              <w:t>(1,070)</w:t>
            </w:r>
          </w:p>
        </w:tc>
        <w:tc>
          <w:tcPr>
            <w:tcW w:w="26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62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(988)</w:t>
            </w:r>
          </w:p>
        </w:tc>
      </w:tr>
      <w:tr>
        <w:trPr>
          <w:trHeight w:val="210"/>
        </w:trPr>
        <w:tc>
          <w:tcPr>
            <w:tcW w:w="20" w:type="dxa"/>
            <w:vAlign w:val="bottom"/>
          </w:tcPr>
          <w:p>
            <w:pPr>
              <w:spacing w:after="0"/>
              <w:rPr>
                <w:sz w:val="18"/>
                <w:szCs w:val="18"/>
                <w:color w:val="auto"/>
              </w:rPr>
            </w:pPr>
          </w:p>
        </w:tc>
        <w:tc>
          <w:tcPr>
            <w:tcW w:w="7460" w:type="dxa"/>
            <w:vAlign w:val="bottom"/>
          </w:tcPr>
          <w:p>
            <w:pPr>
              <w:ind w:left="860"/>
              <w:spacing w:after="0"/>
              <w:rPr>
                <w:sz w:val="20"/>
                <w:szCs w:val="20"/>
                <w:color w:val="auto"/>
              </w:rPr>
            </w:pPr>
            <w:r>
              <w:rPr>
                <w:rFonts w:ascii="Arial" w:cs="Arial" w:eastAsia="Arial" w:hAnsi="Arial"/>
                <w:sz w:val="18"/>
                <w:szCs w:val="18"/>
                <w:b w:val="1"/>
                <w:bCs w:val="1"/>
                <w:color w:val="auto"/>
              </w:rPr>
              <w:t>Total Long-term Debt</w:t>
            </w:r>
          </w:p>
        </w:tc>
        <w:tc>
          <w:tcPr>
            <w:tcW w:w="1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7,237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8,276</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1" w:lineRule="exact"/>
        <w:rPr>
          <w:sz w:val="20"/>
          <w:szCs w:val="20"/>
          <w:color w:val="auto"/>
        </w:rPr>
      </w:pPr>
    </w:p>
    <w:p>
      <w:pPr>
        <w:ind w:left="340" w:right="240" w:hanging="332"/>
        <w:spacing w:after="0" w:line="221" w:lineRule="auto"/>
        <w:tabs>
          <w:tab w:leader="none" w:pos="340" w:val="left"/>
        </w:tabs>
        <w:numPr>
          <w:ilvl w:val="0"/>
          <w:numId w:val="160"/>
        </w:numPr>
        <w:rPr>
          <w:rFonts w:ascii="Arial" w:cs="Arial" w:eastAsia="Arial" w:hAnsi="Arial"/>
          <w:sz w:val="14"/>
          <w:szCs w:val="14"/>
          <w:color w:val="auto"/>
        </w:rPr>
      </w:pPr>
      <w:r>
        <w:rPr>
          <w:rFonts w:ascii="Arial" w:cs="Arial" w:eastAsia="Arial" w:hAnsi="Arial"/>
          <w:sz w:val="14"/>
          <w:szCs w:val="14"/>
          <w:color w:val="auto"/>
        </w:rPr>
        <w:t>Fair value adjustments represent changes in the fair value of hedged debt obligations attributable to movements in benchmark interest rates. Hedge accounting requires hedged debt instruments to be reported at an amount equal to the sum of their carrying value (principal value plus/minus premiums/discounts) and any fair value adjustment.</w:t>
      </w:r>
    </w:p>
    <w:p>
      <w:pPr>
        <w:ind w:left="340" w:hanging="332"/>
        <w:spacing w:after="0"/>
        <w:tabs>
          <w:tab w:leader="none" w:pos="340" w:val="left"/>
        </w:tabs>
        <w:numPr>
          <w:ilvl w:val="0"/>
          <w:numId w:val="160"/>
        </w:numPr>
        <w:rPr>
          <w:rFonts w:ascii="Arial" w:cs="Arial" w:eastAsia="Arial" w:hAnsi="Arial"/>
          <w:sz w:val="14"/>
          <w:szCs w:val="14"/>
          <w:color w:val="auto"/>
        </w:rPr>
      </w:pPr>
      <w:r>
        <w:rPr>
          <w:rFonts w:ascii="Arial" w:cs="Arial" w:eastAsia="Arial" w:hAnsi="Arial"/>
          <w:sz w:val="14"/>
          <w:szCs w:val="14"/>
          <w:color w:val="auto"/>
        </w:rPr>
        <w:t>Represents weighted average effective interest rate which includes the effect of discounts and premiums on issued debt.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Scheduled principal payments due on our long-term debt for the next five years and thereafter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color w:val="auto"/>
              </w:rPr>
              <w:t>2011</w:t>
            </w:r>
          </w:p>
        </w:tc>
        <w:tc>
          <w:tcPr>
            <w:tcW w:w="1220" w:type="dxa"/>
            <w:vAlign w:val="bottom"/>
          </w:tcPr>
          <w:p>
            <w:pPr>
              <w:spacing w:after="0"/>
              <w:rPr>
                <w:sz w:val="14"/>
                <w:szCs w:val="14"/>
                <w:color w:val="auto"/>
              </w:rPr>
            </w:pPr>
          </w:p>
        </w:tc>
        <w:tc>
          <w:tcPr>
            <w:tcW w:w="68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color w:val="auto"/>
              </w:rPr>
              <w:t>2012</w:t>
            </w:r>
          </w:p>
        </w:tc>
        <w:tc>
          <w:tcPr>
            <w:tcW w:w="1120" w:type="dxa"/>
            <w:vAlign w:val="bottom"/>
          </w:tcPr>
          <w:p>
            <w:pPr>
              <w:spacing w:after="0"/>
              <w:rPr>
                <w:sz w:val="14"/>
                <w:szCs w:val="14"/>
                <w:color w:val="auto"/>
              </w:rPr>
            </w:pP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2013</w:t>
            </w: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2014</w:t>
            </w:r>
          </w:p>
        </w:tc>
        <w:tc>
          <w:tcPr>
            <w:tcW w:w="1140" w:type="dxa"/>
            <w:vAlign w:val="bottom"/>
          </w:tcPr>
          <w:p>
            <w:pPr>
              <w:spacing w:after="0"/>
              <w:rPr>
                <w:sz w:val="14"/>
                <w:szCs w:val="14"/>
                <w:color w:val="auto"/>
              </w:rPr>
            </w:pPr>
          </w:p>
        </w:tc>
        <w:tc>
          <w:tcPr>
            <w:tcW w:w="68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color w:val="auto"/>
              </w:rPr>
              <w:t>2015</w:t>
            </w:r>
          </w:p>
        </w:tc>
        <w:tc>
          <w:tcPr>
            <w:tcW w:w="114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Thereafter</w:t>
            </w:r>
          </w:p>
        </w:tc>
        <w:tc>
          <w:tcPr>
            <w:tcW w:w="1140" w:type="dxa"/>
            <w:vAlign w:val="bottom"/>
          </w:tcPr>
          <w:p>
            <w:pPr>
              <w:spacing w:after="0"/>
              <w:rPr>
                <w:sz w:val="14"/>
                <w:szCs w:val="14"/>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Total</w:t>
            </w:r>
          </w:p>
        </w:tc>
      </w:tr>
      <w:tr>
        <w:trPr>
          <w:trHeight w:val="196"/>
        </w:trPr>
        <w:tc>
          <w:tcPr>
            <w:tcW w:w="1900" w:type="dxa"/>
            <w:vAlign w:val="bottom"/>
            <w:gridSpan w:val="2"/>
            <w:shd w:val="clear" w:color="auto" w:fill="E5E5E5"/>
          </w:tcPr>
          <w:p>
            <w:pPr>
              <w:jc w:val="right"/>
              <w:ind w:right="1080"/>
              <w:spacing w:after="0" w:line="197" w:lineRule="exact"/>
              <w:rPr>
                <w:sz w:val="20"/>
                <w:szCs w:val="20"/>
                <w:color w:val="auto"/>
              </w:rPr>
            </w:pPr>
            <w:r>
              <w:rPr>
                <w:rFonts w:ascii="Arial" w:cs="Arial" w:eastAsia="Arial" w:hAnsi="Arial"/>
                <w:sz w:val="18"/>
                <w:szCs w:val="18"/>
                <w:color w:val="auto"/>
                <w:w w:val="96"/>
              </w:rPr>
              <w:t>$  1,070</w:t>
            </w:r>
            <w:r>
              <w:rPr>
                <w:rFonts w:ascii="Arial" w:cs="Arial" w:eastAsia="Arial" w:hAnsi="Arial"/>
                <w:sz w:val="22"/>
                <w:szCs w:val="22"/>
                <w:color w:val="auto"/>
                <w:w w:val="96"/>
                <w:vertAlign w:val="superscript"/>
              </w:rPr>
              <w:t>(1)</w:t>
            </w:r>
          </w:p>
        </w:tc>
        <w:tc>
          <w:tcPr>
            <w:tcW w:w="68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rPr>
              <w:t>$  1,126</w:t>
            </w:r>
          </w:p>
        </w:tc>
        <w:tc>
          <w:tcPr>
            <w:tcW w:w="2220" w:type="dxa"/>
            <w:vAlign w:val="bottom"/>
            <w:gridSpan w:val="3"/>
            <w:shd w:val="clear" w:color="auto" w:fill="E5E5E5"/>
          </w:tcPr>
          <w:p>
            <w:pPr>
              <w:jc w:val="right"/>
              <w:ind w:right="560"/>
              <w:spacing w:after="0" w:line="196" w:lineRule="exact"/>
              <w:rPr>
                <w:sz w:val="20"/>
                <w:szCs w:val="20"/>
                <w:color w:val="auto"/>
              </w:rPr>
            </w:pPr>
            <w:r>
              <w:rPr>
                <w:rFonts w:ascii="Arial" w:cs="Arial" w:eastAsia="Arial" w:hAnsi="Arial"/>
                <w:sz w:val="18"/>
                <w:szCs w:val="18"/>
                <w:color w:val="auto"/>
              </w:rPr>
              <w:t>$  412</w:t>
            </w:r>
          </w:p>
        </w:tc>
        <w:tc>
          <w:tcPr>
            <w:tcW w:w="2240" w:type="dxa"/>
            <w:vAlign w:val="bottom"/>
            <w:gridSpan w:val="3"/>
            <w:shd w:val="clear" w:color="auto" w:fill="E5E5E5"/>
          </w:tcPr>
          <w:p>
            <w:pPr>
              <w:jc w:val="right"/>
              <w:ind w:right="1140"/>
              <w:spacing w:after="0" w:line="196" w:lineRule="exact"/>
              <w:rPr>
                <w:sz w:val="20"/>
                <w:szCs w:val="20"/>
                <w:color w:val="auto"/>
              </w:rPr>
            </w:pPr>
            <w:r>
              <w:rPr>
                <w:rFonts w:ascii="Arial" w:cs="Arial" w:eastAsia="Arial" w:hAnsi="Arial"/>
                <w:sz w:val="18"/>
                <w:szCs w:val="18"/>
                <w:color w:val="auto"/>
              </w:rPr>
              <w:t>$  771</w:t>
            </w:r>
          </w:p>
        </w:tc>
        <w:tc>
          <w:tcPr>
            <w:tcW w:w="1820" w:type="dxa"/>
            <w:vAlign w:val="bottom"/>
            <w:gridSpan w:val="2"/>
            <w:shd w:val="clear" w:color="auto" w:fill="E5E5E5"/>
          </w:tcPr>
          <w:p>
            <w:pPr>
              <w:jc w:val="right"/>
              <w:ind w:right="1140"/>
              <w:spacing w:after="0" w:line="196" w:lineRule="exact"/>
              <w:rPr>
                <w:sz w:val="20"/>
                <w:szCs w:val="20"/>
                <w:color w:val="auto"/>
              </w:rPr>
            </w:pPr>
            <w:r>
              <w:rPr>
                <w:rFonts w:ascii="Arial" w:cs="Arial" w:eastAsia="Arial" w:hAnsi="Arial"/>
                <w:sz w:val="18"/>
                <w:szCs w:val="18"/>
                <w:color w:val="auto"/>
              </w:rPr>
              <w:t>$  1,251</w:t>
            </w:r>
          </w:p>
        </w:tc>
        <w:tc>
          <w:tcPr>
            <w:tcW w:w="70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rPr>
              <w:t>$  3,450</w:t>
            </w:r>
          </w:p>
        </w:tc>
        <w:tc>
          <w:tcPr>
            <w:tcW w:w="1860" w:type="dxa"/>
            <w:vAlign w:val="bottom"/>
            <w:gridSpan w:val="2"/>
            <w:shd w:val="clear" w:color="auto" w:fill="E5E5E5"/>
          </w:tcPr>
          <w:p>
            <w:pPr>
              <w:jc w:val="right"/>
              <w:ind w:right="12"/>
              <w:spacing w:after="0" w:line="196" w:lineRule="exact"/>
              <w:rPr>
                <w:sz w:val="20"/>
                <w:szCs w:val="20"/>
                <w:color w:val="auto"/>
              </w:rPr>
            </w:pPr>
            <w:r>
              <w:rPr>
                <w:rFonts w:ascii="Arial" w:cs="Arial" w:eastAsia="Arial" w:hAnsi="Arial"/>
                <w:sz w:val="18"/>
                <w:szCs w:val="18"/>
                <w:color w:val="auto"/>
              </w:rPr>
              <w:t>$ 8,080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89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340" w:hanging="332"/>
        <w:spacing w:after="0"/>
        <w:tabs>
          <w:tab w:leader="none" w:pos="340" w:val="left"/>
        </w:tabs>
        <w:numPr>
          <w:ilvl w:val="0"/>
          <w:numId w:val="161"/>
        </w:numPr>
        <w:rPr>
          <w:rFonts w:ascii="Arial" w:cs="Arial" w:eastAsia="Arial" w:hAnsi="Arial"/>
          <w:sz w:val="14"/>
          <w:szCs w:val="14"/>
          <w:color w:val="auto"/>
        </w:rPr>
      </w:pPr>
      <w:r>
        <w:rPr>
          <w:rFonts w:ascii="Arial" w:cs="Arial" w:eastAsia="Arial" w:hAnsi="Arial"/>
          <w:sz w:val="14"/>
          <w:szCs w:val="14"/>
          <w:color w:val="auto"/>
        </w:rPr>
        <w:t>Quarterly total debt maturities for 2011 are $11, $9, $1,041 and $9 for the first, second, third and fourth quarters, respectively.</w:t>
      </w:r>
    </w:p>
    <w:p>
      <w:pPr>
        <w:spacing w:after="0" w:line="136" w:lineRule="exact"/>
        <w:rPr>
          <w:sz w:val="20"/>
          <w:szCs w:val="20"/>
          <w:color w:val="auto"/>
        </w:rPr>
      </w:pPr>
    </w:p>
    <w:p>
      <w:pPr>
        <w:ind w:left="9600"/>
        <w:spacing w:after="0"/>
        <w:rPr>
          <w:sz w:val="20"/>
          <w:szCs w:val="20"/>
          <w:color w:val="auto"/>
        </w:rPr>
      </w:pPr>
      <w:r>
        <w:rPr>
          <w:rFonts w:ascii="Arial" w:cs="Arial" w:eastAsia="Arial" w:hAnsi="Arial"/>
          <w:sz w:val="12"/>
          <w:szCs w:val="12"/>
          <w:color w:val="4C9F40"/>
        </w:rPr>
        <w:t>Xerox 2010 Annual Report 73</w:t>
      </w:r>
    </w:p>
    <w:p>
      <w:pPr>
        <w:sectPr>
          <w:pgSz w:w="11900" w:h="16838" w:orient="portrait"/>
          <w:cols w:equalWidth="0" w:num="1">
            <w:col w:w="11420"/>
          </w:cols>
          <w:pgMar w:left="240" w:top="345" w:right="23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b w:val="1"/>
          <w:bCs w:val="1"/>
          <w:color w:val="4C9F40"/>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Commercial Paper</w:t>
      </w:r>
    </w:p>
    <w:p>
      <w:pPr>
        <w:spacing w:after="0" w:line="18"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In October 2010, Xerox’s Board of Directors authorized the company to issue commercial paper (“CP”). Aggregate CP and Credit Facility borrowings may not exceed $2 billion outstanding at any time. Under the company’s current private placement CP program, we may issue CP up to a maximum amount of $1.0 billion outstanding at any time. The maturities of the CP Notes will vary, but may not exceed 390 days from the date of issue. The CP Notes are sold at a discount from par or, alternatively, sold at par and bear interest at market rates.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Credit Facility</w:t>
      </w:r>
    </w:p>
    <w:p>
      <w:pPr>
        <w:spacing w:after="0" w:line="18"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The Credit Facility is a $2.0 billion unsecured revolving credit facility including a $300 letter of credit subfacility. At December 31, 2010 we had no outstanding borrowings or letters of credit. Approximately $1.8 billion, or 90% of the Credit Facility, has a maturity date of April 30, 2013. The remaining portion of the Credit Facility has a maturity date of April 30, 2012.</w:t>
      </w:r>
    </w:p>
    <w:p>
      <w:pPr>
        <w:spacing w:after="0" w:line="154"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The Credit Facility is available, without sublimit, to certain of our qualifying subsidiaries and includes provisions that would allow us to increase the overall size of the Credit Facility up to an aggregate amount of $2.5 billion. Our obligations under the Credit Facility are unsecured and are not currently guaranteed by any of our subsidiaries. Any domestic subsidiary that guarantees more than $100 of Xerox Corporation debt must also guaranty our obligations under the Credit Facility. In the event that any of our subsidiaries borrows under the Credit Facility, its borrowings thereunder would be guaranteed by us.</w:t>
      </w:r>
    </w:p>
    <w:p>
      <w:pPr>
        <w:spacing w:after="0" w:line="157"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Borrowings under the Credit Facility bear interest at our choice, at either (a) a Base Rate as defined in our Credit Facility agreement, plus an all-in spread that varies between 1.5% and 3.5% depending on our credit rating at the time of borrowing, or (b) LIBOR plus an all-in spread that varies between 2.5% and 4.5% depending on our credit rating at the time of borrowing. Based on our credit rating as of December 31, 2010, the applicable all-in spreads for the Base Rate and LIBOR borrowing were 2.5% and 3.5%, respectively.</w:t>
      </w:r>
    </w:p>
    <w:p>
      <w:pPr>
        <w:spacing w:after="0" w:line="155"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The Credit Facility contains various conditions to borrowing and affirmative, negative and financial maintenance covenants. Certain of the more significant covenants are summarized below:</w:t>
      </w:r>
    </w:p>
    <w:p>
      <w:pPr>
        <w:spacing w:after="0" w:line="195" w:lineRule="exact"/>
        <w:rPr>
          <w:sz w:val="20"/>
          <w:szCs w:val="20"/>
          <w:color w:val="auto"/>
        </w:rPr>
      </w:pPr>
    </w:p>
    <w:p>
      <w:pPr>
        <w:ind w:right="180"/>
        <w:spacing w:after="0" w:line="264" w:lineRule="auto"/>
        <w:rPr>
          <w:sz w:val="20"/>
          <w:szCs w:val="20"/>
          <w:color w:val="auto"/>
        </w:rPr>
      </w:pPr>
      <w:r>
        <w:rPr>
          <w:rFonts w:ascii="Arial" w:cs="Arial" w:eastAsia="Arial" w:hAnsi="Arial"/>
          <w:sz w:val="16"/>
          <w:szCs w:val="16"/>
          <w:color w:val="auto"/>
        </w:rPr>
        <w:t>(a)Maximum leverage ratio (a quarterly test that is calculated as principal debt divided by consolidated EBITDA, as defined) of 3.75x. (b)Minimum interest coverage ratio (a quarterly test that is calculated as consolidated EBITDA divided by consolidated interest expense) may not</w:t>
      </w:r>
    </w:p>
    <w:p>
      <w:pPr>
        <w:ind w:left="220"/>
        <w:spacing w:after="0" w:line="235" w:lineRule="auto"/>
        <w:rPr>
          <w:sz w:val="20"/>
          <w:szCs w:val="20"/>
          <w:color w:val="auto"/>
        </w:rPr>
      </w:pPr>
      <w:r>
        <w:rPr>
          <w:rFonts w:ascii="Arial" w:cs="Arial" w:eastAsia="Arial" w:hAnsi="Arial"/>
          <w:sz w:val="18"/>
          <w:szCs w:val="18"/>
          <w:color w:val="auto"/>
        </w:rPr>
        <w:t>be less than 3.00x.</w:t>
      </w:r>
    </w:p>
    <w:p>
      <w:pPr>
        <w:ind w:left="220" w:right="940" w:hanging="215"/>
        <w:spacing w:after="0" w:line="239" w:lineRule="auto"/>
        <w:rPr>
          <w:sz w:val="20"/>
          <w:szCs w:val="20"/>
          <w:color w:val="auto"/>
        </w:rPr>
      </w:pPr>
      <w:r>
        <w:rPr>
          <w:rFonts w:ascii="Arial" w:cs="Arial" w:eastAsia="Arial" w:hAnsi="Arial"/>
          <w:sz w:val="18"/>
          <w:szCs w:val="18"/>
          <w:color w:val="auto"/>
        </w:rPr>
        <w:t>(c)Limitations on (i) liens of Xerox and certain of our subsidiaries securing debt, (ii) certain fundamental changes to corporate structure, (iii) changes in nature of business and (iv) limitations on debt incurred by certain subsidiaries.</w:t>
      </w:r>
    </w:p>
    <w:p>
      <w:pPr>
        <w:spacing w:after="0" w:line="155"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Credit Facility also contains various events of default, the occurrence of which could result in a termination by the lenders and the acceleration of all our obligations under the Credit Facility. These events of default include, without limitation: (i) payment defaults, (ii) breaches of covenants under the Credit Facility (certain of which breaches do not have any grace period), (iii) cross-defaults and acceleration to certain of our other obligations and (iv) a change of control of Xerox.</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Capital Market Activity</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During 2010, we redeemed the following Notes prior to their scheduled maturity:</w:t>
      </w:r>
    </w:p>
    <w:p>
      <w:pPr>
        <w:spacing w:after="0" w:line="194" w:lineRule="exact"/>
        <w:rPr>
          <w:sz w:val="20"/>
          <w:szCs w:val="20"/>
          <w:color w:val="auto"/>
        </w:rPr>
      </w:pPr>
    </w:p>
    <w:p>
      <w:pPr>
        <w:ind w:left="340" w:hanging="332"/>
        <w:spacing w:after="0"/>
        <w:tabs>
          <w:tab w:leader="none" w:pos="3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7.625% Senior Notes due in 2013 for $550;</w:t>
      </w:r>
    </w:p>
    <w:p>
      <w:pPr>
        <w:ind w:left="340" w:hanging="332"/>
        <w:spacing w:after="0" w:line="234" w:lineRule="auto"/>
        <w:tabs>
          <w:tab w:leader="none" w:pos="3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6.00% Medium-term Notes due 2011 for $25;</w:t>
      </w:r>
    </w:p>
    <w:p>
      <w:pPr>
        <w:ind w:left="340" w:hanging="332"/>
        <w:spacing w:after="0" w:line="234" w:lineRule="auto"/>
        <w:tabs>
          <w:tab w:leader="none" w:pos="3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7.41% Medium-term Notes due 2011 for $25;</w:t>
      </w:r>
    </w:p>
    <w:p>
      <w:pPr>
        <w:ind w:left="340" w:hanging="332"/>
        <w:spacing w:after="0" w:line="234" w:lineRule="auto"/>
        <w:tabs>
          <w:tab w:leader="none" w:pos="3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6.50% Medium-term Notes due 2013 for $10;</w:t>
      </w:r>
    </w:p>
    <w:p>
      <w:pPr>
        <w:ind w:left="340" w:hanging="332"/>
        <w:spacing w:after="0" w:line="234" w:lineRule="auto"/>
        <w:tabs>
          <w:tab w:leader="none" w:pos="3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6.00% Medium-term Notes due 2014 for $25; and</w:t>
      </w:r>
    </w:p>
    <w:p>
      <w:pPr>
        <w:ind w:left="340" w:hanging="332"/>
        <w:spacing w:after="0"/>
        <w:tabs>
          <w:tab w:leader="none" w:pos="3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6.125% Medium-term Notes due 2014 for $25.</w:t>
      </w:r>
    </w:p>
    <w:p>
      <w:pPr>
        <w:spacing w:after="0" w:line="158"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We incurred a loss on extinguishment of approximately $16, representing the call premium of approximately $7 on the Senior Notes as well as the write-off of unamortized debt costs of $9.</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Interest</w:t>
      </w:r>
    </w:p>
    <w:p>
      <w:pPr>
        <w:spacing w:after="0" w:line="18"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Interest paid on our short-term debt, long-term debt and liability to subsidiary trust issuing preferred securities amounted to $586, $531 and $527 for the years ended December 31, 2010, 2009 and 2008, respectively.</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4"/>
          <w:szCs w:val="14"/>
          <w:color w:val="4C9F40"/>
        </w:rPr>
        <w:t>Xerox 2010 Annual Report 74</w:t>
      </w:r>
    </w:p>
    <w:p>
      <w:pPr>
        <w:sectPr>
          <w:pgSz w:w="11900" w:h="16838" w:orient="portrait"/>
          <w:cols w:equalWidth="0" w:num="1">
            <w:col w:w="11420"/>
          </w:cols>
          <w:pgMar w:left="240" w:top="323" w:right="23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Interest expense and interest income for the three years ended December 31, 2010 was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5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2008</w:t>
            </w:r>
          </w:p>
        </w:tc>
        <w:tc>
          <w:tcPr>
            <w:tcW w:w="120" w:type="dxa"/>
            <w:vAlign w:val="bottom"/>
          </w:tcPr>
          <w:p>
            <w:pPr>
              <w:spacing w:after="0"/>
              <w:rPr>
                <w:sz w:val="14"/>
                <w:szCs w:val="14"/>
                <w:color w:val="auto"/>
              </w:rPr>
            </w:pPr>
          </w:p>
        </w:tc>
      </w:tr>
      <w:tr>
        <w:trPr>
          <w:trHeight w:val="196"/>
        </w:trPr>
        <w:tc>
          <w:tcPr>
            <w:tcW w:w="8260" w:type="dxa"/>
            <w:vAlign w:val="bottom"/>
            <w:shd w:val="clear" w:color="auto" w:fill="E5E5E5"/>
          </w:tcPr>
          <w:p>
            <w:pPr>
              <w:spacing w:after="0" w:line="197"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2"/>
                <w:szCs w:val="22"/>
                <w:color w:val="auto"/>
                <w:vertAlign w:val="superscript"/>
              </w:rPr>
              <w:t>(1)</w:t>
            </w:r>
          </w:p>
        </w:tc>
        <w:tc>
          <w:tcPr>
            <w:tcW w:w="600" w:type="dxa"/>
            <w:vAlign w:val="bottom"/>
            <w:gridSpan w:val="2"/>
            <w:shd w:val="clear" w:color="auto" w:fill="E5E5E5"/>
          </w:tcPr>
          <w:p>
            <w:pPr>
              <w:jc w:val="right"/>
              <w:ind w:right="100"/>
              <w:spacing w:after="0" w:line="196" w:lineRule="exact"/>
              <w:rPr>
                <w:sz w:val="20"/>
                <w:szCs w:val="20"/>
                <w:color w:val="auto"/>
              </w:rPr>
            </w:pPr>
            <w:r>
              <w:rPr>
                <w:rFonts w:ascii="Arial" w:cs="Arial" w:eastAsia="Arial" w:hAnsi="Arial"/>
                <w:sz w:val="18"/>
                <w:szCs w:val="18"/>
                <w:color w:val="auto"/>
              </w:rPr>
              <w:t>$ 592</w:t>
            </w:r>
          </w:p>
        </w:tc>
        <w:tc>
          <w:tcPr>
            <w:tcW w:w="700" w:type="dxa"/>
            <w:vAlign w:val="bottom"/>
            <w:gridSpan w:val="3"/>
            <w:shd w:val="clear" w:color="auto" w:fill="E5E5E5"/>
          </w:tcPr>
          <w:p>
            <w:pPr>
              <w:jc w:val="right"/>
              <w:ind w:right="100"/>
              <w:spacing w:after="0" w:line="196" w:lineRule="exact"/>
              <w:rPr>
                <w:sz w:val="20"/>
                <w:szCs w:val="20"/>
                <w:color w:val="auto"/>
              </w:rPr>
            </w:pPr>
            <w:r>
              <w:rPr>
                <w:rFonts w:ascii="Arial" w:cs="Arial" w:eastAsia="Arial" w:hAnsi="Arial"/>
                <w:sz w:val="18"/>
                <w:szCs w:val="18"/>
                <w:color w:val="auto"/>
              </w:rPr>
              <w:t>$ 527</w:t>
            </w:r>
          </w:p>
        </w:tc>
        <w:tc>
          <w:tcPr>
            <w:tcW w:w="720" w:type="dxa"/>
            <w:vAlign w:val="bottom"/>
            <w:gridSpan w:val="3"/>
            <w:shd w:val="clear" w:color="auto" w:fill="E5E5E5"/>
          </w:tcPr>
          <w:p>
            <w:pPr>
              <w:jc w:val="right"/>
              <w:ind w:right="120"/>
              <w:spacing w:after="0" w:line="196" w:lineRule="exact"/>
              <w:rPr>
                <w:sz w:val="20"/>
                <w:szCs w:val="20"/>
                <w:color w:val="auto"/>
              </w:rPr>
            </w:pPr>
            <w:r>
              <w:rPr>
                <w:rFonts w:ascii="Arial" w:cs="Arial" w:eastAsia="Arial" w:hAnsi="Arial"/>
                <w:sz w:val="18"/>
                <w:szCs w:val="18"/>
                <w:color w:val="auto"/>
              </w:rPr>
              <w:t>$ 567</w:t>
            </w:r>
          </w:p>
        </w:tc>
      </w:tr>
      <w:tr>
        <w:trPr>
          <w:trHeight w:val="293"/>
        </w:trPr>
        <w:tc>
          <w:tcPr>
            <w:tcW w:w="8260" w:type="dxa"/>
            <w:vAlign w:val="bottom"/>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22"/>
                <w:szCs w:val="22"/>
                <w:color w:val="auto"/>
                <w:vertAlign w:val="superscript"/>
              </w:rPr>
              <w:t>(2)</w:t>
            </w:r>
          </w:p>
        </w:tc>
        <w:tc>
          <w:tcPr>
            <w:tcW w:w="500" w:type="dxa"/>
            <w:vAlign w:val="bottom"/>
          </w:tcPr>
          <w:p>
            <w:pPr>
              <w:jc w:val="right"/>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734</w:t>
            </w:r>
          </w:p>
        </w:tc>
        <w:tc>
          <w:tcPr>
            <w:tcW w:w="100" w:type="dxa"/>
            <w:vAlign w:val="bottom"/>
          </w:tcPr>
          <w:p>
            <w:pPr>
              <w:spacing w:after="0"/>
              <w:rPr>
                <w:sz w:val="24"/>
                <w:szCs w:val="24"/>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833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89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5" w:lineRule="exact"/>
        <w:rPr>
          <w:sz w:val="20"/>
          <w:szCs w:val="20"/>
          <w:color w:val="auto"/>
        </w:rPr>
      </w:pPr>
    </w:p>
    <w:p>
      <w:pPr>
        <w:ind w:left="340" w:hanging="332"/>
        <w:spacing w:after="0"/>
        <w:tabs>
          <w:tab w:leader="none" w:pos="340" w:val="left"/>
        </w:tabs>
        <w:numPr>
          <w:ilvl w:val="0"/>
          <w:numId w:val="163"/>
        </w:numPr>
        <w:rPr>
          <w:rFonts w:ascii="Arial" w:cs="Arial" w:eastAsia="Arial" w:hAnsi="Arial"/>
          <w:sz w:val="14"/>
          <w:szCs w:val="14"/>
          <w:color w:val="auto"/>
        </w:rPr>
      </w:pPr>
      <w:r>
        <w:rPr>
          <w:rFonts w:ascii="Arial" w:cs="Arial" w:eastAsia="Arial" w:hAnsi="Arial"/>
          <w:sz w:val="14"/>
          <w:szCs w:val="14"/>
          <w:color w:val="auto"/>
        </w:rPr>
        <w:t>Includes Equipment financing interest expense, as well as non-financing interest expense included in Other expenses, net in the Consolidated Statements of Income.</w:t>
      </w:r>
    </w:p>
    <w:p>
      <w:pPr>
        <w:ind w:left="340" w:hanging="332"/>
        <w:spacing w:after="0"/>
        <w:tabs>
          <w:tab w:leader="none" w:pos="340" w:val="left"/>
        </w:tabs>
        <w:numPr>
          <w:ilvl w:val="0"/>
          <w:numId w:val="163"/>
        </w:numPr>
        <w:rPr>
          <w:rFonts w:ascii="Arial" w:cs="Arial" w:eastAsia="Arial" w:hAnsi="Arial"/>
          <w:sz w:val="14"/>
          <w:szCs w:val="14"/>
          <w:color w:val="auto"/>
        </w:rPr>
      </w:pPr>
      <w:r>
        <w:rPr>
          <w:rFonts w:ascii="Arial" w:cs="Arial" w:eastAsia="Arial" w:hAnsi="Arial"/>
          <w:sz w:val="14"/>
          <w:szCs w:val="14"/>
          <w:color w:val="auto"/>
        </w:rPr>
        <w:t>Includes Finance income, as well as other interest income that is included in Other expenses, net in the Consolidated Statements of Income.</w:t>
      </w:r>
    </w:p>
    <w:p>
      <w:pPr>
        <w:spacing w:after="0" w:line="72"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Equipment financing interest is determined based on an estimated cost of funds, applied against the estimated level of debt required to support our net finance receivables. The estimated cost of funds is based on our overall corporate cost of borrowing adjusted to reflect a rate that would be paid by a typical BBB rated leasing company. The estimated level of debt is based on an assumed 7 to 1 leverage ratio of debt/equity as compared to our average finance receivable balance during the applicable period.</w:t>
      </w:r>
    </w:p>
    <w:p>
      <w:pPr>
        <w:spacing w:after="0" w:line="74" w:lineRule="exact"/>
        <w:rPr>
          <w:sz w:val="20"/>
          <w:szCs w:val="20"/>
          <w:color w:val="auto"/>
        </w:rPr>
      </w:pPr>
    </w:p>
    <w:p>
      <w:pPr>
        <w:ind w:right="420"/>
        <w:spacing w:after="0" w:line="239" w:lineRule="auto"/>
        <w:rPr>
          <w:sz w:val="20"/>
          <w:szCs w:val="20"/>
          <w:color w:val="auto"/>
        </w:rPr>
      </w:pPr>
      <w:r>
        <w:rPr>
          <w:rFonts w:ascii="Arial" w:cs="Arial" w:eastAsia="Arial" w:hAnsi="Arial"/>
          <w:sz w:val="18"/>
          <w:szCs w:val="18"/>
          <w:color w:val="auto"/>
        </w:rPr>
        <w:t>Net (payments) proceeds on debt other than secured borrowings as shown on the Consolidated Statements of Cash Flows for the three years ended December 31, 2010 was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color w:val="auto"/>
              </w:rPr>
              <w:t>2010</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color w:val="auto"/>
              </w:rPr>
              <w:t>2009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color w:val="auto"/>
                <w:w w:val="96"/>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80" w:type="dxa"/>
            <w:vAlign w:val="bottom"/>
            <w:shd w:val="clear" w:color="auto" w:fill="E5E5E5"/>
          </w:tcPr>
          <w:p>
            <w:pPr>
              <w:spacing w:after="0" w:line="196" w:lineRule="exact"/>
              <w:rPr>
                <w:sz w:val="20"/>
                <w:szCs w:val="20"/>
                <w:color w:val="auto"/>
              </w:rPr>
            </w:pPr>
            <w:r>
              <w:rPr>
                <w:rFonts w:ascii="Arial" w:cs="Arial" w:eastAsia="Arial" w:hAnsi="Arial"/>
                <w:sz w:val="18"/>
                <w:szCs w:val="18"/>
                <w:color w:val="auto"/>
              </w:rPr>
              <w:t>Net proceeds (payments) on short-term debt</w:t>
            </w:r>
          </w:p>
        </w:tc>
        <w:tc>
          <w:tcPr>
            <w:tcW w:w="16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rPr>
              <w:t>300</w:t>
            </w:r>
          </w:p>
        </w:tc>
        <w:tc>
          <w:tcPr>
            <w:tcW w:w="220" w:type="dxa"/>
            <w:vAlign w:val="bottom"/>
            <w:shd w:val="clear" w:color="auto" w:fill="E5E5E5"/>
          </w:tcPr>
          <w:p>
            <w:pPr>
              <w:spacing w:after="0"/>
              <w:rPr>
                <w:sz w:val="17"/>
                <w:szCs w:val="17"/>
                <w:color w:val="auto"/>
              </w:rPr>
            </w:pPr>
          </w:p>
        </w:tc>
        <w:tc>
          <w:tcPr>
            <w:tcW w:w="10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E5E5E5"/>
          </w:tcPr>
          <w:p>
            <w:pPr>
              <w:jc w:val="right"/>
              <w:ind w:right="80"/>
              <w:spacing w:after="0" w:line="196" w:lineRule="exact"/>
              <w:rPr>
                <w:sz w:val="20"/>
                <w:szCs w:val="20"/>
                <w:color w:val="auto"/>
              </w:rPr>
            </w:pPr>
            <w:r>
              <w:rPr>
                <w:rFonts w:ascii="Arial" w:cs="Arial" w:eastAsia="Arial" w:hAnsi="Arial"/>
                <w:sz w:val="18"/>
                <w:szCs w:val="18"/>
                <w:color w:val="auto"/>
              </w:rPr>
              <w:t>(61)</w:t>
            </w:r>
          </w:p>
        </w:tc>
        <w:tc>
          <w:tcPr>
            <w:tcW w:w="180" w:type="dxa"/>
            <w:vAlign w:val="bottom"/>
            <w:gridSpan w:val="2"/>
            <w:shd w:val="clear" w:color="auto" w:fill="E5E5E5"/>
          </w:tcPr>
          <w:p>
            <w:pPr>
              <w:jc w:val="right"/>
              <w:spacing w:after="0" w:line="196" w:lineRule="exact"/>
              <w:rPr>
                <w:sz w:val="20"/>
                <w:szCs w:val="20"/>
                <w:color w:val="auto"/>
              </w:rPr>
            </w:pPr>
            <w:r>
              <w:rPr>
                <w:rFonts w:ascii="Arial" w:cs="Arial" w:eastAsia="Arial" w:hAnsi="Arial"/>
                <w:sz w:val="18"/>
                <w:szCs w:val="18"/>
                <w:color w:val="auto"/>
              </w:rPr>
              <w:t>$</w:t>
            </w:r>
          </w:p>
        </w:tc>
        <w:tc>
          <w:tcPr>
            <w:tcW w:w="560" w:type="dxa"/>
            <w:vAlign w:val="bottom"/>
            <w:gridSpan w:val="2"/>
            <w:shd w:val="clear" w:color="auto" w:fill="E5E5E5"/>
          </w:tcPr>
          <w:p>
            <w:pPr>
              <w:jc w:val="right"/>
              <w:ind w:right="40"/>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3"/>
        </w:trPr>
        <w:tc>
          <w:tcPr>
            <w:tcW w:w="9000" w:type="dxa"/>
            <w:vAlign w:val="bottom"/>
            <w:gridSpan w:val="2"/>
          </w:tcPr>
          <w:p>
            <w:pPr>
              <w:spacing w:after="0" w:line="202" w:lineRule="exact"/>
              <w:rPr>
                <w:sz w:val="20"/>
                <w:szCs w:val="20"/>
                <w:color w:val="auto"/>
              </w:rPr>
            </w:pPr>
            <w:r>
              <w:rPr>
                <w:rFonts w:ascii="Arial" w:cs="Arial" w:eastAsia="Arial" w:hAnsi="Arial"/>
                <w:sz w:val="18"/>
                <w:szCs w:val="18"/>
                <w:color w:val="auto"/>
              </w:rPr>
              <w:t>Net payments on Credit Facility</w:t>
            </w:r>
          </w:p>
        </w:tc>
        <w:tc>
          <w:tcPr>
            <w:tcW w:w="160" w:type="dxa"/>
            <w:vAlign w:val="bottom"/>
          </w:tcPr>
          <w:p>
            <w:pPr>
              <w:spacing w:after="0"/>
              <w:rPr>
                <w:sz w:val="17"/>
                <w:szCs w:val="17"/>
                <w:color w:val="auto"/>
              </w:rPr>
            </w:pPr>
          </w:p>
        </w:tc>
        <w:tc>
          <w:tcPr>
            <w:tcW w:w="7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6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(246)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Net proceeds from issuance of long-term debt</w:t>
            </w:r>
          </w:p>
        </w:tc>
        <w:tc>
          <w:tcPr>
            <w:tcW w:w="160" w:type="dxa"/>
            <w:vAlign w:val="bottom"/>
            <w:shd w:val="clear" w:color="auto" w:fill="E5E5E5"/>
          </w:tcPr>
          <w:p>
            <w:pPr>
              <w:spacing w:after="0"/>
              <w:rPr>
                <w:sz w:val="17"/>
                <w:szCs w:val="17"/>
                <w:color w:val="auto"/>
              </w:rPr>
            </w:pPr>
          </w:p>
        </w:tc>
        <w:tc>
          <w:tcPr>
            <w:tcW w:w="78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E5E5E5"/>
          </w:tcPr>
          <w:p>
            <w:pPr>
              <w:spacing w:after="0"/>
              <w:rPr>
                <w:sz w:val="17"/>
                <w:szCs w:val="17"/>
                <w:color w:val="auto"/>
              </w:rPr>
            </w:pPr>
          </w:p>
        </w:tc>
        <w:tc>
          <w:tcPr>
            <w:tcW w:w="5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2,725</w:t>
            </w:r>
          </w:p>
        </w:tc>
        <w:tc>
          <w:tcPr>
            <w:tcW w:w="1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4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97"/>
              </w:rPr>
              <w:t>1,650</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0" w:type="dxa"/>
            <w:vAlign w:val="bottom"/>
            <w:gridSpan w:val="2"/>
          </w:tcPr>
          <w:p>
            <w:pPr>
              <w:spacing w:after="0" w:line="202" w:lineRule="exact"/>
              <w:rPr>
                <w:sz w:val="20"/>
                <w:szCs w:val="20"/>
                <w:color w:val="auto"/>
              </w:rPr>
            </w:pPr>
            <w:r>
              <w:rPr>
                <w:rFonts w:ascii="Arial" w:cs="Arial" w:eastAsia="Arial" w:hAnsi="Arial"/>
                <w:sz w:val="18"/>
                <w:szCs w:val="18"/>
                <w:color w:val="auto"/>
              </w:rPr>
              <w:t>Net payments on long-term debt</w:t>
            </w:r>
          </w:p>
        </w:tc>
        <w:tc>
          <w:tcPr>
            <w:tcW w:w="160" w:type="dxa"/>
            <w:vAlign w:val="bottom"/>
          </w:tcPr>
          <w:p>
            <w:pPr>
              <w:spacing w:after="0"/>
              <w:rPr>
                <w:sz w:val="17"/>
                <w:szCs w:val="17"/>
                <w:color w:val="auto"/>
              </w:rPr>
            </w:pPr>
          </w:p>
        </w:tc>
        <w:tc>
          <w:tcPr>
            <w:tcW w:w="7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(3,357)</w:t>
            </w:r>
          </w:p>
        </w:tc>
        <w:tc>
          <w:tcPr>
            <w:tcW w:w="100" w:type="dxa"/>
            <w:vAlign w:val="bottom"/>
          </w:tcPr>
          <w:p>
            <w:pPr>
              <w:spacing w:after="0"/>
              <w:rPr>
                <w:sz w:val="17"/>
                <w:szCs w:val="17"/>
                <w:color w:val="auto"/>
              </w:rPr>
            </w:pPr>
          </w:p>
        </w:tc>
        <w:tc>
          <w:tcPr>
            <w:tcW w:w="6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w w:val="94"/>
              </w:rPr>
              <w:t>(1,495)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898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Net (Payments) Proceeds on Other Debt</w:t>
            </w:r>
          </w:p>
        </w:tc>
        <w:tc>
          <w:tcPr>
            <w:tcW w:w="1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(3,057)</w:t>
            </w:r>
          </w:p>
        </w:tc>
        <w:tc>
          <w:tcPr>
            <w:tcW w:w="1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923</w:t>
            </w:r>
          </w:p>
        </w:tc>
        <w:tc>
          <w:tcPr>
            <w:tcW w:w="140" w:type="dxa"/>
            <w:vAlign w:val="bottom"/>
            <w:shd w:val="clear" w:color="auto" w:fill="E5E5E5"/>
          </w:tcPr>
          <w:p>
            <w:pPr>
              <w:spacing w:after="0"/>
              <w:rPr>
                <w:sz w:val="17"/>
                <w:szCs w:val="17"/>
                <w:color w:val="auto"/>
              </w:rPr>
            </w:pPr>
          </w:p>
        </w:tc>
        <w:tc>
          <w:tcPr>
            <w:tcW w:w="18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926</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4C9F40"/>
        </w:rPr>
        <w:t>Note 12 – Liability to Subsidiary Trust Issuing Preferred Securities</w:t>
      </w:r>
    </w:p>
    <w:p>
      <w:pPr>
        <w:spacing w:after="0" w:line="188"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Liability to Subsidiary Trust Issuing Preferred Securities included in our Consolidated Balance Sheets of $650 and $649 as of December 31, 2010 and 2009, respectively, reflects our obligations to Xerox Capital Trust I (“Trust I”) as a result of their loans to us from proceeds related to their issuance of preferred securities. This subsidiary is not consolidated in our financial statements because we are not the primary beneficiary of the trust.</w:t>
      </w:r>
    </w:p>
    <w:p>
      <w:pPr>
        <w:spacing w:after="0" w:line="74"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In 1997, Trust I issued 650 thousand of 8.0% preferred securities (the “Preferred Securities”) to investors for $644 ($650 liquidation value) and 20,103 shares of common securities to us for $20. With the proceeds from these securities, Trust I purchased $670 principal amount of 8.0% Junior Subordinated Debentures due 2027 of the Company (“the Debentures”). The Debentures represent all of the assets of Trust I. On a consolidated basis, we received net proceeds of $637 which was net of fees and discounts of $13. Interest expense, together with the amortization of debt issuance costs and discounts, was $54 in 2010, 2009 and 2008. We have guaranteed, on a subordinated basis, distributions and other payments due on the Preferred Securities. The guarantee, our obligations under the Debentures, the indenture pursuant to which the Debentures were issued and our obligations under the Amended and Restated Declaration of Trust governing the trust, taken together, provide a full and unconditional guarantee of amounts due on the Preferred Securities. The Preferred Securities accrue and pay cash distributions semiannually at a rate of 8% per year of the stated liquidation amount of one thousand dollars per Preferred Security. The Preferred Securities are mandatorily redeemable upon the maturity of the Debentures on February 1, 2027, or earlier to the extent of any redemption by us of any Debentures. The redemption price in either such case will be one thousand dollars per share plus accrued and unpaid distributions to the date fixed for redemption.</w:t>
      </w:r>
    </w:p>
    <w:p>
      <w:pPr>
        <w:spacing w:after="0" w:line="300" w:lineRule="exact"/>
        <w:rPr>
          <w:sz w:val="20"/>
          <w:szCs w:val="20"/>
          <w:color w:val="auto"/>
        </w:rPr>
      </w:pPr>
    </w:p>
    <w:p>
      <w:pPr>
        <w:spacing w:after="0"/>
        <w:rPr>
          <w:sz w:val="20"/>
          <w:szCs w:val="20"/>
          <w:color w:val="auto"/>
        </w:rPr>
      </w:pPr>
      <w:r>
        <w:rPr>
          <w:rFonts w:ascii="Arial" w:cs="Arial" w:eastAsia="Arial" w:hAnsi="Arial"/>
          <w:sz w:val="22"/>
          <w:szCs w:val="22"/>
          <w:b w:val="1"/>
          <w:bCs w:val="1"/>
          <w:color w:val="4C9F40"/>
        </w:rPr>
        <w:t>Note 13 – Financial Instruments</w:t>
      </w:r>
    </w:p>
    <w:p>
      <w:pPr>
        <w:spacing w:after="0" w:line="188"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We are exposed to market risk from changes in foreign currency exchange rates and interest rates, which could affect operating results, financial position and cash flows. We manage our exposure to these market risks through our regular operating and financing activities and, when appropriate, through the use of derivative financial instruments. These derivative financial instruments are utilized to hedge economic exposures, as well as to reduce earnings and cash flow volatility resulting from shifts in market rates. We enter into limited types of derivative contracts, including interest rate swap agreements, foreign currency spot, forward and swap contracts and net purchased foreign currency options to manage interest rate and foreign currency exposures. Our primary foreign currency market exposures include the Japanese Yen, Euro and U.K. Pound Sterling. The fair market values of all our derivative contracts change with fluctuations in interest rates and/or currency exchange rates and are designed so that any changes in their values are offset by changes in the values of the underlying exposures. Derivative financial instruments are held solely as risk management tools and not for trading or speculative purposes. The related cash flow impacts of all of our derivative activities are reflected as cash flows from operating activities.</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4"/>
          <w:szCs w:val="14"/>
          <w:color w:val="4C9F40"/>
        </w:rPr>
        <w:t>Xerox 2010 Annual Report 75</w:t>
      </w:r>
    </w:p>
    <w:p>
      <w:pPr>
        <w:sectPr>
          <w:pgSz w:w="11900" w:h="16838" w:orient="portrait"/>
          <w:cols w:equalWidth="0" w:num="1">
            <w:col w:w="11420"/>
          </w:cols>
          <w:pgMar w:left="240" w:top="345" w:right="239" w:bottom="1440" w:gutter="0" w:footer="0" w:header="0"/>
        </w:sectPr>
      </w:pPr>
    </w:p>
    <w:bookmarkStart w:id="152" w:name="page153"/>
    <w:bookmarkEnd w:id="152"/>
    <w:p>
      <w:pPr>
        <w:ind w:right="140"/>
        <w:spacing w:after="0" w:line="23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 do not believe there is significant risk of loss in the event of non-performance by the counterparties associated with our derivative instruments because these transactions are executed with a diversified group of major financial institutions. Further, our policy is to deal with counterparties having a minimum investment grade or better credit rating. Credit risk is managed through the continuous monitoring of exposures to such counterparties.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Interest Rate Risk Management</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We use interest rate swap agreements to manage our interest rate exposure and to achieve a desired proportion of variable and fixed rate debt.</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These derivatives may be designated as </w:t>
      </w:r>
      <w:r>
        <w:rPr>
          <w:rFonts w:ascii="Arial" w:cs="Arial" w:eastAsia="Arial" w:hAnsi="Arial"/>
          <w:sz w:val="18"/>
          <w:szCs w:val="18"/>
          <w:b w:val="1"/>
          <w:bCs w:val="1"/>
          <w:color w:val="4C9F40"/>
        </w:rPr>
        <w:t>fair value hedges</w:t>
      </w:r>
      <w:r>
        <w:rPr>
          <w:rFonts w:ascii="Arial" w:cs="Arial" w:eastAsia="Arial" w:hAnsi="Arial"/>
          <w:sz w:val="18"/>
          <w:szCs w:val="18"/>
          <w:color w:val="auto"/>
        </w:rPr>
        <w:t xml:space="preserve"> or </w:t>
      </w:r>
      <w:r>
        <w:rPr>
          <w:rFonts w:ascii="Arial" w:cs="Arial" w:eastAsia="Arial" w:hAnsi="Arial"/>
          <w:sz w:val="18"/>
          <w:szCs w:val="18"/>
          <w:b w:val="1"/>
          <w:bCs w:val="1"/>
          <w:color w:val="4C9F40"/>
        </w:rPr>
        <w:t>cash flow hedges</w:t>
      </w:r>
      <w:r>
        <w:rPr>
          <w:rFonts w:ascii="Arial" w:cs="Arial" w:eastAsia="Arial" w:hAnsi="Arial"/>
          <w:sz w:val="18"/>
          <w:szCs w:val="18"/>
          <w:color w:val="auto"/>
        </w:rPr>
        <w:t xml:space="preserve"> depending on the nature of the risk being hedged.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Fair Value Hedges</w:t>
      </w:r>
    </w:p>
    <w:p>
      <w:pPr>
        <w:spacing w:after="0" w:line="18"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As of December 31, 2010 and 2009, pay variable/receive fixed interest rate swaps with notional amounts of $950 and $2,350 and net asset fair value of $11 and $1, respectively, were designated and accounted for as fair value hedges. No ineffective portion was recorded to earnings during 2010, 2009, or 2008.</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fair value hedges at December 31, 2010:</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gridSpan w:val="2"/>
          </w:tcPr>
          <w:p>
            <w:pPr>
              <w:jc w:val="center"/>
              <w:ind w:right="400"/>
              <w:spacing w:after="0"/>
              <w:rPr>
                <w:sz w:val="20"/>
                <w:szCs w:val="20"/>
                <w:color w:val="auto"/>
              </w:rPr>
            </w:pPr>
            <w:r>
              <w:rPr>
                <w:rFonts w:ascii="Arial" w:cs="Arial" w:eastAsia="Arial" w:hAnsi="Arial"/>
                <w:sz w:val="14"/>
                <w:szCs w:val="14"/>
                <w:color w:val="auto"/>
                <w:w w:val="94"/>
              </w:rPr>
              <w:t>Weighted</w:t>
            </w: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95"/>
              </w:rPr>
              <w:t>Year First</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1"/>
              </w:rPr>
              <w:t>Net</w:t>
            </w:r>
          </w:p>
        </w:tc>
        <w:tc>
          <w:tcPr>
            <w:tcW w:w="100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5"/>
              </w:rPr>
              <w:t>Average</w:t>
            </w: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0" w:type="dxa"/>
            <w:vAlign w:val="bottom"/>
            <w:vMerge w:val="restart"/>
          </w:tcPr>
          <w:p>
            <w:pPr>
              <w:spacing w:after="0"/>
              <w:rPr>
                <w:sz w:val="20"/>
                <w:szCs w:val="20"/>
                <w:color w:val="auto"/>
              </w:rPr>
            </w:pPr>
            <w:r>
              <w:rPr>
                <w:rFonts w:ascii="Arial" w:cs="Arial" w:eastAsia="Arial" w:hAnsi="Arial"/>
                <w:sz w:val="14"/>
                <w:szCs w:val="14"/>
                <w:color w:val="auto"/>
              </w:rPr>
              <w:t>Debt Instrument</w:t>
            </w:r>
          </w:p>
        </w:tc>
        <w:tc>
          <w:tcPr>
            <w:tcW w:w="2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96"/>
              </w:rPr>
              <w:t>Designated as</w:t>
            </w:r>
          </w:p>
        </w:tc>
        <w:tc>
          <w:tcPr>
            <w:tcW w:w="30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3"/>
              </w:rPr>
              <w:t>Notional</w:t>
            </w:r>
          </w:p>
        </w:tc>
        <w:tc>
          <w:tcPr>
            <w:tcW w:w="300" w:type="dxa"/>
            <w:vAlign w:val="bottom"/>
          </w:tcPr>
          <w:p>
            <w:pPr>
              <w:spacing w:after="0"/>
              <w:rPr>
                <w:sz w:val="12"/>
                <w:szCs w:val="12"/>
                <w:color w:val="auto"/>
              </w:rPr>
            </w:pPr>
          </w:p>
        </w:tc>
        <w:tc>
          <w:tcPr>
            <w:tcW w:w="700" w:type="dxa"/>
            <w:vAlign w:val="bottom"/>
            <w:gridSpan w:val="3"/>
          </w:tcPr>
          <w:p>
            <w:pPr>
              <w:jc w:val="center"/>
              <w:ind w:right="300"/>
              <w:spacing w:after="0" w:line="149" w:lineRule="exact"/>
              <w:rPr>
                <w:sz w:val="20"/>
                <w:szCs w:val="20"/>
                <w:color w:val="auto"/>
              </w:rPr>
            </w:pPr>
            <w:r>
              <w:rPr>
                <w:rFonts w:ascii="Arial" w:cs="Arial" w:eastAsia="Arial" w:hAnsi="Arial"/>
                <w:sz w:val="14"/>
                <w:szCs w:val="14"/>
                <w:color w:val="auto"/>
                <w:w w:val="99"/>
              </w:rPr>
              <w:t>Fair</w:t>
            </w:r>
          </w:p>
        </w:tc>
        <w:tc>
          <w:tcPr>
            <w:tcW w:w="100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8"/>
              </w:rPr>
              <w:t>Interest</w:t>
            </w:r>
          </w:p>
        </w:tc>
        <w:tc>
          <w:tcPr>
            <w:tcW w:w="130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Interest</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96"/>
              </w:rPr>
              <w:t>Hedge</w:t>
            </w:r>
          </w:p>
        </w:tc>
        <w:tc>
          <w:tcPr>
            <w:tcW w:w="30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5"/>
              </w:rPr>
              <w:t>Amount</w:t>
            </w:r>
          </w:p>
        </w:tc>
        <w:tc>
          <w:tcPr>
            <w:tcW w:w="300" w:type="dxa"/>
            <w:vAlign w:val="bottom"/>
          </w:tcPr>
          <w:p>
            <w:pPr>
              <w:spacing w:after="0"/>
              <w:rPr>
                <w:sz w:val="12"/>
                <w:szCs w:val="12"/>
                <w:color w:val="auto"/>
              </w:rPr>
            </w:pPr>
          </w:p>
        </w:tc>
        <w:tc>
          <w:tcPr>
            <w:tcW w:w="4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4"/>
              </w:rPr>
              <w:t>Value</w:t>
            </w:r>
          </w:p>
        </w:tc>
        <w:tc>
          <w:tcPr>
            <w:tcW w:w="3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97"/>
              </w:rPr>
              <w:t>Rate Paid</w:t>
            </w:r>
          </w:p>
        </w:tc>
        <w:tc>
          <w:tcPr>
            <w:tcW w:w="400" w:type="dxa"/>
            <w:vAlign w:val="bottom"/>
          </w:tcPr>
          <w:p>
            <w:pPr>
              <w:spacing w:after="0"/>
              <w:rPr>
                <w:sz w:val="12"/>
                <w:szCs w:val="12"/>
                <w:color w:val="auto"/>
              </w:rPr>
            </w:pPr>
          </w:p>
        </w:tc>
        <w:tc>
          <w:tcPr>
            <w:tcW w:w="13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3"/>
              </w:rPr>
              <w:t>Rate Received</w:t>
            </w:r>
          </w:p>
        </w:tc>
        <w:tc>
          <w:tcPr>
            <w:tcW w:w="380" w:type="dxa"/>
            <w:vAlign w:val="bottom"/>
          </w:tcPr>
          <w:p>
            <w:pPr>
              <w:ind w:left="20"/>
              <w:spacing w:after="0" w:line="149" w:lineRule="exact"/>
              <w:rPr>
                <w:sz w:val="20"/>
                <w:szCs w:val="20"/>
                <w:color w:val="auto"/>
              </w:rPr>
            </w:pPr>
            <w:r>
              <w:rPr>
                <w:rFonts w:ascii="Arial" w:cs="Arial" w:eastAsia="Arial" w:hAnsi="Arial"/>
                <w:sz w:val="14"/>
                <w:szCs w:val="14"/>
                <w:color w:val="auto"/>
                <w:w w:val="99"/>
              </w:rPr>
              <w:t>Basis</w:t>
            </w:r>
          </w:p>
        </w:tc>
        <w:tc>
          <w:tcPr>
            <w:tcW w:w="20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color w:val="auto"/>
                <w:w w:val="96"/>
              </w:rPr>
              <w:t>Maturity</w:t>
            </w:r>
          </w:p>
        </w:tc>
        <w:tc>
          <w:tcPr>
            <w:tcW w:w="0" w:type="dxa"/>
            <w:vAlign w:val="bottom"/>
          </w:tcPr>
          <w:p>
            <w:pPr>
              <w:spacing w:after="0"/>
              <w:rPr>
                <w:sz w:val="1"/>
                <w:szCs w:val="1"/>
                <w:color w:val="auto"/>
              </w:rPr>
            </w:pPr>
          </w:p>
        </w:tc>
      </w:tr>
      <w:tr>
        <w:trPr>
          <w:trHeight w:val="20"/>
        </w:trPr>
        <w:tc>
          <w:tcPr>
            <w:tcW w:w="5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0" w:type="dxa"/>
            <w:vAlign w:val="bottom"/>
            <w:shd w:val="clear" w:color="auto" w:fill="E5E5E5"/>
          </w:tcPr>
          <w:p>
            <w:pPr>
              <w:spacing w:after="0" w:line="196" w:lineRule="exact"/>
              <w:rPr>
                <w:sz w:val="20"/>
                <w:szCs w:val="20"/>
                <w:color w:val="auto"/>
              </w:rPr>
            </w:pPr>
            <w:r>
              <w:rPr>
                <w:rFonts w:ascii="Arial" w:cs="Arial" w:eastAsia="Arial" w:hAnsi="Arial"/>
                <w:sz w:val="18"/>
                <w:szCs w:val="18"/>
                <w:color w:val="auto"/>
              </w:rPr>
              <w:t>Senior Notes due 2013</w:t>
            </w:r>
          </w:p>
        </w:tc>
        <w:tc>
          <w:tcPr>
            <w:tcW w:w="200" w:type="dxa"/>
            <w:vAlign w:val="bottom"/>
            <w:shd w:val="clear" w:color="auto" w:fill="E5E5E5"/>
          </w:tcPr>
          <w:p>
            <w:pPr>
              <w:spacing w:after="0"/>
              <w:rPr>
                <w:sz w:val="17"/>
                <w:szCs w:val="17"/>
                <w:color w:val="auto"/>
              </w:rPr>
            </w:pPr>
          </w:p>
        </w:tc>
        <w:tc>
          <w:tcPr>
            <w:tcW w:w="860" w:type="dxa"/>
            <w:vAlign w:val="bottom"/>
            <w:shd w:val="clear" w:color="auto" w:fill="E5E5E5"/>
          </w:tcPr>
          <w:p>
            <w:pPr>
              <w:jc w:val="right"/>
              <w:ind w:right="107"/>
              <w:spacing w:after="0" w:line="196" w:lineRule="exact"/>
              <w:rPr>
                <w:sz w:val="20"/>
                <w:szCs w:val="20"/>
                <w:color w:val="auto"/>
              </w:rPr>
            </w:pPr>
            <w:r>
              <w:rPr>
                <w:rFonts w:ascii="Arial" w:cs="Arial" w:eastAsia="Arial" w:hAnsi="Arial"/>
                <w:sz w:val="18"/>
                <w:szCs w:val="18"/>
                <w:color w:val="auto"/>
              </w:rPr>
              <w:t>2010</w:t>
            </w:r>
          </w:p>
        </w:tc>
        <w:tc>
          <w:tcPr>
            <w:tcW w:w="460" w:type="dxa"/>
            <w:vAlign w:val="bottom"/>
            <w:gridSpan w:val="2"/>
            <w:shd w:val="clear" w:color="auto" w:fill="E5E5E5"/>
          </w:tcPr>
          <w:p>
            <w:pPr>
              <w:jc w:val="right"/>
              <w:spacing w:after="0" w:line="196" w:lineRule="exact"/>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rPr>
              <w:t>400</w:t>
            </w:r>
          </w:p>
        </w:tc>
        <w:tc>
          <w:tcPr>
            <w:tcW w:w="400" w:type="dxa"/>
            <w:vAlign w:val="bottom"/>
            <w:gridSpan w:val="2"/>
            <w:shd w:val="clear" w:color="auto" w:fill="E5E5E5"/>
          </w:tcPr>
          <w:p>
            <w:pPr>
              <w:jc w:val="right"/>
              <w:spacing w:after="0" w:line="196" w:lineRule="exact"/>
              <w:rPr>
                <w:sz w:val="20"/>
                <w:szCs w:val="20"/>
                <w:color w:val="auto"/>
              </w:rPr>
            </w:pPr>
            <w:r>
              <w:rPr>
                <w:rFonts w:ascii="Arial" w:cs="Arial" w:eastAsia="Arial" w:hAnsi="Arial"/>
                <w:sz w:val="18"/>
                <w:szCs w:val="18"/>
                <w:color w:val="auto"/>
              </w:rPr>
              <w:t>$</w:t>
            </w:r>
          </w:p>
        </w:tc>
        <w:tc>
          <w:tcPr>
            <w:tcW w:w="600" w:type="dxa"/>
            <w:vAlign w:val="bottom"/>
            <w:gridSpan w:val="2"/>
            <w:shd w:val="clear" w:color="auto" w:fill="E5E5E5"/>
          </w:tcPr>
          <w:p>
            <w:pPr>
              <w:jc w:val="right"/>
              <w:ind w:right="300"/>
              <w:spacing w:after="0" w:line="196"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E5E5E5"/>
          </w:tcPr>
          <w:p>
            <w:pPr>
              <w:jc w:val="right"/>
              <w:ind w:right="260"/>
              <w:spacing w:after="0" w:line="196" w:lineRule="exact"/>
              <w:rPr>
                <w:sz w:val="20"/>
                <w:szCs w:val="20"/>
                <w:color w:val="auto"/>
              </w:rPr>
            </w:pPr>
            <w:r>
              <w:rPr>
                <w:rFonts w:ascii="Arial" w:cs="Arial" w:eastAsia="Arial" w:hAnsi="Arial"/>
                <w:sz w:val="18"/>
                <w:szCs w:val="18"/>
                <w:color w:val="auto"/>
              </w:rPr>
              <w:t>4.71%</w:t>
            </w:r>
          </w:p>
        </w:tc>
        <w:tc>
          <w:tcPr>
            <w:tcW w:w="1300" w:type="dxa"/>
            <w:vAlign w:val="bottom"/>
            <w:gridSpan w:val="2"/>
            <w:shd w:val="clear" w:color="auto" w:fill="E5E5E5"/>
          </w:tcPr>
          <w:p>
            <w:pPr>
              <w:jc w:val="right"/>
              <w:ind w:right="260"/>
              <w:spacing w:after="0" w:line="196" w:lineRule="exact"/>
              <w:rPr>
                <w:sz w:val="20"/>
                <w:szCs w:val="20"/>
                <w:color w:val="auto"/>
              </w:rPr>
            </w:pPr>
            <w:r>
              <w:rPr>
                <w:rFonts w:ascii="Arial" w:cs="Arial" w:eastAsia="Arial" w:hAnsi="Arial"/>
                <w:sz w:val="18"/>
                <w:szCs w:val="18"/>
                <w:color w:val="auto"/>
              </w:rPr>
              <w:t>5.65%</w:t>
            </w:r>
          </w:p>
        </w:tc>
        <w:tc>
          <w:tcPr>
            <w:tcW w:w="380" w:type="dxa"/>
            <w:vAlign w:val="bottom"/>
            <w:shd w:val="clear" w:color="auto" w:fill="E5E5E5"/>
          </w:tcPr>
          <w:p>
            <w:pPr>
              <w:spacing w:after="0" w:line="196" w:lineRule="exact"/>
              <w:rPr>
                <w:sz w:val="20"/>
                <w:szCs w:val="20"/>
                <w:color w:val="auto"/>
              </w:rPr>
            </w:pPr>
            <w:r>
              <w:rPr>
                <w:rFonts w:ascii="Arial" w:cs="Arial" w:eastAsia="Arial" w:hAnsi="Arial"/>
                <w:sz w:val="18"/>
                <w:szCs w:val="18"/>
                <w:color w:val="auto"/>
                <w:w w:val="89"/>
              </w:rPr>
              <w:t>Libor</w:t>
            </w:r>
          </w:p>
        </w:tc>
        <w:tc>
          <w:tcPr>
            <w:tcW w:w="680" w:type="dxa"/>
            <w:vAlign w:val="bottom"/>
            <w:gridSpan w:val="2"/>
            <w:shd w:val="clear" w:color="auto" w:fill="E5E5E5"/>
          </w:tcPr>
          <w:p>
            <w:pPr>
              <w:jc w:val="center"/>
              <w:ind w:left="112"/>
              <w:spacing w:after="0" w:line="196" w:lineRule="exact"/>
              <w:rPr>
                <w:sz w:val="20"/>
                <w:szCs w:val="20"/>
                <w:color w:val="auto"/>
              </w:rPr>
            </w:pPr>
            <w:r>
              <w:rPr>
                <w:rFonts w:ascii="Arial" w:cs="Arial" w:eastAsia="Arial" w:hAnsi="Arial"/>
                <w:sz w:val="18"/>
                <w:szCs w:val="18"/>
                <w:color w:val="auto"/>
                <w:w w:val="99"/>
              </w:rPr>
              <w:t>2013</w:t>
            </w:r>
          </w:p>
        </w:tc>
        <w:tc>
          <w:tcPr>
            <w:tcW w:w="0" w:type="dxa"/>
            <w:vAlign w:val="bottom"/>
          </w:tcPr>
          <w:p>
            <w:pPr>
              <w:spacing w:after="0"/>
              <w:rPr>
                <w:sz w:val="1"/>
                <w:szCs w:val="1"/>
                <w:color w:val="auto"/>
              </w:rPr>
            </w:pP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color w:val="auto"/>
              </w:rPr>
              <w:t>Senior Notes due 2014</w:t>
            </w:r>
          </w:p>
        </w:tc>
        <w:tc>
          <w:tcPr>
            <w:tcW w:w="1060" w:type="dxa"/>
            <w:vAlign w:val="bottom"/>
            <w:gridSpan w:val="2"/>
          </w:tcPr>
          <w:p>
            <w:pPr>
              <w:jc w:val="right"/>
              <w:ind w:right="107"/>
              <w:spacing w:after="0" w:line="202" w:lineRule="exact"/>
              <w:rPr>
                <w:sz w:val="20"/>
                <w:szCs w:val="20"/>
                <w:color w:val="auto"/>
              </w:rPr>
            </w:pPr>
            <w:r>
              <w:rPr>
                <w:rFonts w:ascii="Arial" w:cs="Arial" w:eastAsia="Arial" w:hAnsi="Arial"/>
                <w:sz w:val="18"/>
                <w:szCs w:val="18"/>
                <w:color w:val="auto"/>
              </w:rPr>
              <w:t>2009</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450</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300" w:type="dxa"/>
            <w:vAlign w:val="bottom"/>
          </w:tcPr>
          <w:p>
            <w:pPr>
              <w:spacing w:after="0"/>
              <w:rPr>
                <w:sz w:val="17"/>
                <w:szCs w:val="17"/>
                <w:color w:val="auto"/>
              </w:rPr>
            </w:pPr>
          </w:p>
        </w:tc>
        <w:tc>
          <w:tcPr>
            <w:tcW w:w="10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6.19%</w:t>
            </w:r>
          </w:p>
        </w:tc>
        <w:tc>
          <w:tcPr>
            <w:tcW w:w="13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8.25%</w:t>
            </w:r>
          </w:p>
        </w:tc>
        <w:tc>
          <w:tcPr>
            <w:tcW w:w="380" w:type="dxa"/>
            <w:vAlign w:val="bottom"/>
          </w:tcPr>
          <w:p>
            <w:pPr>
              <w:spacing w:after="0" w:line="202" w:lineRule="exact"/>
              <w:rPr>
                <w:sz w:val="20"/>
                <w:szCs w:val="20"/>
                <w:color w:val="auto"/>
              </w:rPr>
            </w:pPr>
            <w:r>
              <w:rPr>
                <w:rFonts w:ascii="Arial" w:cs="Arial" w:eastAsia="Arial" w:hAnsi="Arial"/>
                <w:sz w:val="18"/>
                <w:szCs w:val="18"/>
                <w:color w:val="auto"/>
                <w:w w:val="89"/>
              </w:rPr>
              <w:t>Libor</w:t>
            </w:r>
          </w:p>
        </w:tc>
        <w:tc>
          <w:tcPr>
            <w:tcW w:w="680" w:type="dxa"/>
            <w:vAlign w:val="bottom"/>
            <w:gridSpan w:val="2"/>
          </w:tcPr>
          <w:p>
            <w:pPr>
              <w:jc w:val="center"/>
              <w:ind w:left="112"/>
              <w:spacing w:after="0" w:line="202" w:lineRule="exact"/>
              <w:rPr>
                <w:sz w:val="20"/>
                <w:szCs w:val="20"/>
                <w:color w:val="auto"/>
              </w:rPr>
            </w:pPr>
            <w:r>
              <w:rPr>
                <w:rFonts w:ascii="Arial" w:cs="Arial" w:eastAsia="Arial" w:hAnsi="Arial"/>
                <w:sz w:val="18"/>
                <w:szCs w:val="18"/>
                <w:color w:val="auto"/>
                <w:w w:val="99"/>
              </w:rPr>
              <w:t>2014</w:t>
            </w:r>
          </w:p>
        </w:tc>
        <w:tc>
          <w:tcPr>
            <w:tcW w:w="0" w:type="dxa"/>
            <w:vAlign w:val="bottom"/>
          </w:tcPr>
          <w:p>
            <w:pPr>
              <w:spacing w:after="0"/>
              <w:rPr>
                <w:sz w:val="1"/>
                <w:szCs w:val="1"/>
                <w:color w:val="auto"/>
              </w:rPr>
            </w:pPr>
          </w:p>
        </w:tc>
      </w:tr>
      <w:tr>
        <w:trPr>
          <w:trHeight w:val="203"/>
        </w:trPr>
        <w:tc>
          <w:tcPr>
            <w:tcW w:w="52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Senior Notes due 2016</w:t>
            </w:r>
          </w:p>
        </w:tc>
        <w:tc>
          <w:tcPr>
            <w:tcW w:w="1060" w:type="dxa"/>
            <w:vAlign w:val="bottom"/>
            <w:gridSpan w:val="2"/>
            <w:shd w:val="clear" w:color="auto" w:fill="E5E5E5"/>
          </w:tcPr>
          <w:p>
            <w:pPr>
              <w:jc w:val="right"/>
              <w:ind w:right="107"/>
              <w:spacing w:after="0" w:line="202" w:lineRule="exact"/>
              <w:rPr>
                <w:sz w:val="20"/>
                <w:szCs w:val="20"/>
                <w:color w:val="auto"/>
              </w:rPr>
            </w:pPr>
            <w:r>
              <w:rPr>
                <w:rFonts w:ascii="Arial" w:cs="Arial" w:eastAsia="Arial" w:hAnsi="Arial"/>
                <w:sz w:val="18"/>
                <w:szCs w:val="18"/>
                <w:color w:val="auto"/>
              </w:rPr>
              <w:t>2010</w:t>
            </w:r>
          </w:p>
        </w:tc>
        <w:tc>
          <w:tcPr>
            <w:tcW w:w="3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3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100</w:t>
            </w:r>
          </w:p>
        </w:tc>
        <w:tc>
          <w:tcPr>
            <w:tcW w:w="3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600" w:type="dxa"/>
            <w:vAlign w:val="bottom"/>
            <w:gridSpan w:val="2"/>
            <w:shd w:val="clear" w:color="auto" w:fill="E5E5E5"/>
          </w:tcPr>
          <w:p>
            <w:pPr>
              <w:jc w:val="right"/>
              <w:ind w:right="300"/>
              <w:spacing w:after="0" w:line="202" w:lineRule="exact"/>
              <w:rPr>
                <w:sz w:val="20"/>
                <w:szCs w:val="20"/>
                <w:color w:val="auto"/>
              </w:rPr>
            </w:pPr>
            <w:r>
              <w:rPr>
                <w:rFonts w:ascii="Arial" w:cs="Arial" w:eastAsia="Arial" w:hAnsi="Arial"/>
                <w:sz w:val="18"/>
                <w:szCs w:val="18"/>
                <w:color w:val="auto"/>
              </w:rPr>
              <w:t>1</w:t>
            </w:r>
          </w:p>
        </w:tc>
        <w:tc>
          <w:tcPr>
            <w:tcW w:w="1000" w:type="dxa"/>
            <w:vAlign w:val="bottom"/>
            <w:gridSpan w:val="2"/>
            <w:shd w:val="clear" w:color="auto" w:fill="E5E5E5"/>
          </w:tcPr>
          <w:p>
            <w:pPr>
              <w:jc w:val="right"/>
              <w:ind w:right="260"/>
              <w:spacing w:after="0" w:line="202" w:lineRule="exact"/>
              <w:rPr>
                <w:sz w:val="20"/>
                <w:szCs w:val="20"/>
                <w:color w:val="auto"/>
              </w:rPr>
            </w:pPr>
            <w:r>
              <w:rPr>
                <w:rFonts w:ascii="Arial" w:cs="Arial" w:eastAsia="Arial" w:hAnsi="Arial"/>
                <w:sz w:val="18"/>
                <w:szCs w:val="18"/>
                <w:color w:val="auto"/>
              </w:rPr>
              <w:t>3.96%</w:t>
            </w:r>
          </w:p>
        </w:tc>
        <w:tc>
          <w:tcPr>
            <w:tcW w:w="1300" w:type="dxa"/>
            <w:vAlign w:val="bottom"/>
            <w:gridSpan w:val="2"/>
            <w:shd w:val="clear" w:color="auto" w:fill="E5E5E5"/>
          </w:tcPr>
          <w:p>
            <w:pPr>
              <w:jc w:val="right"/>
              <w:ind w:right="260"/>
              <w:spacing w:after="0" w:line="202" w:lineRule="exact"/>
              <w:rPr>
                <w:sz w:val="20"/>
                <w:szCs w:val="20"/>
                <w:color w:val="auto"/>
              </w:rPr>
            </w:pPr>
            <w:r>
              <w:rPr>
                <w:rFonts w:ascii="Arial" w:cs="Arial" w:eastAsia="Arial" w:hAnsi="Arial"/>
                <w:sz w:val="18"/>
                <w:szCs w:val="18"/>
                <w:color w:val="auto"/>
              </w:rPr>
              <w:t>6.40%</w:t>
            </w:r>
          </w:p>
        </w:tc>
        <w:tc>
          <w:tcPr>
            <w:tcW w:w="3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w w:val="89"/>
              </w:rPr>
              <w:t>Libor</w:t>
            </w:r>
          </w:p>
        </w:tc>
        <w:tc>
          <w:tcPr>
            <w:tcW w:w="680" w:type="dxa"/>
            <w:vAlign w:val="bottom"/>
            <w:gridSpan w:val="2"/>
            <w:shd w:val="clear" w:color="auto" w:fill="E5E5E5"/>
          </w:tcPr>
          <w:p>
            <w:pPr>
              <w:jc w:val="center"/>
              <w:ind w:left="112"/>
              <w:spacing w:after="0" w:line="202" w:lineRule="exact"/>
              <w:rPr>
                <w:sz w:val="20"/>
                <w:szCs w:val="20"/>
                <w:color w:val="auto"/>
              </w:rPr>
            </w:pPr>
            <w:r>
              <w:rPr>
                <w:rFonts w:ascii="Arial" w:cs="Arial" w:eastAsia="Arial" w:hAnsi="Arial"/>
                <w:sz w:val="18"/>
                <w:szCs w:val="18"/>
                <w:color w:val="auto"/>
                <w:w w:val="99"/>
              </w:rPr>
              <w:t>2016</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b w:val="1"/>
                <w:bCs w:val="1"/>
                <w:color w:val="auto"/>
              </w:rPr>
              <w:t>Total Fair Value Hedges</w:t>
            </w: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950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11</w:t>
            </w: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Terminated Swaps</w:t>
      </w:r>
    </w:p>
    <w:p>
      <w:pPr>
        <w:spacing w:after="0" w:line="18"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During the period from 2004 to 2010, we terminated early several interest rate swaps that were designated as fair value hedges of certain debt instruments. The associated net fair value adjustments to the debt instruments are being amortized to interest expense over the remaining term of the related notes. In 2010, 2009 and 2008, the amortization of these fair value adjustments reduced interest expense by $28, $17 and $12, respectively, and we expect to record a net decrease in interest expense of $199 in future years through 2027.</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Foreign Exchange Risk Management</w:t>
      </w:r>
    </w:p>
    <w:p>
      <w:pPr>
        <w:spacing w:after="0" w:line="180" w:lineRule="exact"/>
        <w:rPr>
          <w:sz w:val="20"/>
          <w:szCs w:val="20"/>
          <w:color w:val="auto"/>
        </w:rPr>
      </w:pPr>
    </w:p>
    <w:p>
      <w:pPr>
        <w:ind w:right="360"/>
        <w:spacing w:after="0" w:line="238" w:lineRule="auto"/>
        <w:rPr>
          <w:sz w:val="20"/>
          <w:szCs w:val="20"/>
          <w:color w:val="auto"/>
        </w:rPr>
      </w:pPr>
      <w:r>
        <w:rPr>
          <w:rFonts w:ascii="Arial" w:cs="Arial" w:eastAsia="Arial" w:hAnsi="Arial"/>
          <w:sz w:val="18"/>
          <w:szCs w:val="18"/>
          <w:color w:val="auto"/>
        </w:rPr>
        <w:t>We are exposed to foreign currency exchange rate fluctuations in the normal course of business. As a part of our foreign exchange risk management strategy, we use derivative instruments, primarily forward contracts and purchase option contracts, to hedge the following foreign currency exposures, thereby reducing volatility of earnings and protecting fair values of assets and liabilities:</w:t>
      </w:r>
    </w:p>
    <w:p>
      <w:pPr>
        <w:spacing w:after="0" w:line="195" w:lineRule="exact"/>
        <w:rPr>
          <w:sz w:val="20"/>
          <w:szCs w:val="20"/>
          <w:color w:val="auto"/>
        </w:rPr>
      </w:pPr>
    </w:p>
    <w:p>
      <w:pPr>
        <w:ind w:left="340" w:hanging="332"/>
        <w:spacing w:after="0"/>
        <w:tabs>
          <w:tab w:leader="none" w:pos="3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Foreign currency-denominated assets and liabilities</w:t>
      </w:r>
    </w:p>
    <w:p>
      <w:pPr>
        <w:spacing w:after="0" w:line="22" w:lineRule="exact"/>
        <w:rPr>
          <w:rFonts w:ascii="Arial" w:cs="Arial" w:eastAsia="Arial" w:hAnsi="Arial"/>
          <w:sz w:val="18"/>
          <w:szCs w:val="18"/>
          <w:color w:val="auto"/>
        </w:rPr>
      </w:pPr>
    </w:p>
    <w:p>
      <w:pPr>
        <w:ind w:left="340" w:hanging="332"/>
        <w:spacing w:after="0"/>
        <w:tabs>
          <w:tab w:leader="none" w:pos="3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Forecasted purchases and sales in foreign currency</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4"/>
          <w:szCs w:val="14"/>
          <w:color w:val="4C9F40"/>
        </w:rPr>
        <w:t>Xerox 2010 Annual Report 76</w:t>
      </w:r>
    </w:p>
    <w:p>
      <w:pPr>
        <w:sectPr>
          <w:pgSz w:w="11900" w:h="16838" w:orient="portrait"/>
          <w:cols w:equalWidth="0" w:num="1">
            <w:col w:w="11420"/>
          </w:cols>
          <w:pgMar w:left="240" w:top="345" w:right="23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b w:val="1"/>
          <w:bCs w:val="1"/>
          <w:color w:val="4C9F40"/>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Summary of Foreign Exchange Hedging Positions</w:t>
      </w:r>
    </w:p>
    <w:p>
      <w:pPr>
        <w:spacing w:after="0" w:line="18" w:lineRule="exact"/>
        <w:rPr>
          <w:sz w:val="20"/>
          <w:szCs w:val="20"/>
          <w:color w:val="auto"/>
        </w:rPr>
      </w:pPr>
    </w:p>
    <w:p>
      <w:pPr>
        <w:ind w:right="580"/>
        <w:spacing w:after="0" w:line="299" w:lineRule="auto"/>
        <w:rPr>
          <w:sz w:val="20"/>
          <w:szCs w:val="20"/>
          <w:color w:val="auto"/>
        </w:rPr>
      </w:pPr>
      <w:r>
        <w:rPr>
          <w:rFonts w:ascii="Arial" w:cs="Arial" w:eastAsia="Arial" w:hAnsi="Arial"/>
          <w:sz w:val="16"/>
          <w:szCs w:val="16"/>
          <w:color w:val="auto"/>
        </w:rPr>
        <w:t>At December 31, 2010, we had outstanding forward exchange and purchased option contracts with gross notional values of $2,968 which is reflective of the amounts that are normally outstanding at any point during the year. These contracts generally mature in 12 months or less.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primary hedging positions and corresponding fair values held as of December 31, 2010: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Gross</w:t>
            </w:r>
          </w:p>
        </w:tc>
        <w:tc>
          <w:tcPr>
            <w:tcW w:w="10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240"/>
              <w:spacing w:after="0" w:line="139" w:lineRule="exact"/>
              <w:rPr>
                <w:sz w:val="20"/>
                <w:szCs w:val="20"/>
                <w:color w:val="auto"/>
              </w:rPr>
            </w:pPr>
            <w:r>
              <w:rPr>
                <w:rFonts w:ascii="Arial" w:cs="Arial" w:eastAsia="Arial" w:hAnsi="Arial"/>
                <w:sz w:val="14"/>
                <w:szCs w:val="14"/>
                <w:b w:val="1"/>
                <w:bCs w:val="1"/>
                <w:color w:val="auto"/>
                <w:w w:val="99"/>
              </w:rPr>
              <w:t>Asset</w:t>
            </w:r>
          </w:p>
        </w:tc>
        <w:tc>
          <w:tcPr>
            <w:tcW w:w="0" w:type="dxa"/>
            <w:vAlign w:val="bottom"/>
          </w:tcPr>
          <w:p>
            <w:pPr>
              <w:spacing w:after="0"/>
              <w:rPr>
                <w:sz w:val="1"/>
                <w:szCs w:val="1"/>
                <w:color w:val="auto"/>
              </w:rPr>
            </w:pPr>
          </w:p>
        </w:tc>
      </w:tr>
      <w:tr>
        <w:trPr>
          <w:trHeight w:val="149"/>
        </w:trPr>
        <w:tc>
          <w:tcPr>
            <w:tcW w:w="9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Currency Hedged (Buy/Sell)</w:t>
            </w:r>
          </w:p>
        </w:tc>
        <w:tc>
          <w:tcPr>
            <w:tcW w:w="7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Notional</w:t>
            </w:r>
          </w:p>
        </w:tc>
        <w:tc>
          <w:tcPr>
            <w:tcW w:w="10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162"/>
        </w:trPr>
        <w:tc>
          <w:tcPr>
            <w:tcW w:w="98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76"/>
              <w:spacing w:after="0"/>
              <w:rPr>
                <w:sz w:val="20"/>
                <w:szCs w:val="20"/>
                <w:color w:val="auto"/>
              </w:rPr>
            </w:pPr>
            <w:r>
              <w:rPr>
                <w:rFonts w:ascii="Arial" w:cs="Arial" w:eastAsia="Arial" w:hAnsi="Arial"/>
                <w:sz w:val="11"/>
                <w:szCs w:val="11"/>
                <w:b w:val="1"/>
                <w:bCs w:val="1"/>
                <w:color w:val="auto"/>
              </w:rPr>
              <w:t>(1)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780" w:type="dxa"/>
            <w:vAlign w:val="bottom"/>
            <w:gridSpan w:val="2"/>
            <w:shd w:val="clear" w:color="auto" w:fill="E5E5E5"/>
          </w:tcPr>
          <w:p>
            <w:pPr>
              <w:spacing w:after="0" w:line="196" w:lineRule="exact"/>
              <w:rPr>
                <w:sz w:val="20"/>
                <w:szCs w:val="20"/>
                <w:color w:val="auto"/>
              </w:rPr>
            </w:pPr>
            <w:r>
              <w:rPr>
                <w:rFonts w:ascii="Arial" w:cs="Arial" w:eastAsia="Arial" w:hAnsi="Arial"/>
                <w:sz w:val="18"/>
                <w:szCs w:val="18"/>
                <w:color w:val="auto"/>
              </w:rPr>
              <w:t>U.K. Pound Sterling/Euro</w:t>
            </w:r>
          </w:p>
        </w:tc>
        <w:tc>
          <w:tcPr>
            <w:tcW w:w="12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E5E5E5"/>
          </w:tcPr>
          <w:p>
            <w:pPr>
              <w:jc w:val="right"/>
              <w:ind w:right="120"/>
              <w:spacing w:after="0" w:line="196" w:lineRule="exact"/>
              <w:rPr>
                <w:sz w:val="20"/>
                <w:szCs w:val="20"/>
                <w:color w:val="auto"/>
              </w:rPr>
            </w:pPr>
            <w:r>
              <w:rPr>
                <w:rFonts w:ascii="Arial" w:cs="Arial" w:eastAsia="Arial" w:hAnsi="Arial"/>
                <w:sz w:val="18"/>
                <w:szCs w:val="18"/>
                <w:color w:val="auto"/>
              </w:rPr>
              <w:t>217</w:t>
            </w:r>
          </w:p>
        </w:tc>
        <w:tc>
          <w:tcPr>
            <w:tcW w:w="220" w:type="dxa"/>
            <w:vAlign w:val="bottom"/>
            <w:gridSpan w:val="2"/>
            <w:shd w:val="clear" w:color="auto" w:fill="E5E5E5"/>
          </w:tcPr>
          <w:p>
            <w:pPr>
              <w:ind w:left="100"/>
              <w:spacing w:after="0" w:line="196" w:lineRule="exact"/>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E5E5E5"/>
          </w:tcPr>
          <w:p>
            <w:pPr>
              <w:jc w:val="right"/>
              <w:ind w:right="4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9800" w:type="dxa"/>
            <w:vAlign w:val="bottom"/>
            <w:gridSpan w:val="3"/>
          </w:tcPr>
          <w:p>
            <w:pPr>
              <w:spacing w:after="0" w:line="202" w:lineRule="exact"/>
              <w:rPr>
                <w:sz w:val="20"/>
                <w:szCs w:val="20"/>
                <w:color w:val="auto"/>
              </w:rPr>
            </w:pPr>
            <w:r>
              <w:rPr>
                <w:rFonts w:ascii="Arial" w:cs="Arial" w:eastAsia="Arial" w:hAnsi="Arial"/>
                <w:sz w:val="18"/>
                <w:szCs w:val="18"/>
                <w:color w:val="auto"/>
              </w:rPr>
              <w:t>Euro/U.S. Dollar</w:t>
            </w:r>
          </w:p>
        </w:tc>
        <w:tc>
          <w:tcPr>
            <w:tcW w:w="120" w:type="dxa"/>
            <w:vAlign w:val="bottom"/>
          </w:tcPr>
          <w:p>
            <w:pPr>
              <w:spacing w:after="0"/>
              <w:rPr>
                <w:sz w:val="17"/>
                <w:szCs w:val="17"/>
                <w:color w:val="auto"/>
              </w:rPr>
            </w:pPr>
          </w:p>
        </w:tc>
        <w:tc>
          <w:tcPr>
            <w:tcW w:w="6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370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78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U.S. Dollar/Euro</w:t>
            </w:r>
          </w:p>
        </w:tc>
        <w:tc>
          <w:tcPr>
            <w:tcW w:w="120" w:type="dxa"/>
            <w:vAlign w:val="bottom"/>
            <w:shd w:val="clear" w:color="auto" w:fill="E5E5E5"/>
          </w:tcPr>
          <w:p>
            <w:pPr>
              <w:spacing w:after="0"/>
              <w:rPr>
                <w:sz w:val="17"/>
                <w:szCs w:val="17"/>
                <w:color w:val="auto"/>
              </w:rPr>
            </w:pPr>
          </w:p>
        </w:tc>
        <w:tc>
          <w:tcPr>
            <w:tcW w:w="64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585</w:t>
            </w:r>
          </w:p>
        </w:tc>
        <w:tc>
          <w:tcPr>
            <w:tcW w:w="1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9800" w:type="dxa"/>
            <w:vAlign w:val="bottom"/>
            <w:gridSpan w:val="3"/>
          </w:tcPr>
          <w:p>
            <w:pPr>
              <w:spacing w:after="0" w:line="202" w:lineRule="exact"/>
              <w:rPr>
                <w:sz w:val="20"/>
                <w:szCs w:val="20"/>
                <w:color w:val="auto"/>
              </w:rPr>
            </w:pPr>
            <w:r>
              <w:rPr>
                <w:rFonts w:ascii="Arial" w:cs="Arial" w:eastAsia="Arial" w:hAnsi="Arial"/>
                <w:sz w:val="18"/>
                <w:szCs w:val="18"/>
                <w:color w:val="auto"/>
              </w:rPr>
              <w:t>Swedish Kronor/Euro</w:t>
            </w:r>
          </w:p>
        </w:tc>
        <w:tc>
          <w:tcPr>
            <w:tcW w:w="120" w:type="dxa"/>
            <w:vAlign w:val="bottom"/>
          </w:tcPr>
          <w:p>
            <w:pPr>
              <w:spacing w:after="0"/>
              <w:rPr>
                <w:sz w:val="17"/>
                <w:szCs w:val="17"/>
                <w:color w:val="auto"/>
              </w:rPr>
            </w:pPr>
          </w:p>
        </w:tc>
        <w:tc>
          <w:tcPr>
            <w:tcW w:w="6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78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Swiss Franc/Euro</w:t>
            </w:r>
          </w:p>
        </w:tc>
        <w:tc>
          <w:tcPr>
            <w:tcW w:w="120" w:type="dxa"/>
            <w:vAlign w:val="bottom"/>
            <w:shd w:val="clear" w:color="auto" w:fill="E5E5E5"/>
          </w:tcPr>
          <w:p>
            <w:pPr>
              <w:spacing w:after="0"/>
              <w:rPr>
                <w:sz w:val="17"/>
                <w:szCs w:val="17"/>
                <w:color w:val="auto"/>
              </w:rPr>
            </w:pPr>
          </w:p>
        </w:tc>
        <w:tc>
          <w:tcPr>
            <w:tcW w:w="64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194</w:t>
            </w:r>
          </w:p>
        </w:tc>
        <w:tc>
          <w:tcPr>
            <w:tcW w:w="1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9800" w:type="dxa"/>
            <w:vAlign w:val="bottom"/>
            <w:gridSpan w:val="3"/>
          </w:tcPr>
          <w:p>
            <w:pPr>
              <w:spacing w:after="0" w:line="202" w:lineRule="exact"/>
              <w:rPr>
                <w:sz w:val="20"/>
                <w:szCs w:val="20"/>
                <w:color w:val="auto"/>
              </w:rPr>
            </w:pPr>
            <w:r>
              <w:rPr>
                <w:rFonts w:ascii="Arial" w:cs="Arial" w:eastAsia="Arial" w:hAnsi="Arial"/>
                <w:sz w:val="18"/>
                <w:szCs w:val="18"/>
                <w:color w:val="auto"/>
              </w:rPr>
              <w:t>Japanese Yen/U.S. Dollar</w:t>
            </w:r>
          </w:p>
        </w:tc>
        <w:tc>
          <w:tcPr>
            <w:tcW w:w="120" w:type="dxa"/>
            <w:vAlign w:val="bottom"/>
          </w:tcPr>
          <w:p>
            <w:pPr>
              <w:spacing w:after="0"/>
              <w:rPr>
                <w:sz w:val="17"/>
                <w:szCs w:val="17"/>
                <w:color w:val="auto"/>
              </w:rPr>
            </w:pPr>
          </w:p>
        </w:tc>
        <w:tc>
          <w:tcPr>
            <w:tcW w:w="6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397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78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Japanese Yen/Euro</w:t>
            </w:r>
          </w:p>
        </w:tc>
        <w:tc>
          <w:tcPr>
            <w:tcW w:w="120" w:type="dxa"/>
            <w:vAlign w:val="bottom"/>
            <w:shd w:val="clear" w:color="auto" w:fill="E5E5E5"/>
          </w:tcPr>
          <w:p>
            <w:pPr>
              <w:spacing w:after="0"/>
              <w:rPr>
                <w:sz w:val="17"/>
                <w:szCs w:val="17"/>
                <w:color w:val="auto"/>
              </w:rPr>
            </w:pPr>
          </w:p>
        </w:tc>
        <w:tc>
          <w:tcPr>
            <w:tcW w:w="64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367</w:t>
            </w:r>
          </w:p>
        </w:tc>
        <w:tc>
          <w:tcPr>
            <w:tcW w:w="1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9800" w:type="dxa"/>
            <w:vAlign w:val="bottom"/>
            <w:gridSpan w:val="3"/>
          </w:tcPr>
          <w:p>
            <w:pPr>
              <w:spacing w:after="0" w:line="202" w:lineRule="exact"/>
              <w:rPr>
                <w:sz w:val="20"/>
                <w:szCs w:val="20"/>
                <w:color w:val="auto"/>
              </w:rPr>
            </w:pPr>
            <w:r>
              <w:rPr>
                <w:rFonts w:ascii="Arial" w:cs="Arial" w:eastAsia="Arial" w:hAnsi="Arial"/>
                <w:sz w:val="18"/>
                <w:szCs w:val="18"/>
                <w:color w:val="auto"/>
              </w:rPr>
              <w:t>Euro/U.K. Pound Sterling</w:t>
            </w:r>
          </w:p>
        </w:tc>
        <w:tc>
          <w:tcPr>
            <w:tcW w:w="120" w:type="dxa"/>
            <w:vAlign w:val="bottom"/>
          </w:tcPr>
          <w:p>
            <w:pPr>
              <w:spacing w:after="0"/>
              <w:rPr>
                <w:sz w:val="17"/>
                <w:szCs w:val="17"/>
                <w:color w:val="auto"/>
              </w:rPr>
            </w:pPr>
          </w:p>
        </w:tc>
        <w:tc>
          <w:tcPr>
            <w:tcW w:w="6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211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78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U.K. Pound Sterling/Swiss Franc</w:t>
            </w:r>
          </w:p>
        </w:tc>
        <w:tc>
          <w:tcPr>
            <w:tcW w:w="120" w:type="dxa"/>
            <w:vAlign w:val="bottom"/>
            <w:shd w:val="clear" w:color="auto" w:fill="E5E5E5"/>
          </w:tcPr>
          <w:p>
            <w:pPr>
              <w:spacing w:after="0"/>
              <w:rPr>
                <w:sz w:val="17"/>
                <w:szCs w:val="17"/>
                <w:color w:val="auto"/>
              </w:rPr>
            </w:pPr>
          </w:p>
        </w:tc>
        <w:tc>
          <w:tcPr>
            <w:tcW w:w="64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74</w:t>
            </w:r>
          </w:p>
        </w:tc>
        <w:tc>
          <w:tcPr>
            <w:tcW w:w="1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4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9800" w:type="dxa"/>
            <w:vAlign w:val="bottom"/>
            <w:gridSpan w:val="3"/>
          </w:tcPr>
          <w:p>
            <w:pPr>
              <w:spacing w:after="0" w:line="202" w:lineRule="exact"/>
              <w:rPr>
                <w:sz w:val="20"/>
                <w:szCs w:val="20"/>
                <w:color w:val="auto"/>
              </w:rPr>
            </w:pPr>
            <w:r>
              <w:rPr>
                <w:rFonts w:ascii="Arial" w:cs="Arial" w:eastAsia="Arial" w:hAnsi="Arial"/>
                <w:sz w:val="18"/>
                <w:szCs w:val="18"/>
                <w:color w:val="auto"/>
              </w:rPr>
              <w:t>Danish Krone/Euro</w:t>
            </w:r>
          </w:p>
        </w:tc>
        <w:tc>
          <w:tcPr>
            <w:tcW w:w="120" w:type="dxa"/>
            <w:vAlign w:val="bottom"/>
          </w:tcPr>
          <w:p>
            <w:pPr>
              <w:spacing w:after="0"/>
              <w:rPr>
                <w:sz w:val="17"/>
                <w:szCs w:val="17"/>
                <w:color w:val="auto"/>
              </w:rPr>
            </w:pPr>
          </w:p>
        </w:tc>
        <w:tc>
          <w:tcPr>
            <w:tcW w:w="6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78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Mexican Peso/U.S. Dollar</w:t>
            </w:r>
          </w:p>
        </w:tc>
        <w:tc>
          <w:tcPr>
            <w:tcW w:w="120" w:type="dxa"/>
            <w:vAlign w:val="bottom"/>
            <w:shd w:val="clear" w:color="auto" w:fill="E5E5E5"/>
          </w:tcPr>
          <w:p>
            <w:pPr>
              <w:spacing w:after="0"/>
              <w:rPr>
                <w:sz w:val="17"/>
                <w:szCs w:val="17"/>
                <w:color w:val="auto"/>
              </w:rPr>
            </w:pPr>
          </w:p>
        </w:tc>
        <w:tc>
          <w:tcPr>
            <w:tcW w:w="64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52</w:t>
            </w:r>
          </w:p>
        </w:tc>
        <w:tc>
          <w:tcPr>
            <w:tcW w:w="1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9800" w:type="dxa"/>
            <w:vAlign w:val="bottom"/>
            <w:gridSpan w:val="3"/>
          </w:tcPr>
          <w:p>
            <w:pPr>
              <w:spacing w:after="0" w:line="202" w:lineRule="exact"/>
              <w:rPr>
                <w:sz w:val="20"/>
                <w:szCs w:val="20"/>
                <w:color w:val="auto"/>
              </w:rPr>
            </w:pPr>
            <w:r>
              <w:rPr>
                <w:rFonts w:ascii="Arial" w:cs="Arial" w:eastAsia="Arial" w:hAnsi="Arial"/>
                <w:sz w:val="18"/>
                <w:szCs w:val="18"/>
                <w:color w:val="auto"/>
              </w:rPr>
              <w:t>All Other</w:t>
            </w:r>
          </w:p>
        </w:tc>
        <w:tc>
          <w:tcPr>
            <w:tcW w:w="120" w:type="dxa"/>
            <w:vAlign w:val="bottom"/>
          </w:tcPr>
          <w:p>
            <w:pPr>
              <w:spacing w:after="0"/>
              <w:rPr>
                <w:sz w:val="17"/>
                <w:szCs w:val="17"/>
                <w:color w:val="auto"/>
              </w:rPr>
            </w:pPr>
          </w:p>
        </w:tc>
        <w:tc>
          <w:tcPr>
            <w:tcW w:w="6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351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700" w:type="dxa"/>
            <w:vAlign w:val="bottom"/>
          </w:tcPr>
          <w:p>
            <w:pPr>
              <w:spacing w:after="0"/>
              <w:rPr>
                <w:sz w:val="2"/>
                <w:szCs w:val="2"/>
                <w:color w:val="auto"/>
              </w:rPr>
            </w:pPr>
          </w:p>
        </w:tc>
        <w:tc>
          <w:tcPr>
            <w:tcW w:w="80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978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Total Foreign Exchange Hedging</w:t>
            </w:r>
          </w:p>
        </w:tc>
        <w:tc>
          <w:tcPr>
            <w:tcW w:w="1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2,968</w:t>
            </w:r>
          </w:p>
        </w:tc>
        <w:tc>
          <w:tcPr>
            <w:tcW w:w="220" w:type="dxa"/>
            <w:vAlign w:val="bottom"/>
            <w:gridSpan w:val="2"/>
            <w:shd w:val="clear" w:color="auto" w:fill="E5E5E5"/>
          </w:tcPr>
          <w:p>
            <w:pPr>
              <w:ind w:left="100"/>
              <w:spacing w:after="0" w:line="202" w:lineRule="exact"/>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36004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141" w:lineRule="exact"/>
        <w:rPr>
          <w:sz w:val="20"/>
          <w:szCs w:val="20"/>
          <w:color w:val="auto"/>
        </w:rPr>
      </w:pPr>
    </w:p>
    <w:p>
      <w:pPr>
        <w:ind w:left="340" w:hanging="332"/>
        <w:spacing w:after="0"/>
        <w:tabs>
          <w:tab w:leader="none" w:pos="340" w:val="left"/>
        </w:tabs>
        <w:numPr>
          <w:ilvl w:val="0"/>
          <w:numId w:val="165"/>
        </w:numPr>
        <w:rPr>
          <w:rFonts w:ascii="Arial" w:cs="Arial" w:eastAsia="Arial" w:hAnsi="Arial"/>
          <w:sz w:val="14"/>
          <w:szCs w:val="14"/>
          <w:color w:val="auto"/>
        </w:rPr>
      </w:pPr>
      <w:r>
        <w:rPr>
          <w:rFonts w:ascii="Arial" w:cs="Arial" w:eastAsia="Arial" w:hAnsi="Arial"/>
          <w:sz w:val="14"/>
          <w:szCs w:val="14"/>
          <w:color w:val="auto"/>
        </w:rPr>
        <w:t>Represents the net receivable (payable) amount included in the Consolidated Balance Sheet at December 31, 2010.</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Foreign Currency Cash Flow Hedges</w:t>
      </w:r>
    </w:p>
    <w:p>
      <w:pPr>
        <w:spacing w:after="0" w:line="18"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We designate a portion of our foreign currency derivative contracts as cash flow hedges of our foreign currency-denominated inventory purchases, sales and expenses. No amount of ineffectiveness was recorded in the Consolidated Statements of Income for these designated cash flow hedges and all components of each derivative’s gain or loss was included in the assessment of hedge effectiveness. As of December 31, 2010, the net asset fair value of these contracts was $18.</w:t>
      </w:r>
    </w:p>
    <w:p>
      <w:pPr>
        <w:spacing w:after="0" w:line="137" w:lineRule="exact"/>
        <w:rPr>
          <w:sz w:val="20"/>
          <w:szCs w:val="20"/>
          <w:color w:val="auto"/>
        </w:rPr>
      </w:pPr>
    </w:p>
    <w:p>
      <w:pPr>
        <w:ind w:left="9600"/>
        <w:spacing w:after="0"/>
        <w:rPr>
          <w:sz w:val="20"/>
          <w:szCs w:val="20"/>
          <w:color w:val="auto"/>
        </w:rPr>
      </w:pPr>
      <w:r>
        <w:rPr>
          <w:rFonts w:ascii="Arial" w:cs="Arial" w:eastAsia="Arial" w:hAnsi="Arial"/>
          <w:sz w:val="12"/>
          <w:szCs w:val="12"/>
          <w:color w:val="4C9F40"/>
        </w:rPr>
        <w:t>Xerox 2010 Annual Report 77</w:t>
      </w:r>
    </w:p>
    <w:p>
      <w:pPr>
        <w:sectPr>
          <w:pgSz w:w="11900" w:h="16838" w:orient="portrait"/>
          <w:cols w:equalWidth="0" w:num="1">
            <w:col w:w="11420"/>
          </w:cols>
          <w:pgMar w:left="240" w:top="324" w:right="23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b w:val="1"/>
          <w:bCs w:val="1"/>
          <w:color w:val="4C9F40"/>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Summary of Derivative Instruments Fair Values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fair value amounts of derivative instruments at December 31, 2010 and 2009, respectively.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gridSpan w:val="2"/>
            <w:vMerge w:val="restart"/>
          </w:tcPr>
          <w:p>
            <w:pPr>
              <w:spacing w:after="0"/>
              <w:rPr>
                <w:sz w:val="20"/>
                <w:szCs w:val="20"/>
                <w:color w:val="auto"/>
              </w:rPr>
            </w:pPr>
            <w:r>
              <w:rPr>
                <w:rFonts w:ascii="Arial" w:cs="Arial" w:eastAsia="Arial" w:hAnsi="Arial"/>
                <w:sz w:val="14"/>
                <w:szCs w:val="14"/>
                <w:color w:val="auto"/>
              </w:rPr>
              <w:t>Designation of Derivatives</w:t>
            </w:r>
          </w:p>
        </w:tc>
        <w:tc>
          <w:tcPr>
            <w:tcW w:w="220" w:type="dxa"/>
            <w:vAlign w:val="bottom"/>
          </w:tcPr>
          <w:p>
            <w:pPr>
              <w:spacing w:after="0"/>
              <w:rPr>
                <w:sz w:val="14"/>
                <w:szCs w:val="14"/>
                <w:color w:val="auto"/>
              </w:rPr>
            </w:pPr>
          </w:p>
        </w:tc>
        <w:tc>
          <w:tcPr>
            <w:tcW w:w="3820" w:type="dxa"/>
            <w:vAlign w:val="bottom"/>
            <w:vMerge w:val="restart"/>
          </w:tcPr>
          <w:p>
            <w:pPr>
              <w:spacing w:after="0"/>
              <w:rPr>
                <w:sz w:val="20"/>
                <w:szCs w:val="20"/>
                <w:color w:val="auto"/>
              </w:rPr>
            </w:pPr>
            <w:r>
              <w:rPr>
                <w:rFonts w:ascii="Arial" w:cs="Arial" w:eastAsia="Arial" w:hAnsi="Arial"/>
                <w:sz w:val="14"/>
                <w:szCs w:val="14"/>
                <w:color w:val="auto"/>
              </w:rPr>
              <w:t>Balance Sheet Location</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5"/>
          </w:tcPr>
          <w:p>
            <w:pPr>
              <w:jc w:val="right"/>
              <w:ind w:right="132"/>
              <w:spacing w:after="0"/>
              <w:rPr>
                <w:sz w:val="20"/>
                <w:szCs w:val="20"/>
                <w:color w:val="auto"/>
              </w:rPr>
            </w:pPr>
            <w:r>
              <w:rPr>
                <w:rFonts w:ascii="Arial" w:cs="Arial" w:eastAsia="Arial" w:hAnsi="Arial"/>
                <w:sz w:val="14"/>
                <w:szCs w:val="14"/>
                <w:color w:val="auto"/>
              </w:rPr>
              <w:t>Fair Value</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90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3820" w:type="dxa"/>
            <w:vAlign w:val="bottom"/>
            <w:vMerge w:val="continue"/>
          </w:tcPr>
          <w:p>
            <w:pPr>
              <w:spacing w:after="0"/>
              <w:rPr>
                <w:sz w:val="13"/>
                <w:szCs w:val="13"/>
                <w:color w:val="auto"/>
              </w:rPr>
            </w:pPr>
          </w:p>
        </w:tc>
        <w:tc>
          <w:tcPr>
            <w:tcW w:w="58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2010</w:t>
            </w:r>
          </w:p>
        </w:tc>
        <w:tc>
          <w:tcPr>
            <w:tcW w:w="180" w:type="dxa"/>
            <w:vAlign w:val="bottom"/>
          </w:tcPr>
          <w:p>
            <w:pPr>
              <w:spacing w:after="0"/>
              <w:rPr>
                <w:sz w:val="13"/>
                <w:szCs w:val="13"/>
                <w:color w:val="auto"/>
              </w:rPr>
            </w:pPr>
          </w:p>
        </w:tc>
        <w:tc>
          <w:tcPr>
            <w:tcW w:w="50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2009</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88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Derivatives Designated as Hedging Instruments</w:t>
            </w:r>
          </w:p>
        </w:tc>
        <w:tc>
          <w:tcPr>
            <w:tcW w:w="220" w:type="dxa"/>
            <w:vAlign w:val="bottom"/>
            <w:shd w:val="clear" w:color="auto" w:fill="E5E5E5"/>
          </w:tcPr>
          <w:p>
            <w:pPr>
              <w:spacing w:after="0"/>
              <w:rPr>
                <w:sz w:val="17"/>
                <w:szCs w:val="17"/>
                <w:color w:val="auto"/>
              </w:rPr>
            </w:pPr>
          </w:p>
        </w:tc>
        <w:tc>
          <w:tcPr>
            <w:tcW w:w="38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419"/>
        </w:trPr>
        <w:tc>
          <w:tcPr>
            <w:tcW w:w="5900" w:type="dxa"/>
            <w:vAlign w:val="bottom"/>
            <w:gridSpan w:val="2"/>
          </w:tcPr>
          <w:p>
            <w:pPr>
              <w:spacing w:after="0"/>
              <w:rPr>
                <w:sz w:val="20"/>
                <w:szCs w:val="20"/>
                <w:color w:val="auto"/>
              </w:rPr>
            </w:pPr>
            <w:r>
              <w:rPr>
                <w:rFonts w:ascii="Arial" w:cs="Arial" w:eastAsia="Arial" w:hAnsi="Arial"/>
                <w:sz w:val="18"/>
                <w:szCs w:val="18"/>
                <w:color w:val="auto"/>
              </w:rPr>
              <w:t>Foreign exchange contracts - forwards</w:t>
            </w:r>
          </w:p>
        </w:tc>
        <w:tc>
          <w:tcPr>
            <w:tcW w:w="220" w:type="dxa"/>
            <w:vAlign w:val="bottom"/>
          </w:tcPr>
          <w:p>
            <w:pPr>
              <w:spacing w:after="0"/>
              <w:rPr>
                <w:sz w:val="24"/>
                <w:szCs w:val="24"/>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Other current assets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19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38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Other current liabilities</w:t>
            </w:r>
          </w:p>
        </w:tc>
        <w:tc>
          <w:tcPr>
            <w:tcW w:w="2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44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(1)</w:t>
            </w:r>
          </w:p>
        </w:tc>
        <w:tc>
          <w:tcPr>
            <w:tcW w:w="1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48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5900" w:type="dxa"/>
            <w:vAlign w:val="bottom"/>
            <w:gridSpan w:val="2"/>
          </w:tcPr>
          <w:p>
            <w:pPr>
              <w:spacing w:after="0" w:line="202" w:lineRule="exact"/>
              <w:rPr>
                <w:sz w:val="20"/>
                <w:szCs w:val="20"/>
                <w:color w:val="auto"/>
              </w:rPr>
            </w:pPr>
            <w:r>
              <w:rPr>
                <w:rFonts w:ascii="Arial" w:cs="Arial" w:eastAsia="Arial" w:hAnsi="Arial"/>
                <w:sz w:val="18"/>
                <w:szCs w:val="18"/>
                <w:color w:val="auto"/>
              </w:rPr>
              <w:t>Interest rate swaps</w:t>
            </w:r>
          </w:p>
        </w:tc>
        <w:tc>
          <w:tcPr>
            <w:tcW w:w="220" w:type="dxa"/>
            <w:vAlign w:val="bottom"/>
          </w:tcPr>
          <w:p>
            <w:pPr>
              <w:spacing w:after="0"/>
              <w:rPr>
                <w:sz w:val="17"/>
                <w:szCs w:val="17"/>
                <w:color w:val="auto"/>
              </w:rPr>
            </w:pPr>
          </w:p>
        </w:tc>
        <w:tc>
          <w:tcPr>
            <w:tcW w:w="3820" w:type="dxa"/>
            <w:vAlign w:val="bottom"/>
          </w:tcPr>
          <w:p>
            <w:pPr>
              <w:spacing w:after="0" w:line="202" w:lineRule="exact"/>
              <w:rPr>
                <w:sz w:val="20"/>
                <w:szCs w:val="20"/>
                <w:color w:val="auto"/>
              </w:rPr>
            </w:pPr>
            <w:r>
              <w:rPr>
                <w:rFonts w:ascii="Arial" w:cs="Arial" w:eastAsia="Arial" w:hAnsi="Arial"/>
                <w:sz w:val="18"/>
                <w:szCs w:val="18"/>
                <w:color w:val="auto"/>
              </w:rPr>
              <w:t>Other long-term assets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38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Other long-term liabilities</w:t>
            </w:r>
          </w:p>
        </w:tc>
        <w:tc>
          <w:tcPr>
            <w:tcW w:w="2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48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2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Net Designated Assets</w:t>
            </w: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20" w:type="dxa"/>
            <w:vAlign w:val="bottom"/>
            <w:vMerge w:val="continue"/>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29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vMerge w:val="restart"/>
          </w:tcPr>
          <w:p>
            <w:pPr>
              <w:spacing w:after="0"/>
              <w:rPr>
                <w:sz w:val="24"/>
                <w:szCs w:val="24"/>
                <w:color w:val="auto"/>
              </w:rPr>
            </w:pPr>
          </w:p>
        </w:tc>
        <w:tc>
          <w:tcPr>
            <w:tcW w:w="5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5880" w:type="dxa"/>
            <w:vAlign w:val="bottom"/>
            <w:shd w:val="clear" w:color="auto" w:fill="E5E5E5"/>
          </w:tcPr>
          <w:p>
            <w:pPr>
              <w:spacing w:after="0" w:line="184" w:lineRule="exact"/>
              <w:rPr>
                <w:sz w:val="20"/>
                <w:szCs w:val="20"/>
                <w:color w:val="auto"/>
              </w:rPr>
            </w:pPr>
            <w:r>
              <w:rPr>
                <w:rFonts w:ascii="Arial" w:cs="Arial" w:eastAsia="Arial" w:hAnsi="Arial"/>
                <w:sz w:val="18"/>
                <w:szCs w:val="18"/>
                <w:b w:val="1"/>
                <w:bCs w:val="1"/>
                <w:color w:val="auto"/>
              </w:rPr>
              <w:t>Derivatives NOT Designated as Hedging</w:t>
            </w:r>
          </w:p>
        </w:tc>
        <w:tc>
          <w:tcPr>
            <w:tcW w:w="220" w:type="dxa"/>
            <w:vAlign w:val="bottom"/>
            <w:shd w:val="clear" w:color="auto" w:fill="E5E5E5"/>
          </w:tcPr>
          <w:p>
            <w:pPr>
              <w:spacing w:after="0"/>
              <w:rPr>
                <w:sz w:val="15"/>
                <w:szCs w:val="15"/>
                <w:color w:val="auto"/>
              </w:rPr>
            </w:pPr>
          </w:p>
        </w:tc>
        <w:tc>
          <w:tcPr>
            <w:tcW w:w="382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260" w:type="dxa"/>
            <w:vAlign w:val="bottom"/>
            <w:shd w:val="clear" w:color="auto" w:fill="E5E5E5"/>
          </w:tcPr>
          <w:p>
            <w:pPr>
              <w:spacing w:after="0"/>
              <w:rPr>
                <w:sz w:val="15"/>
                <w:szCs w:val="15"/>
                <w:color w:val="auto"/>
              </w:rPr>
            </w:pPr>
          </w:p>
        </w:tc>
        <w:tc>
          <w:tcPr>
            <w:tcW w:w="180" w:type="dxa"/>
            <w:vAlign w:val="bottom"/>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26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8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Instruments</w:t>
            </w:r>
          </w:p>
        </w:tc>
        <w:tc>
          <w:tcPr>
            <w:tcW w:w="220" w:type="dxa"/>
            <w:vAlign w:val="bottom"/>
            <w:shd w:val="clear" w:color="auto" w:fill="E5E5E5"/>
          </w:tcPr>
          <w:p>
            <w:pPr>
              <w:spacing w:after="0"/>
              <w:rPr>
                <w:sz w:val="20"/>
                <w:szCs w:val="20"/>
                <w:color w:val="auto"/>
              </w:rPr>
            </w:pPr>
          </w:p>
        </w:tc>
        <w:tc>
          <w:tcPr>
            <w:tcW w:w="382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100" w:type="dxa"/>
            <w:vAlign w:val="bottom"/>
            <w:shd w:val="clear" w:color="auto" w:fill="E5E5E5"/>
          </w:tcPr>
          <w:p>
            <w:pPr>
              <w:spacing w:after="0"/>
              <w:rPr>
                <w:sz w:val="20"/>
                <w:szCs w:val="20"/>
                <w:color w:val="auto"/>
              </w:rPr>
            </w:pPr>
          </w:p>
        </w:tc>
        <w:tc>
          <w:tcPr>
            <w:tcW w:w="260" w:type="dxa"/>
            <w:vAlign w:val="bottom"/>
            <w:shd w:val="clear" w:color="auto" w:fill="E5E5E5"/>
          </w:tcPr>
          <w:p>
            <w:pPr>
              <w:spacing w:after="0"/>
              <w:rPr>
                <w:sz w:val="20"/>
                <w:szCs w:val="20"/>
                <w:color w:val="auto"/>
              </w:rPr>
            </w:pPr>
          </w:p>
        </w:tc>
        <w:tc>
          <w:tcPr>
            <w:tcW w:w="180" w:type="dxa"/>
            <w:vAlign w:val="bottom"/>
            <w:shd w:val="clear" w:color="auto" w:fill="E5E5E5"/>
          </w:tcPr>
          <w:p>
            <w:pPr>
              <w:spacing w:after="0"/>
              <w:rPr>
                <w:sz w:val="20"/>
                <w:szCs w:val="20"/>
                <w:color w:val="auto"/>
              </w:rPr>
            </w:pPr>
          </w:p>
        </w:tc>
        <w:tc>
          <w:tcPr>
            <w:tcW w:w="140" w:type="dxa"/>
            <w:vAlign w:val="bottom"/>
            <w:shd w:val="clear" w:color="auto" w:fill="E5E5E5"/>
          </w:tcPr>
          <w:p>
            <w:pPr>
              <w:spacing w:after="0"/>
              <w:rPr>
                <w:sz w:val="20"/>
                <w:szCs w:val="20"/>
                <w:color w:val="auto"/>
              </w:rPr>
            </w:pPr>
          </w:p>
        </w:tc>
        <w:tc>
          <w:tcPr>
            <w:tcW w:w="100" w:type="dxa"/>
            <w:vAlign w:val="bottom"/>
            <w:shd w:val="clear" w:color="auto" w:fill="E5E5E5"/>
          </w:tcPr>
          <w:p>
            <w:pPr>
              <w:spacing w:after="0"/>
              <w:rPr>
                <w:sz w:val="20"/>
                <w:szCs w:val="20"/>
                <w:color w:val="auto"/>
              </w:rPr>
            </w:pPr>
          </w:p>
        </w:tc>
        <w:tc>
          <w:tcPr>
            <w:tcW w:w="26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5900" w:type="dxa"/>
            <w:vAlign w:val="bottom"/>
            <w:gridSpan w:val="2"/>
          </w:tcPr>
          <w:p>
            <w:pPr>
              <w:spacing w:after="0"/>
              <w:rPr>
                <w:sz w:val="20"/>
                <w:szCs w:val="20"/>
                <w:color w:val="auto"/>
              </w:rPr>
            </w:pPr>
            <w:r>
              <w:rPr>
                <w:rFonts w:ascii="Arial" w:cs="Arial" w:eastAsia="Arial" w:hAnsi="Arial"/>
                <w:sz w:val="18"/>
                <w:szCs w:val="18"/>
                <w:color w:val="auto"/>
              </w:rPr>
              <w:t>Foreign exchange contracts - forwards</w:t>
            </w:r>
          </w:p>
        </w:tc>
        <w:tc>
          <w:tcPr>
            <w:tcW w:w="220" w:type="dxa"/>
            <w:vAlign w:val="bottom"/>
          </w:tcPr>
          <w:p>
            <w:pPr>
              <w:spacing w:after="0"/>
              <w:rPr>
                <w:sz w:val="24"/>
                <w:szCs w:val="24"/>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Other current assets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26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38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Other current liabilities</w:t>
            </w:r>
          </w:p>
        </w:tc>
        <w:tc>
          <w:tcPr>
            <w:tcW w:w="2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44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w w:val="93"/>
              </w:rPr>
              <w:t>(18)</w:t>
            </w:r>
          </w:p>
        </w:tc>
        <w:tc>
          <w:tcPr>
            <w:tcW w:w="1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48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w w:val="93"/>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2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Net Undesignated Assets</w:t>
            </w: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20" w:type="dxa"/>
            <w:vAlign w:val="bottom"/>
            <w:vMerge w:val="continue"/>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vMerge w:val="restart"/>
          </w:tcPr>
          <w:p>
            <w:pPr>
              <w:spacing w:after="0"/>
              <w:rPr>
                <w:sz w:val="24"/>
                <w:szCs w:val="24"/>
                <w:color w:val="auto"/>
              </w:rPr>
            </w:pPr>
          </w:p>
        </w:tc>
        <w:tc>
          <w:tcPr>
            <w:tcW w:w="5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88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Summary of Derivatives</w:t>
            </w:r>
          </w:p>
        </w:tc>
        <w:tc>
          <w:tcPr>
            <w:tcW w:w="220" w:type="dxa"/>
            <w:vAlign w:val="bottom"/>
            <w:shd w:val="clear" w:color="auto" w:fill="E5E5E5"/>
          </w:tcPr>
          <w:p>
            <w:pPr>
              <w:spacing w:after="0"/>
              <w:rPr>
                <w:sz w:val="17"/>
                <w:szCs w:val="17"/>
                <w:color w:val="auto"/>
              </w:rPr>
            </w:pPr>
          </w:p>
        </w:tc>
        <w:tc>
          <w:tcPr>
            <w:tcW w:w="38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Total Derivative Assets</w:t>
            </w:r>
          </w:p>
        </w:tc>
        <w:tc>
          <w:tcPr>
            <w:tcW w:w="32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4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56</w:t>
            </w:r>
          </w:p>
        </w:tc>
        <w:tc>
          <w:tcPr>
            <w:tcW w:w="24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tcPr>
          <w:p>
            <w:pPr>
              <w:spacing w:after="0" w:line="202" w:lineRule="exact"/>
              <w:rPr>
                <w:sz w:val="20"/>
                <w:szCs w:val="20"/>
                <w:color w:val="auto"/>
              </w:rPr>
            </w:pPr>
            <w:r>
              <w:rPr>
                <w:rFonts w:ascii="Arial" w:cs="Arial" w:eastAsia="Arial" w:hAnsi="Arial"/>
                <w:sz w:val="18"/>
                <w:szCs w:val="18"/>
                <w:color w:val="auto"/>
              </w:rPr>
              <w:t>Total Derivative Liabilities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w w:val="93"/>
              </w:rPr>
              <w:t>(19)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w w:val="93"/>
              </w:rPr>
              <w:t>(24)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382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b w:val="1"/>
                <w:bCs w:val="1"/>
                <w:color w:val="auto"/>
              </w:rPr>
              <w:t>Net Derivative Asset</w:t>
            </w:r>
          </w:p>
        </w:tc>
        <w:tc>
          <w:tcPr>
            <w:tcW w:w="32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4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37</w:t>
            </w:r>
          </w:p>
        </w:tc>
        <w:tc>
          <w:tcPr>
            <w:tcW w:w="24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Summary of Derivative Instruments Gains (Losses)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Derivative gains and losses affect the income statement based on whether such derivatives are designated as hedges of underlying exposures.</w:t>
      </w:r>
    </w:p>
    <w:p>
      <w:pPr>
        <w:spacing w:after="0"/>
        <w:rPr>
          <w:sz w:val="20"/>
          <w:szCs w:val="20"/>
          <w:color w:val="auto"/>
        </w:rPr>
      </w:pPr>
      <w:r>
        <w:rPr>
          <w:rFonts w:ascii="Arial" w:cs="Arial" w:eastAsia="Arial" w:hAnsi="Arial"/>
          <w:sz w:val="18"/>
          <w:szCs w:val="18"/>
          <w:color w:val="auto"/>
        </w:rPr>
        <w:t>The following is a summary of derivative gains and losses.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Designated Derivative Instruments Gains (Losses)</w:t>
      </w:r>
    </w:p>
    <w:p>
      <w:pPr>
        <w:spacing w:after="0" w:line="18" w:lineRule="exact"/>
        <w:rPr>
          <w:sz w:val="20"/>
          <w:szCs w:val="20"/>
          <w:color w:val="auto"/>
        </w:rPr>
      </w:pPr>
    </w:p>
    <w:p>
      <w:pPr>
        <w:ind w:right="400"/>
        <w:spacing w:after="0" w:line="239" w:lineRule="auto"/>
        <w:rPr>
          <w:sz w:val="20"/>
          <w:szCs w:val="20"/>
          <w:color w:val="auto"/>
        </w:rPr>
      </w:pPr>
      <w:r>
        <w:rPr>
          <w:rFonts w:ascii="Arial" w:cs="Arial" w:eastAsia="Arial" w:hAnsi="Arial"/>
          <w:sz w:val="18"/>
          <w:szCs w:val="18"/>
          <w:color w:val="auto"/>
        </w:rPr>
        <w:t>The following table provides a summary of the gains and losses on designated derivative instruments for the three years ended December 31, 2010:</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60" w:type="dxa"/>
            <w:vAlign w:val="bottom"/>
          </w:tcPr>
          <w:p>
            <w:pPr>
              <w:jc w:val="center"/>
              <w:spacing w:after="0"/>
              <w:rPr>
                <w:sz w:val="20"/>
                <w:szCs w:val="20"/>
                <w:color w:val="auto"/>
              </w:rPr>
            </w:pPr>
            <w:r>
              <w:rPr>
                <w:rFonts w:ascii="Arial" w:cs="Arial" w:eastAsia="Arial" w:hAnsi="Arial"/>
                <w:sz w:val="14"/>
                <w:szCs w:val="14"/>
                <w:color w:val="auto"/>
                <w:w w:val="98"/>
              </w:rPr>
              <w:t>Location of Gain</w:t>
            </w:r>
          </w:p>
        </w:tc>
        <w:tc>
          <w:tcPr>
            <w:tcW w:w="180" w:type="dxa"/>
            <w:vAlign w:val="bottom"/>
          </w:tcPr>
          <w:p>
            <w:pPr>
              <w:spacing w:after="0"/>
              <w:rPr>
                <w:sz w:val="14"/>
                <w:szCs w:val="14"/>
                <w:color w:val="auto"/>
              </w:rPr>
            </w:pPr>
          </w:p>
        </w:tc>
        <w:tc>
          <w:tcPr>
            <w:tcW w:w="2320" w:type="dxa"/>
            <w:vAlign w:val="bottom"/>
            <w:gridSpan w:val="6"/>
          </w:tcPr>
          <w:p>
            <w:pPr>
              <w:ind w:left="340"/>
              <w:spacing w:after="0"/>
              <w:rPr>
                <w:sz w:val="20"/>
                <w:szCs w:val="20"/>
                <w:color w:val="auto"/>
              </w:rPr>
            </w:pPr>
            <w:r>
              <w:rPr>
                <w:rFonts w:ascii="Arial" w:cs="Arial" w:eastAsia="Arial" w:hAnsi="Arial"/>
                <w:sz w:val="14"/>
                <w:szCs w:val="14"/>
                <w:color w:val="auto"/>
              </w:rPr>
              <w:t>Derivative Gain (Loss)</w:t>
            </w:r>
          </w:p>
        </w:tc>
        <w:tc>
          <w:tcPr>
            <w:tcW w:w="1440" w:type="dxa"/>
            <w:vAlign w:val="bottom"/>
            <w:gridSpan w:val="5"/>
          </w:tcPr>
          <w:p>
            <w:pPr>
              <w:ind w:left="300"/>
              <w:spacing w:after="0"/>
              <w:rPr>
                <w:sz w:val="20"/>
                <w:szCs w:val="20"/>
                <w:color w:val="auto"/>
              </w:rPr>
            </w:pPr>
            <w:r>
              <w:rPr>
                <w:rFonts w:ascii="Arial" w:cs="Arial" w:eastAsia="Arial" w:hAnsi="Arial"/>
                <w:sz w:val="14"/>
                <w:szCs w:val="14"/>
                <w:color w:val="auto"/>
                <w:w w:val="98"/>
              </w:rPr>
              <w:t>Hedged Item Gain</w:t>
            </w:r>
          </w:p>
        </w:tc>
        <w:tc>
          <w:tcPr>
            <w:tcW w:w="820" w:type="dxa"/>
            <w:vAlign w:val="bottom"/>
            <w:gridSpan w:val="3"/>
          </w:tcPr>
          <w:p>
            <w:pPr>
              <w:ind w:left="40"/>
              <w:spacing w:after="0"/>
              <w:rPr>
                <w:sz w:val="20"/>
                <w:szCs w:val="20"/>
                <w:color w:val="auto"/>
              </w:rPr>
            </w:pPr>
            <w:r>
              <w:rPr>
                <w:rFonts w:ascii="Arial" w:cs="Arial" w:eastAsia="Arial" w:hAnsi="Arial"/>
                <w:sz w:val="14"/>
                <w:szCs w:val="14"/>
                <w:color w:val="auto"/>
              </w:rPr>
              <w:t>(Loss)</w:t>
            </w:r>
          </w:p>
        </w:tc>
      </w:tr>
      <w:tr>
        <w:trPr>
          <w:trHeight w:val="149"/>
        </w:trPr>
        <w:tc>
          <w:tcPr>
            <w:tcW w:w="3320" w:type="dxa"/>
            <w:vAlign w:val="bottom"/>
          </w:tcPr>
          <w:p>
            <w:pPr>
              <w:jc w:val="center"/>
              <w:spacing w:after="0" w:line="149" w:lineRule="exact"/>
              <w:rPr>
                <w:sz w:val="20"/>
                <w:szCs w:val="20"/>
                <w:color w:val="auto"/>
              </w:rPr>
            </w:pPr>
            <w:r>
              <w:rPr>
                <w:rFonts w:ascii="Arial" w:cs="Arial" w:eastAsia="Arial" w:hAnsi="Arial"/>
                <w:sz w:val="14"/>
                <w:szCs w:val="14"/>
                <w:color w:val="auto"/>
                <w:w w:val="94"/>
              </w:rPr>
              <w:t>Derivatives in Fair Value</w:t>
            </w:r>
          </w:p>
        </w:tc>
        <w:tc>
          <w:tcPr>
            <w:tcW w:w="180" w:type="dxa"/>
            <w:vAlign w:val="bottom"/>
          </w:tcPr>
          <w:p>
            <w:pPr>
              <w:spacing w:after="0"/>
              <w:rPr>
                <w:sz w:val="12"/>
                <w:szCs w:val="12"/>
                <w:color w:val="auto"/>
              </w:rPr>
            </w:pPr>
          </w:p>
        </w:tc>
        <w:tc>
          <w:tcPr>
            <w:tcW w:w="3160" w:type="dxa"/>
            <w:vAlign w:val="bottom"/>
          </w:tcPr>
          <w:p>
            <w:pPr>
              <w:jc w:val="center"/>
              <w:spacing w:after="0" w:line="149" w:lineRule="exact"/>
              <w:rPr>
                <w:sz w:val="20"/>
                <w:szCs w:val="20"/>
                <w:color w:val="auto"/>
              </w:rPr>
            </w:pPr>
            <w:r>
              <w:rPr>
                <w:rFonts w:ascii="Arial" w:cs="Arial" w:eastAsia="Arial" w:hAnsi="Arial"/>
                <w:sz w:val="14"/>
                <w:szCs w:val="14"/>
                <w:color w:val="auto"/>
                <w:w w:val="95"/>
              </w:rPr>
              <w:t>(Loss) Recognized</w:t>
            </w:r>
          </w:p>
        </w:tc>
        <w:tc>
          <w:tcPr>
            <w:tcW w:w="180" w:type="dxa"/>
            <w:vAlign w:val="bottom"/>
          </w:tcPr>
          <w:p>
            <w:pPr>
              <w:spacing w:after="0"/>
              <w:rPr>
                <w:sz w:val="12"/>
                <w:szCs w:val="12"/>
                <w:color w:val="auto"/>
              </w:rPr>
            </w:pPr>
          </w:p>
        </w:tc>
        <w:tc>
          <w:tcPr>
            <w:tcW w:w="2320" w:type="dxa"/>
            <w:vAlign w:val="bottom"/>
            <w:gridSpan w:val="6"/>
          </w:tcPr>
          <w:p>
            <w:pPr>
              <w:ind w:left="340"/>
              <w:spacing w:after="0" w:line="149" w:lineRule="exact"/>
              <w:rPr>
                <w:sz w:val="20"/>
                <w:szCs w:val="20"/>
                <w:color w:val="auto"/>
              </w:rPr>
            </w:pPr>
            <w:r>
              <w:rPr>
                <w:rFonts w:ascii="Arial" w:cs="Arial" w:eastAsia="Arial" w:hAnsi="Arial"/>
                <w:sz w:val="14"/>
                <w:szCs w:val="14"/>
                <w:color w:val="auto"/>
              </w:rPr>
              <w:t>Recognized in Income</w:t>
            </w:r>
          </w:p>
        </w:tc>
        <w:tc>
          <w:tcPr>
            <w:tcW w:w="2260" w:type="dxa"/>
            <w:vAlign w:val="bottom"/>
            <w:gridSpan w:val="8"/>
          </w:tcPr>
          <w:p>
            <w:pPr>
              <w:ind w:left="420"/>
              <w:spacing w:after="0" w:line="149" w:lineRule="exact"/>
              <w:rPr>
                <w:sz w:val="20"/>
                <w:szCs w:val="20"/>
                <w:color w:val="auto"/>
              </w:rPr>
            </w:pPr>
            <w:r>
              <w:rPr>
                <w:rFonts w:ascii="Arial" w:cs="Arial" w:eastAsia="Arial" w:hAnsi="Arial"/>
                <w:sz w:val="14"/>
                <w:szCs w:val="14"/>
                <w:color w:val="auto"/>
              </w:rPr>
              <w:t>Recognized in Income</w:t>
            </w:r>
          </w:p>
        </w:tc>
      </w:tr>
      <w:tr>
        <w:trPr>
          <w:trHeight w:val="143"/>
        </w:trPr>
        <w:tc>
          <w:tcPr>
            <w:tcW w:w="3320" w:type="dxa"/>
            <w:vAlign w:val="bottom"/>
            <w:tcBorders>
              <w:bottom w:val="single" w:sz="8" w:color="auto"/>
            </w:tcBorders>
          </w:tcPr>
          <w:p>
            <w:pPr>
              <w:jc w:val="center"/>
              <w:spacing w:after="0" w:line="143" w:lineRule="exact"/>
              <w:rPr>
                <w:sz w:val="20"/>
                <w:szCs w:val="20"/>
                <w:color w:val="auto"/>
              </w:rPr>
            </w:pPr>
            <w:r>
              <w:rPr>
                <w:rFonts w:ascii="Arial" w:cs="Arial" w:eastAsia="Arial" w:hAnsi="Arial"/>
                <w:sz w:val="14"/>
                <w:szCs w:val="14"/>
                <w:color w:val="auto"/>
                <w:w w:val="97"/>
              </w:rPr>
              <w:t>Hedging Relationships</w:t>
            </w:r>
          </w:p>
        </w:tc>
        <w:tc>
          <w:tcPr>
            <w:tcW w:w="180" w:type="dxa"/>
            <w:vAlign w:val="bottom"/>
          </w:tcPr>
          <w:p>
            <w:pPr>
              <w:spacing w:after="0"/>
              <w:rPr>
                <w:sz w:val="12"/>
                <w:szCs w:val="12"/>
                <w:color w:val="auto"/>
              </w:rPr>
            </w:pPr>
          </w:p>
        </w:tc>
        <w:tc>
          <w:tcPr>
            <w:tcW w:w="3160" w:type="dxa"/>
            <w:vAlign w:val="bottom"/>
            <w:tcBorders>
              <w:bottom w:val="single" w:sz="8" w:color="auto"/>
            </w:tcBorders>
          </w:tcPr>
          <w:p>
            <w:pPr>
              <w:jc w:val="center"/>
              <w:spacing w:after="0" w:line="143" w:lineRule="exact"/>
              <w:rPr>
                <w:sz w:val="20"/>
                <w:szCs w:val="20"/>
                <w:color w:val="auto"/>
              </w:rPr>
            </w:pPr>
            <w:r>
              <w:rPr>
                <w:rFonts w:ascii="Arial" w:cs="Arial" w:eastAsia="Arial" w:hAnsi="Arial"/>
                <w:sz w:val="14"/>
                <w:szCs w:val="14"/>
                <w:color w:val="auto"/>
                <w:w w:val="97"/>
              </w:rPr>
              <w:t>In Income</w:t>
            </w:r>
          </w:p>
        </w:tc>
        <w:tc>
          <w:tcPr>
            <w:tcW w:w="18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2010</w:t>
            </w:r>
          </w:p>
        </w:tc>
        <w:tc>
          <w:tcPr>
            <w:tcW w:w="30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42"/>
              <w:spacing w:after="0" w:line="143" w:lineRule="exact"/>
              <w:rPr>
                <w:sz w:val="20"/>
                <w:szCs w:val="20"/>
                <w:color w:val="auto"/>
              </w:rPr>
            </w:pPr>
            <w:r>
              <w:rPr>
                <w:rFonts w:ascii="Arial" w:cs="Arial" w:eastAsia="Arial" w:hAnsi="Arial"/>
                <w:sz w:val="14"/>
                <w:szCs w:val="14"/>
                <w:color w:val="auto"/>
              </w:rPr>
              <w:t>2009</w:t>
            </w:r>
          </w:p>
        </w:tc>
        <w:tc>
          <w:tcPr>
            <w:tcW w:w="28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22"/>
              <w:spacing w:after="0" w:line="143" w:lineRule="exact"/>
              <w:rPr>
                <w:sz w:val="20"/>
                <w:szCs w:val="20"/>
                <w:color w:val="auto"/>
              </w:rPr>
            </w:pPr>
            <w:r>
              <w:rPr>
                <w:rFonts w:ascii="Arial" w:cs="Arial" w:eastAsia="Arial" w:hAnsi="Arial"/>
                <w:sz w:val="14"/>
                <w:szCs w:val="14"/>
                <w:color w:val="auto"/>
              </w:rPr>
              <w:t>2008</w:t>
            </w:r>
          </w:p>
        </w:tc>
        <w:tc>
          <w:tcPr>
            <w:tcW w:w="30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47"/>
              <w:spacing w:after="0" w:line="143" w:lineRule="exact"/>
              <w:rPr>
                <w:sz w:val="20"/>
                <w:szCs w:val="20"/>
                <w:color w:val="auto"/>
              </w:rPr>
            </w:pPr>
            <w:r>
              <w:rPr>
                <w:rFonts w:ascii="Arial" w:cs="Arial" w:eastAsia="Arial" w:hAnsi="Arial"/>
                <w:sz w:val="14"/>
                <w:szCs w:val="14"/>
                <w:color w:val="auto"/>
              </w:rPr>
              <w:t>2010</w:t>
            </w: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2009</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2"/>
              <w:spacing w:after="0" w:line="143" w:lineRule="exact"/>
              <w:rPr>
                <w:sz w:val="20"/>
                <w:szCs w:val="20"/>
                <w:color w:val="auto"/>
              </w:rPr>
            </w:pPr>
            <w:r>
              <w:rPr>
                <w:rFonts w:ascii="Arial" w:cs="Arial" w:eastAsia="Arial" w:hAnsi="Arial"/>
                <w:sz w:val="14"/>
                <w:szCs w:val="14"/>
                <w:color w:val="auto"/>
              </w:rPr>
              <w:t>2008</w:t>
            </w:r>
          </w:p>
        </w:tc>
        <w:tc>
          <w:tcPr>
            <w:tcW w:w="100" w:type="dxa"/>
            <w:vAlign w:val="bottom"/>
          </w:tcPr>
          <w:p>
            <w:pPr>
              <w:spacing w:after="0"/>
              <w:rPr>
                <w:sz w:val="12"/>
                <w:szCs w:val="12"/>
                <w:color w:val="auto"/>
              </w:rPr>
            </w:pPr>
          </w:p>
        </w:tc>
      </w:tr>
      <w:tr>
        <w:trPr>
          <w:trHeight w:val="196"/>
        </w:trPr>
        <w:tc>
          <w:tcPr>
            <w:tcW w:w="3320" w:type="dxa"/>
            <w:vAlign w:val="bottom"/>
            <w:shd w:val="clear" w:color="auto" w:fill="E5E5E5"/>
          </w:tcPr>
          <w:p>
            <w:pPr>
              <w:spacing w:after="0" w:line="196" w:lineRule="exact"/>
              <w:rPr>
                <w:sz w:val="20"/>
                <w:szCs w:val="20"/>
                <w:color w:val="auto"/>
              </w:rPr>
            </w:pPr>
            <w:r>
              <w:rPr>
                <w:rFonts w:ascii="Arial" w:cs="Arial" w:eastAsia="Arial" w:hAnsi="Arial"/>
                <w:sz w:val="18"/>
                <w:szCs w:val="18"/>
                <w:color w:val="auto"/>
              </w:rPr>
              <w:t>Interest rate contracts</w:t>
            </w:r>
          </w:p>
        </w:tc>
        <w:tc>
          <w:tcPr>
            <w:tcW w:w="180" w:type="dxa"/>
            <w:vAlign w:val="bottom"/>
            <w:shd w:val="clear" w:color="auto" w:fill="E5E5E5"/>
          </w:tcPr>
          <w:p>
            <w:pPr>
              <w:spacing w:after="0"/>
              <w:rPr>
                <w:sz w:val="17"/>
                <w:szCs w:val="17"/>
                <w:color w:val="auto"/>
              </w:rPr>
            </w:pPr>
          </w:p>
        </w:tc>
        <w:tc>
          <w:tcPr>
            <w:tcW w:w="3160" w:type="dxa"/>
            <w:vAlign w:val="bottom"/>
            <w:shd w:val="clear" w:color="auto" w:fill="E5E5E5"/>
          </w:tcPr>
          <w:p>
            <w:pPr>
              <w:spacing w:after="0" w:line="196" w:lineRule="exact"/>
              <w:rPr>
                <w:sz w:val="20"/>
                <w:szCs w:val="20"/>
                <w:color w:val="auto"/>
              </w:rPr>
            </w:pPr>
            <w:r>
              <w:rPr>
                <w:rFonts w:ascii="Arial" w:cs="Arial" w:eastAsia="Arial" w:hAnsi="Arial"/>
                <w:sz w:val="18"/>
                <w:szCs w:val="18"/>
                <w:color w:val="auto"/>
              </w:rPr>
              <w:t>Interest expense</w:t>
            </w:r>
          </w:p>
        </w:tc>
        <w:tc>
          <w:tcPr>
            <w:tcW w:w="880" w:type="dxa"/>
            <w:vAlign w:val="bottom"/>
            <w:gridSpan w:val="3"/>
            <w:shd w:val="clear" w:color="auto" w:fill="E5E5E5"/>
          </w:tcPr>
          <w:p>
            <w:pPr>
              <w:jc w:val="right"/>
              <w:ind w:right="300"/>
              <w:spacing w:after="0" w:line="196" w:lineRule="exact"/>
              <w:rPr>
                <w:sz w:val="20"/>
                <w:szCs w:val="20"/>
                <w:color w:val="auto"/>
              </w:rPr>
            </w:pPr>
            <w:r>
              <w:rPr>
                <w:rFonts w:ascii="Arial" w:cs="Arial" w:eastAsia="Arial" w:hAnsi="Arial"/>
                <w:sz w:val="18"/>
                <w:szCs w:val="18"/>
                <w:color w:val="auto"/>
              </w:rPr>
              <w:t>$ 99</w:t>
            </w:r>
          </w:p>
        </w:tc>
        <w:tc>
          <w:tcPr>
            <w:tcW w:w="820" w:type="dxa"/>
            <w:vAlign w:val="bottom"/>
            <w:gridSpan w:val="2"/>
            <w:shd w:val="clear" w:color="auto" w:fill="E5E5E5"/>
          </w:tcPr>
          <w:p>
            <w:pPr>
              <w:jc w:val="right"/>
              <w:ind w:right="280"/>
              <w:spacing w:after="0" w:line="196" w:lineRule="exact"/>
              <w:rPr>
                <w:sz w:val="20"/>
                <w:szCs w:val="20"/>
                <w:color w:val="auto"/>
              </w:rPr>
            </w:pPr>
            <w:r>
              <w:rPr>
                <w:rFonts w:ascii="Arial" w:cs="Arial" w:eastAsia="Arial" w:hAnsi="Arial"/>
                <w:sz w:val="18"/>
                <w:szCs w:val="18"/>
                <w:color w:val="auto"/>
              </w:rPr>
              <w:t>$ (18)</w:t>
            </w:r>
          </w:p>
        </w:tc>
        <w:tc>
          <w:tcPr>
            <w:tcW w:w="800" w:type="dxa"/>
            <w:vAlign w:val="bottom"/>
            <w:gridSpan w:val="2"/>
            <w:shd w:val="clear" w:color="auto" w:fill="E5E5E5"/>
          </w:tcPr>
          <w:p>
            <w:pPr>
              <w:jc w:val="right"/>
              <w:ind w:right="300"/>
              <w:spacing w:after="0" w:line="196" w:lineRule="exact"/>
              <w:rPr>
                <w:sz w:val="20"/>
                <w:szCs w:val="20"/>
                <w:color w:val="auto"/>
              </w:rPr>
            </w:pPr>
            <w:r>
              <w:rPr>
                <w:rFonts w:ascii="Arial" w:cs="Arial" w:eastAsia="Arial" w:hAnsi="Arial"/>
                <w:sz w:val="18"/>
                <w:szCs w:val="18"/>
                <w:color w:val="auto"/>
              </w:rPr>
              <w:t>$ 206</w:t>
            </w:r>
          </w:p>
        </w:tc>
        <w:tc>
          <w:tcPr>
            <w:tcW w:w="680" w:type="dxa"/>
            <w:vAlign w:val="bottom"/>
            <w:gridSpan w:val="2"/>
            <w:shd w:val="clear" w:color="auto" w:fill="E5E5E5"/>
          </w:tcPr>
          <w:p>
            <w:pPr>
              <w:jc w:val="right"/>
              <w:ind w:right="140"/>
              <w:spacing w:after="0" w:line="196" w:lineRule="exact"/>
              <w:rPr>
                <w:sz w:val="20"/>
                <w:szCs w:val="20"/>
                <w:color w:val="auto"/>
              </w:rPr>
            </w:pPr>
            <w:r>
              <w:rPr>
                <w:rFonts w:ascii="Arial" w:cs="Arial" w:eastAsia="Arial" w:hAnsi="Arial"/>
                <w:sz w:val="18"/>
                <w:szCs w:val="18"/>
                <w:color w:val="auto"/>
              </w:rPr>
              <w:t>$ (99)</w:t>
            </w:r>
          </w:p>
        </w:tc>
        <w:tc>
          <w:tcPr>
            <w:tcW w:w="760" w:type="dxa"/>
            <w:vAlign w:val="bottom"/>
            <w:gridSpan w:val="3"/>
            <w:shd w:val="clear" w:color="auto" w:fill="E5E5E5"/>
          </w:tcPr>
          <w:p>
            <w:pPr>
              <w:jc w:val="right"/>
              <w:ind w:right="200"/>
              <w:spacing w:after="0" w:line="196" w:lineRule="exact"/>
              <w:rPr>
                <w:sz w:val="20"/>
                <w:szCs w:val="20"/>
                <w:color w:val="auto"/>
              </w:rPr>
            </w:pPr>
            <w:r>
              <w:rPr>
                <w:rFonts w:ascii="Arial" w:cs="Arial" w:eastAsia="Arial" w:hAnsi="Arial"/>
                <w:sz w:val="18"/>
                <w:szCs w:val="18"/>
                <w:color w:val="auto"/>
              </w:rPr>
              <w:t>$ 18</w:t>
            </w:r>
          </w:p>
        </w:tc>
        <w:tc>
          <w:tcPr>
            <w:tcW w:w="820" w:type="dxa"/>
            <w:vAlign w:val="bottom"/>
            <w:gridSpan w:val="3"/>
            <w:shd w:val="clear" w:color="auto" w:fill="E5E5E5"/>
          </w:tcPr>
          <w:p>
            <w:pPr>
              <w:jc w:val="right"/>
              <w:ind w:right="100"/>
              <w:spacing w:after="0" w:line="196" w:lineRule="exact"/>
              <w:rPr>
                <w:sz w:val="20"/>
                <w:szCs w:val="20"/>
                <w:color w:val="auto"/>
              </w:rPr>
            </w:pPr>
            <w:r>
              <w:rPr>
                <w:rFonts w:ascii="Arial" w:cs="Arial" w:eastAsia="Arial" w:hAnsi="Arial"/>
                <w:sz w:val="18"/>
                <w:szCs w:val="18"/>
                <w:color w:val="auto"/>
              </w:rPr>
              <w:t>$ (206)</w:t>
            </w:r>
          </w:p>
        </w:tc>
      </w:tr>
    </w:tbl>
    <w:p>
      <w:pPr>
        <w:spacing w:after="0" w:line="148" w:lineRule="exact"/>
        <w:rPr>
          <w:sz w:val="20"/>
          <w:szCs w:val="20"/>
          <w:color w:val="auto"/>
        </w:rPr>
      </w:pPr>
    </w:p>
    <w:p>
      <w:pPr>
        <w:ind w:left="9600"/>
        <w:spacing w:after="0"/>
        <w:rPr>
          <w:sz w:val="20"/>
          <w:szCs w:val="20"/>
          <w:color w:val="auto"/>
        </w:rPr>
      </w:pPr>
      <w:r>
        <w:rPr>
          <w:rFonts w:ascii="Arial" w:cs="Arial" w:eastAsia="Arial" w:hAnsi="Arial"/>
          <w:sz w:val="12"/>
          <w:szCs w:val="12"/>
          <w:color w:val="4C9F40"/>
        </w:rPr>
        <w:t>Xerox 2010 Annual Report 78</w:t>
      </w:r>
    </w:p>
    <w:p>
      <w:pPr>
        <w:sectPr>
          <w:pgSz w:w="11900" w:h="16838" w:orient="portrait"/>
          <w:cols w:equalWidth="0" w:num="1">
            <w:col w:w="11420"/>
          </w:cols>
          <w:pgMar w:left="240" w:top="323" w:right="239" w:bottom="144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060" w:type="dxa"/>
            <w:vAlign w:val="bottom"/>
            <w:gridSpan w:val="7"/>
            <w:vMerge w:val="restart"/>
          </w:tcPr>
          <w:p>
            <w:pPr>
              <w:ind w:left="60"/>
              <w:spacing w:after="0"/>
              <w:rPr>
                <w:sz w:val="20"/>
                <w:szCs w:val="20"/>
                <w:color w:val="auto"/>
              </w:rPr>
            </w:pPr>
            <w:r>
              <w:rPr>
                <w:rFonts w:ascii="Arial" w:cs="Arial" w:eastAsia="Arial" w:hAnsi="Arial"/>
                <w:sz w:val="14"/>
                <w:szCs w:val="14"/>
                <w:color w:val="auto"/>
              </w:rPr>
              <w:t>Derivative Gain</w:t>
            </w:r>
          </w:p>
        </w:tc>
        <w:tc>
          <w:tcPr>
            <w:tcW w:w="660" w:type="dxa"/>
            <w:vAlign w:val="bottom"/>
            <w:gridSpan w:val="4"/>
            <w:vMerge w:val="restart"/>
          </w:tcPr>
          <w:p>
            <w:pPr>
              <w:jc w:val="center"/>
              <w:ind w:right="280"/>
              <w:spacing w:after="0"/>
              <w:rPr>
                <w:sz w:val="20"/>
                <w:szCs w:val="20"/>
                <w:color w:val="auto"/>
              </w:rPr>
            </w:pPr>
            <w:r>
              <w:rPr>
                <w:rFonts w:ascii="Arial" w:cs="Arial" w:eastAsia="Arial" w:hAnsi="Arial"/>
                <w:sz w:val="14"/>
                <w:szCs w:val="14"/>
                <w:color w:val="auto"/>
                <w:w w:val="97"/>
              </w:rPr>
              <w:t>(Loss)</w:t>
            </w:r>
          </w:p>
        </w:tc>
        <w:tc>
          <w:tcPr>
            <w:tcW w:w="1400" w:type="dxa"/>
            <w:vAlign w:val="bottom"/>
          </w:tcPr>
          <w:p>
            <w:pPr>
              <w:jc w:val="center"/>
              <w:spacing w:after="0"/>
              <w:rPr>
                <w:sz w:val="20"/>
                <w:szCs w:val="20"/>
                <w:color w:val="auto"/>
              </w:rPr>
            </w:pPr>
            <w:r>
              <w:rPr>
                <w:rFonts w:ascii="Arial" w:cs="Arial" w:eastAsia="Arial" w:hAnsi="Arial"/>
                <w:sz w:val="14"/>
                <w:szCs w:val="14"/>
                <w:color w:val="auto"/>
                <w:w w:val="96"/>
              </w:rPr>
              <w:t>Location of Derivative</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4"/>
            <w:vMerge w:val="restart"/>
          </w:tcPr>
          <w:p>
            <w:pPr>
              <w:jc w:val="center"/>
              <w:spacing w:after="0"/>
              <w:rPr>
                <w:sz w:val="20"/>
                <w:szCs w:val="20"/>
                <w:color w:val="auto"/>
              </w:rPr>
            </w:pPr>
            <w:r>
              <w:rPr>
                <w:rFonts w:ascii="Arial" w:cs="Arial" w:eastAsia="Arial" w:hAnsi="Arial"/>
                <w:sz w:val="14"/>
                <w:szCs w:val="14"/>
                <w:color w:val="auto"/>
                <w:w w:val="96"/>
              </w:rPr>
              <w:t>Gain (Loss)</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4820" w:type="dxa"/>
            <w:vAlign w:val="bottom"/>
          </w:tcPr>
          <w:p>
            <w:pPr>
              <w:spacing w:after="0"/>
              <w:rPr>
                <w:sz w:val="8"/>
                <w:szCs w:val="8"/>
                <w:color w:val="auto"/>
              </w:rPr>
            </w:pPr>
          </w:p>
        </w:tc>
        <w:tc>
          <w:tcPr>
            <w:tcW w:w="1060" w:type="dxa"/>
            <w:vAlign w:val="bottom"/>
            <w:gridSpan w:val="7"/>
            <w:vMerge w:val="continue"/>
          </w:tcPr>
          <w:p>
            <w:pPr>
              <w:spacing w:after="0"/>
              <w:rPr>
                <w:sz w:val="8"/>
                <w:szCs w:val="8"/>
                <w:color w:val="auto"/>
              </w:rPr>
            </w:pPr>
          </w:p>
        </w:tc>
        <w:tc>
          <w:tcPr>
            <w:tcW w:w="660" w:type="dxa"/>
            <w:vAlign w:val="bottom"/>
            <w:gridSpan w:val="4"/>
            <w:vMerge w:val="continue"/>
          </w:tcPr>
          <w:p>
            <w:pPr>
              <w:spacing w:after="0"/>
              <w:rPr>
                <w:sz w:val="8"/>
                <w:szCs w:val="8"/>
                <w:color w:val="auto"/>
              </w:rPr>
            </w:pPr>
          </w:p>
        </w:tc>
        <w:tc>
          <w:tcPr>
            <w:tcW w:w="140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6"/>
              </w:rPr>
              <w:t>Gain (Loss)</w:t>
            </w: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4"/>
            <w:vMerge w:val="continue"/>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4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gridSpan w:val="8"/>
            <w:vMerge w:val="restart"/>
          </w:tcPr>
          <w:p>
            <w:pPr>
              <w:jc w:val="center"/>
              <w:spacing w:after="0" w:line="149" w:lineRule="exact"/>
              <w:rPr>
                <w:sz w:val="20"/>
                <w:szCs w:val="20"/>
                <w:color w:val="auto"/>
              </w:rPr>
            </w:pPr>
            <w:r>
              <w:rPr>
                <w:rFonts w:ascii="Arial" w:cs="Arial" w:eastAsia="Arial" w:hAnsi="Arial"/>
                <w:sz w:val="14"/>
                <w:szCs w:val="14"/>
                <w:color w:val="auto"/>
                <w:w w:val="96"/>
              </w:rPr>
              <w:t>Recognized in OCI</w:t>
            </w: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gridSpan w:val="7"/>
            <w:vMerge w:val="restart"/>
          </w:tcPr>
          <w:p>
            <w:pPr>
              <w:jc w:val="center"/>
              <w:spacing w:after="0" w:line="149" w:lineRule="exact"/>
              <w:rPr>
                <w:sz w:val="20"/>
                <w:szCs w:val="20"/>
                <w:color w:val="auto"/>
              </w:rPr>
            </w:pPr>
            <w:r>
              <w:rPr>
                <w:rFonts w:ascii="Arial" w:cs="Arial" w:eastAsia="Arial" w:hAnsi="Arial"/>
                <w:sz w:val="14"/>
                <w:szCs w:val="14"/>
                <w:color w:val="auto"/>
                <w:w w:val="96"/>
              </w:rPr>
              <w:t>Reclassified from AOCI</w:t>
            </w: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4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8"/>
            <w:vMerge w:val="continue"/>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6"/>
              </w:rPr>
              <w:t>Reclassified from AOCI</w:t>
            </w: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60" w:type="dxa"/>
            <w:vAlign w:val="bottom"/>
            <w:gridSpan w:val="7"/>
            <w:vMerge w:val="continue"/>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6180" w:type="dxa"/>
            <w:vAlign w:val="bottom"/>
            <w:gridSpan w:val="3"/>
            <w:vMerge w:val="restart"/>
          </w:tcPr>
          <w:p>
            <w:pPr>
              <w:spacing w:after="0"/>
              <w:rPr>
                <w:sz w:val="20"/>
                <w:szCs w:val="20"/>
                <w:color w:val="auto"/>
              </w:rPr>
            </w:pPr>
            <w:r>
              <w:rPr>
                <w:rFonts w:ascii="Arial" w:cs="Arial" w:eastAsia="Arial" w:hAnsi="Arial"/>
                <w:sz w:val="14"/>
                <w:szCs w:val="14"/>
                <w:color w:val="auto"/>
              </w:rPr>
              <w:t>Derivatives in Cash Flow</w:t>
            </w:r>
          </w:p>
        </w:tc>
        <w:tc>
          <w:tcPr>
            <w:tcW w:w="140" w:type="dxa"/>
            <w:vAlign w:val="bottom"/>
          </w:tcPr>
          <w:p>
            <w:pPr>
              <w:spacing w:after="0"/>
              <w:rPr>
                <w:sz w:val="4"/>
                <w:szCs w:val="4"/>
                <w:color w:val="auto"/>
              </w:rPr>
            </w:pPr>
          </w:p>
        </w:tc>
        <w:tc>
          <w:tcPr>
            <w:tcW w:w="1200" w:type="dxa"/>
            <w:vAlign w:val="bottom"/>
            <w:gridSpan w:val="8"/>
            <w:vMerge w:val="restart"/>
          </w:tcPr>
          <w:p>
            <w:pPr>
              <w:jc w:val="center"/>
              <w:spacing w:after="0" w:line="129" w:lineRule="exact"/>
              <w:rPr>
                <w:sz w:val="20"/>
                <w:szCs w:val="20"/>
                <w:color w:val="auto"/>
              </w:rPr>
            </w:pPr>
            <w:r>
              <w:rPr>
                <w:rFonts w:ascii="Arial" w:cs="Arial" w:eastAsia="Arial" w:hAnsi="Arial"/>
                <w:sz w:val="14"/>
                <w:szCs w:val="14"/>
                <w:color w:val="auto"/>
                <w:w w:val="97"/>
              </w:rPr>
              <w:t>(Effective Portion)</w:t>
            </w: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820" w:type="dxa"/>
            <w:vAlign w:val="bottom"/>
            <w:gridSpan w:val="9"/>
            <w:vMerge w:val="restart"/>
          </w:tcPr>
          <w:p>
            <w:pPr>
              <w:jc w:val="center"/>
              <w:spacing w:after="0" w:line="129" w:lineRule="exact"/>
              <w:rPr>
                <w:sz w:val="20"/>
                <w:szCs w:val="20"/>
                <w:color w:val="auto"/>
              </w:rPr>
            </w:pPr>
            <w:r>
              <w:rPr>
                <w:rFonts w:ascii="Arial" w:cs="Arial" w:eastAsia="Arial" w:hAnsi="Arial"/>
                <w:sz w:val="14"/>
                <w:szCs w:val="14"/>
                <w:color w:val="auto"/>
                <w:w w:val="96"/>
              </w:rPr>
              <w:t>to Income (Effective Portion)</w:t>
            </w: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6180" w:type="dxa"/>
            <w:vAlign w:val="bottom"/>
            <w:gridSpan w:val="3"/>
            <w:vMerge w:val="continue"/>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8"/>
            <w:vMerge w:val="continue"/>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tcPr>
          <w:p>
            <w:pPr>
              <w:jc w:val="center"/>
              <w:spacing w:after="0" w:line="115" w:lineRule="exact"/>
              <w:rPr>
                <w:sz w:val="20"/>
                <w:szCs w:val="20"/>
                <w:color w:val="auto"/>
              </w:rPr>
            </w:pPr>
            <w:r>
              <w:rPr>
                <w:rFonts w:ascii="Arial" w:cs="Arial" w:eastAsia="Arial" w:hAnsi="Arial"/>
                <w:sz w:val="12"/>
                <w:szCs w:val="12"/>
                <w:color w:val="auto"/>
              </w:rPr>
              <w:t>into Income (Effective</w:t>
            </w:r>
          </w:p>
        </w:tc>
        <w:tc>
          <w:tcPr>
            <w:tcW w:w="200" w:type="dxa"/>
            <w:vAlign w:val="bottom"/>
          </w:tcPr>
          <w:p>
            <w:pPr>
              <w:spacing w:after="0"/>
              <w:rPr>
                <w:sz w:val="10"/>
                <w:szCs w:val="10"/>
                <w:color w:val="auto"/>
              </w:rPr>
            </w:pPr>
          </w:p>
        </w:tc>
        <w:tc>
          <w:tcPr>
            <w:tcW w:w="1820" w:type="dxa"/>
            <w:vAlign w:val="bottom"/>
            <w:tcBorders>
              <w:bottom w:val="single" w:sz="8" w:color="auto"/>
            </w:tcBorders>
            <w:gridSpan w:val="9"/>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180" w:type="dxa"/>
            <w:vAlign w:val="bottom"/>
            <w:gridSpan w:val="3"/>
          </w:tcPr>
          <w:p>
            <w:pPr>
              <w:spacing w:after="0" w:line="149" w:lineRule="exact"/>
              <w:rPr>
                <w:sz w:val="20"/>
                <w:szCs w:val="20"/>
                <w:color w:val="auto"/>
              </w:rPr>
            </w:pPr>
            <w:r>
              <w:rPr>
                <w:rFonts w:ascii="Arial" w:cs="Arial" w:eastAsia="Arial" w:hAnsi="Arial"/>
                <w:sz w:val="14"/>
                <w:szCs w:val="14"/>
                <w:color w:val="auto"/>
              </w:rPr>
              <w:t>Hedging Relationships</w:t>
            </w:r>
          </w:p>
        </w:tc>
        <w:tc>
          <w:tcPr>
            <w:tcW w:w="4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2010</w:t>
            </w:r>
          </w:p>
        </w:tc>
        <w:tc>
          <w:tcPr>
            <w:tcW w:w="100" w:type="dxa"/>
            <w:vAlign w:val="bottom"/>
          </w:tcPr>
          <w:p>
            <w:pPr>
              <w:spacing w:after="0"/>
              <w:rPr>
                <w:sz w:val="12"/>
                <w:szCs w:val="12"/>
                <w:color w:val="auto"/>
              </w:rPr>
            </w:pPr>
          </w:p>
        </w:tc>
        <w:tc>
          <w:tcPr>
            <w:tcW w:w="5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2009</w:t>
            </w:r>
          </w:p>
        </w:tc>
        <w:tc>
          <w:tcPr>
            <w:tcW w:w="60" w:type="dxa"/>
            <w:vAlign w:val="bottom"/>
          </w:tcPr>
          <w:p>
            <w:pPr>
              <w:spacing w:after="0"/>
              <w:rPr>
                <w:sz w:val="12"/>
                <w:szCs w:val="12"/>
                <w:color w:val="auto"/>
              </w:rPr>
            </w:pPr>
          </w:p>
        </w:tc>
        <w:tc>
          <w:tcPr>
            <w:tcW w:w="4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2008</w:t>
            </w:r>
          </w:p>
        </w:tc>
        <w:tc>
          <w:tcPr>
            <w:tcW w:w="20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color w:val="auto"/>
                <w:w w:val="97"/>
              </w:rPr>
              <w:t>Portion)</w:t>
            </w:r>
          </w:p>
        </w:tc>
        <w:tc>
          <w:tcPr>
            <w:tcW w:w="6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2010</w:t>
            </w:r>
          </w:p>
        </w:tc>
        <w:tc>
          <w:tcPr>
            <w:tcW w:w="60" w:type="dxa"/>
            <w:vAlign w:val="bottom"/>
          </w:tcPr>
          <w:p>
            <w:pPr>
              <w:spacing w:after="0"/>
              <w:rPr>
                <w:sz w:val="12"/>
                <w:szCs w:val="12"/>
                <w:color w:val="auto"/>
              </w:rPr>
            </w:pPr>
          </w:p>
        </w:tc>
        <w:tc>
          <w:tcPr>
            <w:tcW w:w="600" w:type="dxa"/>
            <w:vAlign w:val="bottom"/>
            <w:gridSpan w:val="3"/>
          </w:tcPr>
          <w:p>
            <w:pPr>
              <w:jc w:val="center"/>
              <w:ind w:left="106"/>
              <w:spacing w:after="0" w:line="149" w:lineRule="exact"/>
              <w:rPr>
                <w:sz w:val="20"/>
                <w:szCs w:val="20"/>
                <w:color w:val="auto"/>
              </w:rPr>
            </w:pPr>
            <w:r>
              <w:rPr>
                <w:rFonts w:ascii="Arial" w:cs="Arial" w:eastAsia="Arial" w:hAnsi="Arial"/>
                <w:sz w:val="14"/>
                <w:szCs w:val="14"/>
                <w:color w:val="auto"/>
                <w:w w:val="96"/>
              </w:rPr>
              <w:t>2009</w:t>
            </w:r>
          </w:p>
        </w:tc>
        <w:tc>
          <w:tcPr>
            <w:tcW w:w="220" w:type="dxa"/>
            <w:vAlign w:val="bottom"/>
          </w:tcPr>
          <w:p>
            <w:pPr>
              <w:spacing w:after="0"/>
              <w:rPr>
                <w:sz w:val="12"/>
                <w:szCs w:val="12"/>
                <w:color w:val="auto"/>
              </w:rPr>
            </w:pPr>
          </w:p>
        </w:tc>
        <w:tc>
          <w:tcPr>
            <w:tcW w:w="50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48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Interest rate contracts</w:t>
            </w:r>
          </w:p>
        </w:tc>
        <w:tc>
          <w:tcPr>
            <w:tcW w:w="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6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2"/>
            <w:shd w:val="clear" w:color="auto" w:fill="E5E5E5"/>
          </w:tcPr>
          <w:p>
            <w:pPr>
              <w:jc w:val="center"/>
              <w:ind w:left="22"/>
              <w:spacing w:after="0" w:line="202" w:lineRule="exact"/>
              <w:rPr>
                <w:sz w:val="20"/>
                <w:szCs w:val="20"/>
                <w:color w:val="auto"/>
              </w:rPr>
            </w:pPr>
            <w:r>
              <w:rPr>
                <w:rFonts w:ascii="Arial" w:cs="Arial" w:eastAsia="Arial" w:hAnsi="Arial"/>
                <w:sz w:val="18"/>
                <w:szCs w:val="18"/>
                <w:color w:val="auto"/>
                <w:w w:val="99"/>
              </w:rPr>
              <w:t>$</w:t>
            </w:r>
          </w:p>
        </w:tc>
        <w:tc>
          <w:tcPr>
            <w:tcW w:w="38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w w:val="99"/>
              </w:rPr>
              <w:t>(2)</w:t>
            </w:r>
          </w:p>
        </w:tc>
        <w:tc>
          <w:tcPr>
            <w:tcW w:w="1400" w:type="dxa"/>
            <w:vAlign w:val="bottom"/>
            <w:shd w:val="clear" w:color="auto" w:fill="E5E5E5"/>
          </w:tcPr>
          <w:p>
            <w:pPr>
              <w:jc w:val="center"/>
              <w:spacing w:after="0" w:line="202" w:lineRule="exact"/>
              <w:rPr>
                <w:sz w:val="20"/>
                <w:szCs w:val="20"/>
                <w:color w:val="auto"/>
              </w:rPr>
            </w:pPr>
            <w:r>
              <w:rPr>
                <w:rFonts w:ascii="Arial" w:cs="Arial" w:eastAsia="Arial" w:hAnsi="Arial"/>
                <w:sz w:val="18"/>
                <w:szCs w:val="18"/>
                <w:color w:val="auto"/>
                <w:w w:val="97"/>
              </w:rPr>
              <w:t>Interest expense</w:t>
            </w:r>
          </w:p>
        </w:tc>
        <w:tc>
          <w:tcPr>
            <w:tcW w:w="36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4"/>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  $</w:t>
            </w:r>
          </w:p>
        </w:tc>
        <w:tc>
          <w:tcPr>
            <w:tcW w:w="780" w:type="dxa"/>
            <w:vAlign w:val="bottom"/>
            <w:gridSpan w:val="3"/>
            <w:shd w:val="clear" w:color="auto" w:fill="E5E5E5"/>
          </w:tcPr>
          <w:p>
            <w:pPr>
              <w:jc w:val="right"/>
              <w:ind w:right="122"/>
              <w:spacing w:after="0" w:line="202" w:lineRule="exact"/>
              <w:rPr>
                <w:sz w:val="20"/>
                <w:szCs w:val="20"/>
                <w:color w:val="auto"/>
              </w:rPr>
            </w:pPr>
            <w:r>
              <w:rPr>
                <w:rFonts w:ascii="Arial" w:cs="Arial" w:eastAsia="Arial" w:hAnsi="Arial"/>
                <w:sz w:val="18"/>
                <w:szCs w:val="18"/>
                <w:color w:val="auto"/>
              </w:rPr>
              <w:t>—  $</w:t>
            </w:r>
          </w:p>
        </w:tc>
        <w:tc>
          <w:tcPr>
            <w:tcW w:w="3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6"/>
        </w:trPr>
        <w:tc>
          <w:tcPr>
            <w:tcW w:w="6180" w:type="dxa"/>
            <w:vAlign w:val="bottom"/>
            <w:gridSpan w:val="3"/>
          </w:tcPr>
          <w:p>
            <w:pPr>
              <w:spacing w:after="0" w:line="206" w:lineRule="exact"/>
              <w:rPr>
                <w:sz w:val="20"/>
                <w:szCs w:val="20"/>
                <w:color w:val="auto"/>
              </w:rPr>
            </w:pPr>
            <w:r>
              <w:rPr>
                <w:rFonts w:ascii="Arial" w:cs="Arial" w:eastAsia="Arial" w:hAnsi="Arial"/>
                <w:sz w:val="18"/>
                <w:szCs w:val="18"/>
                <w:color w:val="auto"/>
              </w:rPr>
              <w:t>Foreign exchange contracts</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60" w:type="dxa"/>
            <w:vAlign w:val="bottom"/>
            <w:gridSpan w:val="2"/>
          </w:tcPr>
          <w:p>
            <w:pPr>
              <w:ind w:left="200"/>
              <w:spacing w:after="0" w:line="200" w:lineRule="exact"/>
              <w:rPr>
                <w:sz w:val="20"/>
                <w:szCs w:val="20"/>
                <w:color w:val="auto"/>
              </w:rPr>
            </w:pPr>
            <w:r>
              <w:rPr>
                <w:rFonts w:ascii="Arial" w:cs="Arial" w:eastAsia="Arial" w:hAnsi="Arial"/>
                <w:sz w:val="18"/>
                <w:szCs w:val="18"/>
                <w:color w:val="auto"/>
              </w:rPr>
              <w:t>– forwards</w:t>
            </w:r>
          </w:p>
        </w:tc>
        <w:tc>
          <w:tcPr>
            <w:tcW w:w="140" w:type="dxa"/>
            <w:vAlign w:val="bottom"/>
          </w:tcPr>
          <w:p>
            <w:pPr>
              <w:spacing w:after="0"/>
              <w:rPr>
                <w:sz w:val="17"/>
                <w:szCs w:val="17"/>
                <w:color w:val="auto"/>
              </w:rPr>
            </w:pPr>
          </w:p>
        </w:tc>
        <w:tc>
          <w:tcPr>
            <w:tcW w:w="360" w:type="dxa"/>
            <w:vAlign w:val="bottom"/>
            <w:gridSpan w:val="2"/>
          </w:tcPr>
          <w:p>
            <w:pPr>
              <w:jc w:val="right"/>
              <w:ind w:right="100"/>
              <w:spacing w:after="0" w:line="200" w:lineRule="exact"/>
              <w:rPr>
                <w:sz w:val="20"/>
                <w:szCs w:val="20"/>
                <w:color w:val="auto"/>
              </w:rPr>
            </w:pPr>
            <w:r>
              <w:rPr>
                <w:rFonts w:ascii="Arial" w:cs="Arial" w:eastAsia="Arial" w:hAnsi="Arial"/>
                <w:sz w:val="18"/>
                <w:szCs w:val="18"/>
                <w:color w:val="auto"/>
              </w:rPr>
              <w:t>46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gridSpan w:val="2"/>
          </w:tcPr>
          <w:p>
            <w:pPr>
              <w:jc w:val="right"/>
              <w:ind w:right="200"/>
              <w:spacing w:after="0" w:line="200" w:lineRule="exact"/>
              <w:rPr>
                <w:sz w:val="20"/>
                <w:szCs w:val="20"/>
                <w:color w:val="auto"/>
              </w:rPr>
            </w:pPr>
            <w:r>
              <w:rPr>
                <w:rFonts w:ascii="Arial" w:cs="Arial" w:eastAsia="Arial" w:hAnsi="Arial"/>
                <w:sz w:val="18"/>
                <w:szCs w:val="18"/>
                <w:color w:val="auto"/>
              </w:rPr>
              <w:t>4</w:t>
            </w:r>
          </w:p>
        </w:tc>
        <w:tc>
          <w:tcPr>
            <w:tcW w:w="1400" w:type="dxa"/>
            <w:vAlign w:val="bottom"/>
          </w:tcPr>
          <w:p>
            <w:pPr>
              <w:ind w:left="40"/>
              <w:spacing w:after="0" w:line="200" w:lineRule="exact"/>
              <w:rPr>
                <w:sz w:val="20"/>
                <w:szCs w:val="20"/>
                <w:color w:val="auto"/>
              </w:rPr>
            </w:pPr>
            <w:r>
              <w:rPr>
                <w:rFonts w:ascii="Arial" w:cs="Arial" w:eastAsia="Arial" w:hAnsi="Arial"/>
                <w:sz w:val="18"/>
                <w:szCs w:val="18"/>
                <w:color w:val="auto"/>
              </w:rPr>
              <w:t>Cost of sales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gridSpan w:val="2"/>
          </w:tcPr>
          <w:p>
            <w:pPr>
              <w:jc w:val="right"/>
              <w:ind w:right="60"/>
              <w:spacing w:after="0" w:line="200" w:lineRule="exact"/>
              <w:rPr>
                <w:sz w:val="20"/>
                <w:szCs w:val="20"/>
                <w:color w:val="auto"/>
              </w:rPr>
            </w:pPr>
            <w:r>
              <w:rPr>
                <w:rFonts w:ascii="Arial" w:cs="Arial" w:eastAsia="Arial" w:hAnsi="Arial"/>
                <w:sz w:val="18"/>
                <w:szCs w:val="18"/>
                <w:color w:val="auto"/>
              </w:rPr>
              <w:t>28</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gridSpan w:val="2"/>
          </w:tcPr>
          <w:p>
            <w:pPr>
              <w:jc w:val="right"/>
              <w:ind w:right="220"/>
              <w:spacing w:after="0" w:line="200" w:lineRule="exact"/>
              <w:rPr>
                <w:sz w:val="20"/>
                <w:szCs w:val="20"/>
                <w:color w:val="auto"/>
              </w:rPr>
            </w:pPr>
            <w:r>
              <w:rPr>
                <w:rFonts w:ascii="Arial" w:cs="Arial" w:eastAsia="Arial" w:hAnsi="Arial"/>
                <w:sz w:val="18"/>
                <w:szCs w:val="18"/>
                <w:color w:val="auto"/>
              </w:rPr>
              <w:t>2</w:t>
            </w:r>
          </w:p>
        </w:tc>
        <w:tc>
          <w:tcPr>
            <w:tcW w:w="300" w:type="dxa"/>
            <w:vAlign w:val="bottom"/>
          </w:tcPr>
          <w:p>
            <w:pPr>
              <w:spacing w:after="0"/>
              <w:rPr>
                <w:sz w:val="17"/>
                <w:szCs w:val="17"/>
                <w:color w:val="auto"/>
              </w:rPr>
            </w:pPr>
          </w:p>
        </w:tc>
        <w:tc>
          <w:tcPr>
            <w:tcW w:w="300" w:type="dxa"/>
            <w:vAlign w:val="bottom"/>
            <w:gridSpan w:val="2"/>
          </w:tcPr>
          <w:p>
            <w:pPr>
              <w:jc w:val="right"/>
              <w:ind w:right="100"/>
              <w:spacing w:after="0" w:line="200"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16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Total Cash Flow Hedges</w:t>
            </w:r>
          </w:p>
        </w:tc>
        <w:tc>
          <w:tcPr>
            <w:tcW w:w="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46</w:t>
            </w:r>
          </w:p>
        </w:tc>
        <w:tc>
          <w:tcPr>
            <w:tcW w:w="26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(1)</w:t>
            </w:r>
          </w:p>
        </w:tc>
        <w:tc>
          <w:tcPr>
            <w:tcW w:w="280" w:type="dxa"/>
            <w:vAlign w:val="bottom"/>
            <w:gridSpan w:val="2"/>
            <w:shd w:val="clear" w:color="auto" w:fill="E5E5E5"/>
          </w:tcPr>
          <w:p>
            <w:pPr>
              <w:jc w:val="center"/>
              <w:ind w:left="22"/>
              <w:spacing w:after="0" w:line="202" w:lineRule="exact"/>
              <w:rPr>
                <w:sz w:val="20"/>
                <w:szCs w:val="20"/>
                <w:color w:val="auto"/>
              </w:rPr>
            </w:pPr>
            <w:r>
              <w:rPr>
                <w:rFonts w:ascii="Arial" w:cs="Arial" w:eastAsia="Arial" w:hAnsi="Arial"/>
                <w:sz w:val="18"/>
                <w:szCs w:val="18"/>
                <w:color w:val="auto"/>
                <w:w w:val="99"/>
              </w:rPr>
              <w:t>$</w:t>
            </w:r>
          </w:p>
        </w:tc>
        <w:tc>
          <w:tcPr>
            <w:tcW w:w="38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2</w:t>
            </w:r>
          </w:p>
        </w:tc>
        <w:tc>
          <w:tcPr>
            <w:tcW w:w="1400" w:type="dxa"/>
            <w:vAlign w:val="bottom"/>
            <w:shd w:val="clear" w:color="auto" w:fill="E5E5E5"/>
          </w:tcPr>
          <w:p>
            <w:pPr>
              <w:spacing w:after="0"/>
              <w:rPr>
                <w:sz w:val="17"/>
                <w:szCs w:val="17"/>
                <w:color w:val="auto"/>
              </w:rPr>
            </w:pPr>
          </w:p>
        </w:tc>
        <w:tc>
          <w:tcPr>
            <w:tcW w:w="36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28</w:t>
            </w:r>
          </w:p>
        </w:tc>
        <w:tc>
          <w:tcPr>
            <w:tcW w:w="34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48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2</w:t>
            </w:r>
          </w:p>
        </w:tc>
        <w:tc>
          <w:tcPr>
            <w:tcW w:w="300" w:type="dxa"/>
            <w:vAlign w:val="bottom"/>
            <w:shd w:val="clear" w:color="auto" w:fill="E5E5E5"/>
          </w:tcPr>
          <w:p>
            <w:pPr>
              <w:jc w:val="right"/>
              <w:ind w:right="122"/>
              <w:spacing w:after="0" w:line="202" w:lineRule="exact"/>
              <w:rPr>
                <w:sz w:val="20"/>
                <w:szCs w:val="20"/>
                <w:color w:val="auto"/>
              </w:rPr>
            </w:pPr>
            <w:r>
              <w:rPr>
                <w:rFonts w:ascii="Arial" w:cs="Arial" w:eastAsia="Arial" w:hAnsi="Arial"/>
                <w:sz w:val="18"/>
                <w:szCs w:val="18"/>
                <w:color w:val="auto"/>
                <w:w w:val="79"/>
              </w:rPr>
              <w:t>$</w:t>
            </w:r>
          </w:p>
        </w:tc>
        <w:tc>
          <w:tcPr>
            <w:tcW w:w="3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both"/>
        <w:ind w:right="120"/>
        <w:spacing w:after="0" w:line="239" w:lineRule="auto"/>
        <w:rPr>
          <w:sz w:val="20"/>
          <w:szCs w:val="20"/>
          <w:color w:val="auto"/>
        </w:rPr>
      </w:pPr>
      <w:r>
        <w:rPr>
          <w:rFonts w:ascii="Arial" w:cs="Arial" w:eastAsia="Arial" w:hAnsi="Arial"/>
          <w:sz w:val="18"/>
          <w:szCs w:val="18"/>
          <w:color w:val="auto"/>
        </w:rPr>
        <w:t>No amount of ineffectiveness was recorded in the Consolidated Statements of Income for these designated cash flow hedges and all components of each derivative’s gain or loss was included in the assessment of hedge effectiveness.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Non-Designated Derivative Instruments Gains (Losses)</w:t>
      </w:r>
    </w:p>
    <w:p>
      <w:pPr>
        <w:spacing w:after="0" w:line="18" w:lineRule="exact"/>
        <w:rPr>
          <w:sz w:val="20"/>
          <w:szCs w:val="20"/>
          <w:color w:val="auto"/>
        </w:rPr>
      </w:pPr>
    </w:p>
    <w:p>
      <w:pPr>
        <w:jc w:val="both"/>
        <w:ind w:right="220"/>
        <w:spacing w:after="0" w:line="299" w:lineRule="auto"/>
        <w:rPr>
          <w:sz w:val="20"/>
          <w:szCs w:val="20"/>
          <w:color w:val="auto"/>
        </w:rPr>
      </w:pPr>
      <w:r>
        <w:rPr>
          <w:rFonts w:ascii="Arial" w:cs="Arial" w:eastAsia="Arial" w:hAnsi="Arial"/>
          <w:sz w:val="16"/>
          <w:szCs w:val="16"/>
          <w:color w:val="auto"/>
        </w:rPr>
        <w:t>Non-designated derivative instruments are primarily instruments used to hedge foreign currency denominated assets and liabilities. They are not designated as hedges because there is a natural offset for the re-measurement of the underlying foreign currency denominated asset or liability.</w:t>
      </w:r>
    </w:p>
    <w:p>
      <w:pPr>
        <w:spacing w:after="0" w:line="87"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 xml:space="preserve">The following table provides a summary of gains (losses) on </w:t>
      </w:r>
      <w:r>
        <w:rPr>
          <w:rFonts w:ascii="Arial" w:cs="Arial" w:eastAsia="Arial" w:hAnsi="Arial"/>
          <w:sz w:val="18"/>
          <w:szCs w:val="18"/>
          <w:b w:val="1"/>
          <w:bCs w:val="1"/>
          <w:u w:val="single" w:color="auto"/>
          <w:color w:val="4C9F40"/>
        </w:rPr>
        <w:t>non-designated</w:t>
      </w:r>
      <w:r>
        <w:rPr>
          <w:rFonts w:ascii="Arial" w:cs="Arial" w:eastAsia="Arial" w:hAnsi="Arial"/>
          <w:sz w:val="18"/>
          <w:szCs w:val="18"/>
          <w:color w:val="auto"/>
        </w:rPr>
        <w:t xml:space="preserve"> derivative instruments for the three years ended December 31, 2010:</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2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6"/>
              </w:rPr>
              <w:t>Derivatives NOT Designated as Hedging Instruments</w:t>
            </w:r>
          </w:p>
        </w:tc>
        <w:tc>
          <w:tcPr>
            <w:tcW w:w="1680" w:type="dxa"/>
            <w:vAlign w:val="bottom"/>
          </w:tcPr>
          <w:p>
            <w:pPr>
              <w:spacing w:after="0"/>
              <w:rPr>
                <w:sz w:val="14"/>
                <w:szCs w:val="14"/>
                <w:color w:val="auto"/>
              </w:rPr>
            </w:pPr>
          </w:p>
        </w:tc>
        <w:tc>
          <w:tcPr>
            <w:tcW w:w="40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Location of Derivative Gain (Loss)</w:t>
            </w:r>
          </w:p>
        </w:tc>
        <w:tc>
          <w:tcPr>
            <w:tcW w:w="200" w:type="dxa"/>
            <w:vAlign w:val="bottom"/>
          </w:tcPr>
          <w:p>
            <w:pPr>
              <w:spacing w:after="0"/>
              <w:rPr>
                <w:sz w:val="14"/>
                <w:szCs w:val="14"/>
                <w:color w:val="auto"/>
              </w:rPr>
            </w:pPr>
          </w:p>
        </w:tc>
        <w:tc>
          <w:tcPr>
            <w:tcW w:w="5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2010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2009</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4"/>
                <w:szCs w:val="14"/>
                <w:color w:val="auto"/>
              </w:rPr>
            </w:pPr>
          </w:p>
        </w:tc>
      </w:tr>
      <w:tr>
        <w:trPr>
          <w:trHeight w:val="196"/>
        </w:trPr>
        <w:tc>
          <w:tcPr>
            <w:tcW w:w="3200" w:type="dxa"/>
            <w:vAlign w:val="bottom"/>
            <w:shd w:val="clear" w:color="auto" w:fill="E5E5E5"/>
          </w:tcPr>
          <w:p>
            <w:pPr>
              <w:spacing w:after="0" w:line="196" w:lineRule="exact"/>
              <w:rPr>
                <w:sz w:val="20"/>
                <w:szCs w:val="20"/>
                <w:color w:val="auto"/>
              </w:rPr>
            </w:pPr>
            <w:r>
              <w:rPr>
                <w:rFonts w:ascii="Arial" w:cs="Arial" w:eastAsia="Arial" w:hAnsi="Arial"/>
                <w:sz w:val="18"/>
                <w:szCs w:val="18"/>
                <w:color w:val="auto"/>
              </w:rPr>
              <w:t>Foreign exchange contracts</w:t>
            </w:r>
          </w:p>
        </w:tc>
        <w:tc>
          <w:tcPr>
            <w:tcW w:w="5760" w:type="dxa"/>
            <w:vAlign w:val="bottom"/>
            <w:gridSpan w:val="2"/>
            <w:shd w:val="clear" w:color="auto" w:fill="E5E5E5"/>
          </w:tcPr>
          <w:p>
            <w:pPr>
              <w:ind w:left="1680"/>
              <w:spacing w:after="0" w:line="196" w:lineRule="exact"/>
              <w:rPr>
                <w:sz w:val="20"/>
                <w:szCs w:val="20"/>
                <w:color w:val="auto"/>
              </w:rPr>
            </w:pPr>
            <w:r>
              <w:rPr>
                <w:rFonts w:ascii="Arial" w:cs="Arial" w:eastAsia="Arial" w:hAnsi="Arial"/>
                <w:sz w:val="18"/>
                <w:szCs w:val="18"/>
                <w:color w:val="auto"/>
              </w:rPr>
              <w:t>Other expense – Currency losses, net</w:t>
            </w:r>
          </w:p>
        </w:tc>
        <w:tc>
          <w:tcPr>
            <w:tcW w:w="860" w:type="dxa"/>
            <w:vAlign w:val="bottom"/>
            <w:gridSpan w:val="3"/>
            <w:shd w:val="clear" w:color="auto" w:fill="E5E5E5"/>
          </w:tcPr>
          <w:p>
            <w:pPr>
              <w:jc w:val="right"/>
              <w:ind w:right="160"/>
              <w:spacing w:after="0" w:line="196" w:lineRule="exact"/>
              <w:rPr>
                <w:sz w:val="20"/>
                <w:szCs w:val="20"/>
                <w:color w:val="auto"/>
              </w:rPr>
            </w:pPr>
            <w:r>
              <w:rPr>
                <w:rFonts w:ascii="Arial" w:cs="Arial" w:eastAsia="Arial" w:hAnsi="Arial"/>
                <w:sz w:val="18"/>
                <w:szCs w:val="18"/>
                <w:color w:val="auto"/>
              </w:rPr>
              <w:t>$ 113</w:t>
            </w:r>
          </w:p>
        </w:tc>
        <w:tc>
          <w:tcPr>
            <w:tcW w:w="720" w:type="dxa"/>
            <w:vAlign w:val="bottom"/>
            <w:gridSpan w:val="3"/>
            <w:shd w:val="clear" w:color="auto" w:fill="E5E5E5"/>
          </w:tcPr>
          <w:p>
            <w:pPr>
              <w:jc w:val="right"/>
              <w:ind w:right="160"/>
              <w:spacing w:after="0" w:line="196" w:lineRule="exact"/>
              <w:rPr>
                <w:sz w:val="20"/>
                <w:szCs w:val="20"/>
                <w:color w:val="auto"/>
              </w:rPr>
            </w:pPr>
            <w:r>
              <w:rPr>
                <w:rFonts w:ascii="Arial" w:cs="Arial" w:eastAsia="Arial" w:hAnsi="Arial"/>
                <w:sz w:val="18"/>
                <w:szCs w:val="18"/>
                <w:color w:val="auto"/>
              </w:rPr>
              <w:t>$ 49</w:t>
            </w:r>
          </w:p>
        </w:tc>
        <w:tc>
          <w:tcPr>
            <w:tcW w:w="880" w:type="dxa"/>
            <w:vAlign w:val="bottom"/>
            <w:gridSpan w:val="3"/>
            <w:shd w:val="clear" w:color="auto" w:fill="E5E5E5"/>
          </w:tcPr>
          <w:p>
            <w:pPr>
              <w:jc w:val="right"/>
              <w:ind w:right="100"/>
              <w:spacing w:after="0" w:line="196" w:lineRule="exact"/>
              <w:rPr>
                <w:sz w:val="20"/>
                <w:szCs w:val="20"/>
                <w:color w:val="auto"/>
              </w:rPr>
            </w:pPr>
            <w:r>
              <w:rPr>
                <w:rFonts w:ascii="Arial" w:cs="Arial" w:eastAsia="Arial" w:hAnsi="Arial"/>
                <w:sz w:val="18"/>
                <w:szCs w:val="18"/>
                <w:color w:val="auto"/>
              </w:rPr>
              <w:t>$ (147)</w:t>
            </w:r>
          </w:p>
        </w:tc>
      </w:tr>
    </w:tbl>
    <w:p>
      <w:pPr>
        <w:spacing w:after="0" w:line="165" w:lineRule="exact"/>
        <w:rPr>
          <w:sz w:val="20"/>
          <w:szCs w:val="20"/>
          <w:color w:val="auto"/>
        </w:rPr>
      </w:pPr>
    </w:p>
    <w:p>
      <w:pPr>
        <w:jc w:val="both"/>
        <w:ind w:right="140"/>
        <w:spacing w:after="0" w:line="238" w:lineRule="auto"/>
        <w:rPr>
          <w:sz w:val="20"/>
          <w:szCs w:val="20"/>
          <w:color w:val="auto"/>
        </w:rPr>
      </w:pPr>
      <w:r>
        <w:rPr>
          <w:rFonts w:ascii="Arial" w:cs="Arial" w:eastAsia="Arial" w:hAnsi="Arial"/>
          <w:sz w:val="18"/>
          <w:szCs w:val="18"/>
          <w:color w:val="auto"/>
        </w:rPr>
        <w:t>During the three years ended December 31, 2010, we recorded total Currency losses, net of $11, $26 and $34, respectively. Currency losses, net includes the mark-to-market of the derivatives not designated as hedging instruments and the related cost of those derivatives, as well as the re-measurement of foreign currency denominated assets and liabilities.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Accumulated Other Comprehensive Loss (“AOCL”)</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summary of the activity associated with all of our designated cash flow hedges (interest rate and foreign currency)</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reflected in AOCL for the three years ended December 31, 2010:</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40" w:type="dxa"/>
            <w:vAlign w:val="bottom"/>
          </w:tcPr>
          <w:p>
            <w:pPr>
              <w:spacing w:after="0"/>
              <w:rPr>
                <w:sz w:val="14"/>
                <w:szCs w:val="14"/>
                <w:color w:val="auto"/>
              </w:rPr>
            </w:pPr>
          </w:p>
        </w:tc>
        <w:tc>
          <w:tcPr>
            <w:tcW w:w="3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2010</w:t>
            </w:r>
          </w:p>
        </w:tc>
        <w:tc>
          <w:tcPr>
            <w:tcW w:w="220" w:type="dxa"/>
            <w:vAlign w:val="bottom"/>
          </w:tcPr>
          <w:p>
            <w:pPr>
              <w:spacing w:after="0"/>
              <w:rPr>
                <w:sz w:val="14"/>
                <w:szCs w:val="14"/>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2009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740" w:type="dxa"/>
            <w:vAlign w:val="bottom"/>
            <w:shd w:val="clear" w:color="auto" w:fill="E5E5E5"/>
          </w:tcPr>
          <w:p>
            <w:pPr>
              <w:spacing w:after="0" w:line="196" w:lineRule="exact"/>
              <w:rPr>
                <w:sz w:val="20"/>
                <w:szCs w:val="20"/>
                <w:color w:val="auto"/>
              </w:rPr>
            </w:pPr>
            <w:r>
              <w:rPr>
                <w:rFonts w:ascii="Arial" w:cs="Arial" w:eastAsia="Arial" w:hAnsi="Arial"/>
                <w:sz w:val="18"/>
                <w:szCs w:val="18"/>
                <w:color w:val="auto"/>
              </w:rPr>
              <w:t>Beginning cash flow hedges balance, net of tax</w:t>
            </w:r>
          </w:p>
        </w:tc>
        <w:tc>
          <w:tcPr>
            <w:tcW w:w="100" w:type="dxa"/>
            <w:vAlign w:val="bottom"/>
            <w:shd w:val="clear" w:color="auto" w:fill="E5E5E5"/>
          </w:tcPr>
          <w:p>
            <w:pPr>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E5E5E5"/>
          </w:tcPr>
          <w:p>
            <w:pPr>
              <w:jc w:val="right"/>
              <w:ind w:right="220"/>
              <w:spacing w:after="0" w:line="196" w:lineRule="exact"/>
              <w:rPr>
                <w:sz w:val="20"/>
                <w:szCs w:val="20"/>
                <w:color w:val="auto"/>
              </w:rPr>
            </w:pPr>
            <w:r>
              <w:rPr>
                <w:rFonts w:ascii="Arial" w:cs="Arial" w:eastAsia="Arial" w:hAnsi="Arial"/>
                <w:sz w:val="18"/>
                <w:szCs w:val="18"/>
                <w:color w:val="auto"/>
              </w:rPr>
              <w:t>1</w:t>
            </w:r>
          </w:p>
        </w:tc>
        <w:tc>
          <w:tcPr>
            <w:tcW w:w="14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E5E5E5"/>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240" w:type="dxa"/>
            <w:vAlign w:val="bottom"/>
            <w:gridSpan w:val="2"/>
            <w:shd w:val="clear" w:color="auto" w:fill="E5E5E5"/>
          </w:tcPr>
          <w:p>
            <w:pPr>
              <w:jc w:val="right"/>
              <w:spacing w:after="0" w:line="196" w:lineRule="exact"/>
              <w:rPr>
                <w:sz w:val="20"/>
                <w:szCs w:val="20"/>
                <w:color w:val="auto"/>
              </w:rPr>
            </w:pPr>
            <w:r>
              <w:rPr>
                <w:rFonts w:ascii="Arial" w:cs="Arial" w:eastAsia="Arial" w:hAnsi="Arial"/>
                <w:sz w:val="18"/>
                <w:szCs w:val="18"/>
                <w:color w:val="auto"/>
              </w:rPr>
              <w:t>$</w:t>
            </w:r>
          </w:p>
        </w:tc>
        <w:tc>
          <w:tcPr>
            <w:tcW w:w="340" w:type="dxa"/>
            <w:vAlign w:val="bottom"/>
            <w:gridSpan w:val="2"/>
            <w:shd w:val="clear" w:color="auto" w:fill="E5E5E5"/>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9740" w:type="dxa"/>
            <w:vAlign w:val="bottom"/>
          </w:tcPr>
          <w:p>
            <w:pPr>
              <w:spacing w:after="0" w:line="202" w:lineRule="exact"/>
              <w:rPr>
                <w:sz w:val="20"/>
                <w:szCs w:val="20"/>
                <w:color w:val="auto"/>
              </w:rPr>
            </w:pPr>
            <w:r>
              <w:rPr>
                <w:rFonts w:ascii="Arial" w:cs="Arial" w:eastAsia="Arial" w:hAnsi="Arial"/>
                <w:sz w:val="18"/>
                <w:szCs w:val="18"/>
                <w:color w:val="auto"/>
              </w:rPr>
              <w:t>Changes in fair value gain (loss)</w:t>
            </w:r>
          </w:p>
        </w:tc>
        <w:tc>
          <w:tcPr>
            <w:tcW w:w="100" w:type="dxa"/>
            <w:vAlign w:val="bottom"/>
          </w:tcPr>
          <w:p>
            <w:pPr>
              <w:spacing w:after="0"/>
              <w:rPr>
                <w:sz w:val="17"/>
                <w:szCs w:val="17"/>
                <w:color w:val="auto"/>
              </w:rPr>
            </w:pP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31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97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Reclass to earnings</w:t>
            </w:r>
          </w:p>
        </w:tc>
        <w:tc>
          <w:tcPr>
            <w:tcW w:w="100" w:type="dxa"/>
            <w:vAlign w:val="bottom"/>
            <w:shd w:val="clear" w:color="auto" w:fill="E5E5E5"/>
          </w:tcPr>
          <w:p>
            <w:pPr>
              <w:spacing w:after="0"/>
              <w:rPr>
                <w:sz w:val="17"/>
                <w:szCs w:val="17"/>
                <w:color w:val="auto"/>
              </w:rPr>
            </w:pPr>
          </w:p>
        </w:tc>
        <w:tc>
          <w:tcPr>
            <w:tcW w:w="48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w w:val="93"/>
              </w:rPr>
              <w:t>(18)</w:t>
            </w:r>
          </w:p>
        </w:tc>
        <w:tc>
          <w:tcPr>
            <w:tcW w:w="140" w:type="dxa"/>
            <w:vAlign w:val="bottom"/>
            <w:shd w:val="clear" w:color="auto" w:fill="E5E5E5"/>
          </w:tcPr>
          <w:p>
            <w:pPr>
              <w:spacing w:after="0"/>
              <w:rPr>
                <w:sz w:val="17"/>
                <w:szCs w:val="17"/>
                <w:color w:val="auto"/>
              </w:rPr>
            </w:pPr>
          </w:p>
        </w:tc>
        <w:tc>
          <w:tcPr>
            <w:tcW w:w="38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2</w:t>
            </w:r>
          </w:p>
        </w:tc>
        <w:tc>
          <w:tcPr>
            <w:tcW w:w="8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34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9740" w:type="dxa"/>
            <w:vAlign w:val="bottom"/>
            <w:vMerge w:val="restart"/>
          </w:tcPr>
          <w:p>
            <w:pPr>
              <w:spacing w:after="0"/>
              <w:rPr>
                <w:sz w:val="20"/>
                <w:szCs w:val="20"/>
                <w:color w:val="auto"/>
              </w:rPr>
            </w:pPr>
            <w:r>
              <w:rPr>
                <w:rFonts w:ascii="Arial" w:cs="Arial" w:eastAsia="Arial" w:hAnsi="Arial"/>
                <w:sz w:val="18"/>
                <w:szCs w:val="18"/>
                <w:b w:val="1"/>
                <w:bCs w:val="1"/>
                <w:color w:val="auto"/>
              </w:rPr>
              <w:t>Ending Cash Flow Hedges Balance, Net of Tax</w:t>
            </w: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740" w:type="dxa"/>
            <w:vAlign w:val="bottom"/>
            <w:vMerge w:val="continue"/>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right"/>
        <w:spacing w:after="0"/>
        <w:rPr>
          <w:sz w:val="20"/>
          <w:szCs w:val="20"/>
          <w:color w:val="auto"/>
        </w:rPr>
      </w:pPr>
      <w:r>
        <w:rPr>
          <w:rFonts w:ascii="Arial" w:cs="Arial" w:eastAsia="Arial" w:hAnsi="Arial"/>
          <w:sz w:val="14"/>
          <w:szCs w:val="14"/>
          <w:color w:val="4C9F40"/>
        </w:rPr>
        <w:t>Xerox 2010 Annual Report 79</w:t>
      </w:r>
    </w:p>
    <w:p>
      <w:pPr>
        <w:sectPr>
          <w:pgSz w:w="11900" w:h="16838" w:orient="portrait"/>
          <w:cols w:equalWidth="0" w:num="1">
            <w:col w:w="11420"/>
          </w:cols>
          <w:pgMar w:left="240" w:top="275" w:right="239" w:bottom="1440" w:gutter="0" w:footer="0" w:header="0"/>
        </w:sectPr>
      </w:pPr>
    </w:p>
    <w:bookmarkStart w:id="156" w:name="page157"/>
    <w:bookmarkEnd w:id="156"/>
    <w:p>
      <w:pPr>
        <w:spacing w:after="0"/>
        <w:rPr>
          <w:sz w:val="20"/>
          <w:szCs w:val="20"/>
          <w:color w:val="auto"/>
        </w:rPr>
      </w:pPr>
      <w:r>
        <w:rPr>
          <w:rFonts w:ascii="Arial" w:cs="Arial" w:eastAsia="Arial" w:hAnsi="Arial"/>
          <w:sz w:val="22"/>
          <w:szCs w:val="22"/>
          <w:b w:val="1"/>
          <w:bCs w:val="1"/>
          <w:color w:val="4C9F40"/>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 14 – Fair Value of Financial Assets and Liabilities</w:t>
      </w:r>
    </w:p>
    <w:p>
      <w:pPr>
        <w:spacing w:after="0" w:line="107"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The following table represents our assets and liabilities measured at fair value on a recurring basis as of December 31, 2010 and 2009 and the basis for that measurement: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center"/>
              <w:ind w:right="58"/>
              <w:spacing w:after="0"/>
              <w:rPr>
                <w:sz w:val="20"/>
                <w:szCs w:val="20"/>
                <w:color w:val="auto"/>
              </w:rPr>
            </w:pPr>
            <w:r>
              <w:rPr>
                <w:rFonts w:ascii="Arial" w:cs="Arial" w:eastAsia="Arial" w:hAnsi="Arial"/>
                <w:sz w:val="14"/>
                <w:szCs w:val="14"/>
                <w:color w:val="auto"/>
                <w:w w:val="89"/>
              </w:rPr>
              <w:t>Total</w:t>
            </w:r>
          </w:p>
        </w:tc>
        <w:tc>
          <w:tcPr>
            <w:tcW w:w="260" w:type="dxa"/>
            <w:vAlign w:val="bottom"/>
          </w:tcPr>
          <w:p>
            <w:pPr>
              <w:spacing w:after="0"/>
              <w:rPr>
                <w:sz w:val="14"/>
                <w:szCs w:val="14"/>
                <w:color w:val="auto"/>
              </w:rPr>
            </w:pPr>
          </w:p>
        </w:tc>
        <w:tc>
          <w:tcPr>
            <w:tcW w:w="1220" w:type="dxa"/>
            <w:vAlign w:val="bottom"/>
            <w:gridSpan w:val="3"/>
          </w:tcPr>
          <w:p>
            <w:pPr>
              <w:jc w:val="center"/>
              <w:ind w:right="140"/>
              <w:spacing w:after="0"/>
              <w:rPr>
                <w:sz w:val="20"/>
                <w:szCs w:val="20"/>
                <w:color w:val="auto"/>
              </w:rPr>
            </w:pPr>
            <w:r>
              <w:rPr>
                <w:rFonts w:ascii="Arial" w:cs="Arial" w:eastAsia="Arial" w:hAnsi="Arial"/>
                <w:sz w:val="14"/>
                <w:szCs w:val="14"/>
                <w:color w:val="auto"/>
                <w:w w:val="96"/>
              </w:rPr>
              <w:t>Quoted Prices in</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98"/>
              <w:spacing w:after="0" w:line="149" w:lineRule="exact"/>
              <w:rPr>
                <w:sz w:val="20"/>
                <w:szCs w:val="20"/>
                <w:color w:val="auto"/>
              </w:rPr>
            </w:pPr>
            <w:r>
              <w:rPr>
                <w:rFonts w:ascii="Arial" w:cs="Arial" w:eastAsia="Arial" w:hAnsi="Arial"/>
                <w:sz w:val="14"/>
                <w:szCs w:val="14"/>
                <w:color w:val="auto"/>
                <w:w w:val="93"/>
              </w:rPr>
              <w:t>Fair Value</w:t>
            </w:r>
          </w:p>
        </w:tc>
        <w:tc>
          <w:tcPr>
            <w:tcW w:w="260" w:type="dxa"/>
            <w:vAlign w:val="bottom"/>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color w:val="auto"/>
              </w:rPr>
              <w:t>Active Markets for</w:t>
            </w:r>
          </w:p>
        </w:tc>
        <w:tc>
          <w:tcPr>
            <w:tcW w:w="120" w:type="dxa"/>
            <w:vAlign w:val="bottom"/>
          </w:tcPr>
          <w:p>
            <w:pPr>
              <w:spacing w:after="0"/>
              <w:rPr>
                <w:sz w:val="12"/>
                <w:szCs w:val="12"/>
                <w:color w:val="auto"/>
              </w:rPr>
            </w:pPr>
          </w:p>
        </w:tc>
        <w:tc>
          <w:tcPr>
            <w:tcW w:w="124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6"/>
              </w:rPr>
              <w:t>Significant Other</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5"/>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38"/>
              <w:spacing w:after="0" w:line="149" w:lineRule="exact"/>
              <w:rPr>
                <w:sz w:val="20"/>
                <w:szCs w:val="20"/>
                <w:color w:val="auto"/>
              </w:rPr>
            </w:pPr>
            <w:r>
              <w:rPr>
                <w:rFonts w:ascii="Arial" w:cs="Arial" w:eastAsia="Arial" w:hAnsi="Arial"/>
                <w:sz w:val="14"/>
                <w:szCs w:val="14"/>
                <w:color w:val="auto"/>
                <w:w w:val="95"/>
              </w:rPr>
              <w:t>Measurement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6"/>
              </w:rPr>
              <w:t>Identical Asset</w:t>
            </w:r>
          </w:p>
        </w:tc>
        <w:tc>
          <w:tcPr>
            <w:tcW w:w="120" w:type="dxa"/>
            <w:vAlign w:val="bottom"/>
          </w:tcPr>
          <w:p>
            <w:pPr>
              <w:spacing w:after="0"/>
              <w:rPr>
                <w:sz w:val="12"/>
                <w:szCs w:val="12"/>
                <w:color w:val="auto"/>
              </w:rPr>
            </w:pPr>
          </w:p>
        </w:tc>
        <w:tc>
          <w:tcPr>
            <w:tcW w:w="12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Observable Inputs</w:t>
            </w:r>
          </w:p>
        </w:tc>
        <w:tc>
          <w:tcPr>
            <w:tcW w:w="120" w:type="dxa"/>
            <w:vAlign w:val="bottom"/>
          </w:tcPr>
          <w:p>
            <w:pPr>
              <w:spacing w:after="0"/>
              <w:rPr>
                <w:sz w:val="12"/>
                <w:szCs w:val="12"/>
                <w:color w:val="auto"/>
              </w:rPr>
            </w:pPr>
          </w:p>
        </w:tc>
        <w:tc>
          <w:tcPr>
            <w:tcW w:w="13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Unobservable Inputs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200" w:type="dxa"/>
            <w:vAlign w:val="bottom"/>
            <w:gridSpan w:val="2"/>
          </w:tcPr>
          <w:p>
            <w:pPr>
              <w:ind w:left="20"/>
              <w:spacing w:after="0" w:line="149" w:lineRule="exact"/>
              <w:rPr>
                <w:sz w:val="20"/>
                <w:szCs w:val="20"/>
                <w:color w:val="auto"/>
              </w:rPr>
            </w:pPr>
            <w:r>
              <w:rPr>
                <w:rFonts w:ascii="Arial" w:cs="Arial" w:eastAsia="Arial" w:hAnsi="Arial"/>
                <w:sz w:val="14"/>
                <w:szCs w:val="14"/>
                <w:color w:val="auto"/>
                <w:w w:val="94"/>
              </w:rPr>
              <w:t>December 31, 2010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5"/>
              </w:rPr>
              <w:t>(Level 1)</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5"/>
              </w:rPr>
              <w:t>(Level 2)</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9"/>
              </w:rPr>
              <w:t>(Level 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80" w:type="dxa"/>
            <w:vAlign w:val="bottom"/>
            <w:shd w:val="clear" w:color="auto" w:fill="E5E5E5"/>
          </w:tcPr>
          <w:p>
            <w:pPr>
              <w:spacing w:after="0" w:line="196" w:lineRule="exact"/>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E5E5E5"/>
          </w:tcPr>
          <w:p>
            <w:pPr>
              <w:spacing w:after="0"/>
              <w:rPr>
                <w:sz w:val="17"/>
                <w:szCs w:val="17"/>
                <w:color w:val="auto"/>
              </w:rPr>
            </w:pPr>
          </w:p>
        </w:tc>
        <w:tc>
          <w:tcPr>
            <w:tcW w:w="1060" w:type="dxa"/>
            <w:vAlign w:val="bottom"/>
            <w:tcBorders>
              <w:top w:val="single" w:sz="8" w:color="auto"/>
            </w:tcBorders>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100" w:type="dxa"/>
            <w:vAlign w:val="bottom"/>
            <w:tcBorders>
              <w:top w:val="single" w:sz="8" w:color="auto"/>
            </w:tcBorders>
            <w:shd w:val="clear" w:color="auto" w:fill="E5E5E5"/>
          </w:tcPr>
          <w:p>
            <w:pPr>
              <w:spacing w:after="0"/>
              <w:rPr>
                <w:sz w:val="17"/>
                <w:szCs w:val="17"/>
                <w:color w:val="auto"/>
              </w:rPr>
            </w:pPr>
          </w:p>
        </w:tc>
        <w:tc>
          <w:tcPr>
            <w:tcW w:w="980" w:type="dxa"/>
            <w:vAlign w:val="bottom"/>
            <w:tcBorders>
              <w:top w:val="single" w:sz="8" w:color="auto"/>
            </w:tcBorders>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200" w:type="dxa"/>
            <w:vAlign w:val="bottom"/>
            <w:tcBorders>
              <w:top w:val="single" w:sz="8" w:color="auto"/>
            </w:tcBorders>
            <w:shd w:val="clear" w:color="auto" w:fill="E5E5E5"/>
          </w:tcPr>
          <w:p>
            <w:pPr>
              <w:spacing w:after="0"/>
              <w:rPr>
                <w:sz w:val="17"/>
                <w:szCs w:val="17"/>
                <w:color w:val="auto"/>
              </w:rPr>
            </w:pPr>
          </w:p>
        </w:tc>
        <w:tc>
          <w:tcPr>
            <w:tcW w:w="920" w:type="dxa"/>
            <w:vAlign w:val="bottom"/>
            <w:tcBorders>
              <w:top w:val="single" w:sz="8" w:color="auto"/>
            </w:tcBorders>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220" w:type="dxa"/>
            <w:vAlign w:val="bottom"/>
            <w:tcBorders>
              <w:top w:val="single" w:sz="8" w:color="auto"/>
            </w:tcBorders>
            <w:shd w:val="clear" w:color="auto" w:fill="E5E5E5"/>
          </w:tcPr>
          <w:p>
            <w:pPr>
              <w:spacing w:after="0"/>
              <w:rPr>
                <w:sz w:val="17"/>
                <w:szCs w:val="17"/>
                <w:color w:val="auto"/>
              </w:rPr>
            </w:pPr>
          </w:p>
        </w:tc>
        <w:tc>
          <w:tcPr>
            <w:tcW w:w="1040" w:type="dxa"/>
            <w:vAlign w:val="bottom"/>
            <w:tcBorders>
              <w:top w:val="single" w:sz="8" w:color="auto"/>
            </w:tcBorders>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gridSpan w:val="2"/>
          </w:tcPr>
          <w:p>
            <w:pPr>
              <w:spacing w:after="0" w:line="202" w:lineRule="exact"/>
              <w:rPr>
                <w:sz w:val="20"/>
                <w:szCs w:val="20"/>
                <w:color w:val="auto"/>
              </w:rPr>
            </w:pPr>
            <w:r>
              <w:rPr>
                <w:rFonts w:ascii="Arial" w:cs="Arial" w:eastAsia="Arial" w:hAnsi="Arial"/>
                <w:sz w:val="18"/>
                <w:szCs w:val="18"/>
                <w:color w:val="auto"/>
              </w:rPr>
              <w:t>Foreign exchange contracts-forwards</w:t>
            </w: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45</w:t>
            </w:r>
          </w:p>
        </w:tc>
        <w:tc>
          <w:tcPr>
            <w:tcW w:w="360" w:type="dxa"/>
            <w:vAlign w:val="bottom"/>
            <w:gridSpan w:val="2"/>
          </w:tcPr>
          <w:p>
            <w:pPr>
              <w:ind w:left="26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ind w:left="820"/>
              <w:spacing w:after="0" w:line="202" w:lineRule="exact"/>
              <w:rPr>
                <w:sz w:val="20"/>
                <w:szCs w:val="20"/>
                <w:color w:val="auto"/>
              </w:rPr>
            </w:pPr>
            <w:r>
              <w:rPr>
                <w:rFonts w:ascii="Arial" w:cs="Arial" w:eastAsia="Arial" w:hAnsi="Arial"/>
                <w:sz w:val="18"/>
                <w:szCs w:val="18"/>
                <w:color w:val="auto"/>
              </w:rPr>
              <w:t>—</w:t>
            </w:r>
          </w:p>
        </w:tc>
        <w:tc>
          <w:tcPr>
            <w:tcW w:w="32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45</w:t>
            </w:r>
          </w:p>
        </w:tc>
        <w:tc>
          <w:tcPr>
            <w:tcW w:w="120" w:type="dxa"/>
            <w:vAlign w:val="bottom"/>
          </w:tcPr>
          <w:p>
            <w:pPr>
              <w:spacing w:after="0"/>
              <w:rPr>
                <w:sz w:val="17"/>
                <w:szCs w:val="17"/>
                <w:color w:val="auto"/>
              </w:rPr>
            </w:pPr>
          </w:p>
        </w:tc>
        <w:tc>
          <w:tcPr>
            <w:tcW w:w="3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Interest rate swaps</w:t>
            </w:r>
          </w:p>
        </w:tc>
        <w:tc>
          <w:tcPr>
            <w:tcW w:w="140" w:type="dxa"/>
            <w:vAlign w:val="bottom"/>
            <w:shd w:val="clear" w:color="auto" w:fill="E5E5E5"/>
          </w:tcPr>
          <w:p>
            <w:pPr>
              <w:spacing w:after="0"/>
              <w:rPr>
                <w:sz w:val="17"/>
                <w:szCs w:val="17"/>
                <w:color w:val="auto"/>
              </w:rPr>
            </w:pPr>
          </w:p>
        </w:tc>
        <w:tc>
          <w:tcPr>
            <w:tcW w:w="10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11</w:t>
            </w:r>
          </w:p>
        </w:tc>
        <w:tc>
          <w:tcPr>
            <w:tcW w:w="2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ind w:left="8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9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11</w:t>
            </w:r>
          </w:p>
        </w:tc>
        <w:tc>
          <w:tcPr>
            <w:tcW w:w="1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140" w:type="dxa"/>
            <w:vAlign w:val="bottom"/>
            <w:gridSpan w:val="2"/>
            <w:shd w:val="clear" w:color="auto" w:fill="E5E5E5"/>
          </w:tcPr>
          <w:p>
            <w:pPr>
              <w:ind w:left="8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5900" w:type="dxa"/>
            <w:vAlign w:val="bottom"/>
            <w:gridSpan w:val="2"/>
          </w:tcPr>
          <w:p>
            <w:pPr>
              <w:spacing w:after="0" w:line="206" w:lineRule="exact"/>
              <w:rPr>
                <w:sz w:val="20"/>
                <w:szCs w:val="20"/>
                <w:color w:val="auto"/>
              </w:rPr>
            </w:pPr>
            <w:r>
              <w:rPr>
                <w:rFonts w:ascii="Arial" w:cs="Arial" w:eastAsia="Arial" w:hAnsi="Arial"/>
                <w:sz w:val="18"/>
                <w:szCs w:val="18"/>
                <w:color w:val="auto"/>
              </w:rPr>
              <w:t>Deferred compensation investments in</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880" w:type="dxa"/>
            <w:vAlign w:val="bottom"/>
          </w:tcPr>
          <w:p>
            <w:pPr>
              <w:ind w:left="200"/>
              <w:spacing w:after="0" w:line="200" w:lineRule="exact"/>
              <w:rPr>
                <w:sz w:val="20"/>
                <w:szCs w:val="20"/>
                <w:color w:val="auto"/>
              </w:rPr>
            </w:pPr>
            <w:r>
              <w:rPr>
                <w:rFonts w:ascii="Arial" w:cs="Arial" w:eastAsia="Arial" w:hAnsi="Arial"/>
                <w:sz w:val="18"/>
                <w:szCs w:val="18"/>
                <w:color w:val="auto"/>
              </w:rPr>
              <w:t>cash surrender life insurance</w:t>
            </w:r>
          </w:p>
        </w:tc>
        <w:tc>
          <w:tcPr>
            <w:tcW w:w="140" w:type="dxa"/>
            <w:vAlign w:val="bottom"/>
          </w:tcPr>
          <w:p>
            <w:pPr>
              <w:spacing w:after="0"/>
              <w:rPr>
                <w:sz w:val="17"/>
                <w:szCs w:val="17"/>
                <w:color w:val="auto"/>
              </w:rPr>
            </w:pPr>
          </w:p>
        </w:tc>
        <w:tc>
          <w:tcPr>
            <w:tcW w:w="1060" w:type="dxa"/>
            <w:vAlign w:val="bottom"/>
          </w:tcPr>
          <w:p>
            <w:pPr>
              <w:jc w:val="right"/>
              <w:spacing w:after="0" w:line="200" w:lineRule="exact"/>
              <w:rPr>
                <w:sz w:val="20"/>
                <w:szCs w:val="20"/>
                <w:color w:val="auto"/>
              </w:rPr>
            </w:pPr>
            <w:r>
              <w:rPr>
                <w:rFonts w:ascii="Arial" w:cs="Arial" w:eastAsia="Arial" w:hAnsi="Arial"/>
                <w:sz w:val="18"/>
                <w:szCs w:val="18"/>
                <w:color w:val="auto"/>
              </w:rPr>
              <w:t>70</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ind w:left="820"/>
              <w:spacing w:after="0" w:line="200"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0" w:lineRule="exact"/>
              <w:rPr>
                <w:sz w:val="20"/>
                <w:szCs w:val="20"/>
                <w:color w:val="auto"/>
              </w:rPr>
            </w:pPr>
            <w:r>
              <w:rPr>
                <w:rFonts w:ascii="Arial" w:cs="Arial" w:eastAsia="Arial" w:hAnsi="Arial"/>
                <w:sz w:val="18"/>
                <w:szCs w:val="18"/>
                <w:color w:val="auto"/>
              </w:rPr>
              <w:t>70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ind w:left="86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880" w:type="dxa"/>
            <w:vAlign w:val="bottom"/>
            <w:shd w:val="clear" w:color="auto" w:fill="E5E5E5"/>
          </w:tcPr>
          <w:p>
            <w:pPr>
              <w:spacing w:after="0" w:line="206" w:lineRule="exact"/>
              <w:rPr>
                <w:sz w:val="20"/>
                <w:szCs w:val="20"/>
                <w:color w:val="auto"/>
              </w:rPr>
            </w:pPr>
            <w:r>
              <w:rPr>
                <w:rFonts w:ascii="Arial" w:cs="Arial" w:eastAsia="Arial" w:hAnsi="Arial"/>
                <w:sz w:val="18"/>
                <w:szCs w:val="18"/>
                <w:color w:val="auto"/>
              </w:rPr>
              <w:t>Deferred compensation investments in</w:t>
            </w:r>
          </w:p>
        </w:tc>
        <w:tc>
          <w:tcPr>
            <w:tcW w:w="140" w:type="dxa"/>
            <w:vAlign w:val="bottom"/>
            <w:shd w:val="clear" w:color="auto" w:fill="E5E5E5"/>
          </w:tcPr>
          <w:p>
            <w:pPr>
              <w:spacing w:after="0"/>
              <w:rPr>
                <w:sz w:val="17"/>
                <w:szCs w:val="17"/>
                <w:color w:val="auto"/>
              </w:rPr>
            </w:pPr>
          </w:p>
        </w:tc>
        <w:tc>
          <w:tcPr>
            <w:tcW w:w="106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9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9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0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880" w:type="dxa"/>
            <w:vAlign w:val="bottom"/>
            <w:shd w:val="clear" w:color="auto" w:fill="E5E5E5"/>
          </w:tcPr>
          <w:p>
            <w:pPr>
              <w:ind w:left="200"/>
              <w:spacing w:after="0" w:line="200" w:lineRule="exact"/>
              <w:rPr>
                <w:sz w:val="20"/>
                <w:szCs w:val="20"/>
                <w:color w:val="auto"/>
              </w:rPr>
            </w:pPr>
            <w:r>
              <w:rPr>
                <w:rFonts w:ascii="Arial" w:cs="Arial" w:eastAsia="Arial" w:hAnsi="Arial"/>
                <w:sz w:val="18"/>
                <w:szCs w:val="18"/>
                <w:color w:val="auto"/>
              </w:rPr>
              <w:t>mutual funds</w:t>
            </w:r>
          </w:p>
        </w:tc>
        <w:tc>
          <w:tcPr>
            <w:tcW w:w="140" w:type="dxa"/>
            <w:vAlign w:val="bottom"/>
            <w:shd w:val="clear" w:color="auto" w:fill="E5E5E5"/>
          </w:tcPr>
          <w:p>
            <w:pPr>
              <w:spacing w:after="0"/>
              <w:rPr>
                <w:sz w:val="17"/>
                <w:szCs w:val="17"/>
                <w:color w:val="auto"/>
              </w:rPr>
            </w:pPr>
          </w:p>
        </w:tc>
        <w:tc>
          <w:tcPr>
            <w:tcW w:w="1060" w:type="dxa"/>
            <w:vAlign w:val="bottom"/>
            <w:shd w:val="clear" w:color="auto" w:fill="E5E5E5"/>
          </w:tcPr>
          <w:p>
            <w:pPr>
              <w:jc w:val="right"/>
              <w:spacing w:after="0" w:line="200" w:lineRule="exact"/>
              <w:rPr>
                <w:sz w:val="20"/>
                <w:szCs w:val="20"/>
                <w:color w:val="auto"/>
              </w:rPr>
            </w:pPr>
            <w:r>
              <w:rPr>
                <w:rFonts w:ascii="Arial" w:cs="Arial" w:eastAsia="Arial" w:hAnsi="Arial"/>
                <w:sz w:val="18"/>
                <w:szCs w:val="18"/>
                <w:color w:val="auto"/>
              </w:rPr>
              <w:t>22</w:t>
            </w:r>
          </w:p>
        </w:tc>
        <w:tc>
          <w:tcPr>
            <w:tcW w:w="2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ind w:left="820"/>
              <w:spacing w:after="0" w:line="200" w:lineRule="exact"/>
              <w:rPr>
                <w:sz w:val="20"/>
                <w:szCs w:val="20"/>
                <w:color w:val="auto"/>
              </w:rPr>
            </w:pPr>
            <w:r>
              <w:rPr>
                <w:rFonts w:ascii="Arial" w:cs="Arial" w:eastAsia="Arial" w:hAnsi="Arial"/>
                <w:sz w:val="18"/>
                <w:szCs w:val="18"/>
                <w:color w:val="auto"/>
              </w:rPr>
              <w:t>—</w:t>
            </w:r>
          </w:p>
        </w:tc>
        <w:tc>
          <w:tcPr>
            <w:tcW w:w="12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920" w:type="dxa"/>
            <w:vAlign w:val="bottom"/>
            <w:shd w:val="clear" w:color="auto" w:fill="E5E5E5"/>
          </w:tcPr>
          <w:p>
            <w:pPr>
              <w:jc w:val="right"/>
              <w:spacing w:after="0" w:line="200" w:lineRule="exact"/>
              <w:rPr>
                <w:sz w:val="20"/>
                <w:szCs w:val="20"/>
                <w:color w:val="auto"/>
              </w:rPr>
            </w:pPr>
            <w:r>
              <w:rPr>
                <w:rFonts w:ascii="Arial" w:cs="Arial" w:eastAsia="Arial" w:hAnsi="Arial"/>
                <w:sz w:val="18"/>
                <w:szCs w:val="18"/>
                <w:color w:val="auto"/>
              </w:rPr>
              <w:t>22</w:t>
            </w:r>
          </w:p>
        </w:tc>
        <w:tc>
          <w:tcPr>
            <w:tcW w:w="1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140" w:type="dxa"/>
            <w:vAlign w:val="bottom"/>
            <w:gridSpan w:val="2"/>
            <w:shd w:val="clear" w:color="auto" w:fill="E5E5E5"/>
          </w:tcPr>
          <w:p>
            <w:pPr>
              <w:ind w:left="86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gridSpan w:val="2"/>
            <w:vMerge w:val="continue"/>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148</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18"/>
                <w:szCs w:val="18"/>
                <w:color w:val="auto"/>
              </w:rPr>
            </w:pP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88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Liabilities:</w:t>
            </w:r>
          </w:p>
        </w:tc>
        <w:tc>
          <w:tcPr>
            <w:tcW w:w="140" w:type="dxa"/>
            <w:vAlign w:val="bottom"/>
            <w:shd w:val="clear" w:color="auto" w:fill="E5E5E5"/>
          </w:tcPr>
          <w:p>
            <w:pPr>
              <w:spacing w:after="0"/>
              <w:rPr>
                <w:sz w:val="17"/>
                <w:szCs w:val="17"/>
                <w:color w:val="auto"/>
              </w:rPr>
            </w:pPr>
          </w:p>
        </w:tc>
        <w:tc>
          <w:tcPr>
            <w:tcW w:w="106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9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9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0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gridSpan w:val="2"/>
          </w:tcPr>
          <w:p>
            <w:pPr>
              <w:spacing w:after="0" w:line="202" w:lineRule="exact"/>
              <w:rPr>
                <w:sz w:val="20"/>
                <w:szCs w:val="20"/>
                <w:color w:val="auto"/>
              </w:rPr>
            </w:pPr>
            <w:r>
              <w:rPr>
                <w:rFonts w:ascii="Arial" w:cs="Arial" w:eastAsia="Arial" w:hAnsi="Arial"/>
                <w:sz w:val="18"/>
                <w:szCs w:val="18"/>
                <w:color w:val="auto"/>
              </w:rPr>
              <w:t>Foreign exchange contracts-forwards</w:t>
            </w: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c>
          <w:tcPr>
            <w:tcW w:w="360" w:type="dxa"/>
            <w:vAlign w:val="bottom"/>
            <w:gridSpan w:val="2"/>
          </w:tcPr>
          <w:p>
            <w:pPr>
              <w:ind w:left="26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ind w:left="820"/>
              <w:spacing w:after="0" w:line="202" w:lineRule="exact"/>
              <w:rPr>
                <w:sz w:val="20"/>
                <w:szCs w:val="20"/>
                <w:color w:val="auto"/>
              </w:rPr>
            </w:pPr>
            <w:r>
              <w:rPr>
                <w:rFonts w:ascii="Arial" w:cs="Arial" w:eastAsia="Arial" w:hAnsi="Arial"/>
                <w:sz w:val="18"/>
                <w:szCs w:val="18"/>
                <w:color w:val="auto"/>
              </w:rPr>
              <w:t>—</w:t>
            </w:r>
          </w:p>
        </w:tc>
        <w:tc>
          <w:tcPr>
            <w:tcW w:w="32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c>
          <w:tcPr>
            <w:tcW w:w="120" w:type="dxa"/>
            <w:vAlign w:val="bottom"/>
          </w:tcPr>
          <w:p>
            <w:pPr>
              <w:spacing w:after="0"/>
              <w:rPr>
                <w:sz w:val="17"/>
                <w:szCs w:val="17"/>
                <w:color w:val="auto"/>
              </w:rPr>
            </w:pPr>
          </w:p>
        </w:tc>
        <w:tc>
          <w:tcPr>
            <w:tcW w:w="3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Deferred compensation plan liabilities</w:t>
            </w:r>
          </w:p>
        </w:tc>
        <w:tc>
          <w:tcPr>
            <w:tcW w:w="140" w:type="dxa"/>
            <w:vAlign w:val="bottom"/>
            <w:shd w:val="clear" w:color="auto" w:fill="E5E5E5"/>
          </w:tcPr>
          <w:p>
            <w:pPr>
              <w:spacing w:after="0"/>
              <w:rPr>
                <w:sz w:val="17"/>
                <w:szCs w:val="17"/>
                <w:color w:val="auto"/>
              </w:rPr>
            </w:pPr>
          </w:p>
        </w:tc>
        <w:tc>
          <w:tcPr>
            <w:tcW w:w="10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98</w:t>
            </w:r>
          </w:p>
        </w:tc>
        <w:tc>
          <w:tcPr>
            <w:tcW w:w="2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ind w:left="8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9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98</w:t>
            </w:r>
          </w:p>
        </w:tc>
        <w:tc>
          <w:tcPr>
            <w:tcW w:w="1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140" w:type="dxa"/>
            <w:vAlign w:val="bottom"/>
            <w:gridSpan w:val="2"/>
            <w:shd w:val="clear" w:color="auto" w:fill="E5E5E5"/>
          </w:tcPr>
          <w:p>
            <w:pPr>
              <w:ind w:left="8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gridSpan w:val="2"/>
            <w:vMerge w:val="continue"/>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117</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117</w:t>
            </w: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center"/>
              <w:ind w:right="58"/>
              <w:spacing w:after="0"/>
              <w:rPr>
                <w:sz w:val="20"/>
                <w:szCs w:val="20"/>
                <w:color w:val="auto"/>
              </w:rPr>
            </w:pPr>
            <w:r>
              <w:rPr>
                <w:rFonts w:ascii="Arial" w:cs="Arial" w:eastAsia="Arial" w:hAnsi="Arial"/>
                <w:sz w:val="14"/>
                <w:szCs w:val="14"/>
                <w:color w:val="auto"/>
                <w:w w:val="89"/>
              </w:rPr>
              <w:t>Total</w:t>
            </w:r>
          </w:p>
        </w:tc>
        <w:tc>
          <w:tcPr>
            <w:tcW w:w="260" w:type="dxa"/>
            <w:vAlign w:val="bottom"/>
          </w:tcPr>
          <w:p>
            <w:pPr>
              <w:spacing w:after="0"/>
              <w:rPr>
                <w:sz w:val="24"/>
                <w:szCs w:val="24"/>
                <w:color w:val="auto"/>
              </w:rPr>
            </w:pPr>
          </w:p>
        </w:tc>
        <w:tc>
          <w:tcPr>
            <w:tcW w:w="1220" w:type="dxa"/>
            <w:vAlign w:val="bottom"/>
            <w:gridSpan w:val="3"/>
          </w:tcPr>
          <w:p>
            <w:pPr>
              <w:jc w:val="center"/>
              <w:ind w:right="140"/>
              <w:spacing w:after="0"/>
              <w:rPr>
                <w:sz w:val="20"/>
                <w:szCs w:val="20"/>
                <w:color w:val="auto"/>
              </w:rPr>
            </w:pPr>
            <w:r>
              <w:rPr>
                <w:rFonts w:ascii="Arial" w:cs="Arial" w:eastAsia="Arial" w:hAnsi="Arial"/>
                <w:sz w:val="14"/>
                <w:szCs w:val="14"/>
                <w:color w:val="auto"/>
                <w:w w:val="96"/>
              </w:rPr>
              <w:t>Quoted Prices in</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98"/>
              <w:spacing w:after="0" w:line="149" w:lineRule="exact"/>
              <w:rPr>
                <w:sz w:val="20"/>
                <w:szCs w:val="20"/>
                <w:color w:val="auto"/>
              </w:rPr>
            </w:pPr>
            <w:r>
              <w:rPr>
                <w:rFonts w:ascii="Arial" w:cs="Arial" w:eastAsia="Arial" w:hAnsi="Arial"/>
                <w:sz w:val="14"/>
                <w:szCs w:val="14"/>
                <w:color w:val="auto"/>
                <w:w w:val="93"/>
              </w:rPr>
              <w:t>Fair Value</w:t>
            </w:r>
          </w:p>
        </w:tc>
        <w:tc>
          <w:tcPr>
            <w:tcW w:w="260" w:type="dxa"/>
            <w:vAlign w:val="bottom"/>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color w:val="auto"/>
              </w:rPr>
              <w:t>Active Markets for</w:t>
            </w:r>
          </w:p>
        </w:tc>
        <w:tc>
          <w:tcPr>
            <w:tcW w:w="120" w:type="dxa"/>
            <w:vAlign w:val="bottom"/>
          </w:tcPr>
          <w:p>
            <w:pPr>
              <w:spacing w:after="0"/>
              <w:rPr>
                <w:sz w:val="12"/>
                <w:szCs w:val="12"/>
                <w:color w:val="auto"/>
              </w:rPr>
            </w:pPr>
          </w:p>
        </w:tc>
        <w:tc>
          <w:tcPr>
            <w:tcW w:w="124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6"/>
              </w:rPr>
              <w:t>Significant Other</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5"/>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38"/>
              <w:spacing w:after="0" w:line="149" w:lineRule="exact"/>
              <w:rPr>
                <w:sz w:val="20"/>
                <w:szCs w:val="20"/>
                <w:color w:val="auto"/>
              </w:rPr>
            </w:pPr>
            <w:r>
              <w:rPr>
                <w:rFonts w:ascii="Arial" w:cs="Arial" w:eastAsia="Arial" w:hAnsi="Arial"/>
                <w:sz w:val="14"/>
                <w:szCs w:val="14"/>
                <w:color w:val="auto"/>
                <w:w w:val="95"/>
              </w:rPr>
              <w:t>Measurement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6"/>
              </w:rPr>
              <w:t>Identical Asset</w:t>
            </w:r>
          </w:p>
        </w:tc>
        <w:tc>
          <w:tcPr>
            <w:tcW w:w="120" w:type="dxa"/>
            <w:vAlign w:val="bottom"/>
          </w:tcPr>
          <w:p>
            <w:pPr>
              <w:spacing w:after="0"/>
              <w:rPr>
                <w:sz w:val="12"/>
                <w:szCs w:val="12"/>
                <w:color w:val="auto"/>
              </w:rPr>
            </w:pPr>
          </w:p>
        </w:tc>
        <w:tc>
          <w:tcPr>
            <w:tcW w:w="12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Observable Inputs</w:t>
            </w:r>
          </w:p>
        </w:tc>
        <w:tc>
          <w:tcPr>
            <w:tcW w:w="120" w:type="dxa"/>
            <w:vAlign w:val="bottom"/>
          </w:tcPr>
          <w:p>
            <w:pPr>
              <w:spacing w:after="0"/>
              <w:rPr>
                <w:sz w:val="12"/>
                <w:szCs w:val="12"/>
                <w:color w:val="auto"/>
              </w:rPr>
            </w:pPr>
          </w:p>
        </w:tc>
        <w:tc>
          <w:tcPr>
            <w:tcW w:w="13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Unobservable Inputs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200" w:type="dxa"/>
            <w:vAlign w:val="bottom"/>
            <w:gridSpan w:val="2"/>
          </w:tcPr>
          <w:p>
            <w:pPr>
              <w:ind w:left="20"/>
              <w:spacing w:after="0" w:line="149" w:lineRule="exact"/>
              <w:rPr>
                <w:sz w:val="20"/>
                <w:szCs w:val="20"/>
                <w:color w:val="auto"/>
              </w:rPr>
            </w:pPr>
            <w:r>
              <w:rPr>
                <w:rFonts w:ascii="Arial" w:cs="Arial" w:eastAsia="Arial" w:hAnsi="Arial"/>
                <w:sz w:val="14"/>
                <w:szCs w:val="14"/>
                <w:color w:val="auto"/>
                <w:w w:val="94"/>
              </w:rPr>
              <w:t>December 31, 2009</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5"/>
              </w:rPr>
              <w:t>(Level 1)</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5"/>
              </w:rPr>
              <w:t>(Level 2)</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9"/>
              </w:rPr>
              <w:t>(Level 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80" w:type="dxa"/>
            <w:vAlign w:val="bottom"/>
            <w:shd w:val="clear" w:color="auto" w:fill="E5E5E5"/>
          </w:tcPr>
          <w:p>
            <w:pPr>
              <w:spacing w:after="0" w:line="196" w:lineRule="exact"/>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E5E5E5"/>
          </w:tcPr>
          <w:p>
            <w:pPr>
              <w:spacing w:after="0"/>
              <w:rPr>
                <w:sz w:val="17"/>
                <w:szCs w:val="17"/>
                <w:color w:val="auto"/>
              </w:rPr>
            </w:pPr>
          </w:p>
        </w:tc>
        <w:tc>
          <w:tcPr>
            <w:tcW w:w="1060" w:type="dxa"/>
            <w:vAlign w:val="bottom"/>
            <w:tcBorders>
              <w:top w:val="single" w:sz="8" w:color="auto"/>
            </w:tcBorders>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100" w:type="dxa"/>
            <w:vAlign w:val="bottom"/>
            <w:tcBorders>
              <w:top w:val="single" w:sz="8" w:color="auto"/>
            </w:tcBorders>
            <w:shd w:val="clear" w:color="auto" w:fill="E5E5E5"/>
          </w:tcPr>
          <w:p>
            <w:pPr>
              <w:spacing w:after="0"/>
              <w:rPr>
                <w:sz w:val="17"/>
                <w:szCs w:val="17"/>
                <w:color w:val="auto"/>
              </w:rPr>
            </w:pPr>
          </w:p>
        </w:tc>
        <w:tc>
          <w:tcPr>
            <w:tcW w:w="980" w:type="dxa"/>
            <w:vAlign w:val="bottom"/>
            <w:tcBorders>
              <w:top w:val="single" w:sz="8" w:color="auto"/>
            </w:tcBorders>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200" w:type="dxa"/>
            <w:vAlign w:val="bottom"/>
            <w:tcBorders>
              <w:top w:val="single" w:sz="8" w:color="auto"/>
            </w:tcBorders>
            <w:shd w:val="clear" w:color="auto" w:fill="E5E5E5"/>
          </w:tcPr>
          <w:p>
            <w:pPr>
              <w:spacing w:after="0"/>
              <w:rPr>
                <w:sz w:val="17"/>
                <w:szCs w:val="17"/>
                <w:color w:val="auto"/>
              </w:rPr>
            </w:pPr>
          </w:p>
        </w:tc>
        <w:tc>
          <w:tcPr>
            <w:tcW w:w="920" w:type="dxa"/>
            <w:vAlign w:val="bottom"/>
            <w:tcBorders>
              <w:top w:val="single" w:sz="8" w:color="auto"/>
            </w:tcBorders>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220" w:type="dxa"/>
            <w:vAlign w:val="bottom"/>
            <w:tcBorders>
              <w:top w:val="single" w:sz="8" w:color="auto"/>
            </w:tcBorders>
            <w:shd w:val="clear" w:color="auto" w:fill="E5E5E5"/>
          </w:tcPr>
          <w:p>
            <w:pPr>
              <w:spacing w:after="0"/>
              <w:rPr>
                <w:sz w:val="17"/>
                <w:szCs w:val="17"/>
                <w:color w:val="auto"/>
              </w:rPr>
            </w:pPr>
          </w:p>
        </w:tc>
        <w:tc>
          <w:tcPr>
            <w:tcW w:w="1040" w:type="dxa"/>
            <w:vAlign w:val="bottom"/>
            <w:tcBorders>
              <w:top w:val="single" w:sz="8" w:color="auto"/>
            </w:tcBorders>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900" w:type="dxa"/>
            <w:vAlign w:val="bottom"/>
            <w:gridSpan w:val="2"/>
          </w:tcPr>
          <w:p>
            <w:pPr>
              <w:spacing w:after="0" w:line="206" w:lineRule="exact"/>
              <w:rPr>
                <w:sz w:val="20"/>
                <w:szCs w:val="20"/>
                <w:color w:val="auto"/>
              </w:rPr>
            </w:pPr>
            <w:r>
              <w:rPr>
                <w:rFonts w:ascii="Arial" w:cs="Arial" w:eastAsia="Arial" w:hAnsi="Arial"/>
                <w:sz w:val="18"/>
                <w:szCs w:val="18"/>
                <w:color w:val="auto"/>
              </w:rPr>
              <w:t>Foreign exchange contracts-</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880" w:type="dxa"/>
            <w:vAlign w:val="bottom"/>
          </w:tcPr>
          <w:p>
            <w:pPr>
              <w:ind w:left="200"/>
              <w:spacing w:after="0" w:line="200" w:lineRule="exact"/>
              <w:rPr>
                <w:sz w:val="20"/>
                <w:szCs w:val="20"/>
                <w:color w:val="auto"/>
              </w:rPr>
            </w:pPr>
            <w:r>
              <w:rPr>
                <w:rFonts w:ascii="Arial" w:cs="Arial" w:eastAsia="Arial" w:hAnsi="Arial"/>
                <w:sz w:val="18"/>
                <w:szCs w:val="18"/>
                <w:color w:val="auto"/>
              </w:rPr>
              <w:t>forwards</w:t>
            </w:r>
          </w:p>
        </w:tc>
        <w:tc>
          <w:tcPr>
            <w:tcW w:w="140" w:type="dxa"/>
            <w:vAlign w:val="bottom"/>
          </w:tcPr>
          <w:p>
            <w:pPr>
              <w:spacing w:after="0" w:line="200"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0" w:lineRule="exact"/>
              <w:rPr>
                <w:sz w:val="20"/>
                <w:szCs w:val="20"/>
                <w:color w:val="auto"/>
              </w:rPr>
            </w:pPr>
            <w:r>
              <w:rPr>
                <w:rFonts w:ascii="Arial" w:cs="Arial" w:eastAsia="Arial" w:hAnsi="Arial"/>
                <w:sz w:val="18"/>
                <w:szCs w:val="18"/>
                <w:color w:val="auto"/>
              </w:rPr>
              <w:t>16</w:t>
            </w:r>
          </w:p>
        </w:tc>
        <w:tc>
          <w:tcPr>
            <w:tcW w:w="360" w:type="dxa"/>
            <w:vAlign w:val="bottom"/>
            <w:gridSpan w:val="2"/>
          </w:tcPr>
          <w:p>
            <w:pPr>
              <w:ind w:left="260"/>
              <w:spacing w:after="0" w:line="200"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ind w:left="820"/>
              <w:spacing w:after="0" w:line="200" w:lineRule="exact"/>
              <w:rPr>
                <w:sz w:val="20"/>
                <w:szCs w:val="20"/>
                <w:color w:val="auto"/>
              </w:rPr>
            </w:pPr>
            <w:r>
              <w:rPr>
                <w:rFonts w:ascii="Arial" w:cs="Arial" w:eastAsia="Arial" w:hAnsi="Arial"/>
                <w:sz w:val="18"/>
                <w:szCs w:val="18"/>
                <w:color w:val="auto"/>
              </w:rPr>
              <w:t>—</w:t>
            </w:r>
          </w:p>
        </w:tc>
        <w:tc>
          <w:tcPr>
            <w:tcW w:w="320" w:type="dxa"/>
            <w:vAlign w:val="bottom"/>
            <w:gridSpan w:val="2"/>
          </w:tcPr>
          <w:p>
            <w:pPr>
              <w:ind w:left="120"/>
              <w:spacing w:after="0" w:line="200"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0" w:lineRule="exact"/>
              <w:rPr>
                <w:sz w:val="20"/>
                <w:szCs w:val="20"/>
                <w:color w:val="auto"/>
              </w:rPr>
            </w:pPr>
            <w:r>
              <w:rPr>
                <w:rFonts w:ascii="Arial" w:cs="Arial" w:eastAsia="Arial" w:hAnsi="Arial"/>
                <w:sz w:val="18"/>
                <w:szCs w:val="18"/>
                <w:color w:val="auto"/>
              </w:rPr>
              <w:t>16</w:t>
            </w:r>
          </w:p>
        </w:tc>
        <w:tc>
          <w:tcPr>
            <w:tcW w:w="120" w:type="dxa"/>
            <w:vAlign w:val="bottom"/>
          </w:tcPr>
          <w:p>
            <w:pPr>
              <w:spacing w:after="0"/>
              <w:rPr>
                <w:sz w:val="17"/>
                <w:szCs w:val="17"/>
                <w:color w:val="auto"/>
              </w:rPr>
            </w:pPr>
          </w:p>
        </w:tc>
        <w:tc>
          <w:tcPr>
            <w:tcW w:w="340" w:type="dxa"/>
            <w:vAlign w:val="bottom"/>
            <w:gridSpan w:val="2"/>
          </w:tcPr>
          <w:p>
            <w:pPr>
              <w:ind w:left="120"/>
              <w:spacing w:after="0" w:line="200" w:lineRule="exact"/>
              <w:rPr>
                <w:sz w:val="20"/>
                <w:szCs w:val="20"/>
                <w:color w:val="auto"/>
              </w:rPr>
            </w:pPr>
            <w:r>
              <w:rPr>
                <w:rFonts w:ascii="Arial" w:cs="Arial" w:eastAsia="Arial" w:hAnsi="Arial"/>
                <w:sz w:val="18"/>
                <w:szCs w:val="18"/>
                <w:color w:val="auto"/>
              </w:rPr>
              <w:t>$</w:t>
            </w:r>
          </w:p>
        </w:tc>
        <w:tc>
          <w:tcPr>
            <w:tcW w:w="1140" w:type="dxa"/>
            <w:vAlign w:val="bottom"/>
            <w:gridSpan w:val="2"/>
          </w:tcPr>
          <w:p>
            <w:pPr>
              <w:ind w:left="86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Interest rate swaps</w:t>
            </w:r>
          </w:p>
        </w:tc>
        <w:tc>
          <w:tcPr>
            <w:tcW w:w="140" w:type="dxa"/>
            <w:vAlign w:val="bottom"/>
            <w:shd w:val="clear" w:color="auto" w:fill="E5E5E5"/>
          </w:tcPr>
          <w:p>
            <w:pPr>
              <w:spacing w:after="0"/>
              <w:rPr>
                <w:sz w:val="17"/>
                <w:szCs w:val="17"/>
                <w:color w:val="auto"/>
              </w:rPr>
            </w:pPr>
          </w:p>
        </w:tc>
        <w:tc>
          <w:tcPr>
            <w:tcW w:w="10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10</w:t>
            </w:r>
          </w:p>
        </w:tc>
        <w:tc>
          <w:tcPr>
            <w:tcW w:w="2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ind w:left="8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9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10</w:t>
            </w:r>
          </w:p>
        </w:tc>
        <w:tc>
          <w:tcPr>
            <w:tcW w:w="1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140" w:type="dxa"/>
            <w:vAlign w:val="bottom"/>
            <w:gridSpan w:val="2"/>
            <w:shd w:val="clear" w:color="auto" w:fill="E5E5E5"/>
          </w:tcPr>
          <w:p>
            <w:pPr>
              <w:ind w:left="8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gridSpan w:val="2"/>
            <w:vMerge w:val="continue"/>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88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Liabilities:</w:t>
            </w:r>
          </w:p>
        </w:tc>
        <w:tc>
          <w:tcPr>
            <w:tcW w:w="140" w:type="dxa"/>
            <w:vAlign w:val="bottom"/>
            <w:shd w:val="clear" w:color="auto" w:fill="E5E5E5"/>
          </w:tcPr>
          <w:p>
            <w:pPr>
              <w:spacing w:after="0"/>
              <w:rPr>
                <w:sz w:val="17"/>
                <w:szCs w:val="17"/>
                <w:color w:val="auto"/>
              </w:rPr>
            </w:pPr>
          </w:p>
        </w:tc>
        <w:tc>
          <w:tcPr>
            <w:tcW w:w="106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9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9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0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900" w:type="dxa"/>
            <w:vAlign w:val="bottom"/>
            <w:gridSpan w:val="2"/>
          </w:tcPr>
          <w:p>
            <w:pPr>
              <w:spacing w:after="0" w:line="206" w:lineRule="exact"/>
              <w:rPr>
                <w:sz w:val="20"/>
                <w:szCs w:val="20"/>
                <w:color w:val="auto"/>
              </w:rPr>
            </w:pPr>
            <w:r>
              <w:rPr>
                <w:rFonts w:ascii="Arial" w:cs="Arial" w:eastAsia="Arial" w:hAnsi="Arial"/>
                <w:sz w:val="18"/>
                <w:szCs w:val="18"/>
                <w:color w:val="auto"/>
              </w:rPr>
              <w:t>Foreign exchange contracts-</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880" w:type="dxa"/>
            <w:vAlign w:val="bottom"/>
          </w:tcPr>
          <w:p>
            <w:pPr>
              <w:ind w:left="200"/>
              <w:spacing w:after="0" w:line="200" w:lineRule="exact"/>
              <w:rPr>
                <w:sz w:val="20"/>
                <w:szCs w:val="20"/>
                <w:color w:val="auto"/>
              </w:rPr>
            </w:pPr>
            <w:r>
              <w:rPr>
                <w:rFonts w:ascii="Arial" w:cs="Arial" w:eastAsia="Arial" w:hAnsi="Arial"/>
                <w:sz w:val="18"/>
                <w:szCs w:val="18"/>
                <w:color w:val="auto"/>
              </w:rPr>
              <w:t>forwards</w:t>
            </w:r>
          </w:p>
        </w:tc>
        <w:tc>
          <w:tcPr>
            <w:tcW w:w="140" w:type="dxa"/>
            <w:vAlign w:val="bottom"/>
          </w:tcPr>
          <w:p>
            <w:pPr>
              <w:spacing w:after="0" w:line="200"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0" w:lineRule="exact"/>
              <w:rPr>
                <w:sz w:val="20"/>
                <w:szCs w:val="20"/>
                <w:color w:val="auto"/>
              </w:rPr>
            </w:pPr>
            <w:r>
              <w:rPr>
                <w:rFonts w:ascii="Arial" w:cs="Arial" w:eastAsia="Arial" w:hAnsi="Arial"/>
                <w:sz w:val="18"/>
                <w:szCs w:val="18"/>
                <w:color w:val="auto"/>
              </w:rPr>
              <w:t>15</w:t>
            </w:r>
          </w:p>
        </w:tc>
        <w:tc>
          <w:tcPr>
            <w:tcW w:w="360" w:type="dxa"/>
            <w:vAlign w:val="bottom"/>
            <w:gridSpan w:val="2"/>
          </w:tcPr>
          <w:p>
            <w:pPr>
              <w:ind w:left="260"/>
              <w:spacing w:after="0" w:line="200"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ind w:left="820"/>
              <w:spacing w:after="0" w:line="200" w:lineRule="exact"/>
              <w:rPr>
                <w:sz w:val="20"/>
                <w:szCs w:val="20"/>
                <w:color w:val="auto"/>
              </w:rPr>
            </w:pPr>
            <w:r>
              <w:rPr>
                <w:rFonts w:ascii="Arial" w:cs="Arial" w:eastAsia="Arial" w:hAnsi="Arial"/>
                <w:sz w:val="18"/>
                <w:szCs w:val="18"/>
                <w:color w:val="auto"/>
              </w:rPr>
              <w:t>—</w:t>
            </w:r>
          </w:p>
        </w:tc>
        <w:tc>
          <w:tcPr>
            <w:tcW w:w="320" w:type="dxa"/>
            <w:vAlign w:val="bottom"/>
            <w:gridSpan w:val="2"/>
          </w:tcPr>
          <w:p>
            <w:pPr>
              <w:ind w:left="120"/>
              <w:spacing w:after="0" w:line="200"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0" w:lineRule="exact"/>
              <w:rPr>
                <w:sz w:val="20"/>
                <w:szCs w:val="20"/>
                <w:color w:val="auto"/>
              </w:rPr>
            </w:pPr>
            <w:r>
              <w:rPr>
                <w:rFonts w:ascii="Arial" w:cs="Arial" w:eastAsia="Arial" w:hAnsi="Arial"/>
                <w:sz w:val="18"/>
                <w:szCs w:val="18"/>
                <w:color w:val="auto"/>
              </w:rPr>
              <w:t>15</w:t>
            </w:r>
          </w:p>
        </w:tc>
        <w:tc>
          <w:tcPr>
            <w:tcW w:w="120" w:type="dxa"/>
            <w:vAlign w:val="bottom"/>
          </w:tcPr>
          <w:p>
            <w:pPr>
              <w:spacing w:after="0"/>
              <w:rPr>
                <w:sz w:val="17"/>
                <w:szCs w:val="17"/>
                <w:color w:val="auto"/>
              </w:rPr>
            </w:pPr>
          </w:p>
        </w:tc>
        <w:tc>
          <w:tcPr>
            <w:tcW w:w="340" w:type="dxa"/>
            <w:vAlign w:val="bottom"/>
            <w:gridSpan w:val="2"/>
          </w:tcPr>
          <w:p>
            <w:pPr>
              <w:ind w:left="120"/>
              <w:spacing w:after="0" w:line="200" w:lineRule="exact"/>
              <w:rPr>
                <w:sz w:val="20"/>
                <w:szCs w:val="20"/>
                <w:color w:val="auto"/>
              </w:rPr>
            </w:pPr>
            <w:r>
              <w:rPr>
                <w:rFonts w:ascii="Arial" w:cs="Arial" w:eastAsia="Arial" w:hAnsi="Arial"/>
                <w:sz w:val="18"/>
                <w:szCs w:val="18"/>
                <w:color w:val="auto"/>
              </w:rPr>
              <w:t>$</w:t>
            </w:r>
          </w:p>
        </w:tc>
        <w:tc>
          <w:tcPr>
            <w:tcW w:w="1140" w:type="dxa"/>
            <w:vAlign w:val="bottom"/>
            <w:gridSpan w:val="2"/>
          </w:tcPr>
          <w:p>
            <w:pPr>
              <w:ind w:left="86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Interest rate swaps</w:t>
            </w:r>
          </w:p>
        </w:tc>
        <w:tc>
          <w:tcPr>
            <w:tcW w:w="140" w:type="dxa"/>
            <w:vAlign w:val="bottom"/>
            <w:shd w:val="clear" w:color="auto" w:fill="E5E5E5"/>
          </w:tcPr>
          <w:p>
            <w:pPr>
              <w:spacing w:after="0"/>
              <w:rPr>
                <w:sz w:val="17"/>
                <w:szCs w:val="17"/>
                <w:color w:val="auto"/>
              </w:rPr>
            </w:pPr>
          </w:p>
        </w:tc>
        <w:tc>
          <w:tcPr>
            <w:tcW w:w="10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9</w:t>
            </w:r>
          </w:p>
        </w:tc>
        <w:tc>
          <w:tcPr>
            <w:tcW w:w="2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ind w:left="8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9</w:t>
            </w:r>
          </w:p>
        </w:tc>
        <w:tc>
          <w:tcPr>
            <w:tcW w:w="1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140" w:type="dxa"/>
            <w:vAlign w:val="bottom"/>
            <w:gridSpan w:val="2"/>
            <w:shd w:val="clear" w:color="auto" w:fill="E5E5E5"/>
          </w:tcPr>
          <w:p>
            <w:pPr>
              <w:ind w:left="8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gridSpan w:val="2"/>
            <w:vMerge w:val="continue"/>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We utilized the income approach to measure fair value for our derivative assets and liabilities. The income approach uses pricing models that rely on market observable inputs such as yield curves, currency exchange rates and forward prices, and therefore are classified as Level 2.</w:t>
      </w:r>
    </w:p>
    <w:p>
      <w:pPr>
        <w:spacing w:after="0" w:line="15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Fair value for our deferred compensation plan investments in Company-owned life insurance is reflected at cash surrender value. Fair value for our deferred compensation plan investments in mutual funds is based on quoted market prices for actively traded investments similar to those held by the plan. Fair value for deferred compensation plan liabilities is based on the fair value of investments corresponding to employees’ investment selections, based on quoted prices for similar assets in actively traded markets.</w:t>
      </w:r>
    </w:p>
    <w:p>
      <w:pPr>
        <w:spacing w:after="0" w:line="137" w:lineRule="exact"/>
        <w:rPr>
          <w:sz w:val="20"/>
          <w:szCs w:val="20"/>
          <w:color w:val="auto"/>
        </w:rPr>
      </w:pPr>
    </w:p>
    <w:p>
      <w:pPr>
        <w:ind w:left="9600"/>
        <w:spacing w:after="0"/>
        <w:rPr>
          <w:sz w:val="20"/>
          <w:szCs w:val="20"/>
          <w:color w:val="auto"/>
        </w:rPr>
      </w:pPr>
      <w:r>
        <w:rPr>
          <w:rFonts w:ascii="Arial" w:cs="Arial" w:eastAsia="Arial" w:hAnsi="Arial"/>
          <w:sz w:val="12"/>
          <w:szCs w:val="12"/>
          <w:color w:val="4C9F40"/>
        </w:rPr>
        <w:t>Xerox 2010 Annual Report 80</w:t>
      </w:r>
    </w:p>
    <w:p>
      <w:pPr>
        <w:sectPr>
          <w:pgSz w:w="11900" w:h="16838" w:orient="portrait"/>
          <w:cols w:equalWidth="0" w:num="1">
            <w:col w:w="11420"/>
          </w:cols>
          <w:pgMar w:left="240" w:top="391" w:right="23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b w:val="1"/>
          <w:bCs w:val="1"/>
          <w:color w:val="4C9F40"/>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Summary of Other Financial Assets &amp; Liabilities Not Measured at Fair Value on a Recurring Basis</w:t>
      </w:r>
    </w:p>
    <w:p>
      <w:pPr>
        <w:spacing w:after="0" w:line="180" w:lineRule="exact"/>
        <w:rPr>
          <w:sz w:val="20"/>
          <w:szCs w:val="20"/>
          <w:color w:val="auto"/>
        </w:rPr>
      </w:pPr>
    </w:p>
    <w:p>
      <w:pPr>
        <w:ind w:right="400"/>
        <w:spacing w:after="0" w:line="239" w:lineRule="auto"/>
        <w:rPr>
          <w:sz w:val="20"/>
          <w:szCs w:val="20"/>
          <w:color w:val="auto"/>
        </w:rPr>
      </w:pPr>
      <w:r>
        <w:rPr>
          <w:rFonts w:ascii="Arial" w:cs="Arial" w:eastAsia="Arial" w:hAnsi="Arial"/>
          <w:sz w:val="18"/>
          <w:szCs w:val="18"/>
          <w:color w:val="auto"/>
        </w:rPr>
        <w:t>The estimated fair values of our other financial assets and liabilities not measured at fair value on a recurring basis at December 31, 2010 and 2009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2010</w:t>
            </w: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2009</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1"/>
        </w:trPr>
        <w:tc>
          <w:tcPr>
            <w:tcW w:w="7780" w:type="dxa"/>
            <w:vAlign w:val="bottom"/>
          </w:tcPr>
          <w:p>
            <w:pPr>
              <w:spacing w:after="0"/>
              <w:rPr>
                <w:sz w:val="12"/>
                <w:szCs w:val="12"/>
                <w:color w:val="auto"/>
              </w:rPr>
            </w:pPr>
          </w:p>
        </w:tc>
        <w:tc>
          <w:tcPr>
            <w:tcW w:w="640" w:type="dxa"/>
            <w:vAlign w:val="bottom"/>
          </w:tcPr>
          <w:p>
            <w:pPr>
              <w:jc w:val="right"/>
              <w:spacing w:after="0" w:line="141" w:lineRule="exact"/>
              <w:rPr>
                <w:sz w:val="20"/>
                <w:szCs w:val="20"/>
                <w:color w:val="auto"/>
              </w:rPr>
            </w:pPr>
            <w:r>
              <w:rPr>
                <w:rFonts w:ascii="Arial" w:cs="Arial" w:eastAsia="Arial" w:hAnsi="Arial"/>
                <w:sz w:val="14"/>
                <w:szCs w:val="14"/>
                <w:color w:val="auto"/>
              </w:rPr>
              <w:t>Carrying</w:t>
            </w:r>
          </w:p>
        </w:tc>
        <w:tc>
          <w:tcPr>
            <w:tcW w:w="320" w:type="dxa"/>
            <w:vAlign w:val="bottom"/>
          </w:tcPr>
          <w:p>
            <w:pPr>
              <w:spacing w:after="0"/>
              <w:rPr>
                <w:sz w:val="12"/>
                <w:szCs w:val="12"/>
                <w:color w:val="auto"/>
              </w:rPr>
            </w:pPr>
          </w:p>
        </w:tc>
        <w:tc>
          <w:tcPr>
            <w:tcW w:w="640" w:type="dxa"/>
            <w:vAlign w:val="bottom"/>
          </w:tcPr>
          <w:p>
            <w:pPr>
              <w:jc w:val="right"/>
              <w:ind w:right="132"/>
              <w:spacing w:after="0" w:line="141" w:lineRule="exact"/>
              <w:rPr>
                <w:sz w:val="20"/>
                <w:szCs w:val="20"/>
                <w:color w:val="auto"/>
              </w:rPr>
            </w:pPr>
            <w:r>
              <w:rPr>
                <w:rFonts w:ascii="Arial" w:cs="Arial" w:eastAsia="Arial" w:hAnsi="Arial"/>
                <w:sz w:val="14"/>
                <w:szCs w:val="14"/>
                <w:color w:val="auto"/>
              </w:rPr>
              <w:t>Fair</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1" w:lineRule="exact"/>
              <w:rPr>
                <w:sz w:val="20"/>
                <w:szCs w:val="20"/>
                <w:color w:val="auto"/>
              </w:rPr>
            </w:pPr>
            <w:r>
              <w:rPr>
                <w:rFonts w:ascii="Arial" w:cs="Arial" w:eastAsia="Arial" w:hAnsi="Arial"/>
                <w:sz w:val="14"/>
                <w:szCs w:val="14"/>
                <w:color w:val="auto"/>
              </w:rPr>
              <w:t>Carrying</w:t>
            </w:r>
          </w:p>
        </w:tc>
        <w:tc>
          <w:tcPr>
            <w:tcW w:w="320" w:type="dxa"/>
            <w:vAlign w:val="bottom"/>
          </w:tcPr>
          <w:p>
            <w:pPr>
              <w:spacing w:after="0"/>
              <w:rPr>
                <w:sz w:val="12"/>
                <w:szCs w:val="12"/>
                <w:color w:val="auto"/>
              </w:rPr>
            </w:pPr>
          </w:p>
        </w:tc>
        <w:tc>
          <w:tcPr>
            <w:tcW w:w="660" w:type="dxa"/>
            <w:vAlign w:val="bottom"/>
          </w:tcPr>
          <w:p>
            <w:pPr>
              <w:jc w:val="right"/>
              <w:ind w:right="152"/>
              <w:spacing w:after="0" w:line="141" w:lineRule="exact"/>
              <w:rPr>
                <w:sz w:val="20"/>
                <w:szCs w:val="20"/>
                <w:color w:val="auto"/>
              </w:rPr>
            </w:pPr>
            <w:r>
              <w:rPr>
                <w:rFonts w:ascii="Arial" w:cs="Arial" w:eastAsia="Arial" w:hAnsi="Arial"/>
                <w:sz w:val="14"/>
                <w:szCs w:val="14"/>
                <w:color w:val="auto"/>
              </w:rPr>
              <w:t>Fair</w:t>
            </w:r>
          </w:p>
        </w:tc>
        <w:tc>
          <w:tcPr>
            <w:tcW w:w="100" w:type="dxa"/>
            <w:vAlign w:val="bottom"/>
          </w:tcPr>
          <w:p>
            <w:pPr>
              <w:spacing w:after="0"/>
              <w:rPr>
                <w:sz w:val="12"/>
                <w:szCs w:val="12"/>
                <w:color w:val="auto"/>
              </w:rPr>
            </w:pPr>
          </w:p>
        </w:tc>
      </w:tr>
      <w:tr>
        <w:trPr>
          <w:trHeight w:val="149"/>
        </w:trPr>
        <w:tc>
          <w:tcPr>
            <w:tcW w:w="7780" w:type="dxa"/>
            <w:vAlign w:val="bottom"/>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Amount</w:t>
            </w:r>
          </w:p>
        </w:tc>
        <w:tc>
          <w:tcPr>
            <w:tcW w:w="320" w:type="dxa"/>
            <w:vAlign w:val="bottom"/>
          </w:tcPr>
          <w:p>
            <w:pPr>
              <w:spacing w:after="0"/>
              <w:rPr>
                <w:sz w:val="12"/>
                <w:szCs w:val="12"/>
                <w:color w:val="auto"/>
              </w:rPr>
            </w:pPr>
          </w:p>
        </w:tc>
        <w:tc>
          <w:tcPr>
            <w:tcW w:w="64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Value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Amount</w:t>
            </w:r>
          </w:p>
        </w:tc>
        <w:tc>
          <w:tcPr>
            <w:tcW w:w="320" w:type="dxa"/>
            <w:vAlign w:val="bottom"/>
          </w:tcPr>
          <w:p>
            <w:pPr>
              <w:spacing w:after="0"/>
              <w:rPr>
                <w:sz w:val="12"/>
                <w:szCs w:val="12"/>
                <w:color w:val="auto"/>
              </w:rPr>
            </w:pPr>
          </w:p>
        </w:tc>
        <w:tc>
          <w:tcPr>
            <w:tcW w:w="66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Value</w:t>
            </w:r>
          </w:p>
        </w:tc>
        <w:tc>
          <w:tcPr>
            <w:tcW w:w="100" w:type="dxa"/>
            <w:vAlign w:val="bottom"/>
          </w:tcPr>
          <w:p>
            <w:pPr>
              <w:spacing w:after="0"/>
              <w:rPr>
                <w:sz w:val="12"/>
                <w:szCs w:val="12"/>
                <w:color w:val="auto"/>
              </w:rPr>
            </w:pPr>
          </w:p>
        </w:tc>
      </w:tr>
      <w:tr>
        <w:trPr>
          <w:trHeight w:val="196"/>
        </w:trPr>
        <w:tc>
          <w:tcPr>
            <w:tcW w:w="7780" w:type="dxa"/>
            <w:vAlign w:val="bottom"/>
            <w:shd w:val="clear" w:color="auto" w:fill="E5E5E5"/>
          </w:tcPr>
          <w:p>
            <w:pPr>
              <w:spacing w:after="0" w:line="196" w:lineRule="exact"/>
              <w:rPr>
                <w:sz w:val="20"/>
                <w:szCs w:val="20"/>
                <w:color w:val="auto"/>
              </w:rPr>
            </w:pPr>
            <w:r>
              <w:rPr>
                <w:rFonts w:ascii="Arial" w:cs="Arial" w:eastAsia="Arial" w:hAnsi="Arial"/>
                <w:sz w:val="18"/>
                <w:szCs w:val="18"/>
                <w:color w:val="auto"/>
              </w:rPr>
              <w:t>Cash and cash equivalents</w:t>
            </w:r>
          </w:p>
        </w:tc>
        <w:tc>
          <w:tcPr>
            <w:tcW w:w="64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rPr>
              <w:t>$ 1,211</w:t>
            </w:r>
          </w:p>
        </w:tc>
        <w:tc>
          <w:tcPr>
            <w:tcW w:w="1120" w:type="dxa"/>
            <w:vAlign w:val="bottom"/>
            <w:gridSpan w:val="3"/>
            <w:shd w:val="clear" w:color="auto" w:fill="E5E5E5"/>
          </w:tcPr>
          <w:p>
            <w:pPr>
              <w:jc w:val="right"/>
              <w:ind w:right="160"/>
              <w:spacing w:after="0" w:line="196" w:lineRule="exact"/>
              <w:rPr>
                <w:sz w:val="20"/>
                <w:szCs w:val="20"/>
                <w:color w:val="auto"/>
              </w:rPr>
            </w:pPr>
            <w:r>
              <w:rPr>
                <w:rFonts w:ascii="Arial" w:cs="Arial" w:eastAsia="Arial" w:hAnsi="Arial"/>
                <w:sz w:val="18"/>
                <w:szCs w:val="18"/>
                <w:color w:val="auto"/>
              </w:rPr>
              <w:t>$ 1,211</w:t>
            </w:r>
          </w:p>
        </w:tc>
        <w:tc>
          <w:tcPr>
            <w:tcW w:w="800" w:type="dxa"/>
            <w:vAlign w:val="bottom"/>
            <w:gridSpan w:val="2"/>
            <w:shd w:val="clear" w:color="auto" w:fill="E5E5E5"/>
          </w:tcPr>
          <w:p>
            <w:pPr>
              <w:jc w:val="right"/>
              <w:spacing w:after="0" w:line="196" w:lineRule="exact"/>
              <w:rPr>
                <w:sz w:val="20"/>
                <w:szCs w:val="20"/>
                <w:color w:val="auto"/>
              </w:rPr>
            </w:pPr>
            <w:r>
              <w:rPr>
                <w:rFonts w:ascii="Arial" w:cs="Arial" w:eastAsia="Arial" w:hAnsi="Arial"/>
                <w:sz w:val="18"/>
                <w:szCs w:val="18"/>
                <w:color w:val="auto"/>
              </w:rPr>
              <w:t>$ 3,799</w:t>
            </w:r>
          </w:p>
        </w:tc>
        <w:tc>
          <w:tcPr>
            <w:tcW w:w="1080" w:type="dxa"/>
            <w:vAlign w:val="bottom"/>
            <w:gridSpan w:val="3"/>
            <w:shd w:val="clear" w:color="auto" w:fill="E5E5E5"/>
          </w:tcPr>
          <w:p>
            <w:pPr>
              <w:jc w:val="right"/>
              <w:ind w:right="100"/>
              <w:spacing w:after="0" w:line="196" w:lineRule="exact"/>
              <w:rPr>
                <w:sz w:val="20"/>
                <w:szCs w:val="20"/>
                <w:color w:val="auto"/>
              </w:rPr>
            </w:pPr>
            <w:r>
              <w:rPr>
                <w:rFonts w:ascii="Arial" w:cs="Arial" w:eastAsia="Arial" w:hAnsi="Arial"/>
                <w:sz w:val="18"/>
                <w:szCs w:val="18"/>
                <w:color w:val="auto"/>
              </w:rPr>
              <w:t>$ 3,799</w:t>
            </w:r>
          </w:p>
        </w:tc>
      </w:tr>
      <w:tr>
        <w:trPr>
          <w:trHeight w:val="203"/>
        </w:trPr>
        <w:tc>
          <w:tcPr>
            <w:tcW w:w="7780" w:type="dxa"/>
            <w:vAlign w:val="bottom"/>
          </w:tcPr>
          <w:p>
            <w:pPr>
              <w:spacing w:after="0" w:line="202" w:lineRule="exact"/>
              <w:rPr>
                <w:sz w:val="20"/>
                <w:szCs w:val="20"/>
                <w:color w:val="auto"/>
              </w:rPr>
            </w:pPr>
            <w:r>
              <w:rPr>
                <w:rFonts w:ascii="Arial" w:cs="Arial" w:eastAsia="Arial" w:hAnsi="Arial"/>
                <w:sz w:val="18"/>
                <w:szCs w:val="18"/>
                <w:color w:val="auto"/>
              </w:rPr>
              <w:t>Accounts receivable, net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2,826</w:t>
            </w: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2,826</w:t>
            </w:r>
          </w:p>
        </w:tc>
        <w:tc>
          <w:tcPr>
            <w:tcW w:w="16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1,702</w:t>
            </w: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1,702</w:t>
            </w:r>
          </w:p>
        </w:tc>
        <w:tc>
          <w:tcPr>
            <w:tcW w:w="100" w:type="dxa"/>
            <w:vAlign w:val="bottom"/>
          </w:tcPr>
          <w:p>
            <w:pPr>
              <w:spacing w:after="0"/>
              <w:rPr>
                <w:sz w:val="17"/>
                <w:szCs w:val="17"/>
                <w:color w:val="auto"/>
              </w:rPr>
            </w:pPr>
          </w:p>
        </w:tc>
      </w:tr>
      <w:tr>
        <w:trPr>
          <w:trHeight w:val="203"/>
        </w:trPr>
        <w:tc>
          <w:tcPr>
            <w:tcW w:w="77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Short-term debt</w:t>
            </w:r>
          </w:p>
        </w:tc>
        <w:tc>
          <w:tcPr>
            <w:tcW w:w="6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1,370</w:t>
            </w:r>
          </w:p>
        </w:tc>
        <w:tc>
          <w:tcPr>
            <w:tcW w:w="96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1,396</w:t>
            </w:r>
          </w:p>
        </w:tc>
        <w:tc>
          <w:tcPr>
            <w:tcW w:w="160" w:type="dxa"/>
            <w:vAlign w:val="bottom"/>
            <w:shd w:val="clear" w:color="auto" w:fill="E5E5E5"/>
          </w:tcPr>
          <w:p>
            <w:pPr>
              <w:spacing w:after="0"/>
              <w:rPr>
                <w:sz w:val="17"/>
                <w:szCs w:val="17"/>
                <w:color w:val="auto"/>
              </w:rPr>
            </w:pPr>
          </w:p>
        </w:tc>
        <w:tc>
          <w:tcPr>
            <w:tcW w:w="80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988</w:t>
            </w:r>
          </w:p>
        </w:tc>
        <w:tc>
          <w:tcPr>
            <w:tcW w:w="98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1,004</w:t>
            </w:r>
          </w:p>
        </w:tc>
        <w:tc>
          <w:tcPr>
            <w:tcW w:w="100" w:type="dxa"/>
            <w:vAlign w:val="bottom"/>
            <w:shd w:val="clear" w:color="auto" w:fill="E5E5E5"/>
          </w:tcPr>
          <w:p>
            <w:pPr>
              <w:spacing w:after="0"/>
              <w:rPr>
                <w:sz w:val="17"/>
                <w:szCs w:val="17"/>
                <w:color w:val="auto"/>
              </w:rPr>
            </w:pPr>
          </w:p>
        </w:tc>
      </w:tr>
      <w:tr>
        <w:trPr>
          <w:trHeight w:val="203"/>
        </w:trPr>
        <w:tc>
          <w:tcPr>
            <w:tcW w:w="7780" w:type="dxa"/>
            <w:vAlign w:val="bottom"/>
          </w:tcPr>
          <w:p>
            <w:pPr>
              <w:spacing w:after="0" w:line="202" w:lineRule="exact"/>
              <w:rPr>
                <w:sz w:val="20"/>
                <w:szCs w:val="20"/>
                <w:color w:val="auto"/>
              </w:rPr>
            </w:pPr>
            <w:r>
              <w:rPr>
                <w:rFonts w:ascii="Arial" w:cs="Arial" w:eastAsia="Arial" w:hAnsi="Arial"/>
                <w:sz w:val="18"/>
                <w:szCs w:val="18"/>
                <w:color w:val="auto"/>
              </w:rPr>
              <w:t>Long-term debt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7,237</w:t>
            </w: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7,742</w:t>
            </w:r>
          </w:p>
        </w:tc>
        <w:tc>
          <w:tcPr>
            <w:tcW w:w="16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8,276</w:t>
            </w: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8,569</w:t>
            </w:r>
          </w:p>
        </w:tc>
        <w:tc>
          <w:tcPr>
            <w:tcW w:w="100" w:type="dxa"/>
            <w:vAlign w:val="bottom"/>
          </w:tcPr>
          <w:p>
            <w:pPr>
              <w:spacing w:after="0"/>
              <w:rPr>
                <w:sz w:val="17"/>
                <w:szCs w:val="17"/>
                <w:color w:val="auto"/>
              </w:rPr>
            </w:pPr>
          </w:p>
        </w:tc>
      </w:tr>
      <w:tr>
        <w:trPr>
          <w:trHeight w:val="203"/>
        </w:trPr>
        <w:tc>
          <w:tcPr>
            <w:tcW w:w="77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Liability to subsidiary trust issuing preferred securities</w:t>
            </w:r>
          </w:p>
        </w:tc>
        <w:tc>
          <w:tcPr>
            <w:tcW w:w="6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650</w:t>
            </w:r>
          </w:p>
        </w:tc>
        <w:tc>
          <w:tcPr>
            <w:tcW w:w="96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670</w:t>
            </w:r>
          </w:p>
        </w:tc>
        <w:tc>
          <w:tcPr>
            <w:tcW w:w="160" w:type="dxa"/>
            <w:vAlign w:val="bottom"/>
            <w:shd w:val="clear" w:color="auto" w:fill="E5E5E5"/>
          </w:tcPr>
          <w:p>
            <w:pPr>
              <w:spacing w:after="0"/>
              <w:rPr>
                <w:sz w:val="17"/>
                <w:szCs w:val="17"/>
                <w:color w:val="auto"/>
              </w:rPr>
            </w:pPr>
          </w:p>
        </w:tc>
        <w:tc>
          <w:tcPr>
            <w:tcW w:w="80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649</w:t>
            </w:r>
          </w:p>
        </w:tc>
        <w:tc>
          <w:tcPr>
            <w:tcW w:w="98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663</w:t>
            </w:r>
          </w:p>
        </w:tc>
        <w:tc>
          <w:tcPr>
            <w:tcW w:w="100" w:type="dxa"/>
            <w:vAlign w:val="bottom"/>
            <w:shd w:val="clear" w:color="auto" w:fill="E5E5E5"/>
          </w:tcPr>
          <w:p>
            <w:pPr>
              <w:spacing w:after="0"/>
              <w:rPr>
                <w:sz w:val="17"/>
                <w:szCs w:val="17"/>
                <w:color w:val="auto"/>
              </w:rPr>
            </w:pPr>
          </w:p>
        </w:tc>
      </w:tr>
    </w:tbl>
    <w:p>
      <w:pPr>
        <w:spacing w:after="0" w:line="16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fair value amounts for Cash and cash equivalents and Accounts receivable, net approximate carrying amounts due to the short maturities of these instruments. The fair value of Short and Long-term debt, as well as our Liability to subsidiary trust issuing preferred securities, was estimated based on quoted market prices for publicly traded securities or on the current rates offered to us for debt of similar maturities. The difference between the fair value and the carrying value represents the theoretical net premium or discount we would pay or receive to retire all debt at such date.</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b w:val="1"/>
          <w:bCs w:val="1"/>
          <w:color w:val="4C9F40"/>
        </w:rPr>
        <w:t>Note 15 – Employee Benefit Plans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We sponsor numerous pension and other post-retirement benefit plans, primarily retiree health, in our domestic and international operations.</w:t>
      </w:r>
    </w:p>
    <w:p>
      <w:pPr>
        <w:spacing w:after="0"/>
        <w:rPr>
          <w:sz w:val="20"/>
          <w:szCs w:val="20"/>
          <w:color w:val="auto"/>
        </w:rPr>
      </w:pPr>
      <w:r>
        <w:rPr>
          <w:rFonts w:ascii="Arial" w:cs="Arial" w:eastAsia="Arial" w:hAnsi="Arial"/>
          <w:sz w:val="18"/>
          <w:szCs w:val="18"/>
          <w:color w:val="auto"/>
        </w:rPr>
        <w:t>December 31 is the measurement date for all of our other post-retirement benefit plans.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5"/>
          </w:tcPr>
          <w:p>
            <w:pPr>
              <w:jc w:val="right"/>
              <w:ind w:right="560"/>
              <w:spacing w:after="0"/>
              <w:rPr>
                <w:sz w:val="20"/>
                <w:szCs w:val="20"/>
                <w:color w:val="auto"/>
              </w:rPr>
            </w:pPr>
            <w:r>
              <w:rPr>
                <w:rFonts w:ascii="Arial" w:cs="Arial" w:eastAsia="Arial" w:hAnsi="Arial"/>
                <w:sz w:val="14"/>
                <w:szCs w:val="14"/>
                <w:color w:val="auto"/>
              </w:rPr>
              <w:t>Pension Benefits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5"/>
          </w:tcPr>
          <w:p>
            <w:pPr>
              <w:jc w:val="right"/>
              <w:ind w:right="560"/>
              <w:spacing w:after="0"/>
              <w:rPr>
                <w:sz w:val="20"/>
                <w:szCs w:val="20"/>
                <w:color w:val="auto"/>
              </w:rPr>
            </w:pPr>
            <w:r>
              <w:rPr>
                <w:rFonts w:ascii="Arial" w:cs="Arial" w:eastAsia="Arial" w:hAnsi="Arial"/>
                <w:sz w:val="14"/>
                <w:szCs w:val="14"/>
                <w:color w:val="auto"/>
              </w:rPr>
              <w:t>Retiree Health</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color w:val="auto"/>
              </w:rPr>
              <w:t>2010</w:t>
            </w: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color w:val="auto"/>
              </w:rPr>
              <w:t>2009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color w:val="auto"/>
              </w:rPr>
              <w:t>2010</w:t>
            </w: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40" w:type="dxa"/>
            <w:vAlign w:val="bottom"/>
            <w:shd w:val="clear" w:color="auto" w:fill="E5E5E5"/>
          </w:tcPr>
          <w:p>
            <w:pPr>
              <w:spacing w:after="0" w:line="196" w:lineRule="exact"/>
              <w:rPr>
                <w:sz w:val="20"/>
                <w:szCs w:val="20"/>
                <w:color w:val="auto"/>
              </w:rPr>
            </w:pPr>
            <w:r>
              <w:rPr>
                <w:rFonts w:ascii="Arial" w:cs="Arial" w:eastAsia="Arial" w:hAnsi="Arial"/>
                <w:sz w:val="18"/>
                <w:szCs w:val="18"/>
                <w:b w:val="1"/>
                <w:bCs w:val="1"/>
                <w:color w:val="auto"/>
              </w:rPr>
              <w:t>Change in Benefit Obligation:</w:t>
            </w:r>
          </w:p>
        </w:tc>
        <w:tc>
          <w:tcPr>
            <w:tcW w:w="13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60" w:type="dxa"/>
            <w:vAlign w:val="bottom"/>
            <w:gridSpan w:val="2"/>
          </w:tcPr>
          <w:p>
            <w:pPr>
              <w:spacing w:after="0" w:line="202" w:lineRule="exact"/>
              <w:rPr>
                <w:sz w:val="20"/>
                <w:szCs w:val="20"/>
                <w:color w:val="auto"/>
              </w:rPr>
            </w:pPr>
            <w:r>
              <w:rPr>
                <w:rFonts w:ascii="Arial" w:cs="Arial" w:eastAsia="Arial" w:hAnsi="Arial"/>
                <w:sz w:val="18"/>
                <w:szCs w:val="18"/>
                <w:color w:val="auto"/>
              </w:rPr>
              <w:t>Benefit obligation, January 1</w:t>
            </w:r>
          </w:p>
        </w:tc>
        <w:tc>
          <w:tcPr>
            <w:tcW w:w="14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9,194</w:t>
            </w:r>
          </w:p>
        </w:tc>
        <w:tc>
          <w:tcPr>
            <w:tcW w:w="32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8,495</w:t>
            </w:r>
          </w:p>
        </w:tc>
        <w:tc>
          <w:tcPr>
            <w:tcW w:w="180" w:type="dxa"/>
            <w:vAlign w:val="bottom"/>
          </w:tcPr>
          <w:p>
            <w:pPr>
              <w:spacing w:after="0"/>
              <w:rPr>
                <w:sz w:val="17"/>
                <w:szCs w:val="17"/>
                <w:color w:val="auto"/>
              </w:rPr>
            </w:pPr>
          </w:p>
        </w:tc>
        <w:tc>
          <w:tcPr>
            <w:tcW w:w="2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1,102</w:t>
            </w:r>
          </w:p>
        </w:tc>
        <w:tc>
          <w:tcPr>
            <w:tcW w:w="32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1,002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Service cost</w:t>
            </w:r>
          </w:p>
        </w:tc>
        <w:tc>
          <w:tcPr>
            <w:tcW w:w="13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5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178</w:t>
            </w:r>
          </w:p>
        </w:tc>
        <w:tc>
          <w:tcPr>
            <w:tcW w:w="3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5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173</w:t>
            </w:r>
          </w:p>
        </w:tc>
        <w:tc>
          <w:tcPr>
            <w:tcW w:w="1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900" w:type="dxa"/>
            <w:vAlign w:val="bottom"/>
            <w:gridSpan w:val="2"/>
            <w:shd w:val="clear" w:color="auto" w:fill="E5E5E5"/>
          </w:tcPr>
          <w:p>
            <w:pPr>
              <w:jc w:val="right"/>
              <w:ind w:right="320"/>
              <w:spacing w:after="0" w:line="202" w:lineRule="exact"/>
              <w:rPr>
                <w:sz w:val="20"/>
                <w:szCs w:val="20"/>
                <w:color w:val="auto"/>
              </w:rPr>
            </w:pPr>
            <w:r>
              <w:rPr>
                <w:rFonts w:ascii="Arial" w:cs="Arial" w:eastAsia="Arial" w:hAnsi="Arial"/>
                <w:sz w:val="18"/>
                <w:szCs w:val="18"/>
                <w:color w:val="auto"/>
              </w:rPr>
              <w:t>8</w:t>
            </w:r>
          </w:p>
        </w:tc>
        <w:tc>
          <w:tcPr>
            <w:tcW w:w="140" w:type="dxa"/>
            <w:vAlign w:val="bottom"/>
            <w:shd w:val="clear" w:color="auto" w:fill="E5E5E5"/>
          </w:tcPr>
          <w:p>
            <w:pPr>
              <w:spacing w:after="0"/>
              <w:rPr>
                <w:sz w:val="17"/>
                <w:szCs w:val="17"/>
                <w:color w:val="auto"/>
              </w:rPr>
            </w:pPr>
          </w:p>
        </w:tc>
        <w:tc>
          <w:tcPr>
            <w:tcW w:w="6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6160" w:type="dxa"/>
            <w:vAlign w:val="bottom"/>
            <w:gridSpan w:val="2"/>
          </w:tcPr>
          <w:p>
            <w:pPr>
              <w:spacing w:after="0" w:line="202" w:lineRule="exact"/>
              <w:rPr>
                <w:sz w:val="20"/>
                <w:szCs w:val="20"/>
                <w:color w:val="auto"/>
              </w:rPr>
            </w:pPr>
            <w:r>
              <w:rPr>
                <w:rFonts w:ascii="Arial" w:cs="Arial" w:eastAsia="Arial" w:hAnsi="Arial"/>
                <w:sz w:val="18"/>
                <w:szCs w:val="18"/>
                <w:color w:val="auto"/>
              </w:rPr>
              <w:t>Interest cost</w:t>
            </w: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575</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508</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54</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Plan participants’ contributions</w:t>
            </w:r>
          </w:p>
        </w:tc>
        <w:tc>
          <w:tcPr>
            <w:tcW w:w="13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5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11</w:t>
            </w:r>
          </w:p>
        </w:tc>
        <w:tc>
          <w:tcPr>
            <w:tcW w:w="3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76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9</w:t>
            </w:r>
          </w:p>
        </w:tc>
        <w:tc>
          <w:tcPr>
            <w:tcW w:w="14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5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26</w:t>
            </w:r>
          </w:p>
        </w:tc>
        <w:tc>
          <w:tcPr>
            <w:tcW w:w="3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6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spacing w:after="0" w:line="203" w:lineRule="exact"/>
              <w:rPr>
                <w:sz w:val="20"/>
                <w:szCs w:val="20"/>
                <w:color w:val="auto"/>
              </w:rPr>
            </w:pPr>
            <w:r>
              <w:rPr>
                <w:rFonts w:ascii="Arial" w:cs="Arial" w:eastAsia="Arial" w:hAnsi="Arial"/>
                <w:sz w:val="18"/>
                <w:szCs w:val="18"/>
                <w:color w:val="auto"/>
              </w:rPr>
              <w:t>Plan amendments</w:t>
            </w:r>
            <w:r>
              <w:rPr>
                <w:rFonts w:ascii="Arial" w:cs="Arial" w:eastAsia="Arial" w:hAnsi="Arial"/>
                <w:sz w:val="22"/>
                <w:szCs w:val="22"/>
                <w:b w:val="1"/>
                <w:bCs w:val="1"/>
                <w:color w:val="auto"/>
                <w:vertAlign w:val="superscript"/>
              </w:rPr>
              <w:t>(3)</w:t>
            </w: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(19)</w:t>
            </w:r>
          </w:p>
        </w:tc>
        <w:tc>
          <w:tcPr>
            <w:tcW w:w="140" w:type="dxa"/>
            <w:vAlign w:val="bottom"/>
          </w:tcPr>
          <w:p>
            <w:pPr>
              <w:spacing w:after="0"/>
              <w:rPr>
                <w:sz w:val="17"/>
                <w:szCs w:val="17"/>
                <w:color w:val="auto"/>
              </w:rPr>
            </w:pPr>
          </w:p>
        </w:tc>
        <w:tc>
          <w:tcPr>
            <w:tcW w:w="7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(86)</w:t>
            </w:r>
          </w:p>
        </w:tc>
        <w:tc>
          <w:tcPr>
            <w:tcW w:w="14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Actuarial loss (gain)</w:t>
            </w:r>
          </w:p>
        </w:tc>
        <w:tc>
          <w:tcPr>
            <w:tcW w:w="13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5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477</w:t>
            </w:r>
          </w:p>
        </w:tc>
        <w:tc>
          <w:tcPr>
            <w:tcW w:w="3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5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209</w:t>
            </w:r>
          </w:p>
        </w:tc>
        <w:tc>
          <w:tcPr>
            <w:tcW w:w="1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5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13</w:t>
            </w:r>
          </w:p>
        </w:tc>
        <w:tc>
          <w:tcPr>
            <w:tcW w:w="3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5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124</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spacing w:after="0" w:line="203" w:lineRule="exact"/>
              <w:rPr>
                <w:sz w:val="20"/>
                <w:szCs w:val="20"/>
                <w:color w:val="auto"/>
              </w:rPr>
            </w:pPr>
            <w:r>
              <w:rPr>
                <w:rFonts w:ascii="Arial" w:cs="Arial" w:eastAsia="Arial" w:hAnsi="Arial"/>
                <w:sz w:val="18"/>
                <w:szCs w:val="18"/>
                <w:color w:val="auto"/>
              </w:rPr>
              <w:t>Acquisitions</w:t>
            </w:r>
            <w:r>
              <w:rPr>
                <w:rFonts w:ascii="Arial" w:cs="Arial" w:eastAsia="Arial" w:hAnsi="Arial"/>
                <w:sz w:val="22"/>
                <w:szCs w:val="22"/>
                <w:b w:val="1"/>
                <w:bCs w:val="1"/>
                <w:color w:val="auto"/>
                <w:vertAlign w:val="superscript"/>
              </w:rPr>
              <w:t>(2)</w:t>
            </w: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140</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w:t>
            </w:r>
          </w:p>
        </w:tc>
        <w:tc>
          <w:tcPr>
            <w:tcW w:w="14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Currency exchange rate changes</w:t>
            </w:r>
          </w:p>
        </w:tc>
        <w:tc>
          <w:tcPr>
            <w:tcW w:w="13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900" w:type="dxa"/>
            <w:vAlign w:val="bottom"/>
            <w:gridSpan w:val="2"/>
            <w:shd w:val="clear" w:color="auto" w:fill="E5E5E5"/>
          </w:tcPr>
          <w:p>
            <w:pPr>
              <w:jc w:val="right"/>
              <w:ind w:right="260"/>
              <w:spacing w:after="0" w:line="202" w:lineRule="exact"/>
              <w:rPr>
                <w:sz w:val="20"/>
                <w:szCs w:val="20"/>
                <w:color w:val="auto"/>
              </w:rPr>
            </w:pPr>
            <w:r>
              <w:rPr>
                <w:rFonts w:ascii="Arial" w:cs="Arial" w:eastAsia="Arial" w:hAnsi="Arial"/>
                <w:sz w:val="18"/>
                <w:szCs w:val="18"/>
                <w:color w:val="auto"/>
              </w:rPr>
              <w:t>(154)</w:t>
            </w:r>
          </w:p>
        </w:tc>
        <w:tc>
          <w:tcPr>
            <w:tcW w:w="140" w:type="dxa"/>
            <w:vAlign w:val="bottom"/>
            <w:shd w:val="clear" w:color="auto" w:fill="E5E5E5"/>
          </w:tcPr>
          <w:p>
            <w:pPr>
              <w:spacing w:after="0"/>
              <w:rPr>
                <w:sz w:val="17"/>
                <w:szCs w:val="17"/>
                <w:color w:val="auto"/>
              </w:rPr>
            </w:pPr>
          </w:p>
        </w:tc>
        <w:tc>
          <w:tcPr>
            <w:tcW w:w="5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373</w:t>
            </w:r>
          </w:p>
        </w:tc>
        <w:tc>
          <w:tcPr>
            <w:tcW w:w="1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900" w:type="dxa"/>
            <w:vAlign w:val="bottom"/>
            <w:gridSpan w:val="2"/>
            <w:shd w:val="clear" w:color="auto" w:fill="E5E5E5"/>
          </w:tcPr>
          <w:p>
            <w:pPr>
              <w:jc w:val="right"/>
              <w:ind w:right="320"/>
              <w:spacing w:after="0" w:line="202" w:lineRule="exact"/>
              <w:rPr>
                <w:sz w:val="20"/>
                <w:szCs w:val="20"/>
                <w:color w:val="auto"/>
              </w:rPr>
            </w:pPr>
            <w:r>
              <w:rPr>
                <w:rFonts w:ascii="Arial" w:cs="Arial" w:eastAsia="Arial" w:hAnsi="Arial"/>
                <w:sz w:val="18"/>
                <w:szCs w:val="18"/>
                <w:color w:val="auto"/>
              </w:rPr>
              <w:t>6</w:t>
            </w:r>
          </w:p>
        </w:tc>
        <w:tc>
          <w:tcPr>
            <w:tcW w:w="140" w:type="dxa"/>
            <w:vAlign w:val="bottom"/>
            <w:shd w:val="clear" w:color="auto" w:fill="E5E5E5"/>
          </w:tcPr>
          <w:p>
            <w:pPr>
              <w:spacing w:after="0"/>
              <w:rPr>
                <w:sz w:val="17"/>
                <w:szCs w:val="17"/>
                <w:color w:val="auto"/>
              </w:rPr>
            </w:pPr>
          </w:p>
        </w:tc>
        <w:tc>
          <w:tcPr>
            <w:tcW w:w="6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3"/>
        </w:trPr>
        <w:tc>
          <w:tcPr>
            <w:tcW w:w="6160" w:type="dxa"/>
            <w:vAlign w:val="bottom"/>
            <w:gridSpan w:val="2"/>
          </w:tcPr>
          <w:p>
            <w:pPr>
              <w:spacing w:after="0" w:line="202" w:lineRule="exact"/>
              <w:rPr>
                <w:sz w:val="20"/>
                <w:szCs w:val="20"/>
                <w:color w:val="auto"/>
              </w:rPr>
            </w:pPr>
            <w:r>
              <w:rPr>
                <w:rFonts w:ascii="Arial" w:cs="Arial" w:eastAsia="Arial" w:hAnsi="Arial"/>
                <w:sz w:val="18"/>
                <w:szCs w:val="18"/>
                <w:color w:val="auto"/>
              </w:rPr>
              <w:t>Curtailments</w:t>
            </w: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w:t>
            </w:r>
          </w:p>
        </w:tc>
        <w:tc>
          <w:tcPr>
            <w:tcW w:w="140" w:type="dxa"/>
            <w:vAlign w:val="bottom"/>
          </w:tcPr>
          <w:p>
            <w:pPr>
              <w:spacing w:after="0"/>
              <w:rPr>
                <w:sz w:val="17"/>
                <w:szCs w:val="17"/>
                <w:color w:val="auto"/>
              </w:rPr>
            </w:pPr>
          </w:p>
        </w:tc>
        <w:tc>
          <w:tcPr>
            <w:tcW w:w="7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Benefits paid/settlements</w:t>
            </w:r>
          </w:p>
        </w:tc>
        <w:tc>
          <w:tcPr>
            <w:tcW w:w="13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900" w:type="dxa"/>
            <w:vAlign w:val="bottom"/>
            <w:gridSpan w:val="2"/>
            <w:shd w:val="clear" w:color="auto" w:fill="E5E5E5"/>
          </w:tcPr>
          <w:p>
            <w:pPr>
              <w:jc w:val="right"/>
              <w:ind w:right="260"/>
              <w:spacing w:after="0" w:line="202" w:lineRule="exact"/>
              <w:rPr>
                <w:sz w:val="20"/>
                <w:szCs w:val="20"/>
                <w:color w:val="auto"/>
              </w:rPr>
            </w:pPr>
            <w:r>
              <w:rPr>
                <w:rFonts w:ascii="Arial" w:cs="Arial" w:eastAsia="Arial" w:hAnsi="Arial"/>
                <w:sz w:val="18"/>
                <w:szCs w:val="18"/>
                <w:color w:val="auto"/>
              </w:rPr>
              <w:t>(670)</w:t>
            </w:r>
          </w:p>
        </w:tc>
        <w:tc>
          <w:tcPr>
            <w:tcW w:w="140" w:type="dxa"/>
            <w:vAlign w:val="bottom"/>
            <w:shd w:val="clear" w:color="auto" w:fill="E5E5E5"/>
          </w:tcPr>
          <w:p>
            <w:pPr>
              <w:spacing w:after="0"/>
              <w:rPr>
                <w:sz w:val="17"/>
                <w:szCs w:val="17"/>
                <w:color w:val="auto"/>
              </w:rPr>
            </w:pPr>
          </w:p>
        </w:tc>
        <w:tc>
          <w:tcPr>
            <w:tcW w:w="76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(578)</w:t>
            </w:r>
          </w:p>
        </w:tc>
        <w:tc>
          <w:tcPr>
            <w:tcW w:w="14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900" w:type="dxa"/>
            <w:vAlign w:val="bottom"/>
            <w:gridSpan w:val="2"/>
            <w:shd w:val="clear" w:color="auto" w:fill="E5E5E5"/>
          </w:tcPr>
          <w:p>
            <w:pPr>
              <w:jc w:val="right"/>
              <w:ind w:right="260"/>
              <w:spacing w:after="0" w:line="202" w:lineRule="exact"/>
              <w:rPr>
                <w:sz w:val="20"/>
                <w:szCs w:val="20"/>
                <w:color w:val="auto"/>
              </w:rPr>
            </w:pPr>
            <w:r>
              <w:rPr>
                <w:rFonts w:ascii="Arial" w:cs="Arial" w:eastAsia="Arial" w:hAnsi="Arial"/>
                <w:sz w:val="18"/>
                <w:szCs w:val="18"/>
                <w:color w:val="auto"/>
              </w:rPr>
              <w:t>(118)</w:t>
            </w:r>
          </w:p>
        </w:tc>
        <w:tc>
          <w:tcPr>
            <w:tcW w:w="140" w:type="dxa"/>
            <w:vAlign w:val="bottom"/>
            <w:shd w:val="clear" w:color="auto" w:fill="E5E5E5"/>
          </w:tcPr>
          <w:p>
            <w:pPr>
              <w:spacing w:after="0"/>
              <w:rPr>
                <w:sz w:val="17"/>
                <w:szCs w:val="17"/>
                <w:color w:val="auto"/>
              </w:rPr>
            </w:pPr>
          </w:p>
        </w:tc>
        <w:tc>
          <w:tcPr>
            <w:tcW w:w="68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0"/>
        </w:trPr>
        <w:tc>
          <w:tcPr>
            <w:tcW w:w="6160" w:type="dxa"/>
            <w:vAlign w:val="bottom"/>
            <w:gridSpan w:val="2"/>
          </w:tcPr>
          <w:p>
            <w:pPr>
              <w:spacing w:after="0"/>
              <w:rPr>
                <w:sz w:val="20"/>
                <w:szCs w:val="20"/>
                <w:color w:val="auto"/>
              </w:rPr>
            </w:pPr>
            <w:r>
              <w:rPr>
                <w:rFonts w:ascii="Arial" w:cs="Arial" w:eastAsia="Arial" w:hAnsi="Arial"/>
                <w:sz w:val="18"/>
                <w:szCs w:val="18"/>
                <w:b w:val="1"/>
                <w:bCs w:val="1"/>
                <w:color w:val="auto"/>
              </w:rPr>
              <w:t>Benefit obligation, December 31</w:t>
            </w:r>
          </w:p>
        </w:tc>
        <w:tc>
          <w:tcPr>
            <w:tcW w:w="13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9,731</w:t>
            </w:r>
          </w:p>
        </w:tc>
        <w:tc>
          <w:tcPr>
            <w:tcW w:w="3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9,194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1,006</w:t>
            </w:r>
          </w:p>
        </w:tc>
        <w:tc>
          <w:tcPr>
            <w:tcW w:w="3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14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Change in Plan Assets:</w:t>
            </w:r>
          </w:p>
        </w:tc>
        <w:tc>
          <w:tcPr>
            <w:tcW w:w="13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60" w:type="dxa"/>
            <w:vAlign w:val="bottom"/>
            <w:gridSpan w:val="2"/>
          </w:tcPr>
          <w:p>
            <w:pPr>
              <w:spacing w:after="0" w:line="202" w:lineRule="exact"/>
              <w:rPr>
                <w:sz w:val="20"/>
                <w:szCs w:val="20"/>
                <w:color w:val="auto"/>
              </w:rPr>
            </w:pPr>
            <w:r>
              <w:rPr>
                <w:rFonts w:ascii="Arial" w:cs="Arial" w:eastAsia="Arial" w:hAnsi="Arial"/>
                <w:sz w:val="18"/>
                <w:szCs w:val="18"/>
                <w:color w:val="auto"/>
              </w:rPr>
              <w:t>Fair value of plan assets, January 1</w:t>
            </w: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7,561</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6,923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Actual return on plan assets</w:t>
            </w:r>
          </w:p>
        </w:tc>
        <w:tc>
          <w:tcPr>
            <w:tcW w:w="13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5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846</w:t>
            </w:r>
          </w:p>
        </w:tc>
        <w:tc>
          <w:tcPr>
            <w:tcW w:w="3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5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720</w:t>
            </w:r>
          </w:p>
        </w:tc>
        <w:tc>
          <w:tcPr>
            <w:tcW w:w="1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900" w:type="dxa"/>
            <w:vAlign w:val="bottom"/>
            <w:gridSpan w:val="2"/>
            <w:shd w:val="clear" w:color="auto" w:fill="E5E5E5"/>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E5E5E5"/>
          </w:tcPr>
          <w:p>
            <w:pPr>
              <w:spacing w:after="0"/>
              <w:rPr>
                <w:sz w:val="17"/>
                <w:szCs w:val="17"/>
                <w:color w:val="auto"/>
              </w:rPr>
            </w:pPr>
          </w:p>
        </w:tc>
        <w:tc>
          <w:tcPr>
            <w:tcW w:w="6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160" w:type="dxa"/>
            <w:vAlign w:val="bottom"/>
            <w:gridSpan w:val="2"/>
          </w:tcPr>
          <w:p>
            <w:pPr>
              <w:spacing w:after="0" w:line="202" w:lineRule="exact"/>
              <w:rPr>
                <w:sz w:val="20"/>
                <w:szCs w:val="20"/>
                <w:color w:val="auto"/>
              </w:rPr>
            </w:pPr>
            <w:r>
              <w:rPr>
                <w:rFonts w:ascii="Arial" w:cs="Arial" w:eastAsia="Arial" w:hAnsi="Arial"/>
                <w:sz w:val="18"/>
                <w:szCs w:val="18"/>
                <w:color w:val="auto"/>
              </w:rPr>
              <w:t>Employer contribution</w:t>
            </w: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237</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122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92</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Plan participants’ contributions</w:t>
            </w:r>
          </w:p>
        </w:tc>
        <w:tc>
          <w:tcPr>
            <w:tcW w:w="13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5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11</w:t>
            </w:r>
          </w:p>
        </w:tc>
        <w:tc>
          <w:tcPr>
            <w:tcW w:w="3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76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9</w:t>
            </w:r>
          </w:p>
        </w:tc>
        <w:tc>
          <w:tcPr>
            <w:tcW w:w="14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5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26</w:t>
            </w:r>
          </w:p>
        </w:tc>
        <w:tc>
          <w:tcPr>
            <w:tcW w:w="3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6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spacing w:after="0" w:line="203" w:lineRule="exact"/>
              <w:rPr>
                <w:sz w:val="20"/>
                <w:szCs w:val="20"/>
                <w:color w:val="auto"/>
              </w:rPr>
            </w:pPr>
            <w:r>
              <w:rPr>
                <w:rFonts w:ascii="Arial" w:cs="Arial" w:eastAsia="Arial" w:hAnsi="Arial"/>
                <w:sz w:val="18"/>
                <w:szCs w:val="18"/>
                <w:color w:val="auto"/>
              </w:rPr>
              <w:t>Acquisitions</w:t>
            </w:r>
            <w:r>
              <w:rPr>
                <w:rFonts w:ascii="Arial" w:cs="Arial" w:eastAsia="Arial" w:hAnsi="Arial"/>
                <w:sz w:val="22"/>
                <w:szCs w:val="22"/>
                <w:b w:val="1"/>
                <w:bCs w:val="1"/>
                <w:color w:val="auto"/>
                <w:vertAlign w:val="superscript"/>
              </w:rPr>
              <w:t>(3)</w:t>
            </w: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107</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Currency exchange rate changes</w:t>
            </w:r>
          </w:p>
        </w:tc>
        <w:tc>
          <w:tcPr>
            <w:tcW w:w="13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900" w:type="dxa"/>
            <w:vAlign w:val="bottom"/>
            <w:gridSpan w:val="2"/>
            <w:shd w:val="clear" w:color="auto" w:fill="E5E5E5"/>
          </w:tcPr>
          <w:p>
            <w:pPr>
              <w:jc w:val="right"/>
              <w:ind w:right="260"/>
              <w:spacing w:after="0" w:line="202" w:lineRule="exact"/>
              <w:rPr>
                <w:sz w:val="20"/>
                <w:szCs w:val="20"/>
                <w:color w:val="auto"/>
              </w:rPr>
            </w:pPr>
            <w:r>
              <w:rPr>
                <w:rFonts w:ascii="Arial" w:cs="Arial" w:eastAsia="Arial" w:hAnsi="Arial"/>
                <w:sz w:val="18"/>
                <w:szCs w:val="18"/>
                <w:color w:val="auto"/>
              </w:rPr>
              <w:t>(144)</w:t>
            </w:r>
          </w:p>
        </w:tc>
        <w:tc>
          <w:tcPr>
            <w:tcW w:w="140" w:type="dxa"/>
            <w:vAlign w:val="bottom"/>
            <w:shd w:val="clear" w:color="auto" w:fill="E5E5E5"/>
          </w:tcPr>
          <w:p>
            <w:pPr>
              <w:spacing w:after="0"/>
              <w:rPr>
                <w:sz w:val="17"/>
                <w:szCs w:val="17"/>
                <w:color w:val="auto"/>
              </w:rPr>
            </w:pPr>
          </w:p>
        </w:tc>
        <w:tc>
          <w:tcPr>
            <w:tcW w:w="5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349</w:t>
            </w:r>
          </w:p>
        </w:tc>
        <w:tc>
          <w:tcPr>
            <w:tcW w:w="1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900" w:type="dxa"/>
            <w:vAlign w:val="bottom"/>
            <w:gridSpan w:val="2"/>
            <w:shd w:val="clear" w:color="auto" w:fill="E5E5E5"/>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E5E5E5"/>
          </w:tcPr>
          <w:p>
            <w:pPr>
              <w:spacing w:after="0"/>
              <w:rPr>
                <w:sz w:val="17"/>
                <w:szCs w:val="17"/>
                <w:color w:val="auto"/>
              </w:rPr>
            </w:pPr>
          </w:p>
        </w:tc>
        <w:tc>
          <w:tcPr>
            <w:tcW w:w="6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160" w:type="dxa"/>
            <w:vAlign w:val="bottom"/>
            <w:gridSpan w:val="2"/>
          </w:tcPr>
          <w:p>
            <w:pPr>
              <w:spacing w:after="0" w:line="202" w:lineRule="exact"/>
              <w:rPr>
                <w:sz w:val="20"/>
                <w:szCs w:val="20"/>
                <w:color w:val="auto"/>
              </w:rPr>
            </w:pPr>
            <w:r>
              <w:rPr>
                <w:rFonts w:ascii="Arial" w:cs="Arial" w:eastAsia="Arial" w:hAnsi="Arial"/>
                <w:sz w:val="18"/>
                <w:szCs w:val="18"/>
                <w:color w:val="auto"/>
              </w:rPr>
              <w:t>Benefits paid/settlements</w:t>
            </w: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(669)</w:t>
            </w:r>
          </w:p>
        </w:tc>
        <w:tc>
          <w:tcPr>
            <w:tcW w:w="140" w:type="dxa"/>
            <w:vAlign w:val="bottom"/>
          </w:tcPr>
          <w:p>
            <w:pPr>
              <w:spacing w:after="0"/>
              <w:rPr>
                <w:sz w:val="17"/>
                <w:szCs w:val="17"/>
                <w:color w:val="auto"/>
              </w:rPr>
            </w:pPr>
          </w:p>
        </w:tc>
        <w:tc>
          <w:tcPr>
            <w:tcW w:w="7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(578)</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(118)</w:t>
            </w:r>
          </w:p>
        </w:tc>
        <w:tc>
          <w:tcPr>
            <w:tcW w:w="140" w:type="dxa"/>
            <w:vAlign w:val="bottom"/>
          </w:tcPr>
          <w:p>
            <w:pPr>
              <w:spacing w:after="0"/>
              <w:rPr>
                <w:sz w:val="17"/>
                <w:szCs w:val="17"/>
                <w:color w:val="auto"/>
              </w:rPr>
            </w:pPr>
          </w:p>
        </w:tc>
        <w:tc>
          <w:tcPr>
            <w:tcW w:w="6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Other</w:t>
            </w:r>
          </w:p>
        </w:tc>
        <w:tc>
          <w:tcPr>
            <w:tcW w:w="13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900" w:type="dxa"/>
            <w:vAlign w:val="bottom"/>
            <w:gridSpan w:val="2"/>
            <w:shd w:val="clear" w:color="auto" w:fill="E5E5E5"/>
          </w:tcPr>
          <w:p>
            <w:pPr>
              <w:jc w:val="right"/>
              <w:ind w:right="260"/>
              <w:spacing w:after="0" w:line="202" w:lineRule="exact"/>
              <w:rPr>
                <w:sz w:val="20"/>
                <w:szCs w:val="20"/>
                <w:color w:val="auto"/>
              </w:rPr>
            </w:pPr>
            <w:r>
              <w:rPr>
                <w:rFonts w:ascii="Arial" w:cs="Arial" w:eastAsia="Arial" w:hAnsi="Arial"/>
                <w:sz w:val="18"/>
                <w:szCs w:val="18"/>
                <w:color w:val="auto"/>
              </w:rPr>
              <w:t>(9)</w:t>
            </w:r>
          </w:p>
        </w:tc>
        <w:tc>
          <w:tcPr>
            <w:tcW w:w="140" w:type="dxa"/>
            <w:vAlign w:val="bottom"/>
            <w:shd w:val="clear" w:color="auto" w:fill="E5E5E5"/>
          </w:tcPr>
          <w:p>
            <w:pPr>
              <w:spacing w:after="0"/>
              <w:rPr>
                <w:sz w:val="17"/>
                <w:szCs w:val="17"/>
                <w:color w:val="auto"/>
              </w:rPr>
            </w:pPr>
          </w:p>
        </w:tc>
        <w:tc>
          <w:tcPr>
            <w:tcW w:w="76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16</w:t>
            </w:r>
          </w:p>
        </w:tc>
        <w:tc>
          <w:tcPr>
            <w:tcW w:w="14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900" w:type="dxa"/>
            <w:vAlign w:val="bottom"/>
            <w:gridSpan w:val="2"/>
            <w:shd w:val="clear" w:color="auto" w:fill="E5E5E5"/>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E5E5E5"/>
          </w:tcPr>
          <w:p>
            <w:pPr>
              <w:spacing w:after="0"/>
              <w:rPr>
                <w:sz w:val="17"/>
                <w:szCs w:val="17"/>
                <w:color w:val="auto"/>
              </w:rPr>
            </w:pPr>
          </w:p>
        </w:tc>
        <w:tc>
          <w:tcPr>
            <w:tcW w:w="6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6160" w:type="dxa"/>
            <w:vAlign w:val="bottom"/>
            <w:gridSpan w:val="2"/>
          </w:tcPr>
          <w:p>
            <w:pPr>
              <w:spacing w:after="0"/>
              <w:rPr>
                <w:sz w:val="20"/>
                <w:szCs w:val="20"/>
                <w:color w:val="auto"/>
              </w:rPr>
            </w:pPr>
            <w:r>
              <w:rPr>
                <w:rFonts w:ascii="Arial" w:cs="Arial" w:eastAsia="Arial" w:hAnsi="Arial"/>
                <w:sz w:val="18"/>
                <w:szCs w:val="18"/>
                <w:b w:val="1"/>
                <w:bCs w:val="1"/>
                <w:color w:val="auto"/>
              </w:rPr>
              <w:t>Fair value of plan assets, December 31</w:t>
            </w:r>
          </w:p>
        </w:tc>
        <w:tc>
          <w:tcPr>
            <w:tcW w:w="13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7,940</w:t>
            </w:r>
          </w:p>
        </w:tc>
        <w:tc>
          <w:tcPr>
            <w:tcW w:w="3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7,561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E5E5E5"/>
          </w:tcPr>
          <w:p>
            <w:pPr>
              <w:spacing w:after="0" w:line="203" w:lineRule="exact"/>
              <w:rPr>
                <w:sz w:val="20"/>
                <w:szCs w:val="20"/>
                <w:color w:val="auto"/>
              </w:rPr>
            </w:pPr>
            <w:r>
              <w:rPr>
                <w:rFonts w:ascii="Arial" w:cs="Arial" w:eastAsia="Arial" w:hAnsi="Arial"/>
                <w:sz w:val="18"/>
                <w:szCs w:val="18"/>
                <w:b w:val="1"/>
                <w:bCs w:val="1"/>
                <w:color w:val="auto"/>
              </w:rPr>
              <w:t>Net funded status at December 31</w:t>
            </w:r>
            <w:r>
              <w:rPr>
                <w:rFonts w:ascii="Arial" w:cs="Arial" w:eastAsia="Arial" w:hAnsi="Arial"/>
                <w:sz w:val="22"/>
                <w:szCs w:val="22"/>
                <w:b w:val="1"/>
                <w:bCs w:val="1"/>
                <w:color w:val="auto"/>
                <w:vertAlign w:val="superscript"/>
              </w:rPr>
              <w:t>(1 )</w:t>
            </w:r>
          </w:p>
        </w:tc>
        <w:tc>
          <w:tcPr>
            <w:tcW w:w="146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E5E5E5"/>
          </w:tcPr>
          <w:p>
            <w:pPr>
              <w:jc w:val="right"/>
              <w:ind w:right="260"/>
              <w:spacing w:after="0" w:line="202" w:lineRule="exact"/>
              <w:rPr>
                <w:sz w:val="20"/>
                <w:szCs w:val="20"/>
                <w:color w:val="auto"/>
              </w:rPr>
            </w:pPr>
            <w:r>
              <w:rPr>
                <w:rFonts w:ascii="Arial" w:cs="Arial" w:eastAsia="Arial" w:hAnsi="Arial"/>
                <w:sz w:val="18"/>
                <w:szCs w:val="18"/>
                <w:color w:val="auto"/>
              </w:rPr>
              <w:t>(1,791)</w:t>
            </w:r>
          </w:p>
        </w:tc>
        <w:tc>
          <w:tcPr>
            <w:tcW w:w="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(1,633)</w:t>
            </w:r>
          </w:p>
        </w:tc>
        <w:tc>
          <w:tcPr>
            <w:tcW w:w="28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E5E5E5"/>
          </w:tcPr>
          <w:p>
            <w:pPr>
              <w:jc w:val="right"/>
              <w:ind w:right="260"/>
              <w:spacing w:after="0" w:line="202" w:lineRule="exact"/>
              <w:rPr>
                <w:sz w:val="20"/>
                <w:szCs w:val="20"/>
                <w:color w:val="auto"/>
              </w:rPr>
            </w:pPr>
            <w:r>
              <w:rPr>
                <w:rFonts w:ascii="Arial" w:cs="Arial" w:eastAsia="Arial" w:hAnsi="Arial"/>
                <w:sz w:val="18"/>
                <w:szCs w:val="18"/>
                <w:color w:val="auto"/>
              </w:rPr>
              <w:t>(1,006)</w:t>
            </w:r>
          </w:p>
        </w:tc>
        <w:tc>
          <w:tcPr>
            <w:tcW w:w="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(1,102)</w:t>
            </w: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Amounts recognized in the Consolidated Balance Sheets:</w:t>
            </w:r>
          </w:p>
        </w:tc>
        <w:tc>
          <w:tcPr>
            <w:tcW w:w="1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160" w:type="dxa"/>
            <w:vAlign w:val="bottom"/>
            <w:gridSpan w:val="2"/>
            <w:vMerge w:val="continue"/>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Other long-term assets</w:t>
            </w:r>
          </w:p>
        </w:tc>
        <w:tc>
          <w:tcPr>
            <w:tcW w:w="146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92</w:t>
            </w:r>
          </w:p>
        </w:tc>
        <w:tc>
          <w:tcPr>
            <w:tcW w:w="320" w:type="dxa"/>
            <w:vAlign w:val="bottom"/>
            <w:shd w:val="clear" w:color="auto" w:fill="E5E5E5"/>
          </w:tcPr>
          <w:p>
            <w:pPr>
              <w:spacing w:after="0"/>
              <w:rPr>
                <w:sz w:val="17"/>
                <w:szCs w:val="17"/>
                <w:color w:val="auto"/>
              </w:rPr>
            </w:pPr>
          </w:p>
        </w:tc>
        <w:tc>
          <w:tcPr>
            <w:tcW w:w="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155</w:t>
            </w:r>
          </w:p>
        </w:tc>
        <w:tc>
          <w:tcPr>
            <w:tcW w:w="180" w:type="dxa"/>
            <w:vAlign w:val="bottom"/>
            <w:shd w:val="clear" w:color="auto" w:fill="E5E5E5"/>
          </w:tcPr>
          <w:p>
            <w:pPr>
              <w:spacing w:after="0"/>
              <w:rPr>
                <w:sz w:val="17"/>
                <w:szCs w:val="17"/>
                <w:color w:val="auto"/>
              </w:rPr>
            </w:pPr>
          </w:p>
        </w:tc>
        <w:tc>
          <w:tcPr>
            <w:tcW w:w="28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E5E5E5"/>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160" w:type="dxa"/>
            <w:vAlign w:val="bottom"/>
            <w:gridSpan w:val="2"/>
          </w:tcPr>
          <w:p>
            <w:pPr>
              <w:spacing w:after="0" w:line="202" w:lineRule="exact"/>
              <w:rPr>
                <w:sz w:val="20"/>
                <w:szCs w:val="20"/>
                <w:color w:val="auto"/>
              </w:rPr>
            </w:pPr>
            <w:r>
              <w:rPr>
                <w:rFonts w:ascii="Arial" w:cs="Arial" w:eastAsia="Arial" w:hAnsi="Arial"/>
                <w:sz w:val="18"/>
                <w:szCs w:val="18"/>
                <w:color w:val="auto"/>
              </w:rPr>
              <w:t>Accrued compensation and benefit costs</w:t>
            </w: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(44)</w:t>
            </w:r>
          </w:p>
        </w:tc>
        <w:tc>
          <w:tcPr>
            <w:tcW w:w="140" w:type="dxa"/>
            <w:vAlign w:val="bottom"/>
          </w:tcPr>
          <w:p>
            <w:pPr>
              <w:spacing w:after="0"/>
              <w:rPr>
                <w:sz w:val="17"/>
                <w:szCs w:val="17"/>
                <w:color w:val="auto"/>
              </w:rPr>
            </w:pPr>
          </w:p>
        </w:tc>
        <w:tc>
          <w:tcPr>
            <w:tcW w:w="7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(47)</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(86)</w:t>
            </w:r>
          </w:p>
        </w:tc>
        <w:tc>
          <w:tcPr>
            <w:tcW w:w="140" w:type="dxa"/>
            <w:vAlign w:val="bottom"/>
          </w:tcPr>
          <w:p>
            <w:pPr>
              <w:spacing w:after="0"/>
              <w:rPr>
                <w:sz w:val="17"/>
                <w:szCs w:val="17"/>
                <w:color w:val="auto"/>
              </w:rPr>
            </w:pPr>
          </w:p>
        </w:tc>
        <w:tc>
          <w:tcPr>
            <w:tcW w:w="6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Pension and other benefit liabilities</w:t>
            </w:r>
          </w:p>
        </w:tc>
        <w:tc>
          <w:tcPr>
            <w:tcW w:w="13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900" w:type="dxa"/>
            <w:vAlign w:val="bottom"/>
            <w:gridSpan w:val="2"/>
            <w:shd w:val="clear" w:color="auto" w:fill="E5E5E5"/>
          </w:tcPr>
          <w:p>
            <w:pPr>
              <w:jc w:val="right"/>
              <w:ind w:right="260"/>
              <w:spacing w:after="0" w:line="202" w:lineRule="exact"/>
              <w:rPr>
                <w:sz w:val="20"/>
                <w:szCs w:val="20"/>
                <w:color w:val="auto"/>
              </w:rPr>
            </w:pPr>
            <w:r>
              <w:rPr>
                <w:rFonts w:ascii="Arial" w:cs="Arial" w:eastAsia="Arial" w:hAnsi="Arial"/>
                <w:sz w:val="18"/>
                <w:szCs w:val="18"/>
                <w:color w:val="auto"/>
              </w:rPr>
              <w:t>(1,839)</w:t>
            </w:r>
          </w:p>
        </w:tc>
        <w:tc>
          <w:tcPr>
            <w:tcW w:w="140" w:type="dxa"/>
            <w:vAlign w:val="bottom"/>
            <w:shd w:val="clear" w:color="auto" w:fill="E5E5E5"/>
          </w:tcPr>
          <w:p>
            <w:pPr>
              <w:spacing w:after="0"/>
              <w:rPr>
                <w:sz w:val="17"/>
                <w:szCs w:val="17"/>
                <w:color w:val="auto"/>
              </w:rPr>
            </w:pPr>
          </w:p>
        </w:tc>
        <w:tc>
          <w:tcPr>
            <w:tcW w:w="76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(1,741)</w:t>
            </w:r>
          </w:p>
        </w:tc>
        <w:tc>
          <w:tcPr>
            <w:tcW w:w="14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900" w:type="dxa"/>
            <w:vAlign w:val="bottom"/>
            <w:gridSpan w:val="2"/>
            <w:shd w:val="clear" w:color="auto" w:fill="E5E5E5"/>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E5E5E5"/>
          </w:tcPr>
          <w:p>
            <w:pPr>
              <w:spacing w:after="0"/>
              <w:rPr>
                <w:sz w:val="17"/>
                <w:szCs w:val="17"/>
                <w:color w:val="auto"/>
              </w:rPr>
            </w:pPr>
          </w:p>
        </w:tc>
        <w:tc>
          <w:tcPr>
            <w:tcW w:w="6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160" w:type="dxa"/>
            <w:vAlign w:val="bottom"/>
            <w:gridSpan w:val="2"/>
          </w:tcPr>
          <w:p>
            <w:pPr>
              <w:spacing w:after="0" w:line="202" w:lineRule="exact"/>
              <w:rPr>
                <w:sz w:val="20"/>
                <w:szCs w:val="20"/>
                <w:color w:val="auto"/>
              </w:rPr>
            </w:pPr>
            <w:r>
              <w:rPr>
                <w:rFonts w:ascii="Arial" w:cs="Arial" w:eastAsia="Arial" w:hAnsi="Arial"/>
                <w:sz w:val="18"/>
                <w:szCs w:val="18"/>
                <w:color w:val="auto"/>
              </w:rPr>
              <w:t>Post-retirement medical benefits</w:t>
            </w: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(920)</w:t>
            </w:r>
          </w:p>
        </w:tc>
        <w:tc>
          <w:tcPr>
            <w:tcW w:w="140" w:type="dxa"/>
            <w:vAlign w:val="bottom"/>
          </w:tcPr>
          <w:p>
            <w:pPr>
              <w:spacing w:after="0"/>
              <w:rPr>
                <w:sz w:val="17"/>
                <w:szCs w:val="17"/>
                <w:color w:val="auto"/>
              </w:rPr>
            </w:pPr>
          </w:p>
        </w:tc>
        <w:tc>
          <w:tcPr>
            <w:tcW w:w="6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14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Net Amounts Recognized</w:t>
            </w:r>
          </w:p>
        </w:tc>
        <w:tc>
          <w:tcPr>
            <w:tcW w:w="146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E5E5E5"/>
          </w:tcPr>
          <w:p>
            <w:pPr>
              <w:jc w:val="right"/>
              <w:ind w:right="260"/>
              <w:spacing w:after="0" w:line="202" w:lineRule="exact"/>
              <w:rPr>
                <w:sz w:val="20"/>
                <w:szCs w:val="20"/>
                <w:color w:val="auto"/>
              </w:rPr>
            </w:pPr>
            <w:r>
              <w:rPr>
                <w:rFonts w:ascii="Arial" w:cs="Arial" w:eastAsia="Arial" w:hAnsi="Arial"/>
                <w:sz w:val="18"/>
                <w:szCs w:val="18"/>
                <w:color w:val="auto"/>
              </w:rPr>
              <w:t>(1,791)</w:t>
            </w:r>
          </w:p>
        </w:tc>
        <w:tc>
          <w:tcPr>
            <w:tcW w:w="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(1,633)</w:t>
            </w:r>
          </w:p>
        </w:tc>
        <w:tc>
          <w:tcPr>
            <w:tcW w:w="28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E5E5E5"/>
          </w:tcPr>
          <w:p>
            <w:pPr>
              <w:jc w:val="right"/>
              <w:ind w:right="260"/>
              <w:spacing w:after="0" w:line="202" w:lineRule="exact"/>
              <w:rPr>
                <w:sz w:val="20"/>
                <w:szCs w:val="20"/>
                <w:color w:val="auto"/>
              </w:rPr>
            </w:pPr>
            <w:r>
              <w:rPr>
                <w:rFonts w:ascii="Arial" w:cs="Arial" w:eastAsia="Arial" w:hAnsi="Arial"/>
                <w:sz w:val="18"/>
                <w:szCs w:val="18"/>
                <w:color w:val="auto"/>
              </w:rPr>
              <w:t>(1,006)</w:t>
            </w:r>
          </w:p>
        </w:tc>
        <w:tc>
          <w:tcPr>
            <w:tcW w:w="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(1,102)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9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32" w:lineRule="exact"/>
        <w:rPr>
          <w:sz w:val="20"/>
          <w:szCs w:val="20"/>
          <w:color w:val="auto"/>
        </w:rPr>
      </w:pPr>
    </w:p>
    <w:p>
      <w:pPr>
        <w:ind w:left="340" w:hanging="332"/>
        <w:spacing w:after="0"/>
        <w:tabs>
          <w:tab w:leader="none" w:pos="340" w:val="left"/>
        </w:tabs>
        <w:numPr>
          <w:ilvl w:val="0"/>
          <w:numId w:val="166"/>
        </w:numPr>
        <w:rPr>
          <w:rFonts w:ascii="Arial" w:cs="Arial" w:eastAsia="Arial" w:hAnsi="Arial"/>
          <w:sz w:val="14"/>
          <w:szCs w:val="14"/>
          <w:color w:val="auto"/>
        </w:rPr>
      </w:pPr>
      <w:r>
        <w:rPr>
          <w:rFonts w:ascii="Arial" w:cs="Arial" w:eastAsia="Arial" w:hAnsi="Arial"/>
          <w:sz w:val="14"/>
          <w:szCs w:val="14"/>
          <w:color w:val="auto"/>
        </w:rPr>
        <w:t>Includes under-funded and non-funded plans.</w:t>
      </w:r>
    </w:p>
    <w:p>
      <w:pPr>
        <w:ind w:left="340" w:hanging="332"/>
        <w:spacing w:after="0" w:line="221" w:lineRule="auto"/>
        <w:tabs>
          <w:tab w:leader="none" w:pos="340" w:val="left"/>
        </w:tabs>
        <w:numPr>
          <w:ilvl w:val="0"/>
          <w:numId w:val="166"/>
        </w:numPr>
        <w:rPr>
          <w:rFonts w:ascii="Arial" w:cs="Arial" w:eastAsia="Arial" w:hAnsi="Arial"/>
          <w:sz w:val="14"/>
          <w:szCs w:val="14"/>
          <w:color w:val="auto"/>
        </w:rPr>
      </w:pPr>
      <w:r>
        <w:rPr>
          <w:rFonts w:ascii="Arial" w:cs="Arial" w:eastAsia="Arial" w:hAnsi="Arial"/>
          <w:sz w:val="14"/>
          <w:szCs w:val="14"/>
          <w:color w:val="auto"/>
        </w:rPr>
        <w:t>Primarily ACS’s acquired balances.</w:t>
      </w:r>
    </w:p>
    <w:p>
      <w:pPr>
        <w:ind w:left="340" w:hanging="332"/>
        <w:spacing w:after="0"/>
        <w:tabs>
          <w:tab w:leader="none" w:pos="340" w:val="left"/>
        </w:tabs>
        <w:numPr>
          <w:ilvl w:val="0"/>
          <w:numId w:val="166"/>
        </w:numPr>
        <w:rPr>
          <w:rFonts w:ascii="Arial" w:cs="Arial" w:eastAsia="Arial" w:hAnsi="Arial"/>
          <w:sz w:val="14"/>
          <w:szCs w:val="14"/>
          <w:color w:val="auto"/>
        </w:rPr>
      </w:pPr>
      <w:r>
        <w:rPr>
          <w:rFonts w:ascii="Arial" w:cs="Arial" w:eastAsia="Arial" w:hAnsi="Arial"/>
          <w:sz w:val="14"/>
          <w:szCs w:val="14"/>
          <w:color w:val="auto"/>
        </w:rPr>
        <w:t>Refer to the “Plan Amendment” section for additional information.</w:t>
      </w:r>
    </w:p>
    <w:p>
      <w:pPr>
        <w:spacing w:after="0" w:line="136" w:lineRule="exact"/>
        <w:rPr>
          <w:sz w:val="20"/>
          <w:szCs w:val="20"/>
          <w:color w:val="auto"/>
        </w:rPr>
      </w:pPr>
    </w:p>
    <w:p>
      <w:pPr>
        <w:ind w:left="9600"/>
        <w:spacing w:after="0"/>
        <w:rPr>
          <w:sz w:val="20"/>
          <w:szCs w:val="20"/>
          <w:color w:val="auto"/>
        </w:rPr>
      </w:pPr>
      <w:r>
        <w:rPr>
          <w:rFonts w:ascii="Arial" w:cs="Arial" w:eastAsia="Arial" w:hAnsi="Arial"/>
          <w:sz w:val="12"/>
          <w:szCs w:val="12"/>
          <w:color w:val="4C9F40"/>
        </w:rPr>
        <w:t>Xerox 2010 Annual Report 81</w:t>
      </w:r>
    </w:p>
    <w:p>
      <w:pPr>
        <w:sectPr>
          <w:pgSz w:w="11900" w:h="16838" w:orient="portrait"/>
          <w:cols w:equalWidth="0" w:num="1">
            <w:col w:w="11420"/>
          </w:cols>
          <w:pgMar w:left="240" w:top="323" w:right="23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Benefit plans pre-tax amounts recognized in AOCL:</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5"/>
          </w:tcPr>
          <w:p>
            <w:pPr>
              <w:jc w:val="right"/>
              <w:ind w:right="480"/>
              <w:spacing w:after="0"/>
              <w:rPr>
                <w:sz w:val="20"/>
                <w:szCs w:val="20"/>
                <w:color w:val="auto"/>
              </w:rPr>
            </w:pPr>
            <w:r>
              <w:rPr>
                <w:rFonts w:ascii="Arial" w:cs="Arial" w:eastAsia="Arial" w:hAnsi="Arial"/>
                <w:sz w:val="14"/>
                <w:szCs w:val="14"/>
                <w:color w:val="auto"/>
              </w:rPr>
              <w:t>Pension Benefits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6"/>
          </w:tcPr>
          <w:p>
            <w:pPr>
              <w:jc w:val="right"/>
              <w:ind w:right="400"/>
              <w:spacing w:after="0"/>
              <w:rPr>
                <w:sz w:val="20"/>
                <w:szCs w:val="20"/>
                <w:color w:val="auto"/>
              </w:rPr>
            </w:pPr>
            <w:r>
              <w:rPr>
                <w:rFonts w:ascii="Arial" w:cs="Arial" w:eastAsia="Arial" w:hAnsi="Arial"/>
                <w:sz w:val="14"/>
                <w:szCs w:val="14"/>
                <w:color w:val="auto"/>
              </w:rPr>
              <w:t>Retiree Health</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00"/>
              <w:spacing w:after="0" w:line="142" w:lineRule="exact"/>
              <w:rPr>
                <w:sz w:val="20"/>
                <w:szCs w:val="20"/>
                <w:color w:val="auto"/>
              </w:rPr>
            </w:pPr>
            <w:r>
              <w:rPr>
                <w:rFonts w:ascii="Arial" w:cs="Arial" w:eastAsia="Arial" w:hAnsi="Arial"/>
                <w:sz w:val="14"/>
                <w:szCs w:val="14"/>
                <w:color w:val="auto"/>
              </w:rPr>
              <w:t>2010</w:t>
            </w: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color w:val="auto"/>
              </w:rPr>
              <w:t>2009</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60"/>
              <w:spacing w:after="0" w:line="142" w:lineRule="exact"/>
              <w:rPr>
                <w:sz w:val="20"/>
                <w:szCs w:val="20"/>
                <w:color w:val="auto"/>
              </w:rPr>
            </w:pPr>
            <w:r>
              <w:rPr>
                <w:rFonts w:ascii="Arial" w:cs="Arial" w:eastAsia="Arial" w:hAnsi="Arial"/>
                <w:sz w:val="14"/>
                <w:szCs w:val="14"/>
                <w:color w:val="auto"/>
                <w:w w:val="96"/>
              </w:rPr>
              <w:t>2010</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color w:val="auto"/>
                <w:w w:val="96"/>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20" w:type="dxa"/>
            <w:vAlign w:val="bottom"/>
            <w:shd w:val="clear" w:color="auto" w:fill="E5E5E5"/>
          </w:tcPr>
          <w:p>
            <w:pPr>
              <w:spacing w:after="0" w:line="196" w:lineRule="exact"/>
              <w:rPr>
                <w:sz w:val="20"/>
                <w:szCs w:val="20"/>
                <w:color w:val="auto"/>
              </w:rPr>
            </w:pPr>
            <w:r>
              <w:rPr>
                <w:rFonts w:ascii="Arial" w:cs="Arial" w:eastAsia="Arial" w:hAnsi="Arial"/>
                <w:sz w:val="18"/>
                <w:szCs w:val="18"/>
                <w:color w:val="auto"/>
              </w:rPr>
              <w:t>Net actuarial loss (gain)</w:t>
            </w:r>
          </w:p>
        </w:tc>
        <w:tc>
          <w:tcPr>
            <w:tcW w:w="14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E5E5E5"/>
          </w:tcPr>
          <w:p>
            <w:pPr>
              <w:jc w:val="right"/>
              <w:ind w:right="300"/>
              <w:spacing w:after="0" w:line="196" w:lineRule="exact"/>
              <w:rPr>
                <w:sz w:val="20"/>
                <w:szCs w:val="20"/>
                <w:color w:val="auto"/>
              </w:rPr>
            </w:pPr>
            <w:r>
              <w:rPr>
                <w:rFonts w:ascii="Arial" w:cs="Arial" w:eastAsia="Arial" w:hAnsi="Arial"/>
                <w:sz w:val="18"/>
                <w:szCs w:val="18"/>
                <w:color w:val="auto"/>
              </w:rPr>
              <w:t>1,867</w:t>
            </w:r>
          </w:p>
        </w:tc>
        <w:tc>
          <w:tcPr>
            <w:tcW w:w="14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rPr>
              <w:t>1,834</w:t>
            </w:r>
          </w:p>
        </w:tc>
        <w:tc>
          <w:tcPr>
            <w:tcW w:w="180" w:type="dxa"/>
            <w:vAlign w:val="bottom"/>
            <w:shd w:val="clear" w:color="auto" w:fill="E5E5E5"/>
          </w:tcPr>
          <w:p>
            <w:pPr>
              <w:spacing w:after="0"/>
              <w:rPr>
                <w:sz w:val="17"/>
                <w:szCs w:val="17"/>
                <w:color w:val="auto"/>
              </w:rPr>
            </w:pPr>
          </w:p>
        </w:tc>
        <w:tc>
          <w:tcPr>
            <w:tcW w:w="240" w:type="dxa"/>
            <w:vAlign w:val="bottom"/>
            <w:gridSpan w:val="2"/>
            <w:shd w:val="clear" w:color="auto" w:fill="E5E5E5"/>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E5E5E5"/>
          </w:tcPr>
          <w:p>
            <w:pPr>
              <w:jc w:val="right"/>
              <w:ind w:right="180"/>
              <w:spacing w:after="0" w:line="196" w:lineRule="exact"/>
              <w:rPr>
                <w:sz w:val="20"/>
                <w:szCs w:val="20"/>
                <w:color w:val="auto"/>
              </w:rPr>
            </w:pPr>
            <w:r>
              <w:rPr>
                <w:rFonts w:ascii="Arial" w:cs="Arial" w:eastAsia="Arial" w:hAnsi="Arial"/>
                <w:sz w:val="18"/>
                <w:szCs w:val="18"/>
                <w:color w:val="auto"/>
              </w:rPr>
              <w:t>54</w:t>
            </w:r>
          </w:p>
        </w:tc>
        <w:tc>
          <w:tcPr>
            <w:tcW w:w="240" w:type="dxa"/>
            <w:vAlign w:val="bottom"/>
            <w:gridSpan w:val="2"/>
            <w:shd w:val="clear" w:color="auto" w:fill="E5E5E5"/>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560" w:type="dxa"/>
            <w:vAlign w:val="bottom"/>
            <w:gridSpan w:val="2"/>
            <w:shd w:val="clear" w:color="auto" w:fill="E5E5E5"/>
          </w:tcPr>
          <w:p>
            <w:pPr>
              <w:jc w:val="right"/>
              <w:ind w:right="100"/>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3"/>
        </w:trPr>
        <w:tc>
          <w:tcPr>
            <w:tcW w:w="7940" w:type="dxa"/>
            <w:vAlign w:val="bottom"/>
            <w:gridSpan w:val="2"/>
          </w:tcPr>
          <w:p>
            <w:pPr>
              <w:spacing w:after="0" w:line="202" w:lineRule="exact"/>
              <w:rPr>
                <w:sz w:val="20"/>
                <w:szCs w:val="20"/>
                <w:color w:val="auto"/>
              </w:rPr>
            </w:pPr>
            <w:r>
              <w:rPr>
                <w:rFonts w:ascii="Arial" w:cs="Arial" w:eastAsia="Arial" w:hAnsi="Arial"/>
                <w:sz w:val="18"/>
                <w:szCs w:val="18"/>
                <w:color w:val="auto"/>
              </w:rPr>
              <w:t>Prior service (credit) cost</w:t>
            </w:r>
          </w:p>
        </w:tc>
        <w:tc>
          <w:tcPr>
            <w:tcW w:w="140" w:type="dxa"/>
            <w:vAlign w:val="bottom"/>
          </w:tcPr>
          <w:p>
            <w:pPr>
              <w:spacing w:after="0"/>
              <w:rPr>
                <w:sz w:val="17"/>
                <w:szCs w:val="17"/>
                <w:color w:val="auto"/>
              </w:rPr>
            </w:pPr>
          </w:p>
        </w:tc>
        <w:tc>
          <w:tcPr>
            <w:tcW w:w="8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(167)</w:t>
            </w:r>
          </w:p>
        </w:tc>
        <w:tc>
          <w:tcPr>
            <w:tcW w:w="140" w:type="dxa"/>
            <w:vAlign w:val="bottom"/>
          </w:tcPr>
          <w:p>
            <w:pPr>
              <w:spacing w:after="0"/>
              <w:rPr>
                <w:sz w:val="17"/>
                <w:szCs w:val="17"/>
                <w:color w:val="auto"/>
              </w:rPr>
            </w:pPr>
          </w:p>
        </w:tc>
        <w:tc>
          <w:tcPr>
            <w:tcW w:w="7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(169)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(200)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92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Total Pre-tax Loss (Gain)</w:t>
            </w:r>
          </w:p>
        </w:tc>
        <w:tc>
          <w:tcPr>
            <w:tcW w:w="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1,700</w:t>
            </w:r>
          </w:p>
        </w:tc>
        <w:tc>
          <w:tcPr>
            <w:tcW w:w="300" w:type="dxa"/>
            <w:vAlign w:val="bottom"/>
            <w:shd w:val="clear" w:color="auto" w:fill="E5E5E5"/>
          </w:tcPr>
          <w:p>
            <w:pPr>
              <w:spacing w:after="0"/>
              <w:rPr>
                <w:sz w:val="17"/>
                <w:szCs w:val="17"/>
                <w:color w:val="auto"/>
              </w:rPr>
            </w:pPr>
          </w:p>
        </w:tc>
        <w:tc>
          <w:tcPr>
            <w:tcW w:w="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1,665</w:t>
            </w:r>
          </w:p>
        </w:tc>
        <w:tc>
          <w:tcPr>
            <w:tcW w:w="18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(146)</w:t>
            </w:r>
          </w:p>
        </w:tc>
        <w:tc>
          <w:tcPr>
            <w:tcW w:w="24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Accumulated benefit obligation for all defined benefit pension plans was $9,256 and $8,337 at December 31, 2010 and 2009,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Aggregate information for pension plans with an Accumulated benefit obligation in excess of plan assets is presented below: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66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color w:val="auto"/>
              </w:rPr>
              <w:t>2010</w:t>
            </w:r>
          </w:p>
        </w:tc>
        <w:tc>
          <w:tcPr>
            <w:tcW w:w="520" w:type="dxa"/>
            <w:vAlign w:val="bottom"/>
          </w:tcPr>
          <w:p>
            <w:pPr>
              <w:spacing w:after="0"/>
              <w:rPr>
                <w:sz w:val="14"/>
                <w:szCs w:val="14"/>
                <w:color w:val="auto"/>
              </w:rPr>
            </w:pPr>
          </w:p>
        </w:tc>
        <w:tc>
          <w:tcPr>
            <w:tcW w:w="6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r>
      <w:tr>
        <w:trPr>
          <w:trHeight w:val="196"/>
        </w:trPr>
        <w:tc>
          <w:tcPr>
            <w:tcW w:w="6740" w:type="dxa"/>
            <w:vAlign w:val="bottom"/>
            <w:shd w:val="clear" w:color="auto" w:fill="E5E5E5"/>
          </w:tcPr>
          <w:p>
            <w:pPr>
              <w:spacing w:after="0" w:line="196" w:lineRule="exact"/>
              <w:rPr>
                <w:sz w:val="20"/>
                <w:szCs w:val="20"/>
                <w:color w:val="auto"/>
              </w:rPr>
            </w:pPr>
            <w:r>
              <w:rPr>
                <w:rFonts w:ascii="Arial" w:cs="Arial" w:eastAsia="Arial" w:hAnsi="Arial"/>
                <w:sz w:val="18"/>
                <w:szCs w:val="18"/>
                <w:color w:val="auto"/>
              </w:rPr>
              <w:t>Projected benefit obligation</w:t>
            </w:r>
          </w:p>
        </w:tc>
        <w:tc>
          <w:tcPr>
            <w:tcW w:w="66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rPr>
              <w:t>$ 5,726</w:t>
            </w:r>
          </w:p>
        </w:tc>
        <w:tc>
          <w:tcPr>
            <w:tcW w:w="1280" w:type="dxa"/>
            <w:vAlign w:val="bottom"/>
            <w:gridSpan w:val="3"/>
            <w:shd w:val="clear" w:color="auto" w:fill="E5E5E5"/>
          </w:tcPr>
          <w:p>
            <w:pPr>
              <w:jc w:val="right"/>
              <w:ind w:right="100"/>
              <w:spacing w:after="0" w:line="196" w:lineRule="exact"/>
              <w:rPr>
                <w:sz w:val="20"/>
                <w:szCs w:val="20"/>
                <w:color w:val="auto"/>
              </w:rPr>
            </w:pPr>
            <w:r>
              <w:rPr>
                <w:rFonts w:ascii="Arial" w:cs="Arial" w:eastAsia="Arial" w:hAnsi="Arial"/>
                <w:sz w:val="18"/>
                <w:szCs w:val="18"/>
                <w:color w:val="auto"/>
              </w:rPr>
              <w:t>$ 5,134</w:t>
            </w: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Accumulated benefit obligation</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5,533</w:t>
            </w:r>
          </w:p>
        </w:tc>
        <w:tc>
          <w:tcPr>
            <w:tcW w:w="1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4,864</w:t>
            </w:r>
          </w:p>
        </w:tc>
        <w:tc>
          <w:tcPr>
            <w:tcW w:w="100" w:type="dxa"/>
            <w:vAlign w:val="bottom"/>
          </w:tcPr>
          <w:p>
            <w:pPr>
              <w:spacing w:after="0"/>
              <w:rPr>
                <w:sz w:val="17"/>
                <w:szCs w:val="17"/>
                <w:color w:val="auto"/>
              </w:rPr>
            </w:pPr>
          </w:p>
        </w:tc>
      </w:tr>
      <w:tr>
        <w:trPr>
          <w:trHeight w:val="203"/>
        </w:trPr>
        <w:tc>
          <w:tcPr>
            <w:tcW w:w="67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Fair value of plan assets</w:t>
            </w:r>
          </w:p>
        </w:tc>
        <w:tc>
          <w:tcPr>
            <w:tcW w:w="6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3,883</w:t>
            </w:r>
          </w:p>
        </w:tc>
        <w:tc>
          <w:tcPr>
            <w:tcW w:w="118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3,697</w:t>
            </w:r>
          </w:p>
        </w:tc>
        <w:tc>
          <w:tcPr>
            <w:tcW w:w="100" w:type="dxa"/>
            <w:vAlign w:val="bottom"/>
            <w:shd w:val="clear" w:color="auto" w:fill="E5E5E5"/>
          </w:tcPr>
          <w:p>
            <w:pPr>
              <w:spacing w:after="0"/>
              <w:rPr>
                <w:sz w:val="17"/>
                <w:szCs w:val="17"/>
                <w:color w:val="auto"/>
              </w:rPr>
            </w:pPr>
          </w:p>
        </w:tc>
      </w:tr>
    </w:tbl>
    <w:p>
      <w:pPr>
        <w:spacing w:after="0" w:line="16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Our domestic retirement defined benefit plans provide employees a benefit, depending on eligibility, at the greater of (i) the benefit calculated under a highest average pay and years of service formula, (ii) the benefit calculated under a formula that provides for the accumulation of salary and interest credits during an employee’s work life, or (iii) the individual account balance from the Company’s prior defined contribution plan (Transitional Retirement Account or TRA).</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w w:val="97"/>
              </w:rPr>
              <w:t>Pension Benefits</w:t>
            </w:r>
          </w:p>
        </w:tc>
        <w:tc>
          <w:tcPr>
            <w:tcW w:w="5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color w:val="auto"/>
              </w:rPr>
              <w:t>Retiree Health</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color w:val="auto"/>
              </w:rPr>
              <w:t>2010</w:t>
            </w:r>
          </w:p>
        </w:tc>
        <w:tc>
          <w:tcPr>
            <w:tcW w:w="100" w:type="dxa"/>
            <w:vAlign w:val="bottom"/>
          </w:tcPr>
          <w:p>
            <w:pPr>
              <w:spacing w:after="0"/>
              <w:rPr>
                <w:sz w:val="12"/>
                <w:szCs w:val="12"/>
                <w:color w:val="auto"/>
              </w:rPr>
            </w:pPr>
          </w:p>
        </w:tc>
        <w:tc>
          <w:tcPr>
            <w:tcW w:w="680" w:type="dxa"/>
            <w:vAlign w:val="bottom"/>
            <w:gridSpan w:val="3"/>
          </w:tcPr>
          <w:p>
            <w:pPr>
              <w:jc w:val="right"/>
              <w:ind w:right="12"/>
              <w:spacing w:after="0" w:line="142" w:lineRule="exact"/>
              <w:rPr>
                <w:sz w:val="20"/>
                <w:szCs w:val="20"/>
                <w:color w:val="auto"/>
              </w:rPr>
            </w:pPr>
            <w:r>
              <w:rPr>
                <w:rFonts w:ascii="Arial" w:cs="Arial" w:eastAsia="Arial" w:hAnsi="Arial"/>
                <w:sz w:val="14"/>
                <w:szCs w:val="14"/>
                <w:color w:val="auto"/>
              </w:rPr>
              <w:t>2009</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ind w:right="93"/>
              <w:spacing w:after="0" w:line="142" w:lineRule="exact"/>
              <w:rPr>
                <w:sz w:val="20"/>
                <w:szCs w:val="20"/>
                <w:color w:val="auto"/>
              </w:rPr>
            </w:pPr>
            <w:r>
              <w:rPr>
                <w:rFonts w:ascii="Arial" w:cs="Arial" w:eastAsia="Arial" w:hAnsi="Arial"/>
                <w:sz w:val="14"/>
                <w:szCs w:val="14"/>
                <w:color w:val="auto"/>
              </w:rPr>
              <w:t>2008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2"/>
          </w:tcPr>
          <w:p>
            <w:pPr>
              <w:jc w:val="right"/>
              <w:ind w:right="12"/>
              <w:spacing w:after="0" w:line="142" w:lineRule="exact"/>
              <w:rPr>
                <w:sz w:val="20"/>
                <w:szCs w:val="20"/>
                <w:color w:val="auto"/>
              </w:rPr>
            </w:pPr>
            <w:r>
              <w:rPr>
                <w:rFonts w:ascii="Arial" w:cs="Arial" w:eastAsia="Arial" w:hAnsi="Arial"/>
                <w:sz w:val="14"/>
                <w:szCs w:val="14"/>
                <w:color w:val="auto"/>
              </w:rPr>
              <w:t>2010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13"/>
              <w:spacing w:after="0" w:line="142" w:lineRule="exact"/>
              <w:rPr>
                <w:sz w:val="20"/>
                <w:szCs w:val="20"/>
                <w:color w:val="auto"/>
              </w:rPr>
            </w:pPr>
            <w:r>
              <w:rPr>
                <w:rFonts w:ascii="Arial" w:cs="Arial" w:eastAsia="Arial" w:hAnsi="Arial"/>
                <w:sz w:val="14"/>
                <w:szCs w:val="14"/>
                <w:color w:val="auto"/>
                <w:w w:val="89"/>
              </w:rPr>
              <w:t>2009</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53"/>
              <w:spacing w:after="0" w:line="142" w:lineRule="exact"/>
              <w:rPr>
                <w:sz w:val="20"/>
                <w:szCs w:val="20"/>
                <w:color w:val="auto"/>
              </w:rPr>
            </w:pPr>
            <w:r>
              <w:rPr>
                <w:rFonts w:ascii="Arial" w:cs="Arial" w:eastAsia="Arial" w:hAnsi="Arial"/>
                <w:sz w:val="14"/>
                <w:szCs w:val="14"/>
                <w:color w:val="auto"/>
                <w:w w:val="96"/>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80" w:type="dxa"/>
            <w:vAlign w:val="bottom"/>
            <w:shd w:val="clear" w:color="auto" w:fill="E5E5E5"/>
          </w:tcPr>
          <w:p>
            <w:pPr>
              <w:spacing w:after="0" w:line="196" w:lineRule="exact"/>
              <w:rPr>
                <w:sz w:val="20"/>
                <w:szCs w:val="20"/>
                <w:color w:val="auto"/>
              </w:rPr>
            </w:pPr>
            <w:r>
              <w:rPr>
                <w:rFonts w:ascii="Arial" w:cs="Arial" w:eastAsia="Arial" w:hAnsi="Arial"/>
                <w:sz w:val="18"/>
                <w:szCs w:val="18"/>
                <w:b w:val="1"/>
                <w:bCs w:val="1"/>
                <w:color w:val="auto"/>
              </w:rPr>
              <w:t>Components of Net Periodic Benefit Cost:</w:t>
            </w:r>
          </w:p>
        </w:tc>
        <w:tc>
          <w:tcPr>
            <w:tcW w:w="460" w:type="dxa"/>
            <w:vAlign w:val="bottom"/>
            <w:tcBorders>
              <w:top w:val="single" w:sz="8" w:color="auto"/>
            </w:tcBorders>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20" w:type="dxa"/>
            <w:vAlign w:val="bottom"/>
            <w:tcBorders>
              <w:top w:val="single" w:sz="8" w:color="auto"/>
            </w:tcBorders>
            <w:shd w:val="clear" w:color="auto" w:fill="E5E5E5"/>
          </w:tcPr>
          <w:p>
            <w:pPr>
              <w:spacing w:after="0"/>
              <w:rPr>
                <w:sz w:val="17"/>
                <w:szCs w:val="17"/>
                <w:color w:val="auto"/>
              </w:rPr>
            </w:pPr>
          </w:p>
        </w:tc>
        <w:tc>
          <w:tcPr>
            <w:tcW w:w="360" w:type="dxa"/>
            <w:vAlign w:val="bottom"/>
            <w:tcBorders>
              <w:top w:val="single" w:sz="8" w:color="auto"/>
            </w:tcBorders>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20" w:type="dxa"/>
            <w:vAlign w:val="bottom"/>
            <w:tcBorders>
              <w:top w:val="single" w:sz="8" w:color="auto"/>
            </w:tcBorders>
            <w:shd w:val="clear" w:color="auto" w:fill="E5E5E5"/>
          </w:tcPr>
          <w:p>
            <w:pPr>
              <w:spacing w:after="0"/>
              <w:rPr>
                <w:sz w:val="17"/>
                <w:szCs w:val="17"/>
                <w:color w:val="auto"/>
              </w:rPr>
            </w:pPr>
          </w:p>
        </w:tc>
        <w:tc>
          <w:tcPr>
            <w:tcW w:w="520" w:type="dxa"/>
            <w:vAlign w:val="bottom"/>
            <w:tcBorders>
              <w:top w:val="single" w:sz="8" w:color="auto"/>
            </w:tcBorders>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60" w:type="dxa"/>
            <w:vAlign w:val="bottom"/>
            <w:tcBorders>
              <w:top w:val="single" w:sz="8" w:color="auto"/>
            </w:tcBorders>
            <w:shd w:val="clear" w:color="auto" w:fill="E5E5E5"/>
          </w:tcPr>
          <w:p>
            <w:pPr>
              <w:spacing w:after="0"/>
              <w:rPr>
                <w:sz w:val="17"/>
                <w:szCs w:val="17"/>
                <w:color w:val="auto"/>
              </w:rPr>
            </w:pPr>
          </w:p>
        </w:tc>
        <w:tc>
          <w:tcPr>
            <w:tcW w:w="320" w:type="dxa"/>
            <w:vAlign w:val="bottom"/>
            <w:tcBorders>
              <w:top w:val="single" w:sz="8" w:color="auto"/>
            </w:tcBorders>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100" w:type="dxa"/>
            <w:vAlign w:val="bottom"/>
            <w:tcBorders>
              <w:top w:val="single" w:sz="8" w:color="auto"/>
            </w:tcBorders>
            <w:shd w:val="clear" w:color="auto" w:fill="E5E5E5"/>
          </w:tcPr>
          <w:p>
            <w:pPr>
              <w:spacing w:after="0"/>
              <w:rPr>
                <w:sz w:val="17"/>
                <w:szCs w:val="17"/>
                <w:color w:val="auto"/>
              </w:rPr>
            </w:pPr>
          </w:p>
        </w:tc>
        <w:tc>
          <w:tcPr>
            <w:tcW w:w="400" w:type="dxa"/>
            <w:vAlign w:val="bottom"/>
            <w:tcBorders>
              <w:top w:val="single" w:sz="8" w:color="auto"/>
            </w:tcBorders>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120" w:type="dxa"/>
            <w:vAlign w:val="bottom"/>
            <w:tcBorders>
              <w:top w:val="single" w:sz="8" w:color="auto"/>
            </w:tcBorders>
            <w:shd w:val="clear" w:color="auto" w:fill="E5E5E5"/>
          </w:tcPr>
          <w:p>
            <w:pPr>
              <w:spacing w:after="0"/>
              <w:rPr>
                <w:sz w:val="17"/>
                <w:szCs w:val="17"/>
                <w:color w:val="auto"/>
              </w:rPr>
            </w:pPr>
          </w:p>
        </w:tc>
        <w:tc>
          <w:tcPr>
            <w:tcW w:w="460" w:type="dxa"/>
            <w:vAlign w:val="bottom"/>
            <w:tcBorders>
              <w:top w:val="single" w:sz="8" w:color="auto"/>
            </w:tcBorders>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gridSpan w:val="2"/>
          </w:tcPr>
          <w:p>
            <w:pPr>
              <w:spacing w:after="0" w:line="202" w:lineRule="exact"/>
              <w:rPr>
                <w:sz w:val="20"/>
                <w:szCs w:val="20"/>
                <w:color w:val="auto"/>
              </w:rPr>
            </w:pPr>
            <w:r>
              <w:rPr>
                <w:rFonts w:ascii="Arial" w:cs="Arial" w:eastAsia="Arial" w:hAnsi="Arial"/>
                <w:sz w:val="18"/>
                <w:szCs w:val="18"/>
                <w:color w:val="auto"/>
              </w:rPr>
              <w:t>Service cost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w w:val="97"/>
              </w:rPr>
              <w:t>$ 178</w:t>
            </w: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173</w:t>
            </w:r>
          </w:p>
        </w:tc>
        <w:tc>
          <w:tcPr>
            <w:tcW w:w="30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209</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7</w:t>
            </w:r>
          </w:p>
        </w:tc>
        <w:tc>
          <w:tcPr>
            <w:tcW w:w="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shd w:val="clear" w:color="auto" w:fill="E5E5E5"/>
          </w:tcPr>
          <w:p>
            <w:pPr>
              <w:spacing w:after="0" w:line="203" w:lineRule="exact"/>
              <w:rPr>
                <w:sz w:val="20"/>
                <w:szCs w:val="20"/>
                <w:color w:val="auto"/>
              </w:rPr>
            </w:pPr>
            <w:r>
              <w:rPr>
                <w:rFonts w:ascii="Arial" w:cs="Arial" w:eastAsia="Arial" w:hAnsi="Arial"/>
                <w:sz w:val="18"/>
                <w:szCs w:val="18"/>
                <w:color w:val="auto"/>
              </w:rPr>
              <w:t xml:space="preserve">Interest cost </w:t>
            </w:r>
            <w:r>
              <w:rPr>
                <w:rFonts w:ascii="Arial" w:cs="Arial" w:eastAsia="Arial" w:hAnsi="Arial"/>
                <w:sz w:val="22"/>
                <w:szCs w:val="22"/>
                <w:color w:val="auto"/>
                <w:vertAlign w:val="superscript"/>
              </w:rPr>
              <w:t>(1)</w:t>
            </w:r>
          </w:p>
        </w:tc>
        <w:tc>
          <w:tcPr>
            <w:tcW w:w="4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575</w:t>
            </w:r>
          </w:p>
        </w:tc>
        <w:tc>
          <w:tcPr>
            <w:tcW w:w="10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3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508</w:t>
            </w:r>
          </w:p>
        </w:tc>
        <w:tc>
          <w:tcPr>
            <w:tcW w:w="3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70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(5)</w:t>
            </w: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4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54</w:t>
            </w:r>
          </w:p>
        </w:tc>
        <w:tc>
          <w:tcPr>
            <w:tcW w:w="18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680" w:type="dxa"/>
            <w:vAlign w:val="bottom"/>
            <w:gridSpan w:val="2"/>
            <w:shd w:val="clear" w:color="auto" w:fill="E5E5E5"/>
          </w:tcPr>
          <w:p>
            <w:pPr>
              <w:jc w:val="right"/>
              <w:ind w:right="280"/>
              <w:spacing w:after="0" w:line="202" w:lineRule="exact"/>
              <w:rPr>
                <w:sz w:val="20"/>
                <w:szCs w:val="20"/>
                <w:color w:val="auto"/>
              </w:rPr>
            </w:pPr>
            <w:r>
              <w:rPr>
                <w:rFonts w:ascii="Arial" w:cs="Arial" w:eastAsia="Arial" w:hAnsi="Arial"/>
                <w:sz w:val="18"/>
                <w:szCs w:val="18"/>
                <w:color w:val="auto"/>
              </w:rPr>
              <w:t>60</w:t>
            </w:r>
          </w:p>
        </w:tc>
        <w:tc>
          <w:tcPr>
            <w:tcW w:w="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5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3"/>
        </w:trPr>
        <w:tc>
          <w:tcPr>
            <w:tcW w:w="6700" w:type="dxa"/>
            <w:vAlign w:val="bottom"/>
            <w:gridSpan w:val="2"/>
          </w:tcPr>
          <w:p>
            <w:pPr>
              <w:spacing w:after="0" w:line="203" w:lineRule="exact"/>
              <w:rPr>
                <w:sz w:val="20"/>
                <w:szCs w:val="20"/>
                <w:color w:val="auto"/>
              </w:rPr>
            </w:pPr>
            <w:r>
              <w:rPr>
                <w:rFonts w:ascii="Arial" w:cs="Arial" w:eastAsia="Arial" w:hAnsi="Arial"/>
                <w:sz w:val="18"/>
                <w:szCs w:val="18"/>
                <w:color w:val="auto"/>
              </w:rPr>
              <w:t xml:space="preserve">Expected return on plan assets </w:t>
            </w:r>
            <w:r>
              <w:rPr>
                <w:rFonts w:ascii="Arial" w:cs="Arial" w:eastAsia="Arial" w:hAnsi="Arial"/>
                <w:sz w:val="22"/>
                <w:szCs w:val="22"/>
                <w:color w:val="auto"/>
                <w:vertAlign w:val="superscript"/>
              </w:rPr>
              <w:t>(2)</w:t>
            </w:r>
          </w:p>
        </w:tc>
        <w:tc>
          <w:tcPr>
            <w:tcW w:w="5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(570)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w w:val="95"/>
              </w:rPr>
              <w:t>(523)</w:t>
            </w:r>
          </w:p>
        </w:tc>
        <w:tc>
          <w:tcPr>
            <w:tcW w:w="120" w:type="dxa"/>
            <w:vAlign w:val="bottom"/>
          </w:tcPr>
          <w:p>
            <w:pPr>
              <w:spacing w:after="0"/>
              <w:rPr>
                <w:sz w:val="17"/>
                <w:szCs w:val="17"/>
                <w:color w:val="auto"/>
              </w:rPr>
            </w:pPr>
          </w:p>
        </w:tc>
        <w:tc>
          <w:tcPr>
            <w:tcW w:w="7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Recognized net actuarial loss</w:t>
            </w:r>
          </w:p>
        </w:tc>
        <w:tc>
          <w:tcPr>
            <w:tcW w:w="4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71</w:t>
            </w:r>
          </w:p>
        </w:tc>
        <w:tc>
          <w:tcPr>
            <w:tcW w:w="10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3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25</w:t>
            </w:r>
          </w:p>
        </w:tc>
        <w:tc>
          <w:tcPr>
            <w:tcW w:w="3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70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36</w:t>
            </w: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4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680" w:type="dxa"/>
            <w:vAlign w:val="bottom"/>
            <w:gridSpan w:val="2"/>
            <w:shd w:val="clear" w:color="auto" w:fill="E5E5E5"/>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5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700" w:type="dxa"/>
            <w:vAlign w:val="bottom"/>
            <w:gridSpan w:val="2"/>
          </w:tcPr>
          <w:p>
            <w:pPr>
              <w:spacing w:after="0" w:line="202" w:lineRule="exact"/>
              <w:rPr>
                <w:sz w:val="20"/>
                <w:szCs w:val="20"/>
                <w:color w:val="auto"/>
              </w:rPr>
            </w:pPr>
            <w:r>
              <w:rPr>
                <w:rFonts w:ascii="Arial" w:cs="Arial" w:eastAsia="Arial" w:hAnsi="Arial"/>
                <w:sz w:val="18"/>
                <w:szCs w:val="18"/>
                <w:color w:val="auto"/>
              </w:rPr>
              <w:t>Amortization of prior service credit</w:t>
            </w:r>
          </w:p>
        </w:tc>
        <w:tc>
          <w:tcPr>
            <w:tcW w:w="5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(21)</w:t>
            </w:r>
          </w:p>
        </w:tc>
        <w:tc>
          <w:tcPr>
            <w:tcW w:w="120" w:type="dxa"/>
            <w:vAlign w:val="bottom"/>
          </w:tcPr>
          <w:p>
            <w:pPr>
              <w:spacing w:after="0"/>
              <w:rPr>
                <w:sz w:val="17"/>
                <w:szCs w:val="17"/>
                <w:color w:val="auto"/>
              </w:rPr>
            </w:pPr>
          </w:p>
        </w:tc>
        <w:tc>
          <w:tcPr>
            <w:tcW w:w="7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Recognized settlement loss</w:t>
            </w:r>
          </w:p>
        </w:tc>
        <w:tc>
          <w:tcPr>
            <w:tcW w:w="4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72</w:t>
            </w:r>
          </w:p>
        </w:tc>
        <w:tc>
          <w:tcPr>
            <w:tcW w:w="10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3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70</w:t>
            </w:r>
          </w:p>
        </w:tc>
        <w:tc>
          <w:tcPr>
            <w:tcW w:w="3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70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34</w:t>
            </w: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4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680" w:type="dxa"/>
            <w:vAlign w:val="bottom"/>
            <w:gridSpan w:val="2"/>
            <w:shd w:val="clear" w:color="auto" w:fill="E5E5E5"/>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5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tcPr>
          <w:p>
            <w:pPr>
              <w:ind w:left="200"/>
              <w:spacing w:after="0"/>
              <w:rPr>
                <w:sz w:val="20"/>
                <w:szCs w:val="20"/>
                <w:color w:val="auto"/>
              </w:rPr>
            </w:pPr>
            <w:r>
              <w:rPr>
                <w:rFonts w:ascii="Arial" w:cs="Arial" w:eastAsia="Arial" w:hAnsi="Arial"/>
                <w:sz w:val="18"/>
                <w:szCs w:val="18"/>
                <w:color w:val="auto"/>
              </w:rPr>
              <w:t>Defined Benefit Plans</w:t>
            </w:r>
          </w:p>
        </w:tc>
        <w:tc>
          <w:tcPr>
            <w:tcW w:w="460" w:type="dxa"/>
            <w:vAlign w:val="bottom"/>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232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Defined contribution plans</w:t>
            </w:r>
          </w:p>
        </w:tc>
        <w:tc>
          <w:tcPr>
            <w:tcW w:w="4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51</w:t>
            </w:r>
          </w:p>
        </w:tc>
        <w:tc>
          <w:tcPr>
            <w:tcW w:w="10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3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38</w:t>
            </w:r>
          </w:p>
        </w:tc>
        <w:tc>
          <w:tcPr>
            <w:tcW w:w="3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70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80</w:t>
            </w: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4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680" w:type="dxa"/>
            <w:vAlign w:val="bottom"/>
            <w:gridSpan w:val="2"/>
            <w:shd w:val="clear" w:color="auto" w:fill="E5E5E5"/>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5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Net Periodic Benefit Costs</w:t>
            </w: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00" w:type="dxa"/>
            <w:vAlign w:val="bottom"/>
            <w:gridSpan w:val="2"/>
            <w:vMerge w:val="continue"/>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270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68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6680" w:type="dxa"/>
            <w:vAlign w:val="bottom"/>
            <w:shd w:val="clear" w:color="auto" w:fill="E5E5E5"/>
          </w:tcPr>
          <w:p>
            <w:pPr>
              <w:spacing w:after="0" w:line="184" w:lineRule="exact"/>
              <w:rPr>
                <w:sz w:val="20"/>
                <w:szCs w:val="20"/>
                <w:color w:val="auto"/>
              </w:rPr>
            </w:pPr>
            <w:r>
              <w:rPr>
                <w:rFonts w:ascii="Arial" w:cs="Arial" w:eastAsia="Arial" w:hAnsi="Arial"/>
                <w:sz w:val="18"/>
                <w:szCs w:val="18"/>
                <w:b w:val="1"/>
                <w:bCs w:val="1"/>
                <w:color w:val="auto"/>
              </w:rPr>
              <w:t>Other Changes in Plan Assets and Benefit Obligations Recognized in Other</w:t>
            </w:r>
          </w:p>
        </w:tc>
        <w:tc>
          <w:tcPr>
            <w:tcW w:w="46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20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360" w:type="dxa"/>
            <w:vAlign w:val="bottom"/>
            <w:shd w:val="clear" w:color="auto" w:fill="E5E5E5"/>
          </w:tcPr>
          <w:p>
            <w:pPr>
              <w:spacing w:after="0"/>
              <w:rPr>
                <w:sz w:val="15"/>
                <w:szCs w:val="15"/>
                <w:color w:val="auto"/>
              </w:rPr>
            </w:pPr>
          </w:p>
        </w:tc>
        <w:tc>
          <w:tcPr>
            <w:tcW w:w="30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520" w:type="dxa"/>
            <w:vAlign w:val="bottom"/>
            <w:shd w:val="clear" w:color="auto" w:fill="E5E5E5"/>
          </w:tcPr>
          <w:p>
            <w:pPr>
              <w:spacing w:after="0"/>
              <w:rPr>
                <w:sz w:val="15"/>
                <w:szCs w:val="15"/>
                <w:color w:val="auto"/>
              </w:rPr>
            </w:pPr>
          </w:p>
        </w:tc>
        <w:tc>
          <w:tcPr>
            <w:tcW w:w="18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32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18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400" w:type="dxa"/>
            <w:vAlign w:val="bottom"/>
            <w:shd w:val="clear" w:color="auto" w:fill="E5E5E5"/>
          </w:tcPr>
          <w:p>
            <w:pPr>
              <w:spacing w:after="0"/>
              <w:rPr>
                <w:sz w:val="15"/>
                <w:szCs w:val="15"/>
                <w:color w:val="auto"/>
              </w:rPr>
            </w:pPr>
          </w:p>
        </w:tc>
        <w:tc>
          <w:tcPr>
            <w:tcW w:w="280" w:type="dxa"/>
            <w:vAlign w:val="bottom"/>
            <w:shd w:val="clear" w:color="auto" w:fill="E5E5E5"/>
          </w:tcPr>
          <w:p>
            <w:pPr>
              <w:spacing w:after="0"/>
              <w:rPr>
                <w:sz w:val="15"/>
                <w:szCs w:val="15"/>
                <w:color w:val="auto"/>
              </w:rPr>
            </w:pPr>
          </w:p>
        </w:tc>
        <w:tc>
          <w:tcPr>
            <w:tcW w:w="2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46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680" w:type="dxa"/>
            <w:vAlign w:val="bottom"/>
            <w:shd w:val="clear" w:color="auto" w:fill="E5E5E5"/>
          </w:tcPr>
          <w:p>
            <w:pPr>
              <w:ind w:left="200"/>
              <w:spacing w:after="0"/>
              <w:rPr>
                <w:sz w:val="20"/>
                <w:szCs w:val="20"/>
                <w:color w:val="auto"/>
              </w:rPr>
            </w:pPr>
            <w:r>
              <w:rPr>
                <w:rFonts w:ascii="Arial" w:cs="Arial" w:eastAsia="Arial" w:hAnsi="Arial"/>
                <w:sz w:val="18"/>
                <w:szCs w:val="18"/>
                <w:b w:val="1"/>
                <w:bCs w:val="1"/>
                <w:color w:val="auto"/>
              </w:rPr>
              <w:t>Comprehensive Income:</w:t>
            </w:r>
          </w:p>
        </w:tc>
        <w:tc>
          <w:tcPr>
            <w:tcW w:w="46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360" w:type="dxa"/>
            <w:vAlign w:val="bottom"/>
            <w:shd w:val="clear" w:color="auto" w:fill="E5E5E5"/>
          </w:tcPr>
          <w:p>
            <w:pPr>
              <w:spacing w:after="0"/>
              <w:rPr>
                <w:sz w:val="19"/>
                <w:szCs w:val="19"/>
                <w:color w:val="auto"/>
              </w:rPr>
            </w:pPr>
          </w:p>
        </w:tc>
        <w:tc>
          <w:tcPr>
            <w:tcW w:w="300" w:type="dxa"/>
            <w:vAlign w:val="bottom"/>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520" w:type="dxa"/>
            <w:vAlign w:val="bottom"/>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32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40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46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700" w:type="dxa"/>
            <w:vAlign w:val="bottom"/>
            <w:gridSpan w:val="2"/>
          </w:tcPr>
          <w:p>
            <w:pPr>
              <w:spacing w:after="0" w:line="203" w:lineRule="exact"/>
              <w:rPr>
                <w:sz w:val="20"/>
                <w:szCs w:val="20"/>
                <w:color w:val="auto"/>
              </w:rPr>
            </w:pPr>
            <w:r>
              <w:rPr>
                <w:rFonts w:ascii="Arial" w:cs="Arial" w:eastAsia="Arial" w:hAnsi="Arial"/>
                <w:sz w:val="18"/>
                <w:szCs w:val="18"/>
                <w:color w:val="auto"/>
              </w:rPr>
              <w:t xml:space="preserve">Net actuarial loss (gain) </w:t>
            </w:r>
            <w:r>
              <w:rPr>
                <w:rFonts w:ascii="Arial" w:cs="Arial" w:eastAsia="Arial" w:hAnsi="Arial"/>
                <w:sz w:val="22"/>
                <w:szCs w:val="22"/>
                <w:color w:val="auto"/>
                <w:vertAlign w:val="superscript"/>
              </w:rPr>
              <w:t>(3)</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w w:val="97"/>
              </w:rPr>
              <w:t>$ 198</w:t>
            </w: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8</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1,062</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126</w:t>
            </w:r>
          </w:p>
        </w:tc>
        <w:tc>
          <w:tcPr>
            <w:tcW w:w="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shd w:val="clear" w:color="auto" w:fill="E5E5E5"/>
          </w:tcPr>
          <w:p>
            <w:pPr>
              <w:spacing w:after="0" w:line="203" w:lineRule="exact"/>
              <w:rPr>
                <w:sz w:val="20"/>
                <w:szCs w:val="20"/>
                <w:color w:val="auto"/>
              </w:rPr>
            </w:pPr>
            <w:r>
              <w:rPr>
                <w:rFonts w:ascii="Arial" w:cs="Arial" w:eastAsia="Arial" w:hAnsi="Arial"/>
                <w:sz w:val="18"/>
                <w:szCs w:val="18"/>
                <w:color w:val="auto"/>
              </w:rPr>
              <w:t xml:space="preserve">Prior service cost (credit) </w:t>
            </w:r>
            <w:r>
              <w:rPr>
                <w:rFonts w:ascii="Arial" w:cs="Arial" w:eastAsia="Arial" w:hAnsi="Arial"/>
                <w:sz w:val="22"/>
                <w:szCs w:val="22"/>
                <w:color w:val="auto"/>
                <w:vertAlign w:val="superscript"/>
              </w:rPr>
              <w:t>(4)</w:t>
            </w:r>
          </w:p>
        </w:tc>
        <w:tc>
          <w:tcPr>
            <w:tcW w:w="56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(19)</w:t>
            </w:r>
          </w:p>
        </w:tc>
        <w:tc>
          <w:tcPr>
            <w:tcW w:w="2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60" w:type="dxa"/>
            <w:vAlign w:val="bottom"/>
            <w:gridSpan w:val="2"/>
            <w:shd w:val="clear" w:color="auto" w:fill="E5E5E5"/>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E5E5E5"/>
          </w:tcPr>
          <w:p>
            <w:pPr>
              <w:spacing w:after="0"/>
              <w:rPr>
                <w:sz w:val="17"/>
                <w:szCs w:val="17"/>
                <w:color w:val="auto"/>
              </w:rPr>
            </w:pPr>
          </w:p>
        </w:tc>
        <w:tc>
          <w:tcPr>
            <w:tcW w:w="70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1</w:t>
            </w: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42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(86)</w:t>
            </w:r>
          </w:p>
        </w:tc>
        <w:tc>
          <w:tcPr>
            <w:tcW w:w="18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680" w:type="dxa"/>
            <w:vAlign w:val="bottom"/>
            <w:gridSpan w:val="2"/>
            <w:shd w:val="clear" w:color="auto" w:fill="E5E5E5"/>
          </w:tcPr>
          <w:p>
            <w:pPr>
              <w:jc w:val="right"/>
              <w:ind w:right="280"/>
              <w:spacing w:after="0" w:line="202" w:lineRule="exact"/>
              <w:rPr>
                <w:sz w:val="20"/>
                <w:szCs w:val="20"/>
                <w:color w:val="auto"/>
              </w:rPr>
            </w:pPr>
            <w:r>
              <w:rPr>
                <w:rFonts w:ascii="Arial" w:cs="Arial" w:eastAsia="Arial" w:hAnsi="Arial"/>
                <w:sz w:val="18"/>
                <w:szCs w:val="18"/>
                <w:color w:val="auto"/>
              </w:rPr>
              <w:t>1</w:t>
            </w:r>
          </w:p>
        </w:tc>
        <w:tc>
          <w:tcPr>
            <w:tcW w:w="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56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03"/>
        </w:trPr>
        <w:tc>
          <w:tcPr>
            <w:tcW w:w="6700" w:type="dxa"/>
            <w:vAlign w:val="bottom"/>
            <w:gridSpan w:val="2"/>
          </w:tcPr>
          <w:p>
            <w:pPr>
              <w:spacing w:after="0" w:line="202" w:lineRule="exact"/>
              <w:rPr>
                <w:sz w:val="20"/>
                <w:szCs w:val="20"/>
                <w:color w:val="auto"/>
              </w:rPr>
            </w:pPr>
            <w:r>
              <w:rPr>
                <w:rFonts w:ascii="Arial" w:cs="Arial" w:eastAsia="Arial" w:hAnsi="Arial"/>
                <w:sz w:val="18"/>
                <w:szCs w:val="18"/>
                <w:color w:val="auto"/>
              </w:rPr>
              <w:t>Amortization of net actuarial (loss) gain</w:t>
            </w:r>
          </w:p>
        </w:tc>
        <w:tc>
          <w:tcPr>
            <w:tcW w:w="5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(143)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(95)</w:t>
            </w:r>
          </w:p>
        </w:tc>
        <w:tc>
          <w:tcPr>
            <w:tcW w:w="120" w:type="dxa"/>
            <w:vAlign w:val="bottom"/>
          </w:tcPr>
          <w:p>
            <w:pPr>
              <w:spacing w:after="0"/>
              <w:rPr>
                <w:sz w:val="17"/>
                <w:szCs w:val="17"/>
                <w:color w:val="auto"/>
              </w:rPr>
            </w:pPr>
          </w:p>
        </w:tc>
        <w:tc>
          <w:tcPr>
            <w:tcW w:w="7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Amortization of prior service (cost) credit</w:t>
            </w:r>
          </w:p>
        </w:tc>
        <w:tc>
          <w:tcPr>
            <w:tcW w:w="4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22</w:t>
            </w:r>
          </w:p>
        </w:tc>
        <w:tc>
          <w:tcPr>
            <w:tcW w:w="10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3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21</w:t>
            </w:r>
          </w:p>
        </w:tc>
        <w:tc>
          <w:tcPr>
            <w:tcW w:w="3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70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20</w:t>
            </w: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4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30</w:t>
            </w:r>
          </w:p>
        </w:tc>
        <w:tc>
          <w:tcPr>
            <w:tcW w:w="18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680" w:type="dxa"/>
            <w:vAlign w:val="bottom"/>
            <w:gridSpan w:val="2"/>
            <w:shd w:val="clear" w:color="auto" w:fill="E5E5E5"/>
          </w:tcPr>
          <w:p>
            <w:pPr>
              <w:jc w:val="right"/>
              <w:ind w:right="280"/>
              <w:spacing w:after="0" w:line="202" w:lineRule="exact"/>
              <w:rPr>
                <w:sz w:val="20"/>
                <w:szCs w:val="20"/>
                <w:color w:val="auto"/>
              </w:rPr>
            </w:pPr>
            <w:r>
              <w:rPr>
                <w:rFonts w:ascii="Arial" w:cs="Arial" w:eastAsia="Arial" w:hAnsi="Arial"/>
                <w:sz w:val="18"/>
                <w:szCs w:val="18"/>
                <w:color w:val="auto"/>
              </w:rPr>
              <w:t>41</w:t>
            </w:r>
          </w:p>
        </w:tc>
        <w:tc>
          <w:tcPr>
            <w:tcW w:w="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5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Recognized in Other Comprehensive Income</w:t>
            </w: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00" w:type="dxa"/>
            <w:vAlign w:val="bottom"/>
            <w:gridSpan w:val="2"/>
            <w:vMerge w:val="continue"/>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168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68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6680" w:type="dxa"/>
            <w:vAlign w:val="bottom"/>
            <w:shd w:val="clear" w:color="auto" w:fill="E5E5E5"/>
          </w:tcPr>
          <w:p>
            <w:pPr>
              <w:spacing w:after="0" w:line="184" w:lineRule="exact"/>
              <w:rPr>
                <w:sz w:val="20"/>
                <w:szCs w:val="20"/>
                <w:color w:val="auto"/>
              </w:rPr>
            </w:pPr>
            <w:r>
              <w:rPr>
                <w:rFonts w:ascii="Arial" w:cs="Arial" w:eastAsia="Arial" w:hAnsi="Arial"/>
                <w:sz w:val="18"/>
                <w:szCs w:val="18"/>
                <w:b w:val="1"/>
                <w:bCs w:val="1"/>
                <w:color w:val="auto"/>
              </w:rPr>
              <w:t>Total Recognized in Net Periodic Benefit Cost and Other Comprehensive</w:t>
            </w:r>
          </w:p>
        </w:tc>
        <w:tc>
          <w:tcPr>
            <w:tcW w:w="46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20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360" w:type="dxa"/>
            <w:vAlign w:val="bottom"/>
            <w:shd w:val="clear" w:color="auto" w:fill="E5E5E5"/>
          </w:tcPr>
          <w:p>
            <w:pPr>
              <w:spacing w:after="0"/>
              <w:rPr>
                <w:sz w:val="15"/>
                <w:szCs w:val="15"/>
                <w:color w:val="auto"/>
              </w:rPr>
            </w:pPr>
          </w:p>
        </w:tc>
        <w:tc>
          <w:tcPr>
            <w:tcW w:w="30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520" w:type="dxa"/>
            <w:vAlign w:val="bottom"/>
            <w:shd w:val="clear" w:color="auto" w:fill="E5E5E5"/>
          </w:tcPr>
          <w:p>
            <w:pPr>
              <w:spacing w:after="0"/>
              <w:rPr>
                <w:sz w:val="15"/>
                <w:szCs w:val="15"/>
                <w:color w:val="auto"/>
              </w:rPr>
            </w:pPr>
          </w:p>
        </w:tc>
        <w:tc>
          <w:tcPr>
            <w:tcW w:w="18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32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18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400" w:type="dxa"/>
            <w:vAlign w:val="bottom"/>
            <w:shd w:val="clear" w:color="auto" w:fill="E5E5E5"/>
          </w:tcPr>
          <w:p>
            <w:pPr>
              <w:spacing w:after="0"/>
              <w:rPr>
                <w:sz w:val="15"/>
                <w:szCs w:val="15"/>
                <w:color w:val="auto"/>
              </w:rPr>
            </w:pPr>
          </w:p>
        </w:tc>
        <w:tc>
          <w:tcPr>
            <w:tcW w:w="280" w:type="dxa"/>
            <w:vAlign w:val="bottom"/>
            <w:shd w:val="clear" w:color="auto" w:fill="E5E5E5"/>
          </w:tcPr>
          <w:p>
            <w:pPr>
              <w:spacing w:after="0"/>
              <w:rPr>
                <w:sz w:val="15"/>
                <w:szCs w:val="15"/>
                <w:color w:val="auto"/>
              </w:rPr>
            </w:pPr>
          </w:p>
        </w:tc>
        <w:tc>
          <w:tcPr>
            <w:tcW w:w="2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46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680" w:type="dxa"/>
            <w:vAlign w:val="bottom"/>
            <w:shd w:val="clear" w:color="auto" w:fill="E5E5E5"/>
          </w:tcPr>
          <w:p>
            <w:pPr>
              <w:ind w:left="200"/>
              <w:spacing w:after="0"/>
              <w:rPr>
                <w:sz w:val="20"/>
                <w:szCs w:val="20"/>
                <w:color w:val="auto"/>
              </w:rPr>
            </w:pPr>
            <w:r>
              <w:rPr>
                <w:rFonts w:ascii="Arial" w:cs="Arial" w:eastAsia="Arial" w:hAnsi="Arial"/>
                <w:sz w:val="18"/>
                <w:szCs w:val="18"/>
                <w:b w:val="1"/>
                <w:bCs w:val="1"/>
                <w:color w:val="auto"/>
              </w:rPr>
              <w:t>Income</w:t>
            </w: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7"/>
              </w:rPr>
              <w:t>$ 413</w:t>
            </w:r>
          </w:p>
        </w:tc>
        <w:tc>
          <w:tcPr>
            <w:tcW w:w="100" w:type="dxa"/>
            <w:vAlign w:val="bottom"/>
            <w:shd w:val="clear" w:color="auto" w:fill="E5E5E5"/>
          </w:tcPr>
          <w:p>
            <w:pPr>
              <w:spacing w:after="0"/>
              <w:rPr>
                <w:sz w:val="19"/>
                <w:szCs w:val="19"/>
                <w:color w:val="auto"/>
              </w:rPr>
            </w:pPr>
          </w:p>
        </w:tc>
        <w:tc>
          <w:tcPr>
            <w:tcW w:w="320" w:type="dxa"/>
            <w:vAlign w:val="bottom"/>
            <w:gridSpan w:val="2"/>
            <w:shd w:val="clear" w:color="auto" w:fill="E5E5E5"/>
          </w:tcPr>
          <w:p>
            <w:pPr>
              <w:jc w:val="right"/>
              <w:ind w:right="20"/>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204</w:t>
            </w:r>
          </w:p>
        </w:tc>
        <w:tc>
          <w:tcPr>
            <w:tcW w:w="300" w:type="dxa"/>
            <w:vAlign w:val="bottom"/>
            <w:shd w:val="clear" w:color="auto" w:fill="E5E5E5"/>
          </w:tcPr>
          <w:p>
            <w:pPr>
              <w:spacing w:after="0"/>
              <w:rPr>
                <w:sz w:val="19"/>
                <w:szCs w:val="19"/>
                <w:color w:val="auto"/>
              </w:rPr>
            </w:pPr>
          </w:p>
        </w:tc>
        <w:tc>
          <w:tcPr>
            <w:tcW w:w="120" w:type="dxa"/>
            <w:vAlign w:val="bottom"/>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E5E5E5"/>
          </w:tcPr>
          <w:p>
            <w:pPr>
              <w:jc w:val="right"/>
              <w:ind w:right="180"/>
              <w:spacing w:after="0"/>
              <w:rPr>
                <w:sz w:val="20"/>
                <w:szCs w:val="20"/>
                <w:color w:val="auto"/>
              </w:rPr>
            </w:pPr>
            <w:r>
              <w:rPr>
                <w:rFonts w:ascii="Arial" w:cs="Arial" w:eastAsia="Arial" w:hAnsi="Arial"/>
                <w:sz w:val="18"/>
                <w:szCs w:val="18"/>
                <w:color w:val="auto"/>
              </w:rPr>
              <w:t>1,267</w:t>
            </w:r>
          </w:p>
        </w:tc>
        <w:tc>
          <w:tcPr>
            <w:tcW w:w="28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(11)</w:t>
            </w:r>
          </w:p>
        </w:tc>
        <w:tc>
          <w:tcPr>
            <w:tcW w:w="28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E5E5E5"/>
          </w:tcPr>
          <w:p>
            <w:pPr>
              <w:jc w:val="right"/>
              <w:ind w:right="280"/>
              <w:spacing w:after="0"/>
              <w:rPr>
                <w:sz w:val="20"/>
                <w:szCs w:val="20"/>
                <w:color w:val="auto"/>
              </w:rPr>
            </w:pPr>
            <w:r>
              <w:rPr>
                <w:rFonts w:ascii="Arial" w:cs="Arial" w:eastAsia="Arial" w:hAnsi="Arial"/>
                <w:sz w:val="18"/>
                <w:szCs w:val="18"/>
                <w:color w:val="auto"/>
              </w:rPr>
              <w:t>194</w:t>
            </w:r>
          </w:p>
        </w:tc>
        <w:tc>
          <w:tcPr>
            <w:tcW w:w="140" w:type="dxa"/>
            <w:vAlign w:val="bottom"/>
            <w:gridSpan w:val="2"/>
            <w:shd w:val="clear" w:color="auto" w:fill="E5E5E5"/>
          </w:tcPr>
          <w:p>
            <w:pPr>
              <w:jc w:val="right"/>
              <w:ind w:right="20"/>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1" w:lineRule="exact"/>
        <w:rPr>
          <w:sz w:val="20"/>
          <w:szCs w:val="20"/>
          <w:color w:val="auto"/>
        </w:rPr>
      </w:pPr>
    </w:p>
    <w:p>
      <w:pPr>
        <w:ind w:left="340" w:right="140" w:hanging="332"/>
        <w:spacing w:after="0" w:line="221" w:lineRule="auto"/>
        <w:tabs>
          <w:tab w:leader="none" w:pos="340" w:val="left"/>
        </w:tabs>
        <w:numPr>
          <w:ilvl w:val="0"/>
          <w:numId w:val="167"/>
        </w:numPr>
        <w:rPr>
          <w:rFonts w:ascii="Arial" w:cs="Arial" w:eastAsia="Arial" w:hAnsi="Arial"/>
          <w:sz w:val="14"/>
          <w:szCs w:val="14"/>
          <w:color w:val="auto"/>
        </w:rPr>
      </w:pPr>
      <w:r>
        <w:rPr>
          <w:rFonts w:ascii="Arial" w:cs="Arial" w:eastAsia="Arial" w:hAnsi="Arial"/>
          <w:sz w:val="14"/>
          <w:szCs w:val="14"/>
          <w:color w:val="auto"/>
        </w:rPr>
        <w:t>Interest cost includes interest expense on non-TRA obligations of $381, $390 and $408 and interest expense (income) directly allocated to TRA participant accounts of $194, $118 and $(413) for the years ended December 31, 2010, 2009 and 2008, respectively.</w:t>
      </w:r>
    </w:p>
    <w:p>
      <w:pPr>
        <w:ind w:left="340" w:right="20" w:hanging="332"/>
        <w:spacing w:after="0" w:line="221" w:lineRule="auto"/>
        <w:tabs>
          <w:tab w:leader="none" w:pos="340" w:val="left"/>
        </w:tabs>
        <w:numPr>
          <w:ilvl w:val="0"/>
          <w:numId w:val="167"/>
        </w:numPr>
        <w:rPr>
          <w:rFonts w:ascii="Arial" w:cs="Arial" w:eastAsia="Arial" w:hAnsi="Arial"/>
          <w:sz w:val="14"/>
          <w:szCs w:val="14"/>
          <w:color w:val="auto"/>
        </w:rPr>
      </w:pPr>
      <w:r>
        <w:rPr>
          <w:rFonts w:ascii="Arial" w:cs="Arial" w:eastAsia="Arial" w:hAnsi="Arial"/>
          <w:sz w:val="14"/>
          <w:szCs w:val="14"/>
          <w:color w:val="auto"/>
        </w:rPr>
        <w:t>Expected return on plan assets includes expected investment income on non-TRA assets of $376, $405 and $493 and actual investment income (expense) on TRA assets of $194, $118 and $(413) for the years ended December 31, 2010, 2009 and 2008, respectively.</w:t>
      </w:r>
    </w:p>
    <w:p>
      <w:pPr>
        <w:ind w:left="340" w:right="220" w:hanging="332"/>
        <w:spacing w:after="0" w:line="221" w:lineRule="auto"/>
        <w:tabs>
          <w:tab w:leader="none" w:pos="340" w:val="left"/>
        </w:tabs>
        <w:numPr>
          <w:ilvl w:val="0"/>
          <w:numId w:val="167"/>
        </w:numPr>
        <w:rPr>
          <w:rFonts w:ascii="Arial" w:cs="Arial" w:eastAsia="Arial" w:hAnsi="Arial"/>
          <w:sz w:val="14"/>
          <w:szCs w:val="14"/>
          <w:color w:val="auto"/>
        </w:rPr>
      </w:pPr>
      <w:r>
        <w:rPr>
          <w:rFonts w:ascii="Arial" w:cs="Arial" w:eastAsia="Arial" w:hAnsi="Arial"/>
          <w:sz w:val="14"/>
          <w:szCs w:val="14"/>
          <w:color w:val="auto"/>
        </w:rPr>
        <w:t>Includes adjustments as a result of the plan amendments as well as the actual valuation results based on January 1, 2010 plan census data for the U.S. and Canadian defined benefit plans and the U.S. retiree medical plan. Refer to the “Plan Amendment” section for additional information.</w:t>
      </w:r>
    </w:p>
    <w:p>
      <w:pPr>
        <w:ind w:left="340" w:hanging="332"/>
        <w:spacing w:after="0"/>
        <w:tabs>
          <w:tab w:leader="none" w:pos="340" w:val="left"/>
        </w:tabs>
        <w:numPr>
          <w:ilvl w:val="0"/>
          <w:numId w:val="167"/>
        </w:numPr>
        <w:rPr>
          <w:rFonts w:ascii="Arial" w:cs="Arial" w:eastAsia="Arial" w:hAnsi="Arial"/>
          <w:sz w:val="14"/>
          <w:szCs w:val="14"/>
          <w:color w:val="auto"/>
        </w:rPr>
      </w:pPr>
      <w:r>
        <w:rPr>
          <w:rFonts w:ascii="Arial" w:cs="Arial" w:eastAsia="Arial" w:hAnsi="Arial"/>
          <w:sz w:val="14"/>
          <w:szCs w:val="14"/>
          <w:color w:val="auto"/>
        </w:rPr>
        <w:t>Refer to “Plan Amendments” for additional information.</w:t>
      </w:r>
    </w:p>
    <w:p>
      <w:pPr>
        <w:spacing w:after="0" w:line="136" w:lineRule="exact"/>
        <w:rPr>
          <w:sz w:val="20"/>
          <w:szCs w:val="20"/>
          <w:color w:val="auto"/>
        </w:rPr>
      </w:pPr>
    </w:p>
    <w:p>
      <w:pPr>
        <w:ind w:left="9600"/>
        <w:spacing w:after="0"/>
        <w:rPr>
          <w:sz w:val="20"/>
          <w:szCs w:val="20"/>
          <w:color w:val="auto"/>
        </w:rPr>
      </w:pPr>
      <w:r>
        <w:rPr>
          <w:rFonts w:ascii="Arial" w:cs="Arial" w:eastAsia="Arial" w:hAnsi="Arial"/>
          <w:sz w:val="12"/>
          <w:szCs w:val="12"/>
          <w:color w:val="4C9F40"/>
        </w:rPr>
        <w:t>Xerox 2010 Annual Report 82</w:t>
      </w:r>
    </w:p>
    <w:p>
      <w:pPr>
        <w:sectPr>
          <w:pgSz w:w="11900" w:h="16838" w:orient="portrait"/>
          <w:cols w:equalWidth="0" w:num="1">
            <w:col w:w="11420"/>
          </w:cols>
          <w:pgMar w:left="240" w:top="508" w:right="239" w:bottom="1440" w:gutter="0" w:footer="0" w:header="0"/>
        </w:sectPr>
      </w:pPr>
    </w:p>
    <w:bookmarkStart w:id="159" w:name="page160"/>
    <w:bookmarkEnd w:id="159"/>
    <w:p>
      <w:pPr>
        <w:ind w:right="380"/>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provides a summary of the components of the Net change in benefit plans included within Other comprehensive income as reported in the Consolidated Statement of Shareholders’ Equity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gridSpan w:val="2"/>
          </w:tcPr>
          <w:p>
            <w:pPr>
              <w:spacing w:after="0"/>
              <w:rPr>
                <w:sz w:val="20"/>
                <w:szCs w:val="20"/>
                <w:color w:val="auto"/>
              </w:rPr>
            </w:pPr>
            <w:r>
              <w:rPr>
                <w:rFonts w:ascii="Arial" w:cs="Arial" w:eastAsia="Arial" w:hAnsi="Arial"/>
                <w:sz w:val="14"/>
                <w:szCs w:val="14"/>
                <w:color w:val="auto"/>
              </w:rPr>
              <w:t>(Expense)/Benefit</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2010</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ind w:right="35"/>
              <w:spacing w:after="0"/>
              <w:rPr>
                <w:sz w:val="20"/>
                <w:szCs w:val="20"/>
                <w:color w:val="auto"/>
              </w:rPr>
            </w:pPr>
            <w:r>
              <w:rPr>
                <w:rFonts w:ascii="Arial" w:cs="Arial" w:eastAsia="Arial" w:hAnsi="Arial"/>
                <w:sz w:val="14"/>
                <w:szCs w:val="14"/>
                <w:color w:val="auto"/>
                <w:w w:val="96"/>
              </w:rPr>
              <w:t>2009</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55"/>
              <w:spacing w:after="0"/>
              <w:rPr>
                <w:sz w:val="20"/>
                <w:szCs w:val="20"/>
                <w:color w:val="auto"/>
              </w:rPr>
            </w:pPr>
            <w:r>
              <w:rPr>
                <w:rFonts w:ascii="Arial" w:cs="Arial" w:eastAsia="Arial" w:hAnsi="Arial"/>
                <w:sz w:val="14"/>
                <w:szCs w:val="14"/>
                <w:color w:val="auto"/>
                <w:w w:val="96"/>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shd w:val="clear" w:color="auto" w:fill="000000"/>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80" w:type="dxa"/>
            <w:vAlign w:val="bottom"/>
            <w:gridSpan w:val="2"/>
            <w:shd w:val="clear" w:color="auto" w:fill="E5E5E5"/>
          </w:tcPr>
          <w:p>
            <w:pPr>
              <w:spacing w:after="0" w:line="196" w:lineRule="exact"/>
              <w:rPr>
                <w:sz w:val="20"/>
                <w:szCs w:val="20"/>
                <w:color w:val="auto"/>
              </w:rPr>
            </w:pPr>
            <w:r>
              <w:rPr>
                <w:rFonts w:ascii="Arial" w:cs="Arial" w:eastAsia="Arial" w:hAnsi="Arial"/>
                <w:sz w:val="18"/>
                <w:szCs w:val="18"/>
                <w:color w:val="auto"/>
              </w:rPr>
              <w:t>Other changes in plan assets and benefit obligations</w:t>
            </w:r>
          </w:p>
        </w:tc>
        <w:tc>
          <w:tcPr>
            <w:tcW w:w="16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E5E5E5"/>
          </w:tcPr>
          <w:p>
            <w:pPr>
              <w:jc w:val="right"/>
              <w:ind w:right="220"/>
              <w:spacing w:after="0" w:line="196" w:lineRule="exact"/>
              <w:rPr>
                <w:sz w:val="20"/>
                <w:szCs w:val="20"/>
                <w:color w:val="auto"/>
              </w:rPr>
            </w:pPr>
            <w:r>
              <w:rPr>
                <w:rFonts w:ascii="Arial" w:cs="Arial" w:eastAsia="Arial" w:hAnsi="Arial"/>
                <w:sz w:val="18"/>
                <w:szCs w:val="18"/>
                <w:color w:val="auto"/>
              </w:rPr>
              <w:t>(15)</w:t>
            </w:r>
          </w:p>
        </w:tc>
        <w:tc>
          <w:tcPr>
            <w:tcW w:w="340" w:type="dxa"/>
            <w:vAlign w:val="bottom"/>
            <w:gridSpan w:val="2"/>
            <w:shd w:val="clear" w:color="auto" w:fill="E5E5E5"/>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E5E5E5"/>
          </w:tcPr>
          <w:p>
            <w:pPr>
              <w:jc w:val="right"/>
              <w:ind w:right="440"/>
              <w:spacing w:after="0" w:line="196" w:lineRule="exact"/>
              <w:rPr>
                <w:sz w:val="20"/>
                <w:szCs w:val="20"/>
                <w:color w:val="auto"/>
              </w:rPr>
            </w:pPr>
            <w:r>
              <w:rPr>
                <w:rFonts w:ascii="Arial" w:cs="Arial" w:eastAsia="Arial" w:hAnsi="Arial"/>
                <w:sz w:val="18"/>
                <w:szCs w:val="18"/>
                <w:color w:val="auto"/>
              </w:rPr>
              <w:t>(102)</w:t>
            </w:r>
          </w:p>
        </w:tc>
        <w:tc>
          <w:tcPr>
            <w:tcW w:w="12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E5E5E5"/>
          </w:tcPr>
          <w:p>
            <w:pPr>
              <w:jc w:val="right"/>
              <w:ind w:right="40"/>
              <w:spacing w:after="0" w:line="196" w:lineRule="exact"/>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03"/>
        </w:trPr>
        <w:tc>
          <w:tcPr>
            <w:tcW w:w="7780" w:type="dxa"/>
            <w:vAlign w:val="bottom"/>
            <w:gridSpan w:val="2"/>
          </w:tcPr>
          <w:p>
            <w:pPr>
              <w:spacing w:after="0" w:line="202" w:lineRule="exact"/>
              <w:rPr>
                <w:sz w:val="20"/>
                <w:szCs w:val="20"/>
                <w:color w:val="auto"/>
              </w:rPr>
            </w:pPr>
            <w:r>
              <w:rPr>
                <w:rFonts w:ascii="Arial" w:cs="Arial" w:eastAsia="Arial" w:hAnsi="Arial"/>
                <w:sz w:val="18"/>
                <w:szCs w:val="18"/>
                <w:color w:val="auto"/>
              </w:rPr>
              <w:t>Income tax</w:t>
            </w:r>
          </w:p>
        </w:tc>
        <w:tc>
          <w:tcPr>
            <w:tcW w:w="160" w:type="dxa"/>
            <w:vAlign w:val="bottom"/>
          </w:tcPr>
          <w:p>
            <w:pPr>
              <w:spacing w:after="0"/>
              <w:rPr>
                <w:sz w:val="17"/>
                <w:szCs w:val="17"/>
                <w:color w:val="auto"/>
              </w:rPr>
            </w:pPr>
          </w:p>
        </w:tc>
        <w:tc>
          <w:tcPr>
            <w:tcW w:w="6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61</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03"/>
        </w:trPr>
        <w:tc>
          <w:tcPr>
            <w:tcW w:w="7780" w:type="dxa"/>
            <w:vAlign w:val="bottom"/>
            <w:gridSpan w:val="2"/>
            <w:shd w:val="clear" w:color="auto" w:fill="E5E5E5"/>
          </w:tcPr>
          <w:p>
            <w:pPr>
              <w:spacing w:after="0" w:line="203" w:lineRule="exact"/>
              <w:rPr>
                <w:sz w:val="20"/>
                <w:szCs w:val="20"/>
                <w:color w:val="auto"/>
              </w:rPr>
            </w:pPr>
            <w:r>
              <w:rPr>
                <w:rFonts w:ascii="Arial" w:cs="Arial" w:eastAsia="Arial" w:hAnsi="Arial"/>
                <w:sz w:val="18"/>
                <w:szCs w:val="18"/>
                <w:color w:val="auto"/>
              </w:rPr>
              <w:t>Fuji Xerox changes in defined benefit plans</w:t>
            </w:r>
            <w:r>
              <w:rPr>
                <w:rFonts w:ascii="Arial" w:cs="Arial" w:eastAsia="Arial" w:hAnsi="Arial"/>
                <w:sz w:val="22"/>
                <w:szCs w:val="22"/>
                <w:color w:val="auto"/>
                <w:vertAlign w:val="superscript"/>
              </w:rPr>
              <w:t>(1)</w:t>
            </w:r>
          </w:p>
        </w:tc>
        <w:tc>
          <w:tcPr>
            <w:tcW w:w="160" w:type="dxa"/>
            <w:vAlign w:val="bottom"/>
            <w:shd w:val="clear" w:color="auto" w:fill="E5E5E5"/>
          </w:tcPr>
          <w:p>
            <w:pPr>
              <w:spacing w:after="0"/>
              <w:rPr>
                <w:sz w:val="17"/>
                <w:szCs w:val="17"/>
                <w:color w:val="auto"/>
              </w:rPr>
            </w:pPr>
          </w:p>
        </w:tc>
        <w:tc>
          <w:tcPr>
            <w:tcW w:w="3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28</w:t>
            </w:r>
          </w:p>
        </w:tc>
        <w:tc>
          <w:tcPr>
            <w:tcW w:w="28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440"/>
              <w:spacing w:after="0" w:line="202" w:lineRule="exact"/>
              <w:rPr>
                <w:sz w:val="20"/>
                <w:szCs w:val="20"/>
                <w:color w:val="auto"/>
              </w:rPr>
            </w:pPr>
            <w:r>
              <w:rPr>
                <w:rFonts w:ascii="Arial" w:cs="Arial" w:eastAsia="Arial" w:hAnsi="Arial"/>
                <w:sz w:val="18"/>
                <w:szCs w:val="18"/>
                <w:color w:val="auto"/>
              </w:rPr>
              <w:t>(36)</w:t>
            </w:r>
          </w:p>
        </w:tc>
        <w:tc>
          <w:tcPr>
            <w:tcW w:w="120" w:type="dxa"/>
            <w:vAlign w:val="bottom"/>
            <w:shd w:val="clear" w:color="auto" w:fill="E5E5E5"/>
          </w:tcPr>
          <w:p>
            <w:pPr>
              <w:spacing w:after="0"/>
              <w:rPr>
                <w:sz w:val="17"/>
                <w:szCs w:val="17"/>
                <w:color w:val="auto"/>
              </w:rPr>
            </w:pPr>
          </w:p>
        </w:tc>
        <w:tc>
          <w:tcPr>
            <w:tcW w:w="56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3"/>
        </w:trPr>
        <w:tc>
          <w:tcPr>
            <w:tcW w:w="7780" w:type="dxa"/>
            <w:vAlign w:val="bottom"/>
            <w:gridSpan w:val="2"/>
          </w:tcPr>
          <w:p>
            <w:pPr>
              <w:spacing w:after="0" w:line="203" w:lineRule="exact"/>
              <w:rPr>
                <w:sz w:val="20"/>
                <w:szCs w:val="20"/>
                <w:color w:val="auto"/>
              </w:rPr>
            </w:pPr>
            <w:r>
              <w:rPr>
                <w:rFonts w:ascii="Arial" w:cs="Arial" w:eastAsia="Arial" w:hAnsi="Arial"/>
                <w:sz w:val="18"/>
                <w:szCs w:val="18"/>
                <w:color w:val="auto"/>
              </w:rPr>
              <w:t>Currency, net</w:t>
            </w:r>
            <w:r>
              <w:rPr>
                <w:rFonts w:ascii="Arial" w:cs="Arial" w:eastAsia="Arial" w:hAnsi="Arial"/>
                <w:sz w:val="22"/>
                <w:szCs w:val="22"/>
                <w:color w:val="auto"/>
                <w:vertAlign w:val="superscript"/>
              </w:rPr>
              <w:t>(2)</w:t>
            </w:r>
          </w:p>
        </w:tc>
        <w:tc>
          <w:tcPr>
            <w:tcW w:w="160" w:type="dxa"/>
            <w:vAlign w:val="bottom"/>
          </w:tcPr>
          <w:p>
            <w:pPr>
              <w:spacing w:after="0"/>
              <w:rPr>
                <w:sz w:val="17"/>
                <w:szCs w:val="17"/>
                <w:color w:val="auto"/>
              </w:rPr>
            </w:pP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22</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(90)</w:t>
            </w:r>
          </w:p>
        </w:tc>
        <w:tc>
          <w:tcPr>
            <w:tcW w:w="120" w:type="dxa"/>
            <w:vAlign w:val="bottom"/>
          </w:tcPr>
          <w:p>
            <w:pPr>
              <w:spacing w:after="0"/>
              <w:rPr>
                <w:sz w:val="17"/>
                <w:szCs w:val="17"/>
                <w:color w:val="auto"/>
              </w:rPr>
            </w:pPr>
          </w:p>
        </w:tc>
        <w:tc>
          <w:tcPr>
            <w:tcW w:w="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3"/>
        </w:trPr>
        <w:tc>
          <w:tcPr>
            <w:tcW w:w="778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Other, net</w:t>
            </w:r>
          </w:p>
        </w:tc>
        <w:tc>
          <w:tcPr>
            <w:tcW w:w="160" w:type="dxa"/>
            <w:vAlign w:val="bottom"/>
            <w:shd w:val="clear" w:color="auto" w:fill="E5E5E5"/>
          </w:tcPr>
          <w:p>
            <w:pPr>
              <w:spacing w:after="0"/>
              <w:rPr>
                <w:sz w:val="17"/>
                <w:szCs w:val="17"/>
                <w:color w:val="auto"/>
              </w:rPr>
            </w:pPr>
          </w:p>
        </w:tc>
        <w:tc>
          <w:tcPr>
            <w:tcW w:w="3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440"/>
              <w:spacing w:after="0" w:line="202" w:lineRule="exact"/>
              <w:rPr>
                <w:sz w:val="20"/>
                <w:szCs w:val="20"/>
                <w:color w:val="auto"/>
              </w:rPr>
            </w:pPr>
            <w:r>
              <w:rPr>
                <w:rFonts w:ascii="Arial" w:cs="Arial" w:eastAsia="Arial" w:hAnsi="Arial"/>
                <w:sz w:val="18"/>
                <w:szCs w:val="18"/>
                <w:color w:val="auto"/>
              </w:rPr>
              <w:t>(2)</w:t>
            </w:r>
          </w:p>
        </w:tc>
        <w:tc>
          <w:tcPr>
            <w:tcW w:w="120" w:type="dxa"/>
            <w:vAlign w:val="bottom"/>
            <w:shd w:val="clear" w:color="auto" w:fill="E5E5E5"/>
          </w:tcPr>
          <w:p>
            <w:pPr>
              <w:spacing w:after="0"/>
              <w:rPr>
                <w:sz w:val="17"/>
                <w:szCs w:val="17"/>
                <w:color w:val="auto"/>
              </w:rPr>
            </w:pPr>
          </w:p>
        </w:tc>
        <w:tc>
          <w:tcPr>
            <w:tcW w:w="5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Change in Benefit Plans</w:t>
            </w: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80" w:type="dxa"/>
            <w:vAlign w:val="bottom"/>
            <w:gridSpan w:val="2"/>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(169)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9" w:lineRule="exact"/>
        <w:rPr>
          <w:sz w:val="20"/>
          <w:szCs w:val="20"/>
          <w:color w:val="auto"/>
        </w:rPr>
      </w:pPr>
    </w:p>
    <w:p>
      <w:pPr>
        <w:ind w:left="340" w:hanging="332"/>
        <w:spacing w:after="0"/>
        <w:tabs>
          <w:tab w:leader="none" w:pos="340" w:val="left"/>
        </w:tabs>
        <w:numPr>
          <w:ilvl w:val="0"/>
          <w:numId w:val="168"/>
        </w:numPr>
        <w:rPr>
          <w:rFonts w:ascii="Arial" w:cs="Arial" w:eastAsia="Arial" w:hAnsi="Arial"/>
          <w:sz w:val="14"/>
          <w:szCs w:val="14"/>
          <w:color w:val="auto"/>
        </w:rPr>
      </w:pPr>
      <w:r>
        <w:rPr>
          <w:rFonts w:ascii="Arial" w:cs="Arial" w:eastAsia="Arial" w:hAnsi="Arial"/>
          <w:sz w:val="14"/>
          <w:szCs w:val="14"/>
          <w:color w:val="auto"/>
        </w:rPr>
        <w:t>Represents our share of Fuji Xerox’s benefit plan changes.</w:t>
      </w:r>
    </w:p>
    <w:p>
      <w:pPr>
        <w:ind w:left="340" w:hanging="332"/>
        <w:spacing w:after="0"/>
        <w:tabs>
          <w:tab w:leader="none" w:pos="340" w:val="left"/>
        </w:tabs>
        <w:numPr>
          <w:ilvl w:val="0"/>
          <w:numId w:val="168"/>
        </w:numPr>
        <w:rPr>
          <w:rFonts w:ascii="Arial" w:cs="Arial" w:eastAsia="Arial" w:hAnsi="Arial"/>
          <w:sz w:val="14"/>
          <w:szCs w:val="14"/>
          <w:color w:val="auto"/>
        </w:rPr>
      </w:pPr>
      <w:r>
        <w:rPr>
          <w:rFonts w:ascii="Arial" w:cs="Arial" w:eastAsia="Arial" w:hAnsi="Arial"/>
          <w:sz w:val="14"/>
          <w:szCs w:val="14"/>
          <w:color w:val="auto"/>
        </w:rPr>
        <w:t>Represents currency impact on cumulative amount of benefit plan net actuarial losses and prior service credits included in AOCL.</w:t>
      </w:r>
    </w:p>
    <w:p>
      <w:pPr>
        <w:spacing w:after="0" w:line="153"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The net actuarial loss and prior service credit for the defined benefit pension plans that will be amortized from Accumulated other comprehensive loss into net periodic benefit cost over the next fiscal year are $71 and $(24), respectively. The net actuarial loss and prior service credit for the retiree health benefit plans that will be amortized from Accumulated other comprehensive loss into net periodic benefit cost over the next fiscal year are zero and $(41), respectively.</w:t>
      </w:r>
    </w:p>
    <w:p>
      <w:pPr>
        <w:spacing w:after="0" w:line="155"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Pension plan assets consist of both defined benefit plan assets and assets legally restricted to the TRA accounts. The combined investment results for these plans, along with the results for our other defined benefit plans, are shown above in the “actual return on plan assets” caption. To the extent that investment results relate to TRA, such results are charged directly to these accounts as a component of interest cost.</w:t>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14"/>
          <w:szCs w:val="14"/>
          <w:color w:val="4C9F40"/>
        </w:rPr>
        <w:t>Xerox 2010 Annual Report 83</w:t>
      </w:r>
    </w:p>
    <w:p>
      <w:pPr>
        <w:sectPr>
          <w:pgSz w:w="11900" w:h="16838" w:orient="portrait"/>
          <w:cols w:equalWidth="0" w:num="1">
            <w:col w:w="11420"/>
          </w:cols>
          <w:pgMar w:left="240" w:top="345" w:right="23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b w:val="1"/>
          <w:bCs w:val="1"/>
          <w:color w:val="4C9F40"/>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Plan Amendments</w:t>
      </w:r>
    </w:p>
    <w:p>
      <w:pPr>
        <w:spacing w:after="0" w:line="180"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In 2010, we amended our domestic retiree health benefit plan to eliminate the use of the Retiree Drug Subsidy that the Company receives from Medicare as an offset to retiree contributions. This amendment is effective January 1, 2011. The Company will instead use this subsidy to reduce its retiree healthcare costs. The amendment resulted in a net decrease of $55 to the retiree medical benefit obligation and a corresponding $34 after tax increase to equity. This amendment will reduce 2011 expenses by approximately $13.</w:t>
      </w:r>
    </w:p>
    <w:p>
      <w:pPr>
        <w:spacing w:after="0" w:line="155"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In 2010, as a result of a renegotiation of the contract with our largest union, we amended our union pension plan for this population to freeze the final average pay formula of the pension plan effective January 1, 2013 and our union retiree health benefits plan to eliminate a portion of the subsidy currently paid to current and future Medicare-eligible retirees effective January 1, 2011. These amendments are generally consistent with amendments previously made to our salaried employee retirement plans.</w:t>
      </w:r>
    </w:p>
    <w:p>
      <w:pPr>
        <w:spacing w:after="0" w:line="155" w:lineRule="exact"/>
        <w:rPr>
          <w:sz w:val="20"/>
          <w:szCs w:val="20"/>
          <w:color w:val="auto"/>
        </w:rPr>
      </w:pPr>
    </w:p>
    <w:p>
      <w:pPr>
        <w:ind w:right="280"/>
        <w:spacing w:after="0" w:line="236" w:lineRule="auto"/>
        <w:rPr>
          <w:sz w:val="20"/>
          <w:szCs w:val="20"/>
          <w:color w:val="auto"/>
        </w:rPr>
      </w:pPr>
      <w:r>
        <w:rPr>
          <w:rFonts w:ascii="Arial" w:cs="Arial" w:eastAsia="Arial" w:hAnsi="Arial"/>
          <w:sz w:val="18"/>
          <w:szCs w:val="18"/>
          <w:color w:val="auto"/>
        </w:rPr>
        <w:t>In 2009, the U.K. Final Salary Pension Plan was amended to close the plan to future accrual effective January 1, 2014. Benefits earned up to January 1, 2014 will not be affected; therefore, the amendment does not result in a material change to the projected benefit obligation at the re-measurement date, December 31, 2009. The amendment results in substantially all participants becoming inactive; therefore, the amortization period for actuarial gains and losses changes from the average remaining service period of active members (approximately 10 years) to the average remaining life expectancy of all members (approximately 27 years). As of December 31, 2010, the accumulated actuarial losses for our U.K. plan amounted to $707.</w:t>
      </w:r>
    </w:p>
    <w:p>
      <w:pPr>
        <w:spacing w:after="0" w:line="156"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In 2008, we amended our domestic retiree health benefit plan to eliminate the subsidy currently paid to current and future Medicare-eligible retirees effective January 1, 2010. The amendment resulted in a net decrease of approximately $225 in the benefit obligation and a corresponding after-tax increase to equity.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Plan Assets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Current Allocation</w:t>
      </w:r>
    </w:p>
    <w:p>
      <w:pPr>
        <w:spacing w:after="0" w:line="18"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As of the 2010 and 2009 measurement dates, the global pension plan assets were $7.9 billion and $7.6 billion, respectively. These assets were invested among several asset classes. None of the investments include debt or equity securities of Xerox Corporation.</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4"/>
          <w:szCs w:val="14"/>
          <w:color w:val="4C9F40"/>
        </w:rPr>
        <w:t>Xerox 2010 Annual Report 84</w:t>
      </w:r>
    </w:p>
    <w:p>
      <w:pPr>
        <w:sectPr>
          <w:pgSz w:w="11900" w:h="16838" w:orient="portrait"/>
          <w:cols w:equalWidth="0" w:num="1">
            <w:col w:w="11420"/>
          </w:cols>
          <w:pgMar w:left="240" w:top="323" w:right="23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following table presents the defined benefit plans assets measured at fair value at December 31, 2010 and the basis for that measurement:</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Valuation Based On:</w:t>
            </w: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100" w:type="dxa"/>
            <w:vAlign w:val="bottom"/>
            <w:gridSpan w:val="2"/>
          </w:tcPr>
          <w:p>
            <w:pPr>
              <w:jc w:val="center"/>
              <w:spacing w:after="0" w:line="141" w:lineRule="exact"/>
              <w:rPr>
                <w:sz w:val="20"/>
                <w:szCs w:val="20"/>
                <w:color w:val="auto"/>
              </w:rPr>
            </w:pPr>
            <w:r>
              <w:rPr>
                <w:rFonts w:ascii="Arial" w:cs="Arial" w:eastAsia="Arial" w:hAnsi="Arial"/>
                <w:sz w:val="14"/>
                <w:szCs w:val="14"/>
                <w:color w:val="auto"/>
                <w:w w:val="96"/>
              </w:rPr>
              <w:t>Quoted Prices in</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6"/>
              </w:rPr>
              <w:t>Active Markets for</w:t>
            </w:r>
          </w:p>
        </w:tc>
        <w:tc>
          <w:tcPr>
            <w:tcW w:w="580" w:type="dxa"/>
            <w:vAlign w:val="bottom"/>
          </w:tcPr>
          <w:p>
            <w:pPr>
              <w:spacing w:after="0"/>
              <w:rPr>
                <w:sz w:val="12"/>
                <w:szCs w:val="12"/>
                <w:color w:val="auto"/>
              </w:rPr>
            </w:pPr>
          </w:p>
        </w:tc>
        <w:tc>
          <w:tcPr>
            <w:tcW w:w="1680" w:type="dxa"/>
            <w:vAlign w:val="bottom"/>
            <w:gridSpan w:val="3"/>
          </w:tcPr>
          <w:p>
            <w:pPr>
              <w:jc w:val="right"/>
              <w:ind w:right="640"/>
              <w:spacing w:after="0" w:line="149" w:lineRule="exact"/>
              <w:rPr>
                <w:sz w:val="20"/>
                <w:szCs w:val="20"/>
                <w:color w:val="auto"/>
              </w:rPr>
            </w:pPr>
            <w:r>
              <w:rPr>
                <w:rFonts w:ascii="Arial" w:cs="Arial" w:eastAsia="Arial" w:hAnsi="Arial"/>
                <w:sz w:val="14"/>
                <w:szCs w:val="14"/>
                <w:color w:val="auto"/>
                <w:w w:val="98"/>
              </w:rPr>
              <w:t>Significant Other</w:t>
            </w:r>
          </w:p>
        </w:tc>
        <w:tc>
          <w:tcPr>
            <w:tcW w:w="200" w:type="dxa"/>
            <w:vAlign w:val="bottom"/>
          </w:tcPr>
          <w:p>
            <w:pPr>
              <w:spacing w:after="0"/>
              <w:rPr>
                <w:sz w:val="12"/>
                <w:szCs w:val="12"/>
                <w:color w:val="auto"/>
              </w:rPr>
            </w:pPr>
          </w:p>
        </w:tc>
        <w:tc>
          <w:tcPr>
            <w:tcW w:w="136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Significant</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right"/>
              <w:ind w:right="1020"/>
              <w:spacing w:after="0" w:line="149" w:lineRule="exact"/>
              <w:rPr>
                <w:sz w:val="20"/>
                <w:szCs w:val="20"/>
                <w:color w:val="auto"/>
              </w:rPr>
            </w:pPr>
            <w:r>
              <w:rPr>
                <w:rFonts w:ascii="Arial" w:cs="Arial" w:eastAsia="Arial" w:hAnsi="Arial"/>
                <w:sz w:val="14"/>
                <w:szCs w:val="14"/>
                <w:color w:val="auto"/>
              </w:rPr>
              <w:t>Total</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Asset Class</w:t>
            </w:r>
          </w:p>
        </w:tc>
        <w:tc>
          <w:tcPr>
            <w:tcW w:w="100" w:type="dxa"/>
            <w:vAlign w:val="bottom"/>
          </w:tcPr>
          <w:p>
            <w:pPr>
              <w:spacing w:after="0"/>
              <w:rPr>
                <w:sz w:val="12"/>
                <w:szCs w:val="12"/>
                <w:color w:val="auto"/>
              </w:rPr>
            </w:pPr>
          </w:p>
        </w:tc>
        <w:tc>
          <w:tcPr>
            <w:tcW w:w="1000" w:type="dxa"/>
            <w:vAlign w:val="bottom"/>
          </w:tcPr>
          <w:p>
            <w:pPr>
              <w:jc w:val="center"/>
              <w:ind w:right="52"/>
              <w:spacing w:after="0" w:line="149" w:lineRule="exact"/>
              <w:rPr>
                <w:sz w:val="20"/>
                <w:szCs w:val="20"/>
                <w:color w:val="auto"/>
              </w:rPr>
            </w:pPr>
            <w:r>
              <w:rPr>
                <w:rFonts w:ascii="Arial" w:cs="Arial" w:eastAsia="Arial" w:hAnsi="Arial"/>
                <w:sz w:val="14"/>
                <w:szCs w:val="14"/>
                <w:color w:val="auto"/>
                <w:w w:val="96"/>
              </w:rPr>
              <w:t>Identical Asset</w:t>
            </w:r>
          </w:p>
        </w:tc>
        <w:tc>
          <w:tcPr>
            <w:tcW w:w="580" w:type="dxa"/>
            <w:vAlign w:val="bottom"/>
          </w:tcPr>
          <w:p>
            <w:pPr>
              <w:spacing w:after="0"/>
              <w:rPr>
                <w:sz w:val="12"/>
                <w:szCs w:val="12"/>
                <w:color w:val="auto"/>
              </w:rPr>
            </w:pPr>
          </w:p>
        </w:tc>
        <w:tc>
          <w:tcPr>
            <w:tcW w:w="1680" w:type="dxa"/>
            <w:vAlign w:val="bottom"/>
            <w:gridSpan w:val="3"/>
          </w:tcPr>
          <w:p>
            <w:pPr>
              <w:spacing w:after="0" w:line="149" w:lineRule="exact"/>
              <w:rPr>
                <w:sz w:val="20"/>
                <w:szCs w:val="20"/>
                <w:color w:val="auto"/>
              </w:rPr>
            </w:pPr>
            <w:r>
              <w:rPr>
                <w:rFonts w:ascii="Arial" w:cs="Arial" w:eastAsia="Arial" w:hAnsi="Arial"/>
                <w:sz w:val="14"/>
                <w:szCs w:val="14"/>
                <w:color w:val="auto"/>
              </w:rPr>
              <w:t>Observable Inputs</w:t>
            </w:r>
          </w:p>
        </w:tc>
        <w:tc>
          <w:tcPr>
            <w:tcW w:w="1560" w:type="dxa"/>
            <w:vAlign w:val="bottom"/>
            <w:gridSpan w:val="3"/>
          </w:tcPr>
          <w:p>
            <w:pPr>
              <w:spacing w:after="0" w:line="149" w:lineRule="exact"/>
              <w:rPr>
                <w:sz w:val="20"/>
                <w:szCs w:val="20"/>
                <w:color w:val="auto"/>
              </w:rPr>
            </w:pPr>
            <w:r>
              <w:rPr>
                <w:rFonts w:ascii="Arial" w:cs="Arial" w:eastAsia="Arial" w:hAnsi="Arial"/>
                <w:sz w:val="14"/>
                <w:szCs w:val="14"/>
                <w:color w:val="auto"/>
              </w:rPr>
              <w:t>Unobservable Inputs</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right"/>
              <w:ind w:right="860"/>
              <w:spacing w:after="0" w:line="149" w:lineRule="exact"/>
              <w:rPr>
                <w:sz w:val="20"/>
                <w:szCs w:val="20"/>
                <w:color w:val="auto"/>
              </w:rPr>
            </w:pPr>
            <w:r>
              <w:rPr>
                <w:rFonts w:ascii="Arial" w:cs="Arial" w:eastAsia="Arial" w:hAnsi="Arial"/>
                <w:sz w:val="14"/>
                <w:szCs w:val="14"/>
                <w:color w:val="auto"/>
              </w:rPr>
              <w:t>Fair Value</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32"/>
              <w:spacing w:after="0" w:line="149" w:lineRule="exact"/>
              <w:rPr>
                <w:sz w:val="20"/>
                <w:szCs w:val="20"/>
                <w:color w:val="auto"/>
              </w:rPr>
            </w:pPr>
            <w:r>
              <w:rPr>
                <w:rFonts w:ascii="Arial" w:cs="Arial" w:eastAsia="Arial" w:hAnsi="Arial"/>
                <w:sz w:val="14"/>
                <w:szCs w:val="14"/>
                <w:color w:val="auto"/>
                <w:w w:val="99"/>
              </w:rPr>
              <w:t>(Level 1)</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tcPr>
          <w:p>
            <w:pPr>
              <w:jc w:val="right"/>
              <w:ind w:right="860"/>
              <w:spacing w:after="0" w:line="149" w:lineRule="exact"/>
              <w:rPr>
                <w:sz w:val="20"/>
                <w:szCs w:val="20"/>
                <w:color w:val="auto"/>
              </w:rPr>
            </w:pPr>
            <w:r>
              <w:rPr>
                <w:rFonts w:ascii="Arial" w:cs="Arial" w:eastAsia="Arial" w:hAnsi="Arial"/>
                <w:sz w:val="14"/>
                <w:szCs w:val="14"/>
                <w:color w:val="auto"/>
              </w:rPr>
              <w:t>(Level 2)</w:t>
            </w:r>
          </w:p>
        </w:tc>
        <w:tc>
          <w:tcPr>
            <w:tcW w:w="200" w:type="dxa"/>
            <w:vAlign w:val="bottom"/>
          </w:tcPr>
          <w:p>
            <w:pPr>
              <w:spacing w:after="0"/>
              <w:rPr>
                <w:sz w:val="12"/>
                <w:szCs w:val="12"/>
                <w:color w:val="auto"/>
              </w:rPr>
            </w:pPr>
          </w:p>
        </w:tc>
        <w:tc>
          <w:tcPr>
            <w:tcW w:w="136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(Level 3)</w:t>
            </w:r>
          </w:p>
        </w:tc>
        <w:tc>
          <w:tcPr>
            <w:tcW w:w="260" w:type="dxa"/>
            <w:vAlign w:val="bottom"/>
          </w:tcPr>
          <w:p>
            <w:pPr>
              <w:spacing w:after="0"/>
              <w:rPr>
                <w:sz w:val="12"/>
                <w:szCs w:val="12"/>
                <w:color w:val="auto"/>
              </w:rPr>
            </w:pPr>
          </w:p>
        </w:tc>
        <w:tc>
          <w:tcPr>
            <w:tcW w:w="1760" w:type="dxa"/>
            <w:vAlign w:val="bottom"/>
            <w:gridSpan w:val="3"/>
          </w:tcPr>
          <w:p>
            <w:pPr>
              <w:spacing w:after="0" w:line="149" w:lineRule="exact"/>
              <w:rPr>
                <w:sz w:val="20"/>
                <w:szCs w:val="20"/>
                <w:color w:val="auto"/>
              </w:rPr>
            </w:pPr>
            <w:r>
              <w:rPr>
                <w:rFonts w:ascii="Arial" w:cs="Arial" w:eastAsia="Arial" w:hAnsi="Arial"/>
                <w:sz w:val="14"/>
                <w:szCs w:val="14"/>
                <w:color w:val="auto"/>
              </w:rPr>
              <w:t>December 31, 2010</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1"/>
              </w:rPr>
              <w:t>% of 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700" w:type="dxa"/>
            <w:vAlign w:val="bottom"/>
            <w:gridSpan w:val="2"/>
            <w:shd w:val="clear" w:color="auto" w:fill="E5E5E5"/>
          </w:tcPr>
          <w:p>
            <w:pPr>
              <w:spacing w:after="0" w:line="142" w:lineRule="exact"/>
              <w:rPr>
                <w:sz w:val="20"/>
                <w:szCs w:val="20"/>
                <w:color w:val="auto"/>
              </w:rPr>
            </w:pPr>
            <w:r>
              <w:rPr>
                <w:rFonts w:ascii="Arial" w:cs="Arial" w:eastAsia="Arial" w:hAnsi="Arial"/>
                <w:sz w:val="14"/>
                <w:szCs w:val="14"/>
                <w:color w:val="auto"/>
              </w:rPr>
              <w:t>Cash and Cash Equivalents</w:t>
            </w:r>
          </w:p>
        </w:tc>
        <w:tc>
          <w:tcPr>
            <w:tcW w:w="100" w:type="dxa"/>
            <w:vAlign w:val="bottom"/>
            <w:shd w:val="clear" w:color="auto" w:fill="E5E5E5"/>
          </w:tcPr>
          <w:p>
            <w:pPr>
              <w:jc w:val="right"/>
              <w:spacing w:after="0" w:line="142" w:lineRule="exact"/>
              <w:rPr>
                <w:sz w:val="20"/>
                <w:szCs w:val="20"/>
                <w:color w:val="auto"/>
              </w:rPr>
            </w:pPr>
            <w:r>
              <w:rPr>
                <w:rFonts w:ascii="Arial" w:cs="Arial" w:eastAsia="Arial" w:hAnsi="Arial"/>
                <w:sz w:val="14"/>
                <w:szCs w:val="14"/>
                <w:color w:val="auto"/>
                <w:w w:val="76"/>
              </w:rPr>
              <w:t>$</w:t>
            </w:r>
          </w:p>
        </w:tc>
        <w:tc>
          <w:tcPr>
            <w:tcW w:w="1000" w:type="dxa"/>
            <w:vAlign w:val="bottom"/>
            <w:shd w:val="clear" w:color="auto" w:fill="E5E5E5"/>
          </w:tcPr>
          <w:p>
            <w:pPr>
              <w:jc w:val="right"/>
              <w:spacing w:after="0" w:line="142" w:lineRule="exact"/>
              <w:rPr>
                <w:sz w:val="20"/>
                <w:szCs w:val="20"/>
                <w:color w:val="auto"/>
              </w:rPr>
            </w:pPr>
            <w:r>
              <w:rPr>
                <w:rFonts w:ascii="Arial" w:cs="Arial" w:eastAsia="Arial" w:hAnsi="Arial"/>
                <w:sz w:val="14"/>
                <w:szCs w:val="14"/>
                <w:color w:val="auto"/>
              </w:rPr>
              <w:t>640</w:t>
            </w:r>
          </w:p>
        </w:tc>
        <w:tc>
          <w:tcPr>
            <w:tcW w:w="760" w:type="dxa"/>
            <w:vAlign w:val="bottom"/>
            <w:gridSpan w:val="2"/>
            <w:shd w:val="clear" w:color="auto" w:fill="E5E5E5"/>
          </w:tcPr>
          <w:p>
            <w:pPr>
              <w:ind w:left="580"/>
              <w:spacing w:after="0" w:line="142" w:lineRule="exact"/>
              <w:rPr>
                <w:sz w:val="20"/>
                <w:szCs w:val="20"/>
                <w:color w:val="auto"/>
              </w:rPr>
            </w:pPr>
            <w:r>
              <w:rPr>
                <w:rFonts w:ascii="Arial" w:cs="Arial" w:eastAsia="Arial" w:hAnsi="Arial"/>
                <w:sz w:val="14"/>
                <w:szCs w:val="14"/>
                <w:color w:val="auto"/>
              </w:rPr>
              <w:t>$</w:t>
            </w:r>
          </w:p>
        </w:tc>
        <w:tc>
          <w:tcPr>
            <w:tcW w:w="1500" w:type="dxa"/>
            <w:vAlign w:val="bottom"/>
            <w:gridSpan w:val="2"/>
            <w:shd w:val="clear" w:color="auto" w:fill="E5E5E5"/>
          </w:tcPr>
          <w:p>
            <w:pPr>
              <w:jc w:val="right"/>
              <w:ind w:right="580"/>
              <w:spacing w:after="0" w:line="142" w:lineRule="exact"/>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spacing w:after="0" w:line="142"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E5E5E5"/>
          </w:tcPr>
          <w:p>
            <w:pPr>
              <w:jc w:val="right"/>
              <w:ind w:right="320"/>
              <w:spacing w:after="0" w:line="142"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E5E5E5"/>
          </w:tcPr>
          <w:p>
            <w:pPr>
              <w:ind w:left="260"/>
              <w:spacing w:after="0" w:line="142"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E5E5E5"/>
          </w:tcPr>
          <w:p>
            <w:pPr>
              <w:jc w:val="right"/>
              <w:ind w:right="580"/>
              <w:spacing w:after="0" w:line="142" w:lineRule="exact"/>
              <w:rPr>
                <w:sz w:val="20"/>
                <w:szCs w:val="20"/>
                <w:color w:val="auto"/>
              </w:rPr>
            </w:pPr>
            <w:r>
              <w:rPr>
                <w:rFonts w:ascii="Arial" w:cs="Arial" w:eastAsia="Arial" w:hAnsi="Arial"/>
                <w:sz w:val="14"/>
                <w:szCs w:val="14"/>
                <w:color w:val="auto"/>
              </w:rPr>
              <w:t>640</w:t>
            </w:r>
          </w:p>
        </w:tc>
        <w:tc>
          <w:tcPr>
            <w:tcW w:w="760" w:type="dxa"/>
            <w:vAlign w:val="bottom"/>
            <w:gridSpan w:val="2"/>
            <w:shd w:val="clear" w:color="auto" w:fill="E5E5E5"/>
          </w:tcPr>
          <w:p>
            <w:pPr>
              <w:jc w:val="right"/>
              <w:ind w:right="40"/>
              <w:spacing w:after="0" w:line="142"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56"/>
        </w:trPr>
        <w:tc>
          <w:tcPr>
            <w:tcW w:w="3720" w:type="dxa"/>
            <w:vAlign w:val="bottom"/>
            <w:gridSpan w:val="3"/>
          </w:tcPr>
          <w:p>
            <w:pPr>
              <w:spacing w:after="0" w:line="155" w:lineRule="exact"/>
              <w:rPr>
                <w:sz w:val="20"/>
                <w:szCs w:val="20"/>
                <w:color w:val="auto"/>
              </w:rPr>
            </w:pPr>
            <w:r>
              <w:rPr>
                <w:rFonts w:ascii="Arial" w:cs="Arial" w:eastAsia="Arial" w:hAnsi="Arial"/>
                <w:sz w:val="14"/>
                <w:szCs w:val="14"/>
                <w:color w:val="auto"/>
              </w:rPr>
              <w:t>Equity Securities:</w:t>
            </w:r>
          </w:p>
        </w:tc>
        <w:tc>
          <w:tcPr>
            <w:tcW w:w="1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gridSpan w:val="2"/>
            <w:shd w:val="clear" w:color="auto" w:fill="E5E5E5"/>
          </w:tcPr>
          <w:p>
            <w:pPr>
              <w:ind w:left="420"/>
              <w:spacing w:after="0" w:line="149" w:lineRule="exact"/>
              <w:rPr>
                <w:sz w:val="20"/>
                <w:szCs w:val="20"/>
                <w:color w:val="auto"/>
              </w:rPr>
            </w:pPr>
            <w:r>
              <w:rPr>
                <w:rFonts w:ascii="Arial" w:cs="Arial" w:eastAsia="Arial" w:hAnsi="Arial"/>
                <w:sz w:val="14"/>
                <w:szCs w:val="14"/>
                <w:color w:val="auto"/>
              </w:rPr>
              <w:t>U.S. Large Cap</w:t>
            </w:r>
          </w:p>
        </w:tc>
        <w:tc>
          <w:tcPr>
            <w:tcW w:w="100" w:type="dxa"/>
            <w:vAlign w:val="bottom"/>
            <w:shd w:val="clear" w:color="auto" w:fill="E5E5E5"/>
          </w:tcPr>
          <w:p>
            <w:pPr>
              <w:spacing w:after="0"/>
              <w:rPr>
                <w:sz w:val="12"/>
                <w:szCs w:val="12"/>
                <w:color w:val="auto"/>
              </w:rPr>
            </w:pPr>
          </w:p>
        </w:tc>
        <w:tc>
          <w:tcPr>
            <w:tcW w:w="100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507</w:t>
            </w:r>
          </w:p>
        </w:tc>
        <w:tc>
          <w:tcPr>
            <w:tcW w:w="58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1500" w:type="dxa"/>
            <w:vAlign w:val="bottom"/>
            <w:gridSpan w:val="2"/>
            <w:shd w:val="clear" w:color="auto" w:fill="E5E5E5"/>
          </w:tcPr>
          <w:p>
            <w:pPr>
              <w:jc w:val="right"/>
              <w:ind w:right="580"/>
              <w:spacing w:after="0" w:line="149" w:lineRule="exact"/>
              <w:rPr>
                <w:sz w:val="20"/>
                <w:szCs w:val="20"/>
                <w:color w:val="auto"/>
              </w:rPr>
            </w:pPr>
            <w:r>
              <w:rPr>
                <w:rFonts w:ascii="Arial" w:cs="Arial" w:eastAsia="Arial" w:hAnsi="Arial"/>
                <w:sz w:val="14"/>
                <w:szCs w:val="14"/>
                <w:color w:val="auto"/>
              </w:rPr>
              <w:t>54</w:t>
            </w:r>
          </w:p>
        </w:tc>
        <w:tc>
          <w:tcPr>
            <w:tcW w:w="200" w:type="dxa"/>
            <w:vAlign w:val="bottom"/>
            <w:shd w:val="clear" w:color="auto" w:fill="E5E5E5"/>
          </w:tcPr>
          <w:p>
            <w:pPr>
              <w:spacing w:after="0"/>
              <w:rPr>
                <w:sz w:val="12"/>
                <w:szCs w:val="12"/>
                <w:color w:val="auto"/>
              </w:rPr>
            </w:pPr>
          </w:p>
        </w:tc>
        <w:tc>
          <w:tcPr>
            <w:tcW w:w="1360" w:type="dxa"/>
            <w:vAlign w:val="bottom"/>
            <w:gridSpan w:val="2"/>
            <w:shd w:val="clear" w:color="auto" w:fill="E5E5E5"/>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1580" w:type="dxa"/>
            <w:vAlign w:val="bottom"/>
            <w:gridSpan w:val="2"/>
            <w:shd w:val="clear" w:color="auto" w:fill="E5E5E5"/>
          </w:tcPr>
          <w:p>
            <w:pPr>
              <w:jc w:val="right"/>
              <w:ind w:right="580"/>
              <w:spacing w:after="0" w:line="149" w:lineRule="exact"/>
              <w:rPr>
                <w:sz w:val="20"/>
                <w:szCs w:val="20"/>
                <w:color w:val="auto"/>
              </w:rPr>
            </w:pPr>
            <w:r>
              <w:rPr>
                <w:rFonts w:ascii="Arial" w:cs="Arial" w:eastAsia="Arial" w:hAnsi="Arial"/>
                <w:sz w:val="14"/>
                <w:szCs w:val="14"/>
                <w:color w:val="auto"/>
              </w:rPr>
              <w:t>561</w:t>
            </w:r>
          </w:p>
        </w:tc>
        <w:tc>
          <w:tcPr>
            <w:tcW w:w="760" w:type="dxa"/>
            <w:vAlign w:val="bottom"/>
            <w:gridSpan w:val="2"/>
            <w:shd w:val="clear" w:color="auto" w:fill="E5E5E5"/>
          </w:tcPr>
          <w:p>
            <w:pPr>
              <w:jc w:val="right"/>
              <w:ind w:right="4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U.S. Mid Cap</w:t>
            </w: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84</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3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84</w:t>
            </w: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gridSpan w:val="2"/>
            <w:shd w:val="clear" w:color="auto" w:fill="E5E5E5"/>
          </w:tcPr>
          <w:p>
            <w:pPr>
              <w:ind w:left="420"/>
              <w:spacing w:after="0" w:line="149" w:lineRule="exact"/>
              <w:rPr>
                <w:sz w:val="20"/>
                <w:szCs w:val="20"/>
                <w:color w:val="auto"/>
              </w:rPr>
            </w:pPr>
            <w:r>
              <w:rPr>
                <w:rFonts w:ascii="Arial" w:cs="Arial" w:eastAsia="Arial" w:hAnsi="Arial"/>
                <w:sz w:val="14"/>
                <w:szCs w:val="14"/>
                <w:color w:val="auto"/>
              </w:rPr>
              <w:t>U.S. Small Cap</w:t>
            </w:r>
          </w:p>
        </w:tc>
        <w:tc>
          <w:tcPr>
            <w:tcW w:w="100" w:type="dxa"/>
            <w:vAlign w:val="bottom"/>
            <w:shd w:val="clear" w:color="auto" w:fill="E5E5E5"/>
          </w:tcPr>
          <w:p>
            <w:pPr>
              <w:spacing w:after="0"/>
              <w:rPr>
                <w:sz w:val="12"/>
                <w:szCs w:val="12"/>
                <w:color w:val="auto"/>
              </w:rPr>
            </w:pPr>
          </w:p>
        </w:tc>
        <w:tc>
          <w:tcPr>
            <w:tcW w:w="100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60</w:t>
            </w:r>
          </w:p>
        </w:tc>
        <w:tc>
          <w:tcPr>
            <w:tcW w:w="58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1500" w:type="dxa"/>
            <w:vAlign w:val="bottom"/>
            <w:gridSpan w:val="2"/>
            <w:shd w:val="clear" w:color="auto" w:fill="E5E5E5"/>
          </w:tcPr>
          <w:p>
            <w:pPr>
              <w:jc w:val="right"/>
              <w:ind w:right="580"/>
              <w:spacing w:after="0" w:line="149" w:lineRule="exact"/>
              <w:rPr>
                <w:sz w:val="20"/>
                <w:szCs w:val="20"/>
                <w:color w:val="auto"/>
              </w:rPr>
            </w:pPr>
            <w:r>
              <w:rPr>
                <w:rFonts w:ascii="Arial" w:cs="Arial" w:eastAsia="Arial" w:hAnsi="Arial"/>
                <w:sz w:val="14"/>
                <w:szCs w:val="14"/>
                <w:color w:val="auto"/>
              </w:rPr>
              <w:t>62</w:t>
            </w:r>
          </w:p>
        </w:tc>
        <w:tc>
          <w:tcPr>
            <w:tcW w:w="200" w:type="dxa"/>
            <w:vAlign w:val="bottom"/>
            <w:shd w:val="clear" w:color="auto" w:fill="E5E5E5"/>
          </w:tcPr>
          <w:p>
            <w:pPr>
              <w:spacing w:after="0"/>
              <w:rPr>
                <w:sz w:val="12"/>
                <w:szCs w:val="12"/>
                <w:color w:val="auto"/>
              </w:rPr>
            </w:pPr>
          </w:p>
        </w:tc>
        <w:tc>
          <w:tcPr>
            <w:tcW w:w="1360" w:type="dxa"/>
            <w:vAlign w:val="bottom"/>
            <w:gridSpan w:val="2"/>
            <w:shd w:val="clear" w:color="auto" w:fill="E5E5E5"/>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1580" w:type="dxa"/>
            <w:vAlign w:val="bottom"/>
            <w:gridSpan w:val="2"/>
            <w:shd w:val="clear" w:color="auto" w:fill="E5E5E5"/>
          </w:tcPr>
          <w:p>
            <w:pPr>
              <w:jc w:val="right"/>
              <w:ind w:right="580"/>
              <w:spacing w:after="0" w:line="149" w:lineRule="exact"/>
              <w:rPr>
                <w:sz w:val="20"/>
                <w:szCs w:val="20"/>
                <w:color w:val="auto"/>
              </w:rPr>
            </w:pPr>
            <w:r>
              <w:rPr>
                <w:rFonts w:ascii="Arial" w:cs="Arial" w:eastAsia="Arial" w:hAnsi="Arial"/>
                <w:sz w:val="14"/>
                <w:szCs w:val="14"/>
                <w:color w:val="auto"/>
              </w:rPr>
              <w:t>122</w:t>
            </w:r>
          </w:p>
        </w:tc>
        <w:tc>
          <w:tcPr>
            <w:tcW w:w="760" w:type="dxa"/>
            <w:vAlign w:val="bottom"/>
            <w:gridSpan w:val="2"/>
            <w:shd w:val="clear" w:color="auto" w:fill="E5E5E5"/>
          </w:tcPr>
          <w:p>
            <w:pPr>
              <w:jc w:val="right"/>
              <w:ind w:right="4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International Developed</w:t>
            </w: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1,513</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514</w:t>
            </w:r>
          </w:p>
        </w:tc>
        <w:tc>
          <w:tcPr>
            <w:tcW w:w="200" w:type="dxa"/>
            <w:vAlign w:val="bottom"/>
          </w:tcPr>
          <w:p>
            <w:pPr>
              <w:spacing w:after="0"/>
              <w:rPr>
                <w:sz w:val="12"/>
                <w:szCs w:val="12"/>
                <w:color w:val="auto"/>
              </w:rPr>
            </w:pPr>
          </w:p>
        </w:tc>
        <w:tc>
          <w:tcPr>
            <w:tcW w:w="13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2,027</w:t>
            </w: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gridSpan w:val="2"/>
            <w:shd w:val="clear" w:color="auto" w:fill="E5E5E5"/>
          </w:tcPr>
          <w:p>
            <w:pPr>
              <w:ind w:left="420"/>
              <w:spacing w:after="0" w:line="149" w:lineRule="exact"/>
              <w:rPr>
                <w:sz w:val="20"/>
                <w:szCs w:val="20"/>
                <w:color w:val="auto"/>
              </w:rPr>
            </w:pPr>
            <w:r>
              <w:rPr>
                <w:rFonts w:ascii="Arial" w:cs="Arial" w:eastAsia="Arial" w:hAnsi="Arial"/>
                <w:sz w:val="14"/>
                <w:szCs w:val="14"/>
                <w:color w:val="auto"/>
              </w:rPr>
              <w:t>Emerging Markets</w:t>
            </w:r>
          </w:p>
        </w:tc>
        <w:tc>
          <w:tcPr>
            <w:tcW w:w="100" w:type="dxa"/>
            <w:vAlign w:val="bottom"/>
            <w:shd w:val="clear" w:color="auto" w:fill="E5E5E5"/>
          </w:tcPr>
          <w:p>
            <w:pPr>
              <w:spacing w:after="0"/>
              <w:rPr>
                <w:sz w:val="12"/>
                <w:szCs w:val="12"/>
                <w:color w:val="auto"/>
              </w:rPr>
            </w:pPr>
          </w:p>
        </w:tc>
        <w:tc>
          <w:tcPr>
            <w:tcW w:w="100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324</w:t>
            </w:r>
          </w:p>
        </w:tc>
        <w:tc>
          <w:tcPr>
            <w:tcW w:w="58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1500" w:type="dxa"/>
            <w:vAlign w:val="bottom"/>
            <w:gridSpan w:val="2"/>
            <w:shd w:val="clear" w:color="auto" w:fill="E5E5E5"/>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spacing w:after="0"/>
              <w:rPr>
                <w:sz w:val="12"/>
                <w:szCs w:val="12"/>
                <w:color w:val="auto"/>
              </w:rPr>
            </w:pPr>
          </w:p>
        </w:tc>
        <w:tc>
          <w:tcPr>
            <w:tcW w:w="1360" w:type="dxa"/>
            <w:vAlign w:val="bottom"/>
            <w:gridSpan w:val="2"/>
            <w:shd w:val="clear" w:color="auto" w:fill="E5E5E5"/>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1580" w:type="dxa"/>
            <w:vAlign w:val="bottom"/>
            <w:gridSpan w:val="2"/>
            <w:shd w:val="clear" w:color="auto" w:fill="E5E5E5"/>
          </w:tcPr>
          <w:p>
            <w:pPr>
              <w:jc w:val="right"/>
              <w:ind w:right="580"/>
              <w:spacing w:after="0" w:line="149" w:lineRule="exact"/>
              <w:rPr>
                <w:sz w:val="20"/>
                <w:szCs w:val="20"/>
                <w:color w:val="auto"/>
              </w:rPr>
            </w:pPr>
            <w:r>
              <w:rPr>
                <w:rFonts w:ascii="Arial" w:cs="Arial" w:eastAsia="Arial" w:hAnsi="Arial"/>
                <w:sz w:val="14"/>
                <w:szCs w:val="14"/>
                <w:color w:val="auto"/>
              </w:rPr>
              <w:t>324</w:t>
            </w:r>
          </w:p>
        </w:tc>
        <w:tc>
          <w:tcPr>
            <w:tcW w:w="760" w:type="dxa"/>
            <w:vAlign w:val="bottom"/>
            <w:gridSpan w:val="2"/>
            <w:shd w:val="clear" w:color="auto" w:fill="E5E5E5"/>
          </w:tcPr>
          <w:p>
            <w:pPr>
              <w:jc w:val="right"/>
              <w:ind w:right="4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Global Equity</w:t>
            </w: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25</w:t>
            </w:r>
          </w:p>
        </w:tc>
        <w:tc>
          <w:tcPr>
            <w:tcW w:w="200" w:type="dxa"/>
            <w:vAlign w:val="bottom"/>
          </w:tcPr>
          <w:p>
            <w:pPr>
              <w:spacing w:after="0"/>
              <w:rPr>
                <w:sz w:val="12"/>
                <w:szCs w:val="12"/>
                <w:color w:val="auto"/>
              </w:rPr>
            </w:pPr>
          </w:p>
        </w:tc>
        <w:tc>
          <w:tcPr>
            <w:tcW w:w="13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33</w:t>
            </w: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00" w:type="dxa"/>
            <w:vAlign w:val="bottom"/>
            <w:gridSpan w:val="2"/>
            <w:shd w:val="clear" w:color="auto" w:fill="E5E5E5"/>
          </w:tcPr>
          <w:p>
            <w:pPr>
              <w:spacing w:after="0" w:line="149" w:lineRule="exact"/>
              <w:rPr>
                <w:sz w:val="20"/>
                <w:szCs w:val="20"/>
                <w:color w:val="auto"/>
              </w:rPr>
            </w:pPr>
            <w:r>
              <w:rPr>
                <w:rFonts w:ascii="Arial" w:cs="Arial" w:eastAsia="Arial" w:hAnsi="Arial"/>
                <w:sz w:val="14"/>
                <w:szCs w:val="14"/>
                <w:color w:val="auto"/>
              </w:rPr>
              <w:t>Total Equity Securities</w:t>
            </w:r>
          </w:p>
        </w:tc>
        <w:tc>
          <w:tcPr>
            <w:tcW w:w="100" w:type="dxa"/>
            <w:vAlign w:val="bottom"/>
            <w:shd w:val="clear" w:color="auto" w:fill="E5E5E5"/>
          </w:tcPr>
          <w:p>
            <w:pPr>
              <w:spacing w:after="0"/>
              <w:rPr>
                <w:sz w:val="12"/>
                <w:szCs w:val="12"/>
                <w:color w:val="auto"/>
              </w:rPr>
            </w:pPr>
          </w:p>
        </w:tc>
        <w:tc>
          <w:tcPr>
            <w:tcW w:w="100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2,496</w:t>
            </w:r>
          </w:p>
        </w:tc>
        <w:tc>
          <w:tcPr>
            <w:tcW w:w="58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1500" w:type="dxa"/>
            <w:vAlign w:val="bottom"/>
            <w:gridSpan w:val="2"/>
            <w:shd w:val="clear" w:color="auto" w:fill="E5E5E5"/>
          </w:tcPr>
          <w:p>
            <w:pPr>
              <w:jc w:val="right"/>
              <w:ind w:right="580"/>
              <w:spacing w:after="0" w:line="149" w:lineRule="exact"/>
              <w:rPr>
                <w:sz w:val="20"/>
                <w:szCs w:val="20"/>
                <w:color w:val="auto"/>
              </w:rPr>
            </w:pPr>
            <w:r>
              <w:rPr>
                <w:rFonts w:ascii="Arial" w:cs="Arial" w:eastAsia="Arial" w:hAnsi="Arial"/>
                <w:sz w:val="14"/>
                <w:szCs w:val="14"/>
                <w:color w:val="auto"/>
              </w:rPr>
              <w:t>655</w:t>
            </w:r>
          </w:p>
        </w:tc>
        <w:tc>
          <w:tcPr>
            <w:tcW w:w="200" w:type="dxa"/>
            <w:vAlign w:val="bottom"/>
            <w:shd w:val="clear" w:color="auto" w:fill="E5E5E5"/>
          </w:tcPr>
          <w:p>
            <w:pPr>
              <w:spacing w:after="0"/>
              <w:rPr>
                <w:sz w:val="12"/>
                <w:szCs w:val="12"/>
                <w:color w:val="auto"/>
              </w:rPr>
            </w:pPr>
          </w:p>
        </w:tc>
        <w:tc>
          <w:tcPr>
            <w:tcW w:w="1360" w:type="dxa"/>
            <w:vAlign w:val="bottom"/>
            <w:gridSpan w:val="2"/>
            <w:shd w:val="clear" w:color="auto" w:fill="E5E5E5"/>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1580" w:type="dxa"/>
            <w:vAlign w:val="bottom"/>
            <w:gridSpan w:val="2"/>
            <w:shd w:val="clear" w:color="auto" w:fill="E5E5E5"/>
          </w:tcPr>
          <w:p>
            <w:pPr>
              <w:jc w:val="right"/>
              <w:ind w:right="580"/>
              <w:spacing w:after="0" w:line="149" w:lineRule="exact"/>
              <w:rPr>
                <w:sz w:val="20"/>
                <w:szCs w:val="20"/>
                <w:color w:val="auto"/>
              </w:rPr>
            </w:pPr>
            <w:r>
              <w:rPr>
                <w:rFonts w:ascii="Arial" w:cs="Arial" w:eastAsia="Arial" w:hAnsi="Arial"/>
                <w:sz w:val="14"/>
                <w:szCs w:val="14"/>
                <w:color w:val="auto"/>
              </w:rPr>
              <w:t>3,151</w:t>
            </w:r>
          </w:p>
        </w:tc>
        <w:tc>
          <w:tcPr>
            <w:tcW w:w="760" w:type="dxa"/>
            <w:vAlign w:val="bottom"/>
            <w:gridSpan w:val="2"/>
            <w:shd w:val="clear" w:color="auto" w:fill="E5E5E5"/>
          </w:tcPr>
          <w:p>
            <w:pPr>
              <w:jc w:val="right"/>
              <w:ind w:right="40"/>
              <w:spacing w:after="0" w:line="149"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56"/>
        </w:trPr>
        <w:tc>
          <w:tcPr>
            <w:tcW w:w="3720" w:type="dxa"/>
            <w:vAlign w:val="bottom"/>
            <w:gridSpan w:val="3"/>
          </w:tcPr>
          <w:p>
            <w:pPr>
              <w:spacing w:after="0" w:line="155" w:lineRule="exact"/>
              <w:rPr>
                <w:sz w:val="20"/>
                <w:szCs w:val="20"/>
                <w:color w:val="auto"/>
              </w:rPr>
            </w:pPr>
            <w:r>
              <w:rPr>
                <w:rFonts w:ascii="Arial" w:cs="Arial" w:eastAsia="Arial" w:hAnsi="Arial"/>
                <w:sz w:val="14"/>
                <w:szCs w:val="14"/>
                <w:color w:val="auto"/>
              </w:rPr>
              <w:t>Debt Securities:</w:t>
            </w:r>
          </w:p>
        </w:tc>
        <w:tc>
          <w:tcPr>
            <w:tcW w:w="1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gridSpan w:val="2"/>
            <w:shd w:val="clear" w:color="auto" w:fill="E5E5E5"/>
          </w:tcPr>
          <w:p>
            <w:pPr>
              <w:ind w:left="420"/>
              <w:spacing w:after="0" w:line="149" w:lineRule="exact"/>
              <w:rPr>
                <w:sz w:val="20"/>
                <w:szCs w:val="20"/>
                <w:color w:val="auto"/>
              </w:rPr>
            </w:pPr>
            <w:r>
              <w:rPr>
                <w:rFonts w:ascii="Arial" w:cs="Arial" w:eastAsia="Arial" w:hAnsi="Arial"/>
                <w:sz w:val="14"/>
                <w:szCs w:val="14"/>
                <w:color w:val="auto"/>
              </w:rPr>
              <w:t>U.S. Treasury Securities</w:t>
            </w:r>
          </w:p>
        </w:tc>
        <w:tc>
          <w:tcPr>
            <w:tcW w:w="100" w:type="dxa"/>
            <w:vAlign w:val="bottom"/>
            <w:shd w:val="clear" w:color="auto" w:fill="E5E5E5"/>
          </w:tcPr>
          <w:p>
            <w:pPr>
              <w:spacing w:after="0"/>
              <w:rPr>
                <w:sz w:val="12"/>
                <w:szCs w:val="12"/>
                <w:color w:val="auto"/>
              </w:rPr>
            </w:pPr>
          </w:p>
        </w:tc>
        <w:tc>
          <w:tcPr>
            <w:tcW w:w="100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4</w:t>
            </w:r>
          </w:p>
        </w:tc>
        <w:tc>
          <w:tcPr>
            <w:tcW w:w="58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1500" w:type="dxa"/>
            <w:vAlign w:val="bottom"/>
            <w:gridSpan w:val="2"/>
            <w:shd w:val="clear" w:color="auto" w:fill="E5E5E5"/>
          </w:tcPr>
          <w:p>
            <w:pPr>
              <w:jc w:val="right"/>
              <w:ind w:right="580"/>
              <w:spacing w:after="0" w:line="149" w:lineRule="exact"/>
              <w:rPr>
                <w:sz w:val="20"/>
                <w:szCs w:val="20"/>
                <w:color w:val="auto"/>
              </w:rPr>
            </w:pPr>
            <w:r>
              <w:rPr>
                <w:rFonts w:ascii="Arial" w:cs="Arial" w:eastAsia="Arial" w:hAnsi="Arial"/>
                <w:sz w:val="14"/>
                <w:szCs w:val="14"/>
                <w:color w:val="auto"/>
              </w:rPr>
              <w:t>209</w:t>
            </w:r>
          </w:p>
        </w:tc>
        <w:tc>
          <w:tcPr>
            <w:tcW w:w="200" w:type="dxa"/>
            <w:vAlign w:val="bottom"/>
            <w:shd w:val="clear" w:color="auto" w:fill="E5E5E5"/>
          </w:tcPr>
          <w:p>
            <w:pPr>
              <w:spacing w:after="0"/>
              <w:rPr>
                <w:sz w:val="12"/>
                <w:szCs w:val="12"/>
                <w:color w:val="auto"/>
              </w:rPr>
            </w:pPr>
          </w:p>
        </w:tc>
        <w:tc>
          <w:tcPr>
            <w:tcW w:w="1360" w:type="dxa"/>
            <w:vAlign w:val="bottom"/>
            <w:gridSpan w:val="2"/>
            <w:shd w:val="clear" w:color="auto" w:fill="E5E5E5"/>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1580" w:type="dxa"/>
            <w:vAlign w:val="bottom"/>
            <w:gridSpan w:val="2"/>
            <w:shd w:val="clear" w:color="auto" w:fill="E5E5E5"/>
          </w:tcPr>
          <w:p>
            <w:pPr>
              <w:jc w:val="right"/>
              <w:ind w:right="580"/>
              <w:spacing w:after="0" w:line="149" w:lineRule="exact"/>
              <w:rPr>
                <w:sz w:val="20"/>
                <w:szCs w:val="20"/>
                <w:color w:val="auto"/>
              </w:rPr>
            </w:pPr>
            <w:r>
              <w:rPr>
                <w:rFonts w:ascii="Arial" w:cs="Arial" w:eastAsia="Arial" w:hAnsi="Arial"/>
                <w:sz w:val="14"/>
                <w:szCs w:val="14"/>
                <w:color w:val="auto"/>
              </w:rPr>
              <w:t>213</w:t>
            </w:r>
          </w:p>
        </w:tc>
        <w:tc>
          <w:tcPr>
            <w:tcW w:w="760" w:type="dxa"/>
            <w:vAlign w:val="bottom"/>
            <w:gridSpan w:val="2"/>
            <w:shd w:val="clear" w:color="auto" w:fill="E5E5E5"/>
          </w:tcPr>
          <w:p>
            <w:pPr>
              <w:jc w:val="right"/>
              <w:ind w:right="4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Debt Security Issued by Government Agency</w:t>
            </w: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75</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1,011</w:t>
            </w:r>
          </w:p>
        </w:tc>
        <w:tc>
          <w:tcPr>
            <w:tcW w:w="200" w:type="dxa"/>
            <w:vAlign w:val="bottom"/>
          </w:tcPr>
          <w:p>
            <w:pPr>
              <w:spacing w:after="0"/>
              <w:rPr>
                <w:sz w:val="12"/>
                <w:szCs w:val="12"/>
                <w:color w:val="auto"/>
              </w:rPr>
            </w:pPr>
          </w:p>
        </w:tc>
        <w:tc>
          <w:tcPr>
            <w:tcW w:w="13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1,086</w:t>
            </w: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gridSpan w:val="2"/>
            <w:shd w:val="clear" w:color="auto" w:fill="E5E5E5"/>
          </w:tcPr>
          <w:p>
            <w:pPr>
              <w:ind w:left="420"/>
              <w:spacing w:after="0" w:line="149" w:lineRule="exact"/>
              <w:rPr>
                <w:sz w:val="20"/>
                <w:szCs w:val="20"/>
                <w:color w:val="auto"/>
              </w:rPr>
            </w:pPr>
            <w:r>
              <w:rPr>
                <w:rFonts w:ascii="Arial" w:cs="Arial" w:eastAsia="Arial" w:hAnsi="Arial"/>
                <w:sz w:val="14"/>
                <w:szCs w:val="14"/>
                <w:color w:val="auto"/>
              </w:rPr>
              <w:t>Corporate Bonds</w:t>
            </w:r>
          </w:p>
        </w:tc>
        <w:tc>
          <w:tcPr>
            <w:tcW w:w="100" w:type="dxa"/>
            <w:vAlign w:val="bottom"/>
            <w:shd w:val="clear" w:color="auto" w:fill="E5E5E5"/>
          </w:tcPr>
          <w:p>
            <w:pPr>
              <w:spacing w:after="0"/>
              <w:rPr>
                <w:sz w:val="12"/>
                <w:szCs w:val="12"/>
                <w:color w:val="auto"/>
              </w:rPr>
            </w:pPr>
          </w:p>
        </w:tc>
        <w:tc>
          <w:tcPr>
            <w:tcW w:w="100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167</w:t>
            </w:r>
          </w:p>
        </w:tc>
        <w:tc>
          <w:tcPr>
            <w:tcW w:w="58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1500" w:type="dxa"/>
            <w:vAlign w:val="bottom"/>
            <w:gridSpan w:val="2"/>
            <w:shd w:val="clear" w:color="auto" w:fill="E5E5E5"/>
          </w:tcPr>
          <w:p>
            <w:pPr>
              <w:jc w:val="right"/>
              <w:ind w:right="580"/>
              <w:spacing w:after="0" w:line="149" w:lineRule="exact"/>
              <w:rPr>
                <w:sz w:val="20"/>
                <w:szCs w:val="20"/>
                <w:color w:val="auto"/>
              </w:rPr>
            </w:pPr>
            <w:r>
              <w:rPr>
                <w:rFonts w:ascii="Arial" w:cs="Arial" w:eastAsia="Arial" w:hAnsi="Arial"/>
                <w:sz w:val="14"/>
                <w:szCs w:val="14"/>
                <w:color w:val="auto"/>
              </w:rPr>
              <w:t>1,412</w:t>
            </w:r>
          </w:p>
        </w:tc>
        <w:tc>
          <w:tcPr>
            <w:tcW w:w="200" w:type="dxa"/>
            <w:vAlign w:val="bottom"/>
            <w:shd w:val="clear" w:color="auto" w:fill="E5E5E5"/>
          </w:tcPr>
          <w:p>
            <w:pPr>
              <w:spacing w:after="0"/>
              <w:rPr>
                <w:sz w:val="12"/>
                <w:szCs w:val="12"/>
                <w:color w:val="auto"/>
              </w:rPr>
            </w:pPr>
          </w:p>
        </w:tc>
        <w:tc>
          <w:tcPr>
            <w:tcW w:w="1360" w:type="dxa"/>
            <w:vAlign w:val="bottom"/>
            <w:gridSpan w:val="2"/>
            <w:shd w:val="clear" w:color="auto" w:fill="E5E5E5"/>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1580" w:type="dxa"/>
            <w:vAlign w:val="bottom"/>
            <w:gridSpan w:val="2"/>
            <w:shd w:val="clear" w:color="auto" w:fill="E5E5E5"/>
          </w:tcPr>
          <w:p>
            <w:pPr>
              <w:jc w:val="right"/>
              <w:ind w:right="580"/>
              <w:spacing w:after="0" w:line="149" w:lineRule="exact"/>
              <w:rPr>
                <w:sz w:val="20"/>
                <w:szCs w:val="20"/>
                <w:color w:val="auto"/>
              </w:rPr>
            </w:pPr>
            <w:r>
              <w:rPr>
                <w:rFonts w:ascii="Arial" w:cs="Arial" w:eastAsia="Arial" w:hAnsi="Arial"/>
                <w:sz w:val="14"/>
                <w:szCs w:val="14"/>
                <w:color w:val="auto"/>
              </w:rPr>
              <w:t>1,579</w:t>
            </w:r>
          </w:p>
        </w:tc>
        <w:tc>
          <w:tcPr>
            <w:tcW w:w="760" w:type="dxa"/>
            <w:vAlign w:val="bottom"/>
            <w:gridSpan w:val="2"/>
            <w:shd w:val="clear" w:color="auto" w:fill="E5E5E5"/>
          </w:tcPr>
          <w:p>
            <w:pPr>
              <w:jc w:val="right"/>
              <w:ind w:right="40"/>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Asset Backed Securities</w:t>
            </w: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15</w:t>
            </w:r>
          </w:p>
        </w:tc>
        <w:tc>
          <w:tcPr>
            <w:tcW w:w="200" w:type="dxa"/>
            <w:vAlign w:val="bottom"/>
          </w:tcPr>
          <w:p>
            <w:pPr>
              <w:spacing w:after="0"/>
              <w:rPr>
                <w:sz w:val="12"/>
                <w:szCs w:val="12"/>
                <w:color w:val="auto"/>
              </w:rPr>
            </w:pPr>
          </w:p>
        </w:tc>
        <w:tc>
          <w:tcPr>
            <w:tcW w:w="13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17</w:t>
            </w: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00" w:type="dxa"/>
            <w:vAlign w:val="bottom"/>
            <w:gridSpan w:val="2"/>
            <w:shd w:val="clear" w:color="auto" w:fill="E5E5E5"/>
          </w:tcPr>
          <w:p>
            <w:pPr>
              <w:spacing w:after="0" w:line="149" w:lineRule="exact"/>
              <w:rPr>
                <w:sz w:val="20"/>
                <w:szCs w:val="20"/>
                <w:color w:val="auto"/>
              </w:rPr>
            </w:pPr>
            <w:r>
              <w:rPr>
                <w:rFonts w:ascii="Arial" w:cs="Arial" w:eastAsia="Arial" w:hAnsi="Arial"/>
                <w:sz w:val="14"/>
                <w:szCs w:val="14"/>
                <w:color w:val="auto"/>
              </w:rPr>
              <w:t>Total Debt Securities</w:t>
            </w:r>
          </w:p>
        </w:tc>
        <w:tc>
          <w:tcPr>
            <w:tcW w:w="100" w:type="dxa"/>
            <w:vAlign w:val="bottom"/>
            <w:shd w:val="clear" w:color="auto" w:fill="E5E5E5"/>
          </w:tcPr>
          <w:p>
            <w:pPr>
              <w:spacing w:after="0"/>
              <w:rPr>
                <w:sz w:val="12"/>
                <w:szCs w:val="12"/>
                <w:color w:val="auto"/>
              </w:rPr>
            </w:pPr>
          </w:p>
        </w:tc>
        <w:tc>
          <w:tcPr>
            <w:tcW w:w="100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248</w:t>
            </w:r>
          </w:p>
        </w:tc>
        <w:tc>
          <w:tcPr>
            <w:tcW w:w="58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1500" w:type="dxa"/>
            <w:vAlign w:val="bottom"/>
            <w:gridSpan w:val="2"/>
            <w:shd w:val="clear" w:color="auto" w:fill="E5E5E5"/>
          </w:tcPr>
          <w:p>
            <w:pPr>
              <w:jc w:val="right"/>
              <w:ind w:right="580"/>
              <w:spacing w:after="0" w:line="149" w:lineRule="exact"/>
              <w:rPr>
                <w:sz w:val="20"/>
                <w:szCs w:val="20"/>
                <w:color w:val="auto"/>
              </w:rPr>
            </w:pPr>
            <w:r>
              <w:rPr>
                <w:rFonts w:ascii="Arial" w:cs="Arial" w:eastAsia="Arial" w:hAnsi="Arial"/>
                <w:sz w:val="14"/>
                <w:szCs w:val="14"/>
                <w:color w:val="auto"/>
              </w:rPr>
              <w:t>2,647</w:t>
            </w:r>
          </w:p>
        </w:tc>
        <w:tc>
          <w:tcPr>
            <w:tcW w:w="200" w:type="dxa"/>
            <w:vAlign w:val="bottom"/>
            <w:shd w:val="clear" w:color="auto" w:fill="E5E5E5"/>
          </w:tcPr>
          <w:p>
            <w:pPr>
              <w:spacing w:after="0"/>
              <w:rPr>
                <w:sz w:val="12"/>
                <w:szCs w:val="12"/>
                <w:color w:val="auto"/>
              </w:rPr>
            </w:pPr>
          </w:p>
        </w:tc>
        <w:tc>
          <w:tcPr>
            <w:tcW w:w="1360" w:type="dxa"/>
            <w:vAlign w:val="bottom"/>
            <w:gridSpan w:val="2"/>
            <w:shd w:val="clear" w:color="auto" w:fill="E5E5E5"/>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1580" w:type="dxa"/>
            <w:vAlign w:val="bottom"/>
            <w:gridSpan w:val="2"/>
            <w:shd w:val="clear" w:color="auto" w:fill="E5E5E5"/>
          </w:tcPr>
          <w:p>
            <w:pPr>
              <w:jc w:val="right"/>
              <w:ind w:right="580"/>
              <w:spacing w:after="0" w:line="149" w:lineRule="exact"/>
              <w:rPr>
                <w:sz w:val="20"/>
                <w:szCs w:val="20"/>
                <w:color w:val="auto"/>
              </w:rPr>
            </w:pPr>
            <w:r>
              <w:rPr>
                <w:rFonts w:ascii="Arial" w:cs="Arial" w:eastAsia="Arial" w:hAnsi="Arial"/>
                <w:sz w:val="14"/>
                <w:szCs w:val="14"/>
                <w:color w:val="auto"/>
              </w:rPr>
              <w:t>2,895</w:t>
            </w:r>
          </w:p>
        </w:tc>
        <w:tc>
          <w:tcPr>
            <w:tcW w:w="760" w:type="dxa"/>
            <w:vAlign w:val="bottom"/>
            <w:gridSpan w:val="2"/>
            <w:shd w:val="clear" w:color="auto" w:fill="E5E5E5"/>
          </w:tcPr>
          <w:p>
            <w:pPr>
              <w:jc w:val="right"/>
              <w:ind w:right="40"/>
              <w:spacing w:after="0" w:line="149" w:lineRule="exact"/>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0"/>
        </w:trPr>
        <w:tc>
          <w:tcPr>
            <w:tcW w:w="3720" w:type="dxa"/>
            <w:vAlign w:val="bottom"/>
            <w:gridSpan w:val="3"/>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720" w:type="dxa"/>
            <w:vAlign w:val="bottom"/>
            <w:gridSpan w:val="3"/>
          </w:tcPr>
          <w:p>
            <w:pPr>
              <w:spacing w:after="0" w:line="155" w:lineRule="exact"/>
              <w:rPr>
                <w:sz w:val="20"/>
                <w:szCs w:val="20"/>
                <w:color w:val="auto"/>
              </w:rPr>
            </w:pPr>
            <w:r>
              <w:rPr>
                <w:rFonts w:ascii="Arial" w:cs="Arial" w:eastAsia="Arial" w:hAnsi="Arial"/>
                <w:sz w:val="14"/>
                <w:szCs w:val="14"/>
                <w:color w:val="auto"/>
              </w:rPr>
              <w:t>Common/Collective Trust</w:t>
            </w:r>
          </w:p>
        </w:tc>
        <w:tc>
          <w:tcPr>
            <w:tcW w:w="100" w:type="dxa"/>
            <w:vAlign w:val="bottom"/>
          </w:tcPr>
          <w:p>
            <w:pPr>
              <w:spacing w:after="0"/>
              <w:rPr>
                <w:sz w:val="14"/>
                <w:szCs w:val="14"/>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4</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jc w:val="right"/>
              <w:ind w:right="580"/>
              <w:spacing w:after="0" w:line="155" w:lineRule="exact"/>
              <w:rPr>
                <w:sz w:val="20"/>
                <w:szCs w:val="20"/>
                <w:color w:val="auto"/>
              </w:rPr>
            </w:pPr>
            <w:r>
              <w:rPr>
                <w:rFonts w:ascii="Arial" w:cs="Arial" w:eastAsia="Arial" w:hAnsi="Arial"/>
                <w:sz w:val="14"/>
                <w:szCs w:val="14"/>
                <w:color w:val="auto"/>
              </w:rPr>
              <w:t>69</w:t>
            </w:r>
          </w:p>
        </w:tc>
        <w:tc>
          <w:tcPr>
            <w:tcW w:w="200" w:type="dxa"/>
            <w:vAlign w:val="bottom"/>
          </w:tcPr>
          <w:p>
            <w:pPr>
              <w:spacing w:after="0"/>
              <w:rPr>
                <w:sz w:val="14"/>
                <w:szCs w:val="14"/>
                <w:color w:val="auto"/>
              </w:rPr>
            </w:pPr>
          </w:p>
        </w:tc>
        <w:tc>
          <w:tcPr>
            <w:tcW w:w="136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jc w:val="right"/>
              <w:ind w:right="580"/>
              <w:spacing w:after="0" w:line="155" w:lineRule="exact"/>
              <w:rPr>
                <w:sz w:val="20"/>
                <w:szCs w:val="20"/>
                <w:color w:val="auto"/>
              </w:rPr>
            </w:pPr>
            <w:r>
              <w:rPr>
                <w:rFonts w:ascii="Arial" w:cs="Arial" w:eastAsia="Arial" w:hAnsi="Arial"/>
                <w:sz w:val="14"/>
                <w:szCs w:val="14"/>
                <w:color w:val="auto"/>
              </w:rPr>
              <w:t>73</w:t>
            </w:r>
          </w:p>
        </w:tc>
        <w:tc>
          <w:tcPr>
            <w:tcW w:w="7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gridSpan w:val="2"/>
            <w:shd w:val="clear" w:color="auto" w:fill="E5E5E5"/>
          </w:tcPr>
          <w:p>
            <w:pPr>
              <w:spacing w:after="0" w:line="149" w:lineRule="exact"/>
              <w:rPr>
                <w:sz w:val="20"/>
                <w:szCs w:val="20"/>
                <w:color w:val="auto"/>
              </w:rPr>
            </w:pPr>
            <w:r>
              <w:rPr>
                <w:rFonts w:ascii="Arial" w:cs="Arial" w:eastAsia="Arial" w:hAnsi="Arial"/>
                <w:sz w:val="14"/>
                <w:szCs w:val="14"/>
                <w:color w:val="auto"/>
              </w:rPr>
              <w:t>Derivatives:</w:t>
            </w:r>
          </w:p>
        </w:tc>
        <w:tc>
          <w:tcPr>
            <w:tcW w:w="100" w:type="dxa"/>
            <w:vAlign w:val="bottom"/>
            <w:tcBorders>
              <w:top w:val="single" w:sz="8" w:color="auto"/>
            </w:tcBorders>
            <w:shd w:val="clear" w:color="auto" w:fill="E5E5E5"/>
          </w:tcPr>
          <w:p>
            <w:pPr>
              <w:spacing w:after="0"/>
              <w:rPr>
                <w:sz w:val="12"/>
                <w:szCs w:val="12"/>
                <w:color w:val="auto"/>
              </w:rPr>
            </w:pPr>
          </w:p>
        </w:tc>
        <w:tc>
          <w:tcPr>
            <w:tcW w:w="1000" w:type="dxa"/>
            <w:vAlign w:val="bottom"/>
            <w:tcBorders>
              <w:top w:val="single" w:sz="8" w:color="auto"/>
            </w:tcBorders>
            <w:shd w:val="clear" w:color="auto" w:fill="E5E5E5"/>
          </w:tcPr>
          <w:p>
            <w:pPr>
              <w:spacing w:after="0"/>
              <w:rPr>
                <w:sz w:val="12"/>
                <w:szCs w:val="12"/>
                <w:color w:val="auto"/>
              </w:rPr>
            </w:pPr>
          </w:p>
        </w:tc>
        <w:tc>
          <w:tcPr>
            <w:tcW w:w="580" w:type="dxa"/>
            <w:vAlign w:val="bottom"/>
            <w:shd w:val="clear" w:color="auto" w:fill="E5E5E5"/>
          </w:tcPr>
          <w:p>
            <w:pPr>
              <w:spacing w:after="0"/>
              <w:rPr>
                <w:sz w:val="12"/>
                <w:szCs w:val="12"/>
                <w:color w:val="auto"/>
              </w:rPr>
            </w:pPr>
          </w:p>
        </w:tc>
        <w:tc>
          <w:tcPr>
            <w:tcW w:w="180" w:type="dxa"/>
            <w:vAlign w:val="bottom"/>
            <w:tcBorders>
              <w:top w:val="single" w:sz="8" w:color="auto"/>
            </w:tcBorders>
            <w:shd w:val="clear" w:color="auto" w:fill="E5E5E5"/>
          </w:tcPr>
          <w:p>
            <w:pPr>
              <w:spacing w:after="0"/>
              <w:rPr>
                <w:sz w:val="12"/>
                <w:szCs w:val="12"/>
                <w:color w:val="auto"/>
              </w:rPr>
            </w:pPr>
          </w:p>
        </w:tc>
        <w:tc>
          <w:tcPr>
            <w:tcW w:w="920" w:type="dxa"/>
            <w:vAlign w:val="bottom"/>
            <w:tcBorders>
              <w:top w:val="single" w:sz="8" w:color="auto"/>
            </w:tcBorders>
            <w:shd w:val="clear" w:color="auto" w:fill="E5E5E5"/>
          </w:tcPr>
          <w:p>
            <w:pPr>
              <w:spacing w:after="0"/>
              <w:rPr>
                <w:sz w:val="12"/>
                <w:szCs w:val="12"/>
                <w:color w:val="auto"/>
              </w:rPr>
            </w:pPr>
          </w:p>
        </w:tc>
        <w:tc>
          <w:tcPr>
            <w:tcW w:w="580" w:type="dxa"/>
            <w:vAlign w:val="bottom"/>
            <w:shd w:val="clear" w:color="auto" w:fill="E5E5E5"/>
          </w:tcPr>
          <w:p>
            <w:pPr>
              <w:spacing w:after="0"/>
              <w:rPr>
                <w:sz w:val="12"/>
                <w:szCs w:val="12"/>
                <w:color w:val="auto"/>
              </w:rPr>
            </w:pPr>
          </w:p>
        </w:tc>
        <w:tc>
          <w:tcPr>
            <w:tcW w:w="200" w:type="dxa"/>
            <w:vAlign w:val="bottom"/>
            <w:tcBorders>
              <w:top w:val="single" w:sz="8" w:color="auto"/>
            </w:tcBorders>
            <w:shd w:val="clear" w:color="auto" w:fill="E5E5E5"/>
          </w:tcPr>
          <w:p>
            <w:pPr>
              <w:spacing w:after="0"/>
              <w:rPr>
                <w:sz w:val="12"/>
                <w:szCs w:val="12"/>
                <w:color w:val="auto"/>
              </w:rPr>
            </w:pPr>
          </w:p>
        </w:tc>
        <w:tc>
          <w:tcPr>
            <w:tcW w:w="1040" w:type="dxa"/>
            <w:vAlign w:val="bottom"/>
            <w:tcBorders>
              <w:top w:val="single" w:sz="8" w:color="auto"/>
            </w:tcBorders>
            <w:shd w:val="clear" w:color="auto" w:fill="E5E5E5"/>
          </w:tcPr>
          <w:p>
            <w:pPr>
              <w:spacing w:after="0"/>
              <w:rPr>
                <w:sz w:val="12"/>
                <w:szCs w:val="12"/>
                <w:color w:val="auto"/>
              </w:rPr>
            </w:pPr>
          </w:p>
        </w:tc>
        <w:tc>
          <w:tcPr>
            <w:tcW w:w="320" w:type="dxa"/>
            <w:vAlign w:val="bottom"/>
            <w:shd w:val="clear" w:color="auto" w:fill="E5E5E5"/>
          </w:tcPr>
          <w:p>
            <w:pPr>
              <w:spacing w:after="0"/>
              <w:rPr>
                <w:sz w:val="12"/>
                <w:szCs w:val="12"/>
                <w:color w:val="auto"/>
              </w:rPr>
            </w:pPr>
          </w:p>
        </w:tc>
        <w:tc>
          <w:tcPr>
            <w:tcW w:w="260" w:type="dxa"/>
            <w:vAlign w:val="bottom"/>
            <w:shd w:val="clear" w:color="auto" w:fill="E5E5E5"/>
          </w:tcPr>
          <w:p>
            <w:pPr>
              <w:spacing w:after="0"/>
              <w:rPr>
                <w:sz w:val="12"/>
                <w:szCs w:val="12"/>
                <w:color w:val="auto"/>
              </w:rPr>
            </w:pPr>
          </w:p>
        </w:tc>
        <w:tc>
          <w:tcPr>
            <w:tcW w:w="180" w:type="dxa"/>
            <w:vAlign w:val="bottom"/>
            <w:tcBorders>
              <w:top w:val="single" w:sz="8" w:color="auto"/>
            </w:tcBorders>
            <w:shd w:val="clear" w:color="auto" w:fill="E5E5E5"/>
          </w:tcPr>
          <w:p>
            <w:pPr>
              <w:spacing w:after="0"/>
              <w:rPr>
                <w:sz w:val="12"/>
                <w:szCs w:val="12"/>
                <w:color w:val="auto"/>
              </w:rPr>
            </w:pPr>
          </w:p>
        </w:tc>
        <w:tc>
          <w:tcPr>
            <w:tcW w:w="1000" w:type="dxa"/>
            <w:vAlign w:val="bottom"/>
            <w:tcBorders>
              <w:top w:val="single" w:sz="8" w:color="auto"/>
            </w:tcBorders>
            <w:shd w:val="clear" w:color="auto" w:fill="E5E5E5"/>
          </w:tcPr>
          <w:p>
            <w:pPr>
              <w:spacing w:after="0"/>
              <w:rPr>
                <w:sz w:val="12"/>
                <w:szCs w:val="12"/>
                <w:color w:val="auto"/>
              </w:rPr>
            </w:pPr>
          </w:p>
        </w:tc>
        <w:tc>
          <w:tcPr>
            <w:tcW w:w="580" w:type="dxa"/>
            <w:vAlign w:val="bottom"/>
            <w:shd w:val="clear" w:color="auto" w:fill="E5E5E5"/>
          </w:tcPr>
          <w:p>
            <w:pPr>
              <w:spacing w:after="0"/>
              <w:rPr>
                <w:sz w:val="12"/>
                <w:szCs w:val="12"/>
                <w:color w:val="auto"/>
              </w:rPr>
            </w:pPr>
          </w:p>
        </w:tc>
        <w:tc>
          <w:tcPr>
            <w:tcW w:w="600" w:type="dxa"/>
            <w:vAlign w:val="bottom"/>
            <w:tcBorders>
              <w:top w:val="single" w:sz="8" w:color="auto"/>
            </w:tcBorders>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Interest Rate Contracts</w:t>
            </w: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123</w:t>
            </w:r>
          </w:p>
        </w:tc>
        <w:tc>
          <w:tcPr>
            <w:tcW w:w="200" w:type="dxa"/>
            <w:vAlign w:val="bottom"/>
          </w:tcPr>
          <w:p>
            <w:pPr>
              <w:spacing w:after="0"/>
              <w:rPr>
                <w:sz w:val="12"/>
                <w:szCs w:val="12"/>
                <w:color w:val="auto"/>
              </w:rPr>
            </w:pPr>
          </w:p>
        </w:tc>
        <w:tc>
          <w:tcPr>
            <w:tcW w:w="13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123</w:t>
            </w: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gridSpan w:val="2"/>
            <w:shd w:val="clear" w:color="auto" w:fill="E5E5E5"/>
          </w:tcPr>
          <w:p>
            <w:pPr>
              <w:ind w:left="420"/>
              <w:spacing w:after="0" w:line="149" w:lineRule="exact"/>
              <w:rPr>
                <w:sz w:val="20"/>
                <w:szCs w:val="20"/>
                <w:color w:val="auto"/>
              </w:rPr>
            </w:pPr>
            <w:r>
              <w:rPr>
                <w:rFonts w:ascii="Arial" w:cs="Arial" w:eastAsia="Arial" w:hAnsi="Arial"/>
                <w:sz w:val="14"/>
                <w:szCs w:val="14"/>
                <w:color w:val="auto"/>
              </w:rPr>
              <w:t>Foreign Exchange Contracts</w:t>
            </w:r>
          </w:p>
        </w:tc>
        <w:tc>
          <w:tcPr>
            <w:tcW w:w="100" w:type="dxa"/>
            <w:vAlign w:val="bottom"/>
            <w:shd w:val="clear" w:color="auto" w:fill="E5E5E5"/>
          </w:tcPr>
          <w:p>
            <w:pPr>
              <w:spacing w:after="0"/>
              <w:rPr>
                <w:sz w:val="12"/>
                <w:szCs w:val="12"/>
                <w:color w:val="auto"/>
              </w:rPr>
            </w:pPr>
          </w:p>
        </w:tc>
        <w:tc>
          <w:tcPr>
            <w:tcW w:w="100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5</w:t>
            </w:r>
          </w:p>
        </w:tc>
        <w:tc>
          <w:tcPr>
            <w:tcW w:w="58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1500" w:type="dxa"/>
            <w:vAlign w:val="bottom"/>
            <w:gridSpan w:val="2"/>
            <w:shd w:val="clear" w:color="auto" w:fill="E5E5E5"/>
          </w:tcPr>
          <w:p>
            <w:pPr>
              <w:jc w:val="right"/>
              <w:ind w:right="540"/>
              <w:spacing w:after="0" w:line="149" w:lineRule="exact"/>
              <w:rPr>
                <w:sz w:val="20"/>
                <w:szCs w:val="20"/>
                <w:color w:val="auto"/>
              </w:rPr>
            </w:pPr>
            <w:r>
              <w:rPr>
                <w:rFonts w:ascii="Arial" w:cs="Arial" w:eastAsia="Arial" w:hAnsi="Arial"/>
                <w:sz w:val="14"/>
                <w:szCs w:val="14"/>
                <w:color w:val="auto"/>
              </w:rPr>
              <w:t>(12)</w:t>
            </w:r>
          </w:p>
        </w:tc>
        <w:tc>
          <w:tcPr>
            <w:tcW w:w="200" w:type="dxa"/>
            <w:vAlign w:val="bottom"/>
            <w:shd w:val="clear" w:color="auto" w:fill="E5E5E5"/>
          </w:tcPr>
          <w:p>
            <w:pPr>
              <w:spacing w:after="0"/>
              <w:rPr>
                <w:sz w:val="12"/>
                <w:szCs w:val="12"/>
                <w:color w:val="auto"/>
              </w:rPr>
            </w:pPr>
          </w:p>
        </w:tc>
        <w:tc>
          <w:tcPr>
            <w:tcW w:w="1360" w:type="dxa"/>
            <w:vAlign w:val="bottom"/>
            <w:gridSpan w:val="2"/>
            <w:shd w:val="clear" w:color="auto" w:fill="E5E5E5"/>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1580" w:type="dxa"/>
            <w:vAlign w:val="bottom"/>
            <w:gridSpan w:val="2"/>
            <w:shd w:val="clear" w:color="auto" w:fill="E5E5E5"/>
          </w:tcPr>
          <w:p>
            <w:pPr>
              <w:jc w:val="right"/>
              <w:ind w:right="540"/>
              <w:spacing w:after="0" w:line="149" w:lineRule="exact"/>
              <w:rPr>
                <w:sz w:val="20"/>
                <w:szCs w:val="20"/>
                <w:color w:val="auto"/>
              </w:rPr>
            </w:pPr>
            <w:r>
              <w:rPr>
                <w:rFonts w:ascii="Arial" w:cs="Arial" w:eastAsia="Arial" w:hAnsi="Arial"/>
                <w:sz w:val="14"/>
                <w:szCs w:val="14"/>
                <w:color w:val="auto"/>
              </w:rPr>
              <w:t>(7)</w:t>
            </w:r>
          </w:p>
        </w:tc>
        <w:tc>
          <w:tcPr>
            <w:tcW w:w="760" w:type="dxa"/>
            <w:vAlign w:val="bottom"/>
            <w:gridSpan w:val="2"/>
            <w:shd w:val="clear" w:color="auto" w:fill="E5E5E5"/>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Equity Contracts</w:t>
            </w: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53</w:t>
            </w:r>
          </w:p>
        </w:tc>
        <w:tc>
          <w:tcPr>
            <w:tcW w:w="200" w:type="dxa"/>
            <w:vAlign w:val="bottom"/>
          </w:tcPr>
          <w:p>
            <w:pPr>
              <w:spacing w:after="0"/>
              <w:rPr>
                <w:sz w:val="12"/>
                <w:szCs w:val="12"/>
                <w:color w:val="auto"/>
              </w:rPr>
            </w:pPr>
          </w:p>
        </w:tc>
        <w:tc>
          <w:tcPr>
            <w:tcW w:w="13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53</w:t>
            </w: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gridSpan w:val="2"/>
            <w:shd w:val="clear" w:color="auto" w:fill="E5E5E5"/>
          </w:tcPr>
          <w:p>
            <w:pPr>
              <w:ind w:left="420"/>
              <w:spacing w:after="0" w:line="149" w:lineRule="exact"/>
              <w:rPr>
                <w:sz w:val="20"/>
                <w:szCs w:val="20"/>
                <w:color w:val="auto"/>
              </w:rPr>
            </w:pPr>
            <w:r>
              <w:rPr>
                <w:rFonts w:ascii="Arial" w:cs="Arial" w:eastAsia="Arial" w:hAnsi="Arial"/>
                <w:sz w:val="14"/>
                <w:szCs w:val="14"/>
                <w:color w:val="auto"/>
              </w:rPr>
              <w:t>Credit Contracts</w:t>
            </w:r>
          </w:p>
        </w:tc>
        <w:tc>
          <w:tcPr>
            <w:tcW w:w="100" w:type="dxa"/>
            <w:vAlign w:val="bottom"/>
            <w:shd w:val="clear" w:color="auto" w:fill="E5E5E5"/>
          </w:tcPr>
          <w:p>
            <w:pPr>
              <w:spacing w:after="0"/>
              <w:rPr>
                <w:sz w:val="12"/>
                <w:szCs w:val="12"/>
                <w:color w:val="auto"/>
              </w:rPr>
            </w:pPr>
          </w:p>
        </w:tc>
        <w:tc>
          <w:tcPr>
            <w:tcW w:w="100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1500" w:type="dxa"/>
            <w:vAlign w:val="bottom"/>
            <w:gridSpan w:val="2"/>
            <w:shd w:val="clear" w:color="auto" w:fill="E5E5E5"/>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spacing w:after="0"/>
              <w:rPr>
                <w:sz w:val="12"/>
                <w:szCs w:val="12"/>
                <w:color w:val="auto"/>
              </w:rPr>
            </w:pPr>
          </w:p>
        </w:tc>
        <w:tc>
          <w:tcPr>
            <w:tcW w:w="1360" w:type="dxa"/>
            <w:vAlign w:val="bottom"/>
            <w:gridSpan w:val="2"/>
            <w:shd w:val="clear" w:color="auto" w:fill="E5E5E5"/>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1580" w:type="dxa"/>
            <w:vAlign w:val="bottom"/>
            <w:gridSpan w:val="2"/>
            <w:shd w:val="clear" w:color="auto" w:fill="E5E5E5"/>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E5E5E5"/>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Other Contracts</w:t>
            </w: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66</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3</w:t>
            </w:r>
          </w:p>
        </w:tc>
        <w:tc>
          <w:tcPr>
            <w:tcW w:w="200" w:type="dxa"/>
            <w:vAlign w:val="bottom"/>
          </w:tcPr>
          <w:p>
            <w:pPr>
              <w:spacing w:after="0"/>
              <w:rPr>
                <w:sz w:val="12"/>
                <w:szCs w:val="12"/>
                <w:color w:val="auto"/>
              </w:rPr>
            </w:pPr>
          </w:p>
        </w:tc>
        <w:tc>
          <w:tcPr>
            <w:tcW w:w="13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69</w:t>
            </w: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00" w:type="dxa"/>
            <w:vAlign w:val="bottom"/>
            <w:gridSpan w:val="2"/>
            <w:shd w:val="clear" w:color="auto" w:fill="E5E5E5"/>
          </w:tcPr>
          <w:p>
            <w:pPr>
              <w:spacing w:after="0" w:line="149" w:lineRule="exact"/>
              <w:rPr>
                <w:sz w:val="20"/>
                <w:szCs w:val="20"/>
                <w:color w:val="auto"/>
              </w:rPr>
            </w:pPr>
            <w:r>
              <w:rPr>
                <w:rFonts w:ascii="Arial" w:cs="Arial" w:eastAsia="Arial" w:hAnsi="Arial"/>
                <w:sz w:val="14"/>
                <w:szCs w:val="14"/>
                <w:color w:val="auto"/>
              </w:rPr>
              <w:t>Total Derivatives</w:t>
            </w:r>
          </w:p>
        </w:tc>
        <w:tc>
          <w:tcPr>
            <w:tcW w:w="100" w:type="dxa"/>
            <w:vAlign w:val="bottom"/>
            <w:shd w:val="clear" w:color="auto" w:fill="E5E5E5"/>
          </w:tcPr>
          <w:p>
            <w:pPr>
              <w:spacing w:after="0"/>
              <w:rPr>
                <w:sz w:val="12"/>
                <w:szCs w:val="12"/>
                <w:color w:val="auto"/>
              </w:rPr>
            </w:pPr>
          </w:p>
        </w:tc>
        <w:tc>
          <w:tcPr>
            <w:tcW w:w="100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71</w:t>
            </w:r>
          </w:p>
        </w:tc>
        <w:tc>
          <w:tcPr>
            <w:tcW w:w="58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1500" w:type="dxa"/>
            <w:vAlign w:val="bottom"/>
            <w:gridSpan w:val="2"/>
            <w:shd w:val="clear" w:color="auto" w:fill="E5E5E5"/>
          </w:tcPr>
          <w:p>
            <w:pPr>
              <w:jc w:val="right"/>
              <w:ind w:right="580"/>
              <w:spacing w:after="0" w:line="149" w:lineRule="exact"/>
              <w:rPr>
                <w:sz w:val="20"/>
                <w:szCs w:val="20"/>
                <w:color w:val="auto"/>
              </w:rPr>
            </w:pPr>
            <w:r>
              <w:rPr>
                <w:rFonts w:ascii="Arial" w:cs="Arial" w:eastAsia="Arial" w:hAnsi="Arial"/>
                <w:sz w:val="14"/>
                <w:szCs w:val="14"/>
                <w:color w:val="auto"/>
              </w:rPr>
              <w:t>167</w:t>
            </w:r>
          </w:p>
        </w:tc>
        <w:tc>
          <w:tcPr>
            <w:tcW w:w="200" w:type="dxa"/>
            <w:vAlign w:val="bottom"/>
            <w:shd w:val="clear" w:color="auto" w:fill="E5E5E5"/>
          </w:tcPr>
          <w:p>
            <w:pPr>
              <w:spacing w:after="0"/>
              <w:rPr>
                <w:sz w:val="12"/>
                <w:szCs w:val="12"/>
                <w:color w:val="auto"/>
              </w:rPr>
            </w:pPr>
          </w:p>
        </w:tc>
        <w:tc>
          <w:tcPr>
            <w:tcW w:w="1360" w:type="dxa"/>
            <w:vAlign w:val="bottom"/>
            <w:gridSpan w:val="2"/>
            <w:shd w:val="clear" w:color="auto" w:fill="E5E5E5"/>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1580" w:type="dxa"/>
            <w:vAlign w:val="bottom"/>
            <w:gridSpan w:val="2"/>
            <w:shd w:val="clear" w:color="auto" w:fill="E5E5E5"/>
          </w:tcPr>
          <w:p>
            <w:pPr>
              <w:jc w:val="right"/>
              <w:ind w:right="580"/>
              <w:spacing w:after="0" w:line="149" w:lineRule="exact"/>
              <w:rPr>
                <w:sz w:val="20"/>
                <w:szCs w:val="20"/>
                <w:color w:val="auto"/>
              </w:rPr>
            </w:pPr>
            <w:r>
              <w:rPr>
                <w:rFonts w:ascii="Arial" w:cs="Arial" w:eastAsia="Arial" w:hAnsi="Arial"/>
                <w:sz w:val="14"/>
                <w:szCs w:val="14"/>
                <w:color w:val="auto"/>
              </w:rPr>
              <w:t>238</w:t>
            </w:r>
          </w:p>
        </w:tc>
        <w:tc>
          <w:tcPr>
            <w:tcW w:w="760" w:type="dxa"/>
            <w:vAlign w:val="bottom"/>
            <w:gridSpan w:val="2"/>
            <w:shd w:val="clear" w:color="auto" w:fill="E5E5E5"/>
          </w:tcPr>
          <w:p>
            <w:pPr>
              <w:jc w:val="right"/>
              <w:ind w:right="4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
        </w:trPr>
        <w:tc>
          <w:tcPr>
            <w:tcW w:w="3720" w:type="dxa"/>
            <w:vAlign w:val="bottom"/>
            <w:gridSpan w:val="3"/>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20" w:type="dxa"/>
            <w:vAlign w:val="bottom"/>
            <w:gridSpan w:val="3"/>
          </w:tcPr>
          <w:p>
            <w:pPr>
              <w:spacing w:after="0" w:line="155" w:lineRule="exact"/>
              <w:rPr>
                <w:sz w:val="20"/>
                <w:szCs w:val="20"/>
                <w:color w:val="auto"/>
              </w:rPr>
            </w:pPr>
            <w:r>
              <w:rPr>
                <w:rFonts w:ascii="Arial" w:cs="Arial" w:eastAsia="Arial" w:hAnsi="Arial"/>
                <w:sz w:val="14"/>
                <w:szCs w:val="14"/>
                <w:color w:val="auto"/>
              </w:rPr>
              <w:t>Hedge Funds</w:t>
            </w:r>
          </w:p>
        </w:tc>
        <w:tc>
          <w:tcPr>
            <w:tcW w:w="10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gridSpan w:val="2"/>
          </w:tcPr>
          <w:p>
            <w:pPr>
              <w:jc w:val="right"/>
              <w:ind w:right="580"/>
              <w:spacing w:after="0" w:line="155" w:lineRule="exact"/>
              <w:rPr>
                <w:sz w:val="20"/>
                <w:szCs w:val="20"/>
                <w:color w:val="auto"/>
              </w:rPr>
            </w:pPr>
            <w:r>
              <w:rPr>
                <w:rFonts w:ascii="Arial" w:cs="Arial" w:eastAsia="Arial" w:hAnsi="Arial"/>
                <w:sz w:val="14"/>
                <w:szCs w:val="14"/>
                <w:color w:val="auto"/>
              </w:rPr>
              <w:t>2</w:t>
            </w:r>
          </w:p>
        </w:tc>
        <w:tc>
          <w:tcPr>
            <w:tcW w:w="200" w:type="dxa"/>
            <w:vAlign w:val="bottom"/>
          </w:tcPr>
          <w:p>
            <w:pPr>
              <w:spacing w:after="0"/>
              <w:rPr>
                <w:sz w:val="13"/>
                <w:szCs w:val="13"/>
                <w:color w:val="auto"/>
              </w:rPr>
            </w:pPr>
          </w:p>
        </w:tc>
        <w:tc>
          <w:tcPr>
            <w:tcW w:w="136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4</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gridSpan w:val="2"/>
          </w:tcPr>
          <w:p>
            <w:pPr>
              <w:jc w:val="right"/>
              <w:ind w:right="580"/>
              <w:spacing w:after="0" w:line="155" w:lineRule="exact"/>
              <w:rPr>
                <w:sz w:val="20"/>
                <w:szCs w:val="20"/>
                <w:color w:val="auto"/>
              </w:rPr>
            </w:pPr>
            <w:r>
              <w:rPr>
                <w:rFonts w:ascii="Arial" w:cs="Arial" w:eastAsia="Arial" w:hAnsi="Arial"/>
                <w:sz w:val="14"/>
                <w:szCs w:val="14"/>
                <w:color w:val="auto"/>
              </w:rPr>
              <w:t>6</w:t>
            </w:r>
          </w:p>
        </w:tc>
        <w:tc>
          <w:tcPr>
            <w:tcW w:w="7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gridSpan w:val="2"/>
            <w:shd w:val="clear" w:color="auto" w:fill="E5E5E5"/>
          </w:tcPr>
          <w:p>
            <w:pPr>
              <w:spacing w:after="0" w:line="149" w:lineRule="exact"/>
              <w:rPr>
                <w:sz w:val="20"/>
                <w:szCs w:val="20"/>
                <w:color w:val="auto"/>
              </w:rPr>
            </w:pPr>
            <w:r>
              <w:rPr>
                <w:rFonts w:ascii="Arial" w:cs="Arial" w:eastAsia="Arial" w:hAnsi="Arial"/>
                <w:sz w:val="14"/>
                <w:szCs w:val="14"/>
                <w:color w:val="auto"/>
              </w:rPr>
              <w:t>Real Estate</w:t>
            </w:r>
          </w:p>
        </w:tc>
        <w:tc>
          <w:tcPr>
            <w:tcW w:w="100" w:type="dxa"/>
            <w:vAlign w:val="bottom"/>
            <w:shd w:val="clear" w:color="auto" w:fill="E5E5E5"/>
          </w:tcPr>
          <w:p>
            <w:pPr>
              <w:spacing w:after="0"/>
              <w:rPr>
                <w:sz w:val="12"/>
                <w:szCs w:val="12"/>
                <w:color w:val="auto"/>
              </w:rPr>
            </w:pPr>
          </w:p>
        </w:tc>
        <w:tc>
          <w:tcPr>
            <w:tcW w:w="100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103</w:t>
            </w:r>
          </w:p>
        </w:tc>
        <w:tc>
          <w:tcPr>
            <w:tcW w:w="58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1500" w:type="dxa"/>
            <w:vAlign w:val="bottom"/>
            <w:gridSpan w:val="2"/>
            <w:shd w:val="clear" w:color="auto" w:fill="E5E5E5"/>
          </w:tcPr>
          <w:p>
            <w:pPr>
              <w:jc w:val="right"/>
              <w:ind w:right="580"/>
              <w:spacing w:after="0" w:line="149" w:lineRule="exact"/>
              <w:rPr>
                <w:sz w:val="20"/>
                <w:szCs w:val="20"/>
                <w:color w:val="auto"/>
              </w:rPr>
            </w:pPr>
            <w:r>
              <w:rPr>
                <w:rFonts w:ascii="Arial" w:cs="Arial" w:eastAsia="Arial" w:hAnsi="Arial"/>
                <w:sz w:val="14"/>
                <w:szCs w:val="14"/>
                <w:color w:val="auto"/>
              </w:rPr>
              <w:t>73</w:t>
            </w:r>
          </w:p>
        </w:tc>
        <w:tc>
          <w:tcPr>
            <w:tcW w:w="200" w:type="dxa"/>
            <w:vAlign w:val="bottom"/>
            <w:shd w:val="clear" w:color="auto" w:fill="E5E5E5"/>
          </w:tcPr>
          <w:p>
            <w:pPr>
              <w:spacing w:after="0"/>
              <w:rPr>
                <w:sz w:val="12"/>
                <w:szCs w:val="12"/>
                <w:color w:val="auto"/>
              </w:rPr>
            </w:pPr>
          </w:p>
        </w:tc>
        <w:tc>
          <w:tcPr>
            <w:tcW w:w="1360" w:type="dxa"/>
            <w:vAlign w:val="bottom"/>
            <w:gridSpan w:val="2"/>
            <w:shd w:val="clear" w:color="auto" w:fill="E5E5E5"/>
          </w:tcPr>
          <w:p>
            <w:pPr>
              <w:jc w:val="right"/>
              <w:ind w:right="320"/>
              <w:spacing w:after="0" w:line="149" w:lineRule="exact"/>
              <w:rPr>
                <w:sz w:val="20"/>
                <w:szCs w:val="20"/>
                <w:color w:val="auto"/>
              </w:rPr>
            </w:pPr>
            <w:r>
              <w:rPr>
                <w:rFonts w:ascii="Arial" w:cs="Arial" w:eastAsia="Arial" w:hAnsi="Arial"/>
                <w:sz w:val="14"/>
                <w:szCs w:val="14"/>
                <w:color w:val="auto"/>
              </w:rPr>
              <w:t>275</w:t>
            </w:r>
          </w:p>
        </w:tc>
        <w:tc>
          <w:tcPr>
            <w:tcW w:w="26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1580" w:type="dxa"/>
            <w:vAlign w:val="bottom"/>
            <w:gridSpan w:val="2"/>
            <w:shd w:val="clear" w:color="auto" w:fill="E5E5E5"/>
          </w:tcPr>
          <w:p>
            <w:pPr>
              <w:jc w:val="right"/>
              <w:ind w:right="580"/>
              <w:spacing w:after="0" w:line="149" w:lineRule="exact"/>
              <w:rPr>
                <w:sz w:val="20"/>
                <w:szCs w:val="20"/>
                <w:color w:val="auto"/>
              </w:rPr>
            </w:pPr>
            <w:r>
              <w:rPr>
                <w:rFonts w:ascii="Arial" w:cs="Arial" w:eastAsia="Arial" w:hAnsi="Arial"/>
                <w:sz w:val="14"/>
                <w:szCs w:val="14"/>
                <w:color w:val="auto"/>
              </w:rPr>
              <w:t>451</w:t>
            </w:r>
          </w:p>
        </w:tc>
        <w:tc>
          <w:tcPr>
            <w:tcW w:w="760" w:type="dxa"/>
            <w:vAlign w:val="bottom"/>
            <w:gridSpan w:val="2"/>
            <w:shd w:val="clear" w:color="auto" w:fill="E5E5E5"/>
          </w:tcPr>
          <w:p>
            <w:pPr>
              <w:jc w:val="right"/>
              <w:ind w:right="4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gridSpan w:val="2"/>
          </w:tcPr>
          <w:p>
            <w:pPr>
              <w:spacing w:after="0" w:line="149" w:lineRule="exact"/>
              <w:rPr>
                <w:sz w:val="20"/>
                <w:szCs w:val="20"/>
                <w:color w:val="auto"/>
              </w:rPr>
            </w:pPr>
            <w:r>
              <w:rPr>
                <w:rFonts w:ascii="Arial" w:cs="Arial" w:eastAsia="Arial" w:hAnsi="Arial"/>
                <w:sz w:val="14"/>
                <w:szCs w:val="14"/>
                <w:color w:val="auto"/>
              </w:rPr>
              <w:t>Private Equity/Venture Capital</w:t>
            </w: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3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308</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308</w:t>
            </w: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gridSpan w:val="2"/>
            <w:shd w:val="clear" w:color="auto" w:fill="E5E5E5"/>
          </w:tcPr>
          <w:p>
            <w:pPr>
              <w:spacing w:after="0" w:line="149" w:lineRule="exact"/>
              <w:rPr>
                <w:sz w:val="20"/>
                <w:szCs w:val="20"/>
                <w:color w:val="auto"/>
              </w:rPr>
            </w:pPr>
            <w:r>
              <w:rPr>
                <w:rFonts w:ascii="Arial" w:cs="Arial" w:eastAsia="Arial" w:hAnsi="Arial"/>
                <w:sz w:val="14"/>
                <w:szCs w:val="14"/>
                <w:color w:val="auto"/>
              </w:rPr>
              <w:t>Guaranteed Insurance Contracts</w:t>
            </w:r>
          </w:p>
        </w:tc>
        <w:tc>
          <w:tcPr>
            <w:tcW w:w="100" w:type="dxa"/>
            <w:vAlign w:val="bottom"/>
            <w:shd w:val="clear" w:color="auto" w:fill="E5E5E5"/>
          </w:tcPr>
          <w:p>
            <w:pPr>
              <w:spacing w:after="0"/>
              <w:rPr>
                <w:sz w:val="12"/>
                <w:szCs w:val="12"/>
                <w:color w:val="auto"/>
              </w:rPr>
            </w:pPr>
          </w:p>
        </w:tc>
        <w:tc>
          <w:tcPr>
            <w:tcW w:w="100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1500" w:type="dxa"/>
            <w:vAlign w:val="bottom"/>
            <w:gridSpan w:val="2"/>
            <w:shd w:val="clear" w:color="auto" w:fill="E5E5E5"/>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spacing w:after="0"/>
              <w:rPr>
                <w:sz w:val="12"/>
                <w:szCs w:val="12"/>
                <w:color w:val="auto"/>
              </w:rPr>
            </w:pPr>
          </w:p>
        </w:tc>
        <w:tc>
          <w:tcPr>
            <w:tcW w:w="1360" w:type="dxa"/>
            <w:vAlign w:val="bottom"/>
            <w:gridSpan w:val="2"/>
            <w:shd w:val="clear" w:color="auto" w:fill="E5E5E5"/>
          </w:tcPr>
          <w:p>
            <w:pPr>
              <w:jc w:val="right"/>
              <w:ind w:right="320"/>
              <w:spacing w:after="0" w:line="149" w:lineRule="exact"/>
              <w:rPr>
                <w:sz w:val="20"/>
                <w:szCs w:val="20"/>
                <w:color w:val="auto"/>
              </w:rPr>
            </w:pPr>
            <w:r>
              <w:rPr>
                <w:rFonts w:ascii="Arial" w:cs="Arial" w:eastAsia="Arial" w:hAnsi="Arial"/>
                <w:sz w:val="14"/>
                <w:szCs w:val="14"/>
                <w:color w:val="auto"/>
              </w:rPr>
              <w:t>96</w:t>
            </w:r>
          </w:p>
        </w:tc>
        <w:tc>
          <w:tcPr>
            <w:tcW w:w="26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1580" w:type="dxa"/>
            <w:vAlign w:val="bottom"/>
            <w:gridSpan w:val="2"/>
            <w:shd w:val="clear" w:color="auto" w:fill="E5E5E5"/>
          </w:tcPr>
          <w:p>
            <w:pPr>
              <w:jc w:val="right"/>
              <w:ind w:right="580"/>
              <w:spacing w:after="0" w:line="149" w:lineRule="exact"/>
              <w:rPr>
                <w:sz w:val="20"/>
                <w:szCs w:val="20"/>
                <w:color w:val="auto"/>
              </w:rPr>
            </w:pPr>
            <w:r>
              <w:rPr>
                <w:rFonts w:ascii="Arial" w:cs="Arial" w:eastAsia="Arial" w:hAnsi="Arial"/>
                <w:sz w:val="14"/>
                <w:szCs w:val="14"/>
                <w:color w:val="auto"/>
              </w:rPr>
              <w:t>96</w:t>
            </w:r>
          </w:p>
        </w:tc>
        <w:tc>
          <w:tcPr>
            <w:tcW w:w="760" w:type="dxa"/>
            <w:vAlign w:val="bottom"/>
            <w:gridSpan w:val="2"/>
            <w:shd w:val="clear" w:color="auto" w:fill="E5E5E5"/>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700" w:type="dxa"/>
            <w:vAlign w:val="bottom"/>
            <w:gridSpan w:val="2"/>
          </w:tcPr>
          <w:p>
            <w:pPr>
              <w:spacing w:after="0" w:line="127" w:lineRule="exact"/>
              <w:rPr>
                <w:sz w:val="20"/>
                <w:szCs w:val="20"/>
                <w:color w:val="auto"/>
              </w:rPr>
            </w:pPr>
            <w:r>
              <w:rPr>
                <w:rFonts w:ascii="Arial" w:cs="Arial" w:eastAsia="Arial" w:hAnsi="Arial"/>
                <w:sz w:val="14"/>
                <w:szCs w:val="14"/>
                <w:color w:val="auto"/>
              </w:rPr>
              <w:t>Other</w:t>
            </w:r>
          </w:p>
        </w:tc>
        <w:tc>
          <w:tcPr>
            <w:tcW w:w="100" w:type="dxa"/>
            <w:vAlign w:val="bottom"/>
          </w:tcPr>
          <w:p>
            <w:pPr>
              <w:spacing w:after="0"/>
              <w:rPr>
                <w:sz w:val="11"/>
                <w:szCs w:val="11"/>
                <w:color w:val="auto"/>
              </w:rPr>
            </w:pPr>
          </w:p>
        </w:tc>
        <w:tc>
          <w:tcPr>
            <w:tcW w:w="1000" w:type="dxa"/>
            <w:vAlign w:val="bottom"/>
          </w:tcPr>
          <w:p>
            <w:pPr>
              <w:jc w:val="right"/>
              <w:spacing w:after="0" w:line="127" w:lineRule="exact"/>
              <w:rPr>
                <w:sz w:val="20"/>
                <w:szCs w:val="20"/>
                <w:color w:val="auto"/>
              </w:rPr>
            </w:pPr>
            <w:r>
              <w:rPr>
                <w:rFonts w:ascii="Arial" w:cs="Arial" w:eastAsia="Arial" w:hAnsi="Arial"/>
                <w:sz w:val="14"/>
                <w:szCs w:val="14"/>
                <w:color w:val="auto"/>
              </w:rPr>
              <w:t>7</w:t>
            </w: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gridSpan w:val="2"/>
          </w:tcPr>
          <w:p>
            <w:pPr>
              <w:jc w:val="right"/>
              <w:ind w:right="580"/>
              <w:spacing w:after="0" w:line="127" w:lineRule="exact"/>
              <w:rPr>
                <w:sz w:val="20"/>
                <w:szCs w:val="20"/>
                <w:color w:val="auto"/>
              </w:rPr>
            </w:pPr>
            <w:r>
              <w:rPr>
                <w:rFonts w:ascii="Arial" w:cs="Arial" w:eastAsia="Arial" w:hAnsi="Arial"/>
                <w:sz w:val="14"/>
                <w:szCs w:val="14"/>
                <w:color w:val="auto"/>
              </w:rPr>
              <w:t>49</w:t>
            </w:r>
          </w:p>
        </w:tc>
        <w:tc>
          <w:tcPr>
            <w:tcW w:w="200" w:type="dxa"/>
            <w:vAlign w:val="bottom"/>
          </w:tcPr>
          <w:p>
            <w:pPr>
              <w:spacing w:after="0"/>
              <w:rPr>
                <w:sz w:val="11"/>
                <w:szCs w:val="11"/>
                <w:color w:val="auto"/>
              </w:rPr>
            </w:pPr>
          </w:p>
        </w:tc>
        <w:tc>
          <w:tcPr>
            <w:tcW w:w="1360" w:type="dxa"/>
            <w:vAlign w:val="bottom"/>
            <w:gridSpan w:val="2"/>
          </w:tcPr>
          <w:p>
            <w:pPr>
              <w:jc w:val="right"/>
              <w:ind w:right="260"/>
              <w:spacing w:after="0" w:line="127" w:lineRule="exact"/>
              <w:rPr>
                <w:sz w:val="20"/>
                <w:szCs w:val="20"/>
                <w:color w:val="auto"/>
              </w:rPr>
            </w:pPr>
            <w:r>
              <w:rPr>
                <w:rFonts w:ascii="Arial" w:cs="Arial" w:eastAsia="Arial" w:hAnsi="Arial"/>
                <w:sz w:val="14"/>
                <w:szCs w:val="14"/>
                <w:color w:val="auto"/>
              </w:rPr>
              <w:t>(1)</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2"/>
          </w:tcPr>
          <w:p>
            <w:pPr>
              <w:jc w:val="right"/>
              <w:ind w:right="580"/>
              <w:spacing w:after="0" w:line="127" w:lineRule="exact"/>
              <w:rPr>
                <w:sz w:val="20"/>
                <w:szCs w:val="20"/>
                <w:color w:val="auto"/>
              </w:rPr>
            </w:pPr>
            <w:r>
              <w:rPr>
                <w:rFonts w:ascii="Arial" w:cs="Arial" w:eastAsia="Arial" w:hAnsi="Arial"/>
                <w:sz w:val="14"/>
                <w:szCs w:val="14"/>
                <w:color w:val="auto"/>
              </w:rPr>
              <w:t>55</w:t>
            </w:r>
          </w:p>
        </w:tc>
        <w:tc>
          <w:tcPr>
            <w:tcW w:w="760" w:type="dxa"/>
            <w:vAlign w:val="bottom"/>
            <w:gridSpan w:val="2"/>
          </w:tcPr>
          <w:p>
            <w:pPr>
              <w:jc w:val="right"/>
              <w:ind w:right="40"/>
              <w:spacing w:after="0" w:line="12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700" w:type="dxa"/>
            <w:vAlign w:val="bottom"/>
            <w:gridSpan w:val="2"/>
            <w:vMerge w:val="restart"/>
          </w:tcPr>
          <w:p>
            <w:pPr>
              <w:spacing w:after="0" w:line="197" w:lineRule="exact"/>
              <w:rPr>
                <w:sz w:val="20"/>
                <w:szCs w:val="20"/>
                <w:color w:val="auto"/>
              </w:rPr>
            </w:pPr>
            <w:r>
              <w:rPr>
                <w:rFonts w:ascii="Arial" w:cs="Arial" w:eastAsia="Arial" w:hAnsi="Arial"/>
                <w:sz w:val="14"/>
                <w:szCs w:val="14"/>
                <w:b w:val="1"/>
                <w:bCs w:val="1"/>
                <w:color w:val="auto"/>
              </w:rPr>
              <w:t>Total Defined Benefit Plans Assets</w:t>
            </w:r>
            <w:r>
              <w:rPr>
                <w:rFonts w:ascii="Arial" w:cs="Arial" w:eastAsia="Arial" w:hAnsi="Arial"/>
                <w:sz w:val="22"/>
                <w:szCs w:val="22"/>
                <w:b w:val="1"/>
                <w:bCs w:val="1"/>
                <w:color w:val="auto"/>
                <w:vertAlign w:val="superscript"/>
              </w:rPr>
              <w:t>(1)</w:t>
            </w: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00" w:type="dxa"/>
            <w:vAlign w:val="bottom"/>
            <w:gridSpan w:val="2"/>
            <w:vMerge w:val="continue"/>
          </w:tcPr>
          <w:p>
            <w:pPr>
              <w:spacing w:after="0"/>
              <w:rPr>
                <w:sz w:val="13"/>
                <w:szCs w:val="13"/>
                <w:color w:val="auto"/>
              </w:rPr>
            </w:pP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3,569</w:t>
            </w:r>
          </w:p>
        </w:tc>
        <w:tc>
          <w:tcPr>
            <w:tcW w:w="760" w:type="dxa"/>
            <w:vAlign w:val="bottom"/>
            <w:gridSpan w:val="2"/>
          </w:tcPr>
          <w:p>
            <w:pPr>
              <w:ind w:left="580"/>
              <w:spacing w:after="0" w:line="155"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3,662</w:t>
            </w:r>
          </w:p>
        </w:tc>
        <w:tc>
          <w:tcPr>
            <w:tcW w:w="580" w:type="dxa"/>
            <w:vAlign w:val="bottom"/>
          </w:tcPr>
          <w:p>
            <w:pPr>
              <w:spacing w:after="0"/>
              <w:rPr>
                <w:sz w:val="13"/>
                <w:szCs w:val="13"/>
                <w:color w:val="auto"/>
              </w:rPr>
            </w:pPr>
          </w:p>
        </w:tc>
        <w:tc>
          <w:tcPr>
            <w:tcW w:w="2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682</w:t>
            </w:r>
          </w:p>
        </w:tc>
        <w:tc>
          <w:tcPr>
            <w:tcW w:w="440" w:type="dxa"/>
            <w:vAlign w:val="bottom"/>
            <w:gridSpan w:val="2"/>
          </w:tcPr>
          <w:p>
            <w:pPr>
              <w:ind w:left="260"/>
              <w:spacing w:after="0" w:line="155"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580"/>
              <w:spacing w:after="0" w:line="155" w:lineRule="exact"/>
              <w:rPr>
                <w:sz w:val="20"/>
                <w:szCs w:val="20"/>
                <w:color w:val="auto"/>
              </w:rPr>
            </w:pPr>
            <w:r>
              <w:rPr>
                <w:rFonts w:ascii="Arial" w:cs="Arial" w:eastAsia="Arial" w:hAnsi="Arial"/>
                <w:sz w:val="14"/>
                <w:szCs w:val="14"/>
                <w:color w:val="auto"/>
              </w:rPr>
              <w:t>7,913</w:t>
            </w:r>
          </w:p>
        </w:tc>
        <w:tc>
          <w:tcPr>
            <w:tcW w:w="7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946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1" w:lineRule="exact"/>
        <w:rPr>
          <w:sz w:val="20"/>
          <w:szCs w:val="20"/>
          <w:color w:val="auto"/>
        </w:rPr>
      </w:pPr>
    </w:p>
    <w:p>
      <w:pPr>
        <w:ind w:left="340" w:hanging="332"/>
        <w:spacing w:after="0"/>
        <w:tabs>
          <w:tab w:leader="none" w:pos="340" w:val="left"/>
        </w:tabs>
        <w:numPr>
          <w:ilvl w:val="0"/>
          <w:numId w:val="169"/>
        </w:numPr>
        <w:rPr>
          <w:rFonts w:ascii="Arial" w:cs="Arial" w:eastAsia="Arial" w:hAnsi="Arial"/>
          <w:sz w:val="14"/>
          <w:szCs w:val="14"/>
          <w:color w:val="auto"/>
        </w:rPr>
      </w:pPr>
      <w:r>
        <w:rPr>
          <w:rFonts w:ascii="Arial" w:cs="Arial" w:eastAsia="Arial" w:hAnsi="Arial"/>
          <w:sz w:val="14"/>
          <w:szCs w:val="14"/>
          <w:color w:val="auto"/>
        </w:rPr>
        <w:t>Total fair value assets exclude $27 of other net non-financial assets (liabilities) such as due to/from broker, interest receivables and accrued expenses.</w:t>
      </w:r>
    </w:p>
    <w:p>
      <w:pPr>
        <w:spacing w:after="0" w:line="136" w:lineRule="exact"/>
        <w:rPr>
          <w:sz w:val="20"/>
          <w:szCs w:val="20"/>
          <w:color w:val="auto"/>
        </w:rPr>
      </w:pPr>
    </w:p>
    <w:p>
      <w:pPr>
        <w:ind w:left="9600"/>
        <w:spacing w:after="0"/>
        <w:rPr>
          <w:sz w:val="20"/>
          <w:szCs w:val="20"/>
          <w:color w:val="auto"/>
        </w:rPr>
      </w:pPr>
      <w:r>
        <w:rPr>
          <w:rFonts w:ascii="Arial" w:cs="Arial" w:eastAsia="Arial" w:hAnsi="Arial"/>
          <w:sz w:val="12"/>
          <w:szCs w:val="12"/>
          <w:color w:val="4C9F40"/>
        </w:rPr>
        <w:t>Xerox 2010 Annual Report 85</w:t>
      </w:r>
    </w:p>
    <w:p>
      <w:pPr>
        <w:sectPr>
          <w:pgSz w:w="11900" w:h="16838" w:orient="portrait"/>
          <w:cols w:equalWidth="0" w:num="1">
            <w:col w:w="11420"/>
          </w:cols>
          <w:pgMar w:left="240" w:top="345" w:right="23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presents the defined benefit plans assets measured at fair value at December 31, 2009 and the basis for that measurement: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w w:val="94"/>
              </w:rPr>
              <w:t>Valuation Based On:</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spacing w:after="0" w:line="141" w:lineRule="exact"/>
              <w:rPr>
                <w:sz w:val="20"/>
                <w:szCs w:val="20"/>
                <w:color w:val="auto"/>
              </w:rPr>
            </w:pPr>
            <w:r>
              <w:rPr>
                <w:rFonts w:ascii="Arial" w:cs="Arial" w:eastAsia="Arial" w:hAnsi="Arial"/>
                <w:sz w:val="14"/>
                <w:szCs w:val="14"/>
                <w:color w:val="auto"/>
                <w:w w:val="96"/>
              </w:rPr>
              <w:t>Quoted Prices in</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6"/>
              </w:rPr>
              <w:t>Active Markets for</w:t>
            </w:r>
          </w:p>
        </w:tc>
        <w:tc>
          <w:tcPr>
            <w:tcW w:w="180" w:type="dxa"/>
            <w:vAlign w:val="bottom"/>
          </w:tcPr>
          <w:p>
            <w:pPr>
              <w:spacing w:after="0"/>
              <w:rPr>
                <w:sz w:val="12"/>
                <w:szCs w:val="12"/>
                <w:color w:val="auto"/>
              </w:rPr>
            </w:pPr>
          </w:p>
        </w:tc>
        <w:tc>
          <w:tcPr>
            <w:tcW w:w="12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Significant Other</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Significant</w:t>
            </w:r>
          </w:p>
        </w:tc>
        <w:tc>
          <w:tcPr>
            <w:tcW w:w="180" w:type="dxa"/>
            <w:vAlign w:val="bottom"/>
          </w:tcPr>
          <w:p>
            <w:pPr>
              <w:spacing w:after="0"/>
              <w:rPr>
                <w:sz w:val="12"/>
                <w:szCs w:val="12"/>
                <w:color w:val="auto"/>
              </w:rPr>
            </w:pPr>
          </w:p>
        </w:tc>
        <w:tc>
          <w:tcPr>
            <w:tcW w:w="118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Total</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Asset Class</w:t>
            </w:r>
          </w:p>
        </w:tc>
        <w:tc>
          <w:tcPr>
            <w:tcW w:w="100" w:type="dxa"/>
            <w:vAlign w:val="bottom"/>
          </w:tcPr>
          <w:p>
            <w:pPr>
              <w:spacing w:after="0"/>
              <w:rPr>
                <w:sz w:val="12"/>
                <w:szCs w:val="12"/>
                <w:color w:val="auto"/>
              </w:rPr>
            </w:pPr>
          </w:p>
        </w:tc>
        <w:tc>
          <w:tcPr>
            <w:tcW w:w="1000" w:type="dxa"/>
            <w:vAlign w:val="bottom"/>
          </w:tcPr>
          <w:p>
            <w:pPr>
              <w:jc w:val="center"/>
              <w:ind w:right="12"/>
              <w:spacing w:after="0" w:line="149" w:lineRule="exact"/>
              <w:rPr>
                <w:sz w:val="20"/>
                <w:szCs w:val="20"/>
                <w:color w:val="auto"/>
              </w:rPr>
            </w:pPr>
            <w:r>
              <w:rPr>
                <w:rFonts w:ascii="Arial" w:cs="Arial" w:eastAsia="Arial" w:hAnsi="Arial"/>
                <w:sz w:val="14"/>
                <w:szCs w:val="14"/>
                <w:color w:val="auto"/>
                <w:w w:val="96"/>
              </w:rPr>
              <w:t>Identical Asset</w:t>
            </w:r>
          </w:p>
        </w:tc>
        <w:tc>
          <w:tcPr>
            <w:tcW w:w="18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Arial" w:cs="Arial" w:eastAsia="Arial" w:hAnsi="Arial"/>
                <w:sz w:val="14"/>
                <w:szCs w:val="14"/>
                <w:color w:val="auto"/>
              </w:rPr>
              <w:t>Observable Inputs</w:t>
            </w:r>
          </w:p>
        </w:tc>
        <w:tc>
          <w:tcPr>
            <w:tcW w:w="20" w:type="dxa"/>
            <w:vAlign w:val="bottom"/>
          </w:tcPr>
          <w:p>
            <w:pPr>
              <w:spacing w:after="0"/>
              <w:rPr>
                <w:sz w:val="12"/>
                <w:szCs w:val="12"/>
                <w:color w:val="auto"/>
              </w:rPr>
            </w:pPr>
          </w:p>
        </w:tc>
        <w:tc>
          <w:tcPr>
            <w:tcW w:w="1420" w:type="dxa"/>
            <w:vAlign w:val="bottom"/>
            <w:gridSpan w:val="3"/>
          </w:tcPr>
          <w:p>
            <w:pPr>
              <w:spacing w:after="0" w:line="149" w:lineRule="exact"/>
              <w:rPr>
                <w:sz w:val="20"/>
                <w:szCs w:val="20"/>
                <w:color w:val="auto"/>
              </w:rPr>
            </w:pPr>
            <w:r>
              <w:rPr>
                <w:rFonts w:ascii="Arial" w:cs="Arial" w:eastAsia="Arial" w:hAnsi="Arial"/>
                <w:sz w:val="14"/>
                <w:szCs w:val="14"/>
                <w:color w:val="auto"/>
              </w:rPr>
              <w:t>Unobservable Inputs</w:t>
            </w:r>
          </w:p>
        </w:tc>
        <w:tc>
          <w:tcPr>
            <w:tcW w:w="180" w:type="dxa"/>
            <w:vAlign w:val="bottom"/>
          </w:tcPr>
          <w:p>
            <w:pPr>
              <w:spacing w:after="0"/>
              <w:rPr>
                <w:sz w:val="12"/>
                <w:szCs w:val="12"/>
                <w:color w:val="auto"/>
              </w:rPr>
            </w:pPr>
          </w:p>
        </w:tc>
        <w:tc>
          <w:tcPr>
            <w:tcW w:w="11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Fair Value</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12"/>
              <w:spacing w:after="0" w:line="149" w:lineRule="exact"/>
              <w:rPr>
                <w:sz w:val="20"/>
                <w:szCs w:val="20"/>
                <w:color w:val="auto"/>
              </w:rPr>
            </w:pPr>
            <w:r>
              <w:rPr>
                <w:rFonts w:ascii="Arial" w:cs="Arial" w:eastAsia="Arial" w:hAnsi="Arial"/>
                <w:sz w:val="14"/>
                <w:szCs w:val="14"/>
                <w:color w:val="auto"/>
                <w:w w:val="95"/>
              </w:rPr>
              <w:t>(Level 1)</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(Level 2)</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(Level 3)</w:t>
            </w:r>
          </w:p>
        </w:tc>
        <w:tc>
          <w:tcPr>
            <w:tcW w:w="1360" w:type="dxa"/>
            <w:vAlign w:val="bottom"/>
            <w:gridSpan w:val="3"/>
          </w:tcPr>
          <w:p>
            <w:pPr>
              <w:spacing w:after="0" w:line="149" w:lineRule="exact"/>
              <w:rPr>
                <w:sz w:val="20"/>
                <w:szCs w:val="20"/>
                <w:color w:val="auto"/>
              </w:rPr>
            </w:pPr>
            <w:r>
              <w:rPr>
                <w:rFonts w:ascii="Arial" w:cs="Arial" w:eastAsia="Arial" w:hAnsi="Arial"/>
                <w:sz w:val="14"/>
                <w:szCs w:val="14"/>
                <w:color w:val="auto"/>
              </w:rPr>
              <w:t>December 31, 2009</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1"/>
              </w:rPr>
              <w:t>% of 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5180" w:type="dxa"/>
            <w:vAlign w:val="bottom"/>
            <w:shd w:val="clear" w:color="auto" w:fill="E5E5E5"/>
          </w:tcPr>
          <w:p>
            <w:pPr>
              <w:spacing w:after="0" w:line="142" w:lineRule="exact"/>
              <w:rPr>
                <w:sz w:val="20"/>
                <w:szCs w:val="20"/>
                <w:color w:val="auto"/>
              </w:rPr>
            </w:pPr>
            <w:r>
              <w:rPr>
                <w:rFonts w:ascii="Arial" w:cs="Arial" w:eastAsia="Arial" w:hAnsi="Arial"/>
                <w:sz w:val="14"/>
                <w:szCs w:val="14"/>
                <w:color w:val="auto"/>
              </w:rPr>
              <w:t>Cash and Cash Equivalents</w:t>
            </w:r>
          </w:p>
        </w:tc>
        <w:tc>
          <w:tcPr>
            <w:tcW w:w="80" w:type="dxa"/>
            <w:vAlign w:val="bottom"/>
            <w:shd w:val="clear" w:color="auto" w:fill="E5E5E5"/>
          </w:tcPr>
          <w:p>
            <w:pPr>
              <w:spacing w:after="0"/>
              <w:rPr>
                <w:sz w:val="12"/>
                <w:szCs w:val="12"/>
                <w:color w:val="auto"/>
              </w:rPr>
            </w:pPr>
          </w:p>
        </w:tc>
        <w:tc>
          <w:tcPr>
            <w:tcW w:w="100" w:type="dxa"/>
            <w:vAlign w:val="bottom"/>
            <w:shd w:val="clear" w:color="auto" w:fill="E5E5E5"/>
          </w:tcPr>
          <w:p>
            <w:pPr>
              <w:jc w:val="right"/>
              <w:spacing w:after="0" w:line="142" w:lineRule="exact"/>
              <w:rPr>
                <w:sz w:val="20"/>
                <w:szCs w:val="20"/>
                <w:color w:val="auto"/>
              </w:rPr>
            </w:pPr>
            <w:r>
              <w:rPr>
                <w:rFonts w:ascii="Arial" w:cs="Arial" w:eastAsia="Arial" w:hAnsi="Arial"/>
                <w:sz w:val="14"/>
                <w:szCs w:val="14"/>
                <w:color w:val="auto"/>
                <w:w w:val="76"/>
              </w:rPr>
              <w:t>$</w:t>
            </w:r>
          </w:p>
        </w:tc>
        <w:tc>
          <w:tcPr>
            <w:tcW w:w="1000" w:type="dxa"/>
            <w:vAlign w:val="bottom"/>
            <w:shd w:val="clear" w:color="auto" w:fill="E5E5E5"/>
          </w:tcPr>
          <w:p>
            <w:pPr>
              <w:jc w:val="right"/>
              <w:spacing w:after="0" w:line="142" w:lineRule="exact"/>
              <w:rPr>
                <w:sz w:val="20"/>
                <w:szCs w:val="20"/>
                <w:color w:val="auto"/>
              </w:rPr>
            </w:pPr>
            <w:r>
              <w:rPr>
                <w:rFonts w:ascii="Arial" w:cs="Arial" w:eastAsia="Arial" w:hAnsi="Arial"/>
                <w:sz w:val="14"/>
                <w:szCs w:val="14"/>
                <w:color w:val="auto"/>
              </w:rPr>
              <w:t>748</w:t>
            </w:r>
          </w:p>
        </w:tc>
        <w:tc>
          <w:tcPr>
            <w:tcW w:w="360" w:type="dxa"/>
            <w:vAlign w:val="bottom"/>
            <w:gridSpan w:val="2"/>
            <w:shd w:val="clear" w:color="auto" w:fill="E5E5E5"/>
          </w:tcPr>
          <w:p>
            <w:pPr>
              <w:ind w:left="180"/>
              <w:spacing w:after="0" w:line="142"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E5E5E5"/>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E5E5E5"/>
          </w:tcPr>
          <w:p>
            <w:pPr>
              <w:ind w:left="20"/>
              <w:spacing w:after="0" w:line="142"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E5E5E5"/>
          </w:tcPr>
          <w:p>
            <w:pPr>
              <w:jc w:val="right"/>
              <w:ind w:right="180"/>
              <w:spacing w:after="0" w:line="142" w:lineRule="exact"/>
              <w:rPr>
                <w:sz w:val="20"/>
                <w:szCs w:val="20"/>
                <w:color w:val="auto"/>
              </w:rPr>
            </w:pPr>
            <w:r>
              <w:rPr>
                <w:rFonts w:ascii="Arial" w:cs="Arial" w:eastAsia="Arial" w:hAnsi="Arial"/>
                <w:sz w:val="14"/>
                <w:szCs w:val="14"/>
                <w:color w:val="auto"/>
              </w:rPr>
              <w:t>—</w:t>
            </w:r>
          </w:p>
        </w:tc>
        <w:tc>
          <w:tcPr>
            <w:tcW w:w="180" w:type="dxa"/>
            <w:vAlign w:val="bottom"/>
            <w:shd w:val="clear" w:color="auto" w:fill="E5E5E5"/>
          </w:tcPr>
          <w:p>
            <w:pPr>
              <w:spacing w:after="0" w:line="142"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E5E5E5"/>
          </w:tcPr>
          <w:p>
            <w:pPr>
              <w:jc w:val="right"/>
              <w:ind w:right="180"/>
              <w:spacing w:after="0" w:line="142" w:lineRule="exact"/>
              <w:rPr>
                <w:sz w:val="20"/>
                <w:szCs w:val="20"/>
                <w:color w:val="auto"/>
              </w:rPr>
            </w:pPr>
            <w:r>
              <w:rPr>
                <w:rFonts w:ascii="Arial" w:cs="Arial" w:eastAsia="Arial" w:hAnsi="Arial"/>
                <w:sz w:val="14"/>
                <w:szCs w:val="14"/>
                <w:color w:val="auto"/>
              </w:rPr>
              <w:t>748</w:t>
            </w:r>
          </w:p>
        </w:tc>
        <w:tc>
          <w:tcPr>
            <w:tcW w:w="800" w:type="dxa"/>
            <w:vAlign w:val="bottom"/>
            <w:gridSpan w:val="2"/>
            <w:shd w:val="clear" w:color="auto" w:fill="E5E5E5"/>
          </w:tcPr>
          <w:p>
            <w:pPr>
              <w:jc w:val="right"/>
              <w:ind w:right="80"/>
              <w:spacing w:after="0" w:line="142"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56"/>
        </w:trPr>
        <w:tc>
          <w:tcPr>
            <w:tcW w:w="5280" w:type="dxa"/>
            <w:vAlign w:val="bottom"/>
            <w:gridSpan w:val="3"/>
          </w:tcPr>
          <w:p>
            <w:pPr>
              <w:spacing w:after="0" w:line="155" w:lineRule="exact"/>
              <w:rPr>
                <w:sz w:val="20"/>
                <w:szCs w:val="20"/>
                <w:color w:val="auto"/>
              </w:rPr>
            </w:pPr>
            <w:r>
              <w:rPr>
                <w:rFonts w:ascii="Arial" w:cs="Arial" w:eastAsia="Arial" w:hAnsi="Arial"/>
                <w:sz w:val="14"/>
                <w:szCs w:val="14"/>
                <w:color w:val="auto"/>
              </w:rPr>
              <w:t>Equity Securities:</w:t>
            </w:r>
          </w:p>
        </w:tc>
        <w:tc>
          <w:tcPr>
            <w:tcW w:w="1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gridSpan w:val="2"/>
            <w:shd w:val="clear" w:color="auto" w:fill="E5E5E5"/>
          </w:tcPr>
          <w:p>
            <w:pPr>
              <w:ind w:left="200"/>
              <w:spacing w:after="0" w:line="149" w:lineRule="exact"/>
              <w:rPr>
                <w:sz w:val="20"/>
                <w:szCs w:val="20"/>
                <w:color w:val="auto"/>
              </w:rPr>
            </w:pPr>
            <w:r>
              <w:rPr>
                <w:rFonts w:ascii="Arial" w:cs="Arial" w:eastAsia="Arial" w:hAnsi="Arial"/>
                <w:sz w:val="14"/>
                <w:szCs w:val="14"/>
                <w:color w:val="auto"/>
              </w:rPr>
              <w:t>U.S. Large Cap</w:t>
            </w:r>
          </w:p>
        </w:tc>
        <w:tc>
          <w:tcPr>
            <w:tcW w:w="100" w:type="dxa"/>
            <w:vAlign w:val="bottom"/>
            <w:shd w:val="clear" w:color="auto" w:fill="E5E5E5"/>
          </w:tcPr>
          <w:p>
            <w:pPr>
              <w:spacing w:after="0"/>
              <w:rPr>
                <w:sz w:val="12"/>
                <w:szCs w:val="12"/>
                <w:color w:val="auto"/>
              </w:rPr>
            </w:pPr>
          </w:p>
        </w:tc>
        <w:tc>
          <w:tcPr>
            <w:tcW w:w="100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768</w:t>
            </w:r>
          </w:p>
        </w:tc>
        <w:tc>
          <w:tcPr>
            <w:tcW w:w="18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1080" w:type="dxa"/>
            <w:vAlign w:val="bottom"/>
            <w:gridSpan w:val="2"/>
            <w:shd w:val="clear" w:color="auto" w:fill="E5E5E5"/>
          </w:tcPr>
          <w:p>
            <w:pPr>
              <w:jc w:val="right"/>
              <w:ind w:right="160"/>
              <w:spacing w:after="0" w:line="149" w:lineRule="exact"/>
              <w:rPr>
                <w:sz w:val="20"/>
                <w:szCs w:val="20"/>
                <w:color w:val="auto"/>
              </w:rPr>
            </w:pPr>
            <w:r>
              <w:rPr>
                <w:rFonts w:ascii="Arial" w:cs="Arial" w:eastAsia="Arial" w:hAnsi="Arial"/>
                <w:sz w:val="14"/>
                <w:szCs w:val="14"/>
                <w:color w:val="auto"/>
              </w:rPr>
              <w:t>46</w:t>
            </w:r>
          </w:p>
        </w:tc>
        <w:tc>
          <w:tcPr>
            <w:tcW w:w="2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1220" w:type="dxa"/>
            <w:vAlign w:val="bottom"/>
            <w:gridSpan w:val="2"/>
            <w:shd w:val="clear" w:color="auto" w:fill="E5E5E5"/>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5E5E5"/>
          </w:tcPr>
          <w:p>
            <w:pPr>
              <w:spacing w:after="0"/>
              <w:rPr>
                <w:sz w:val="12"/>
                <w:szCs w:val="12"/>
                <w:color w:val="auto"/>
              </w:rPr>
            </w:pPr>
          </w:p>
        </w:tc>
        <w:tc>
          <w:tcPr>
            <w:tcW w:w="1180" w:type="dxa"/>
            <w:vAlign w:val="bottom"/>
            <w:gridSpan w:val="2"/>
            <w:shd w:val="clear" w:color="auto" w:fill="E5E5E5"/>
          </w:tcPr>
          <w:p>
            <w:pPr>
              <w:jc w:val="right"/>
              <w:ind w:right="180"/>
              <w:spacing w:after="0" w:line="149" w:lineRule="exact"/>
              <w:rPr>
                <w:sz w:val="20"/>
                <w:szCs w:val="20"/>
                <w:color w:val="auto"/>
              </w:rPr>
            </w:pPr>
            <w:r>
              <w:rPr>
                <w:rFonts w:ascii="Arial" w:cs="Arial" w:eastAsia="Arial" w:hAnsi="Arial"/>
                <w:sz w:val="14"/>
                <w:szCs w:val="14"/>
                <w:color w:val="auto"/>
              </w:rPr>
              <w:t>814</w:t>
            </w:r>
          </w:p>
        </w:tc>
        <w:tc>
          <w:tcPr>
            <w:tcW w:w="800" w:type="dxa"/>
            <w:vAlign w:val="bottom"/>
            <w:gridSpan w:val="2"/>
            <w:shd w:val="clear" w:color="auto" w:fill="E5E5E5"/>
          </w:tcPr>
          <w:p>
            <w:pPr>
              <w:jc w:val="right"/>
              <w:ind w:right="80"/>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U.S. Mid Cap</w:t>
            </w: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31</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1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31</w:t>
            </w: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gridSpan w:val="2"/>
            <w:shd w:val="clear" w:color="auto" w:fill="E5E5E5"/>
          </w:tcPr>
          <w:p>
            <w:pPr>
              <w:ind w:left="200"/>
              <w:spacing w:after="0" w:line="149" w:lineRule="exact"/>
              <w:rPr>
                <w:sz w:val="20"/>
                <w:szCs w:val="20"/>
                <w:color w:val="auto"/>
              </w:rPr>
            </w:pPr>
            <w:r>
              <w:rPr>
                <w:rFonts w:ascii="Arial" w:cs="Arial" w:eastAsia="Arial" w:hAnsi="Arial"/>
                <w:sz w:val="14"/>
                <w:szCs w:val="14"/>
                <w:color w:val="auto"/>
              </w:rPr>
              <w:t>U.S. Small Cap</w:t>
            </w:r>
          </w:p>
        </w:tc>
        <w:tc>
          <w:tcPr>
            <w:tcW w:w="100" w:type="dxa"/>
            <w:vAlign w:val="bottom"/>
            <w:shd w:val="clear" w:color="auto" w:fill="E5E5E5"/>
          </w:tcPr>
          <w:p>
            <w:pPr>
              <w:spacing w:after="0"/>
              <w:rPr>
                <w:sz w:val="12"/>
                <w:szCs w:val="12"/>
                <w:color w:val="auto"/>
              </w:rPr>
            </w:pPr>
          </w:p>
        </w:tc>
        <w:tc>
          <w:tcPr>
            <w:tcW w:w="100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90</w:t>
            </w:r>
          </w:p>
        </w:tc>
        <w:tc>
          <w:tcPr>
            <w:tcW w:w="18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1080" w:type="dxa"/>
            <w:vAlign w:val="bottom"/>
            <w:gridSpan w:val="2"/>
            <w:shd w:val="clear" w:color="auto" w:fill="E5E5E5"/>
          </w:tcPr>
          <w:p>
            <w:pPr>
              <w:jc w:val="right"/>
              <w:ind w:right="160"/>
              <w:spacing w:after="0" w:line="149" w:lineRule="exact"/>
              <w:rPr>
                <w:sz w:val="20"/>
                <w:szCs w:val="20"/>
                <w:color w:val="auto"/>
              </w:rPr>
            </w:pPr>
            <w:r>
              <w:rPr>
                <w:rFonts w:ascii="Arial" w:cs="Arial" w:eastAsia="Arial" w:hAnsi="Arial"/>
                <w:sz w:val="14"/>
                <w:szCs w:val="14"/>
                <w:color w:val="auto"/>
              </w:rPr>
              <w:t>70</w:t>
            </w:r>
          </w:p>
        </w:tc>
        <w:tc>
          <w:tcPr>
            <w:tcW w:w="2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1220" w:type="dxa"/>
            <w:vAlign w:val="bottom"/>
            <w:gridSpan w:val="2"/>
            <w:shd w:val="clear" w:color="auto" w:fill="E5E5E5"/>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5E5E5"/>
          </w:tcPr>
          <w:p>
            <w:pPr>
              <w:spacing w:after="0"/>
              <w:rPr>
                <w:sz w:val="12"/>
                <w:szCs w:val="12"/>
                <w:color w:val="auto"/>
              </w:rPr>
            </w:pPr>
          </w:p>
        </w:tc>
        <w:tc>
          <w:tcPr>
            <w:tcW w:w="1180" w:type="dxa"/>
            <w:vAlign w:val="bottom"/>
            <w:gridSpan w:val="2"/>
            <w:shd w:val="clear" w:color="auto" w:fill="E5E5E5"/>
          </w:tcPr>
          <w:p>
            <w:pPr>
              <w:jc w:val="right"/>
              <w:ind w:right="180"/>
              <w:spacing w:after="0" w:line="149" w:lineRule="exact"/>
              <w:rPr>
                <w:sz w:val="20"/>
                <w:szCs w:val="20"/>
                <w:color w:val="auto"/>
              </w:rPr>
            </w:pPr>
            <w:r>
              <w:rPr>
                <w:rFonts w:ascii="Arial" w:cs="Arial" w:eastAsia="Arial" w:hAnsi="Arial"/>
                <w:sz w:val="14"/>
                <w:szCs w:val="14"/>
                <w:color w:val="auto"/>
              </w:rPr>
              <w:t>160</w:t>
            </w:r>
          </w:p>
        </w:tc>
        <w:tc>
          <w:tcPr>
            <w:tcW w:w="800" w:type="dxa"/>
            <w:vAlign w:val="bottom"/>
            <w:gridSpan w:val="2"/>
            <w:shd w:val="clear" w:color="auto" w:fill="E5E5E5"/>
          </w:tcPr>
          <w:p>
            <w:pPr>
              <w:jc w:val="right"/>
              <w:ind w:right="8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International Developed</w:t>
            </w: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1,292</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493</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1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1,785</w:t>
            </w: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gridSpan w:val="2"/>
            <w:shd w:val="clear" w:color="auto" w:fill="E5E5E5"/>
          </w:tcPr>
          <w:p>
            <w:pPr>
              <w:ind w:left="200"/>
              <w:spacing w:after="0" w:line="149" w:lineRule="exact"/>
              <w:rPr>
                <w:sz w:val="20"/>
                <w:szCs w:val="20"/>
                <w:color w:val="auto"/>
              </w:rPr>
            </w:pPr>
            <w:r>
              <w:rPr>
                <w:rFonts w:ascii="Arial" w:cs="Arial" w:eastAsia="Arial" w:hAnsi="Arial"/>
                <w:sz w:val="14"/>
                <w:szCs w:val="14"/>
                <w:color w:val="auto"/>
              </w:rPr>
              <w:t>Emerging Markets</w:t>
            </w:r>
          </w:p>
        </w:tc>
        <w:tc>
          <w:tcPr>
            <w:tcW w:w="100" w:type="dxa"/>
            <w:vAlign w:val="bottom"/>
            <w:shd w:val="clear" w:color="auto" w:fill="E5E5E5"/>
          </w:tcPr>
          <w:p>
            <w:pPr>
              <w:spacing w:after="0"/>
              <w:rPr>
                <w:sz w:val="12"/>
                <w:szCs w:val="12"/>
                <w:color w:val="auto"/>
              </w:rPr>
            </w:pPr>
          </w:p>
        </w:tc>
        <w:tc>
          <w:tcPr>
            <w:tcW w:w="100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299</w:t>
            </w:r>
          </w:p>
        </w:tc>
        <w:tc>
          <w:tcPr>
            <w:tcW w:w="18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1080" w:type="dxa"/>
            <w:vAlign w:val="bottom"/>
            <w:gridSpan w:val="2"/>
            <w:shd w:val="clear" w:color="auto" w:fill="E5E5E5"/>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1220" w:type="dxa"/>
            <w:vAlign w:val="bottom"/>
            <w:gridSpan w:val="2"/>
            <w:shd w:val="clear" w:color="auto" w:fill="E5E5E5"/>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5E5E5"/>
          </w:tcPr>
          <w:p>
            <w:pPr>
              <w:spacing w:after="0"/>
              <w:rPr>
                <w:sz w:val="12"/>
                <w:szCs w:val="12"/>
                <w:color w:val="auto"/>
              </w:rPr>
            </w:pPr>
          </w:p>
        </w:tc>
        <w:tc>
          <w:tcPr>
            <w:tcW w:w="1180" w:type="dxa"/>
            <w:vAlign w:val="bottom"/>
            <w:gridSpan w:val="2"/>
            <w:shd w:val="clear" w:color="auto" w:fill="E5E5E5"/>
          </w:tcPr>
          <w:p>
            <w:pPr>
              <w:jc w:val="right"/>
              <w:ind w:right="180"/>
              <w:spacing w:after="0" w:line="149" w:lineRule="exact"/>
              <w:rPr>
                <w:sz w:val="20"/>
                <w:szCs w:val="20"/>
                <w:color w:val="auto"/>
              </w:rPr>
            </w:pPr>
            <w:r>
              <w:rPr>
                <w:rFonts w:ascii="Arial" w:cs="Arial" w:eastAsia="Arial" w:hAnsi="Arial"/>
                <w:sz w:val="14"/>
                <w:szCs w:val="14"/>
                <w:color w:val="auto"/>
              </w:rPr>
              <w:t>299</w:t>
            </w:r>
          </w:p>
        </w:tc>
        <w:tc>
          <w:tcPr>
            <w:tcW w:w="800" w:type="dxa"/>
            <w:vAlign w:val="bottom"/>
            <w:gridSpan w:val="2"/>
            <w:shd w:val="clear" w:color="auto" w:fill="E5E5E5"/>
          </w:tcPr>
          <w:p>
            <w:pPr>
              <w:jc w:val="right"/>
              <w:ind w:right="8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Global Equity</w:t>
            </w: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1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w:t>
            </w: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60" w:type="dxa"/>
            <w:vAlign w:val="bottom"/>
            <w:gridSpan w:val="2"/>
            <w:shd w:val="clear" w:color="auto" w:fill="E5E5E5"/>
          </w:tcPr>
          <w:p>
            <w:pPr>
              <w:spacing w:after="0" w:line="149" w:lineRule="exact"/>
              <w:rPr>
                <w:sz w:val="20"/>
                <w:szCs w:val="20"/>
                <w:color w:val="auto"/>
              </w:rPr>
            </w:pPr>
            <w:r>
              <w:rPr>
                <w:rFonts w:ascii="Arial" w:cs="Arial" w:eastAsia="Arial" w:hAnsi="Arial"/>
                <w:sz w:val="14"/>
                <w:szCs w:val="14"/>
                <w:color w:val="auto"/>
              </w:rPr>
              <w:t>Total Equity Securities</w:t>
            </w:r>
          </w:p>
        </w:tc>
        <w:tc>
          <w:tcPr>
            <w:tcW w:w="100" w:type="dxa"/>
            <w:vAlign w:val="bottom"/>
            <w:shd w:val="clear" w:color="auto" w:fill="E5E5E5"/>
          </w:tcPr>
          <w:p>
            <w:pPr>
              <w:spacing w:after="0"/>
              <w:rPr>
                <w:sz w:val="12"/>
                <w:szCs w:val="12"/>
                <w:color w:val="auto"/>
              </w:rPr>
            </w:pPr>
          </w:p>
        </w:tc>
        <w:tc>
          <w:tcPr>
            <w:tcW w:w="100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2,492</w:t>
            </w:r>
          </w:p>
        </w:tc>
        <w:tc>
          <w:tcPr>
            <w:tcW w:w="18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1080" w:type="dxa"/>
            <w:vAlign w:val="bottom"/>
            <w:gridSpan w:val="2"/>
            <w:shd w:val="clear" w:color="auto" w:fill="E5E5E5"/>
          </w:tcPr>
          <w:p>
            <w:pPr>
              <w:jc w:val="right"/>
              <w:ind w:right="160"/>
              <w:spacing w:after="0" w:line="149" w:lineRule="exact"/>
              <w:rPr>
                <w:sz w:val="20"/>
                <w:szCs w:val="20"/>
                <w:color w:val="auto"/>
              </w:rPr>
            </w:pPr>
            <w:r>
              <w:rPr>
                <w:rFonts w:ascii="Arial" w:cs="Arial" w:eastAsia="Arial" w:hAnsi="Arial"/>
                <w:sz w:val="14"/>
                <w:szCs w:val="14"/>
                <w:color w:val="auto"/>
              </w:rPr>
              <w:t>609</w:t>
            </w:r>
          </w:p>
        </w:tc>
        <w:tc>
          <w:tcPr>
            <w:tcW w:w="2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1220" w:type="dxa"/>
            <w:vAlign w:val="bottom"/>
            <w:gridSpan w:val="2"/>
            <w:shd w:val="clear" w:color="auto" w:fill="E5E5E5"/>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5E5E5"/>
          </w:tcPr>
          <w:p>
            <w:pPr>
              <w:spacing w:after="0"/>
              <w:rPr>
                <w:sz w:val="12"/>
                <w:szCs w:val="12"/>
                <w:color w:val="auto"/>
              </w:rPr>
            </w:pPr>
          </w:p>
        </w:tc>
        <w:tc>
          <w:tcPr>
            <w:tcW w:w="1180" w:type="dxa"/>
            <w:vAlign w:val="bottom"/>
            <w:gridSpan w:val="2"/>
            <w:shd w:val="clear" w:color="auto" w:fill="E5E5E5"/>
          </w:tcPr>
          <w:p>
            <w:pPr>
              <w:jc w:val="right"/>
              <w:ind w:right="180"/>
              <w:spacing w:after="0" w:line="149" w:lineRule="exact"/>
              <w:rPr>
                <w:sz w:val="20"/>
                <w:szCs w:val="20"/>
                <w:color w:val="auto"/>
              </w:rPr>
            </w:pPr>
            <w:r>
              <w:rPr>
                <w:rFonts w:ascii="Arial" w:cs="Arial" w:eastAsia="Arial" w:hAnsi="Arial"/>
                <w:sz w:val="14"/>
                <w:szCs w:val="14"/>
                <w:color w:val="auto"/>
              </w:rPr>
              <w:t>3,101</w:t>
            </w:r>
          </w:p>
        </w:tc>
        <w:tc>
          <w:tcPr>
            <w:tcW w:w="800" w:type="dxa"/>
            <w:vAlign w:val="bottom"/>
            <w:gridSpan w:val="2"/>
            <w:shd w:val="clear" w:color="auto" w:fill="E5E5E5"/>
          </w:tcPr>
          <w:p>
            <w:pPr>
              <w:jc w:val="right"/>
              <w:ind w:right="80"/>
              <w:spacing w:after="0" w:line="14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56"/>
        </w:trPr>
        <w:tc>
          <w:tcPr>
            <w:tcW w:w="5280" w:type="dxa"/>
            <w:vAlign w:val="bottom"/>
            <w:gridSpan w:val="3"/>
          </w:tcPr>
          <w:p>
            <w:pPr>
              <w:spacing w:after="0" w:line="155" w:lineRule="exact"/>
              <w:rPr>
                <w:sz w:val="20"/>
                <w:szCs w:val="20"/>
                <w:color w:val="auto"/>
              </w:rPr>
            </w:pPr>
            <w:r>
              <w:rPr>
                <w:rFonts w:ascii="Arial" w:cs="Arial" w:eastAsia="Arial" w:hAnsi="Arial"/>
                <w:sz w:val="14"/>
                <w:szCs w:val="14"/>
                <w:color w:val="auto"/>
              </w:rPr>
              <w:t>Debt Securities:</w:t>
            </w:r>
          </w:p>
        </w:tc>
        <w:tc>
          <w:tcPr>
            <w:tcW w:w="1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gridSpan w:val="2"/>
            <w:shd w:val="clear" w:color="auto" w:fill="E5E5E5"/>
          </w:tcPr>
          <w:p>
            <w:pPr>
              <w:ind w:left="200"/>
              <w:spacing w:after="0" w:line="149" w:lineRule="exact"/>
              <w:rPr>
                <w:sz w:val="20"/>
                <w:szCs w:val="20"/>
                <w:color w:val="auto"/>
              </w:rPr>
            </w:pPr>
            <w:r>
              <w:rPr>
                <w:rFonts w:ascii="Arial" w:cs="Arial" w:eastAsia="Arial" w:hAnsi="Arial"/>
                <w:sz w:val="14"/>
                <w:szCs w:val="14"/>
                <w:color w:val="auto"/>
              </w:rPr>
              <w:t>U.S. Treasury Securities</w:t>
            </w:r>
          </w:p>
        </w:tc>
        <w:tc>
          <w:tcPr>
            <w:tcW w:w="100" w:type="dxa"/>
            <w:vAlign w:val="bottom"/>
            <w:shd w:val="clear" w:color="auto" w:fill="E5E5E5"/>
          </w:tcPr>
          <w:p>
            <w:pPr>
              <w:spacing w:after="0"/>
              <w:rPr>
                <w:sz w:val="12"/>
                <w:szCs w:val="12"/>
                <w:color w:val="auto"/>
              </w:rPr>
            </w:pPr>
          </w:p>
        </w:tc>
        <w:tc>
          <w:tcPr>
            <w:tcW w:w="100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4</w:t>
            </w:r>
          </w:p>
        </w:tc>
        <w:tc>
          <w:tcPr>
            <w:tcW w:w="18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1080" w:type="dxa"/>
            <w:vAlign w:val="bottom"/>
            <w:gridSpan w:val="2"/>
            <w:shd w:val="clear" w:color="auto" w:fill="E5E5E5"/>
          </w:tcPr>
          <w:p>
            <w:pPr>
              <w:jc w:val="right"/>
              <w:ind w:right="160"/>
              <w:spacing w:after="0" w:line="149" w:lineRule="exact"/>
              <w:rPr>
                <w:sz w:val="20"/>
                <w:szCs w:val="20"/>
                <w:color w:val="auto"/>
              </w:rPr>
            </w:pPr>
            <w:r>
              <w:rPr>
                <w:rFonts w:ascii="Arial" w:cs="Arial" w:eastAsia="Arial" w:hAnsi="Arial"/>
                <w:sz w:val="14"/>
                <w:szCs w:val="14"/>
                <w:color w:val="auto"/>
              </w:rPr>
              <w:t>185</w:t>
            </w:r>
          </w:p>
        </w:tc>
        <w:tc>
          <w:tcPr>
            <w:tcW w:w="2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1220" w:type="dxa"/>
            <w:vAlign w:val="bottom"/>
            <w:gridSpan w:val="2"/>
            <w:shd w:val="clear" w:color="auto" w:fill="E5E5E5"/>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5E5E5"/>
          </w:tcPr>
          <w:p>
            <w:pPr>
              <w:spacing w:after="0"/>
              <w:rPr>
                <w:sz w:val="12"/>
                <w:szCs w:val="12"/>
                <w:color w:val="auto"/>
              </w:rPr>
            </w:pPr>
          </w:p>
        </w:tc>
        <w:tc>
          <w:tcPr>
            <w:tcW w:w="1180" w:type="dxa"/>
            <w:vAlign w:val="bottom"/>
            <w:gridSpan w:val="2"/>
            <w:shd w:val="clear" w:color="auto" w:fill="E5E5E5"/>
          </w:tcPr>
          <w:p>
            <w:pPr>
              <w:jc w:val="right"/>
              <w:ind w:right="180"/>
              <w:spacing w:after="0" w:line="149" w:lineRule="exact"/>
              <w:rPr>
                <w:sz w:val="20"/>
                <w:szCs w:val="20"/>
                <w:color w:val="auto"/>
              </w:rPr>
            </w:pPr>
            <w:r>
              <w:rPr>
                <w:rFonts w:ascii="Arial" w:cs="Arial" w:eastAsia="Arial" w:hAnsi="Arial"/>
                <w:sz w:val="14"/>
                <w:szCs w:val="14"/>
                <w:color w:val="auto"/>
              </w:rPr>
              <w:t>189</w:t>
            </w:r>
          </w:p>
        </w:tc>
        <w:tc>
          <w:tcPr>
            <w:tcW w:w="800" w:type="dxa"/>
            <w:vAlign w:val="bottom"/>
            <w:gridSpan w:val="2"/>
            <w:shd w:val="clear" w:color="auto" w:fill="E5E5E5"/>
          </w:tcPr>
          <w:p>
            <w:pPr>
              <w:jc w:val="right"/>
              <w:ind w:right="8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Debt Security Issued by Government Agency</w:t>
            </w: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114</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798</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1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912</w:t>
            </w: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gridSpan w:val="2"/>
            <w:shd w:val="clear" w:color="auto" w:fill="E5E5E5"/>
          </w:tcPr>
          <w:p>
            <w:pPr>
              <w:ind w:left="200"/>
              <w:spacing w:after="0" w:line="149" w:lineRule="exact"/>
              <w:rPr>
                <w:sz w:val="20"/>
                <w:szCs w:val="20"/>
                <w:color w:val="auto"/>
              </w:rPr>
            </w:pPr>
            <w:r>
              <w:rPr>
                <w:rFonts w:ascii="Arial" w:cs="Arial" w:eastAsia="Arial" w:hAnsi="Arial"/>
                <w:sz w:val="14"/>
                <w:szCs w:val="14"/>
                <w:color w:val="auto"/>
              </w:rPr>
              <w:t>Corporate Bonds</w:t>
            </w:r>
          </w:p>
        </w:tc>
        <w:tc>
          <w:tcPr>
            <w:tcW w:w="100" w:type="dxa"/>
            <w:vAlign w:val="bottom"/>
            <w:shd w:val="clear" w:color="auto" w:fill="E5E5E5"/>
          </w:tcPr>
          <w:p>
            <w:pPr>
              <w:spacing w:after="0"/>
              <w:rPr>
                <w:sz w:val="12"/>
                <w:szCs w:val="12"/>
                <w:color w:val="auto"/>
              </w:rPr>
            </w:pPr>
          </w:p>
        </w:tc>
        <w:tc>
          <w:tcPr>
            <w:tcW w:w="100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145</w:t>
            </w:r>
          </w:p>
        </w:tc>
        <w:tc>
          <w:tcPr>
            <w:tcW w:w="18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1080" w:type="dxa"/>
            <w:vAlign w:val="bottom"/>
            <w:gridSpan w:val="2"/>
            <w:shd w:val="clear" w:color="auto" w:fill="E5E5E5"/>
          </w:tcPr>
          <w:p>
            <w:pPr>
              <w:jc w:val="right"/>
              <w:ind w:right="160"/>
              <w:spacing w:after="0" w:line="149" w:lineRule="exact"/>
              <w:rPr>
                <w:sz w:val="20"/>
                <w:szCs w:val="20"/>
                <w:color w:val="auto"/>
              </w:rPr>
            </w:pPr>
            <w:r>
              <w:rPr>
                <w:rFonts w:ascii="Arial" w:cs="Arial" w:eastAsia="Arial" w:hAnsi="Arial"/>
                <w:sz w:val="14"/>
                <w:szCs w:val="14"/>
                <w:color w:val="auto"/>
              </w:rPr>
              <w:t>1,570</w:t>
            </w:r>
          </w:p>
        </w:tc>
        <w:tc>
          <w:tcPr>
            <w:tcW w:w="2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1220" w:type="dxa"/>
            <w:vAlign w:val="bottom"/>
            <w:gridSpan w:val="2"/>
            <w:shd w:val="clear" w:color="auto" w:fill="E5E5E5"/>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5E5E5"/>
          </w:tcPr>
          <w:p>
            <w:pPr>
              <w:spacing w:after="0"/>
              <w:rPr>
                <w:sz w:val="12"/>
                <w:szCs w:val="12"/>
                <w:color w:val="auto"/>
              </w:rPr>
            </w:pPr>
          </w:p>
        </w:tc>
        <w:tc>
          <w:tcPr>
            <w:tcW w:w="1180" w:type="dxa"/>
            <w:vAlign w:val="bottom"/>
            <w:gridSpan w:val="2"/>
            <w:shd w:val="clear" w:color="auto" w:fill="E5E5E5"/>
          </w:tcPr>
          <w:p>
            <w:pPr>
              <w:jc w:val="right"/>
              <w:ind w:right="180"/>
              <w:spacing w:after="0" w:line="149" w:lineRule="exact"/>
              <w:rPr>
                <w:sz w:val="20"/>
                <w:szCs w:val="20"/>
                <w:color w:val="auto"/>
              </w:rPr>
            </w:pPr>
            <w:r>
              <w:rPr>
                <w:rFonts w:ascii="Arial" w:cs="Arial" w:eastAsia="Arial" w:hAnsi="Arial"/>
                <w:sz w:val="14"/>
                <w:szCs w:val="14"/>
                <w:color w:val="auto"/>
              </w:rPr>
              <w:t>1,715</w:t>
            </w:r>
          </w:p>
        </w:tc>
        <w:tc>
          <w:tcPr>
            <w:tcW w:w="800" w:type="dxa"/>
            <w:vAlign w:val="bottom"/>
            <w:gridSpan w:val="2"/>
            <w:shd w:val="clear" w:color="auto" w:fill="E5E5E5"/>
          </w:tcPr>
          <w:p>
            <w:pPr>
              <w:jc w:val="right"/>
              <w:ind w:right="80"/>
              <w:spacing w:after="0" w:line="149"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Asset Backed Securities</w:t>
            </w: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23</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1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26</w:t>
            </w: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60" w:type="dxa"/>
            <w:vAlign w:val="bottom"/>
            <w:gridSpan w:val="2"/>
            <w:shd w:val="clear" w:color="auto" w:fill="E5E5E5"/>
          </w:tcPr>
          <w:p>
            <w:pPr>
              <w:spacing w:after="0" w:line="149" w:lineRule="exact"/>
              <w:rPr>
                <w:sz w:val="20"/>
                <w:szCs w:val="20"/>
                <w:color w:val="auto"/>
              </w:rPr>
            </w:pPr>
            <w:r>
              <w:rPr>
                <w:rFonts w:ascii="Arial" w:cs="Arial" w:eastAsia="Arial" w:hAnsi="Arial"/>
                <w:sz w:val="14"/>
                <w:szCs w:val="14"/>
                <w:color w:val="auto"/>
              </w:rPr>
              <w:t>Total Debt Securities</w:t>
            </w:r>
          </w:p>
        </w:tc>
        <w:tc>
          <w:tcPr>
            <w:tcW w:w="100" w:type="dxa"/>
            <w:vAlign w:val="bottom"/>
            <w:shd w:val="clear" w:color="auto" w:fill="E5E5E5"/>
          </w:tcPr>
          <w:p>
            <w:pPr>
              <w:spacing w:after="0"/>
              <w:rPr>
                <w:sz w:val="12"/>
                <w:szCs w:val="12"/>
                <w:color w:val="auto"/>
              </w:rPr>
            </w:pPr>
          </w:p>
        </w:tc>
        <w:tc>
          <w:tcPr>
            <w:tcW w:w="100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266</w:t>
            </w:r>
          </w:p>
        </w:tc>
        <w:tc>
          <w:tcPr>
            <w:tcW w:w="18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1080" w:type="dxa"/>
            <w:vAlign w:val="bottom"/>
            <w:gridSpan w:val="2"/>
            <w:shd w:val="clear" w:color="auto" w:fill="E5E5E5"/>
          </w:tcPr>
          <w:p>
            <w:pPr>
              <w:jc w:val="right"/>
              <w:ind w:right="160"/>
              <w:spacing w:after="0" w:line="149" w:lineRule="exact"/>
              <w:rPr>
                <w:sz w:val="20"/>
                <w:szCs w:val="20"/>
                <w:color w:val="auto"/>
              </w:rPr>
            </w:pPr>
            <w:r>
              <w:rPr>
                <w:rFonts w:ascii="Arial" w:cs="Arial" w:eastAsia="Arial" w:hAnsi="Arial"/>
                <w:sz w:val="14"/>
                <w:szCs w:val="14"/>
                <w:color w:val="auto"/>
              </w:rPr>
              <w:t>2,576</w:t>
            </w:r>
          </w:p>
        </w:tc>
        <w:tc>
          <w:tcPr>
            <w:tcW w:w="2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1220" w:type="dxa"/>
            <w:vAlign w:val="bottom"/>
            <w:gridSpan w:val="2"/>
            <w:shd w:val="clear" w:color="auto" w:fill="E5E5E5"/>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5E5E5"/>
          </w:tcPr>
          <w:p>
            <w:pPr>
              <w:spacing w:after="0"/>
              <w:rPr>
                <w:sz w:val="12"/>
                <w:szCs w:val="12"/>
                <w:color w:val="auto"/>
              </w:rPr>
            </w:pPr>
          </w:p>
        </w:tc>
        <w:tc>
          <w:tcPr>
            <w:tcW w:w="1180" w:type="dxa"/>
            <w:vAlign w:val="bottom"/>
            <w:gridSpan w:val="2"/>
            <w:shd w:val="clear" w:color="auto" w:fill="E5E5E5"/>
          </w:tcPr>
          <w:p>
            <w:pPr>
              <w:jc w:val="right"/>
              <w:ind w:right="180"/>
              <w:spacing w:after="0" w:line="149" w:lineRule="exact"/>
              <w:rPr>
                <w:sz w:val="20"/>
                <w:szCs w:val="20"/>
                <w:color w:val="auto"/>
              </w:rPr>
            </w:pPr>
            <w:r>
              <w:rPr>
                <w:rFonts w:ascii="Arial" w:cs="Arial" w:eastAsia="Arial" w:hAnsi="Arial"/>
                <w:sz w:val="14"/>
                <w:szCs w:val="14"/>
                <w:color w:val="auto"/>
              </w:rPr>
              <w:t>2,842</w:t>
            </w:r>
          </w:p>
        </w:tc>
        <w:tc>
          <w:tcPr>
            <w:tcW w:w="800" w:type="dxa"/>
            <w:vAlign w:val="bottom"/>
            <w:gridSpan w:val="2"/>
            <w:shd w:val="clear" w:color="auto" w:fill="E5E5E5"/>
          </w:tcPr>
          <w:p>
            <w:pPr>
              <w:jc w:val="right"/>
              <w:ind w:right="80"/>
              <w:spacing w:after="0" w:line="149"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0"/>
        </w:trPr>
        <w:tc>
          <w:tcPr>
            <w:tcW w:w="5280" w:type="dxa"/>
            <w:vAlign w:val="bottom"/>
            <w:gridSpan w:val="3"/>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280" w:type="dxa"/>
            <w:vAlign w:val="bottom"/>
            <w:gridSpan w:val="3"/>
          </w:tcPr>
          <w:p>
            <w:pPr>
              <w:spacing w:after="0" w:line="155" w:lineRule="exact"/>
              <w:rPr>
                <w:sz w:val="20"/>
                <w:szCs w:val="20"/>
                <w:color w:val="auto"/>
              </w:rPr>
            </w:pPr>
            <w:r>
              <w:rPr>
                <w:rFonts w:ascii="Arial" w:cs="Arial" w:eastAsia="Arial" w:hAnsi="Arial"/>
                <w:sz w:val="14"/>
                <w:szCs w:val="14"/>
                <w:color w:val="auto"/>
              </w:rPr>
              <w:t>Common/Collective Trust</w:t>
            </w:r>
          </w:p>
        </w:tc>
        <w:tc>
          <w:tcPr>
            <w:tcW w:w="100" w:type="dxa"/>
            <w:vAlign w:val="bottom"/>
          </w:tcPr>
          <w:p>
            <w:pPr>
              <w:spacing w:after="0"/>
              <w:rPr>
                <w:sz w:val="14"/>
                <w:szCs w:val="14"/>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2</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26</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8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28</w:t>
            </w:r>
          </w:p>
        </w:tc>
        <w:tc>
          <w:tcPr>
            <w:tcW w:w="8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gridSpan w:val="2"/>
            <w:shd w:val="clear" w:color="auto" w:fill="E5E5E5"/>
          </w:tcPr>
          <w:p>
            <w:pPr>
              <w:spacing w:after="0" w:line="149" w:lineRule="exact"/>
              <w:rPr>
                <w:sz w:val="20"/>
                <w:szCs w:val="20"/>
                <w:color w:val="auto"/>
              </w:rPr>
            </w:pPr>
            <w:r>
              <w:rPr>
                <w:rFonts w:ascii="Arial" w:cs="Arial" w:eastAsia="Arial" w:hAnsi="Arial"/>
                <w:sz w:val="14"/>
                <w:szCs w:val="14"/>
                <w:color w:val="auto"/>
              </w:rPr>
              <w:t>Derivatives:</w:t>
            </w:r>
          </w:p>
        </w:tc>
        <w:tc>
          <w:tcPr>
            <w:tcW w:w="100" w:type="dxa"/>
            <w:vAlign w:val="bottom"/>
            <w:tcBorders>
              <w:top w:val="single" w:sz="8" w:color="auto"/>
            </w:tcBorders>
            <w:shd w:val="clear" w:color="auto" w:fill="E5E5E5"/>
          </w:tcPr>
          <w:p>
            <w:pPr>
              <w:spacing w:after="0"/>
              <w:rPr>
                <w:sz w:val="12"/>
                <w:szCs w:val="12"/>
                <w:color w:val="auto"/>
              </w:rPr>
            </w:pPr>
          </w:p>
        </w:tc>
        <w:tc>
          <w:tcPr>
            <w:tcW w:w="1000" w:type="dxa"/>
            <w:vAlign w:val="bottom"/>
            <w:tcBorders>
              <w:top w:val="single" w:sz="8" w:color="auto"/>
            </w:tcBorders>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180" w:type="dxa"/>
            <w:vAlign w:val="bottom"/>
            <w:tcBorders>
              <w:top w:val="single" w:sz="8" w:color="auto"/>
            </w:tcBorders>
            <w:shd w:val="clear" w:color="auto" w:fill="E5E5E5"/>
          </w:tcPr>
          <w:p>
            <w:pPr>
              <w:spacing w:after="0"/>
              <w:rPr>
                <w:sz w:val="12"/>
                <w:szCs w:val="12"/>
                <w:color w:val="auto"/>
              </w:rPr>
            </w:pPr>
          </w:p>
        </w:tc>
        <w:tc>
          <w:tcPr>
            <w:tcW w:w="920" w:type="dxa"/>
            <w:vAlign w:val="bottom"/>
            <w:tcBorders>
              <w:top w:val="single" w:sz="8" w:color="auto"/>
            </w:tcBorders>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20" w:type="dxa"/>
            <w:vAlign w:val="bottom"/>
            <w:shd w:val="clear" w:color="auto" w:fill="E5E5E5"/>
          </w:tcPr>
          <w:p>
            <w:pPr>
              <w:spacing w:after="0"/>
              <w:rPr>
                <w:sz w:val="12"/>
                <w:szCs w:val="12"/>
                <w:color w:val="auto"/>
              </w:rPr>
            </w:pPr>
          </w:p>
        </w:tc>
        <w:tc>
          <w:tcPr>
            <w:tcW w:w="200" w:type="dxa"/>
            <w:vAlign w:val="bottom"/>
            <w:tcBorders>
              <w:top w:val="single" w:sz="8" w:color="auto"/>
            </w:tcBorders>
            <w:shd w:val="clear" w:color="auto" w:fill="E5E5E5"/>
          </w:tcPr>
          <w:p>
            <w:pPr>
              <w:spacing w:after="0"/>
              <w:rPr>
                <w:sz w:val="12"/>
                <w:szCs w:val="12"/>
                <w:color w:val="auto"/>
              </w:rPr>
            </w:pPr>
          </w:p>
        </w:tc>
        <w:tc>
          <w:tcPr>
            <w:tcW w:w="1040" w:type="dxa"/>
            <w:vAlign w:val="bottom"/>
            <w:tcBorders>
              <w:top w:val="single" w:sz="8" w:color="auto"/>
            </w:tcBorders>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180" w:type="dxa"/>
            <w:vAlign w:val="bottom"/>
            <w:tcBorders>
              <w:top w:val="single" w:sz="8" w:color="auto"/>
            </w:tcBorders>
            <w:shd w:val="clear" w:color="auto" w:fill="E5E5E5"/>
          </w:tcPr>
          <w:p>
            <w:pPr>
              <w:spacing w:after="0"/>
              <w:rPr>
                <w:sz w:val="12"/>
                <w:szCs w:val="12"/>
                <w:color w:val="auto"/>
              </w:rPr>
            </w:pPr>
          </w:p>
        </w:tc>
        <w:tc>
          <w:tcPr>
            <w:tcW w:w="1000" w:type="dxa"/>
            <w:vAlign w:val="bottom"/>
            <w:tcBorders>
              <w:top w:val="single" w:sz="8" w:color="auto"/>
            </w:tcBorders>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600" w:type="dxa"/>
            <w:vAlign w:val="bottom"/>
            <w:tcBorders>
              <w:top w:val="single" w:sz="8" w:color="auto"/>
            </w:tcBorders>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Interest Rate Contracts</w:t>
            </w: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52</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1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52</w:t>
            </w: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gridSpan w:val="2"/>
            <w:shd w:val="clear" w:color="auto" w:fill="E5E5E5"/>
          </w:tcPr>
          <w:p>
            <w:pPr>
              <w:ind w:left="200"/>
              <w:spacing w:after="0" w:line="149" w:lineRule="exact"/>
              <w:rPr>
                <w:sz w:val="20"/>
                <w:szCs w:val="20"/>
                <w:color w:val="auto"/>
              </w:rPr>
            </w:pPr>
            <w:r>
              <w:rPr>
                <w:rFonts w:ascii="Arial" w:cs="Arial" w:eastAsia="Arial" w:hAnsi="Arial"/>
                <w:sz w:val="14"/>
                <w:szCs w:val="14"/>
                <w:color w:val="auto"/>
              </w:rPr>
              <w:t>Foreign Exchange Contracts</w:t>
            </w:r>
          </w:p>
        </w:tc>
        <w:tc>
          <w:tcPr>
            <w:tcW w:w="100" w:type="dxa"/>
            <w:vAlign w:val="bottom"/>
            <w:shd w:val="clear" w:color="auto" w:fill="E5E5E5"/>
          </w:tcPr>
          <w:p>
            <w:pPr>
              <w:spacing w:after="0"/>
              <w:rPr>
                <w:sz w:val="12"/>
                <w:szCs w:val="12"/>
                <w:color w:val="auto"/>
              </w:rPr>
            </w:pPr>
          </w:p>
        </w:tc>
        <w:tc>
          <w:tcPr>
            <w:tcW w:w="100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15</w:t>
            </w:r>
          </w:p>
        </w:tc>
        <w:tc>
          <w:tcPr>
            <w:tcW w:w="18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1080" w:type="dxa"/>
            <w:vAlign w:val="bottom"/>
            <w:gridSpan w:val="2"/>
            <w:shd w:val="clear" w:color="auto" w:fill="E5E5E5"/>
          </w:tcPr>
          <w:p>
            <w:pPr>
              <w:jc w:val="right"/>
              <w:ind w:right="100"/>
              <w:spacing w:after="0" w:line="149" w:lineRule="exact"/>
              <w:rPr>
                <w:sz w:val="20"/>
                <w:szCs w:val="20"/>
                <w:color w:val="auto"/>
              </w:rPr>
            </w:pPr>
            <w:r>
              <w:rPr>
                <w:rFonts w:ascii="Arial" w:cs="Arial" w:eastAsia="Arial" w:hAnsi="Arial"/>
                <w:sz w:val="14"/>
                <w:szCs w:val="14"/>
                <w:color w:val="auto"/>
              </w:rPr>
              <w:t>(77)</w:t>
            </w:r>
          </w:p>
        </w:tc>
        <w:tc>
          <w:tcPr>
            <w:tcW w:w="2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1220" w:type="dxa"/>
            <w:vAlign w:val="bottom"/>
            <w:gridSpan w:val="2"/>
            <w:shd w:val="clear" w:color="auto" w:fill="E5E5E5"/>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5E5E5"/>
          </w:tcPr>
          <w:p>
            <w:pPr>
              <w:spacing w:after="0"/>
              <w:rPr>
                <w:sz w:val="12"/>
                <w:szCs w:val="12"/>
                <w:color w:val="auto"/>
              </w:rPr>
            </w:pPr>
          </w:p>
        </w:tc>
        <w:tc>
          <w:tcPr>
            <w:tcW w:w="1180" w:type="dxa"/>
            <w:vAlign w:val="bottom"/>
            <w:gridSpan w:val="2"/>
            <w:shd w:val="clear" w:color="auto" w:fill="E5E5E5"/>
          </w:tcPr>
          <w:p>
            <w:pPr>
              <w:jc w:val="right"/>
              <w:ind w:right="120"/>
              <w:spacing w:after="0" w:line="149" w:lineRule="exact"/>
              <w:rPr>
                <w:sz w:val="20"/>
                <w:szCs w:val="20"/>
                <w:color w:val="auto"/>
              </w:rPr>
            </w:pPr>
            <w:r>
              <w:rPr>
                <w:rFonts w:ascii="Arial" w:cs="Arial" w:eastAsia="Arial" w:hAnsi="Arial"/>
                <w:sz w:val="14"/>
                <w:szCs w:val="14"/>
                <w:color w:val="auto"/>
              </w:rPr>
              <w:t>(62)</w:t>
            </w:r>
          </w:p>
        </w:tc>
        <w:tc>
          <w:tcPr>
            <w:tcW w:w="800" w:type="dxa"/>
            <w:vAlign w:val="bottom"/>
            <w:gridSpan w:val="2"/>
            <w:shd w:val="clear" w:color="auto" w:fill="E5E5E5"/>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Equity Contracts</w:t>
            </w: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1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w:t>
            </w: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gridSpan w:val="2"/>
            <w:shd w:val="clear" w:color="auto" w:fill="E5E5E5"/>
          </w:tcPr>
          <w:p>
            <w:pPr>
              <w:ind w:left="200"/>
              <w:spacing w:after="0" w:line="149" w:lineRule="exact"/>
              <w:rPr>
                <w:sz w:val="20"/>
                <w:szCs w:val="20"/>
                <w:color w:val="auto"/>
              </w:rPr>
            </w:pPr>
            <w:r>
              <w:rPr>
                <w:rFonts w:ascii="Arial" w:cs="Arial" w:eastAsia="Arial" w:hAnsi="Arial"/>
                <w:sz w:val="14"/>
                <w:szCs w:val="14"/>
                <w:color w:val="auto"/>
              </w:rPr>
              <w:t>Credit Contracts</w:t>
            </w:r>
          </w:p>
        </w:tc>
        <w:tc>
          <w:tcPr>
            <w:tcW w:w="100" w:type="dxa"/>
            <w:vAlign w:val="bottom"/>
            <w:shd w:val="clear" w:color="auto" w:fill="E5E5E5"/>
          </w:tcPr>
          <w:p>
            <w:pPr>
              <w:spacing w:after="0"/>
              <w:rPr>
                <w:sz w:val="12"/>
                <w:szCs w:val="12"/>
                <w:color w:val="auto"/>
              </w:rPr>
            </w:pPr>
          </w:p>
        </w:tc>
        <w:tc>
          <w:tcPr>
            <w:tcW w:w="100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1080" w:type="dxa"/>
            <w:vAlign w:val="bottom"/>
            <w:gridSpan w:val="2"/>
            <w:shd w:val="clear" w:color="auto" w:fill="E5E5E5"/>
          </w:tcPr>
          <w:p>
            <w:pPr>
              <w:jc w:val="right"/>
              <w:ind w:right="100"/>
              <w:spacing w:after="0" w:line="149" w:lineRule="exact"/>
              <w:rPr>
                <w:sz w:val="20"/>
                <w:szCs w:val="20"/>
                <w:color w:val="auto"/>
              </w:rPr>
            </w:pPr>
            <w:r>
              <w:rPr>
                <w:rFonts w:ascii="Arial" w:cs="Arial" w:eastAsia="Arial" w:hAnsi="Arial"/>
                <w:sz w:val="14"/>
                <w:szCs w:val="14"/>
                <w:color w:val="auto"/>
              </w:rPr>
              <w:t>(2)</w:t>
            </w:r>
          </w:p>
        </w:tc>
        <w:tc>
          <w:tcPr>
            <w:tcW w:w="2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1220" w:type="dxa"/>
            <w:vAlign w:val="bottom"/>
            <w:gridSpan w:val="2"/>
            <w:shd w:val="clear" w:color="auto" w:fill="E5E5E5"/>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5E5E5"/>
          </w:tcPr>
          <w:p>
            <w:pPr>
              <w:spacing w:after="0"/>
              <w:rPr>
                <w:sz w:val="12"/>
                <w:szCs w:val="12"/>
                <w:color w:val="auto"/>
              </w:rPr>
            </w:pPr>
          </w:p>
        </w:tc>
        <w:tc>
          <w:tcPr>
            <w:tcW w:w="1180" w:type="dxa"/>
            <w:vAlign w:val="bottom"/>
            <w:gridSpan w:val="2"/>
            <w:shd w:val="clear" w:color="auto" w:fill="E5E5E5"/>
          </w:tcPr>
          <w:p>
            <w:pPr>
              <w:jc w:val="right"/>
              <w:ind w:right="120"/>
              <w:spacing w:after="0" w:line="149" w:lineRule="exact"/>
              <w:rPr>
                <w:sz w:val="20"/>
                <w:szCs w:val="20"/>
                <w:color w:val="auto"/>
              </w:rPr>
            </w:pPr>
            <w:r>
              <w:rPr>
                <w:rFonts w:ascii="Arial" w:cs="Arial" w:eastAsia="Arial" w:hAnsi="Arial"/>
                <w:sz w:val="14"/>
                <w:szCs w:val="14"/>
                <w:color w:val="auto"/>
              </w:rPr>
              <w:t>(2)</w:t>
            </w:r>
          </w:p>
        </w:tc>
        <w:tc>
          <w:tcPr>
            <w:tcW w:w="800" w:type="dxa"/>
            <w:vAlign w:val="bottom"/>
            <w:gridSpan w:val="2"/>
            <w:shd w:val="clear" w:color="auto" w:fill="E5E5E5"/>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Other Contracts</w:t>
            </w: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1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w:t>
            </w: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60" w:type="dxa"/>
            <w:vAlign w:val="bottom"/>
            <w:gridSpan w:val="2"/>
            <w:shd w:val="clear" w:color="auto" w:fill="E5E5E5"/>
          </w:tcPr>
          <w:p>
            <w:pPr>
              <w:spacing w:after="0" w:line="149" w:lineRule="exact"/>
              <w:rPr>
                <w:sz w:val="20"/>
                <w:szCs w:val="20"/>
                <w:color w:val="auto"/>
              </w:rPr>
            </w:pPr>
            <w:r>
              <w:rPr>
                <w:rFonts w:ascii="Arial" w:cs="Arial" w:eastAsia="Arial" w:hAnsi="Arial"/>
                <w:sz w:val="14"/>
                <w:szCs w:val="14"/>
                <w:color w:val="auto"/>
              </w:rPr>
              <w:t>Total Derivatives</w:t>
            </w:r>
          </w:p>
        </w:tc>
        <w:tc>
          <w:tcPr>
            <w:tcW w:w="100" w:type="dxa"/>
            <w:vAlign w:val="bottom"/>
            <w:shd w:val="clear" w:color="auto" w:fill="E5E5E5"/>
          </w:tcPr>
          <w:p>
            <w:pPr>
              <w:spacing w:after="0"/>
              <w:rPr>
                <w:sz w:val="12"/>
                <w:szCs w:val="12"/>
                <w:color w:val="auto"/>
              </w:rPr>
            </w:pPr>
          </w:p>
        </w:tc>
        <w:tc>
          <w:tcPr>
            <w:tcW w:w="100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15</w:t>
            </w:r>
          </w:p>
        </w:tc>
        <w:tc>
          <w:tcPr>
            <w:tcW w:w="18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1080" w:type="dxa"/>
            <w:vAlign w:val="bottom"/>
            <w:gridSpan w:val="2"/>
            <w:shd w:val="clear" w:color="auto" w:fill="E5E5E5"/>
          </w:tcPr>
          <w:p>
            <w:pPr>
              <w:jc w:val="right"/>
              <w:ind w:right="100"/>
              <w:spacing w:after="0" w:line="149" w:lineRule="exact"/>
              <w:rPr>
                <w:sz w:val="20"/>
                <w:szCs w:val="20"/>
                <w:color w:val="auto"/>
              </w:rPr>
            </w:pPr>
            <w:r>
              <w:rPr>
                <w:rFonts w:ascii="Arial" w:cs="Arial" w:eastAsia="Arial" w:hAnsi="Arial"/>
                <w:sz w:val="14"/>
                <w:szCs w:val="14"/>
                <w:color w:val="auto"/>
              </w:rPr>
              <w:t>(57)</w:t>
            </w:r>
          </w:p>
        </w:tc>
        <w:tc>
          <w:tcPr>
            <w:tcW w:w="2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1220" w:type="dxa"/>
            <w:vAlign w:val="bottom"/>
            <w:gridSpan w:val="2"/>
            <w:shd w:val="clear" w:color="auto" w:fill="E5E5E5"/>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5E5E5"/>
          </w:tcPr>
          <w:p>
            <w:pPr>
              <w:spacing w:after="0"/>
              <w:rPr>
                <w:sz w:val="12"/>
                <w:szCs w:val="12"/>
                <w:color w:val="auto"/>
              </w:rPr>
            </w:pPr>
          </w:p>
        </w:tc>
        <w:tc>
          <w:tcPr>
            <w:tcW w:w="1180" w:type="dxa"/>
            <w:vAlign w:val="bottom"/>
            <w:gridSpan w:val="2"/>
            <w:shd w:val="clear" w:color="auto" w:fill="E5E5E5"/>
          </w:tcPr>
          <w:p>
            <w:pPr>
              <w:jc w:val="right"/>
              <w:ind w:right="120"/>
              <w:spacing w:after="0" w:line="149" w:lineRule="exact"/>
              <w:rPr>
                <w:sz w:val="20"/>
                <w:szCs w:val="20"/>
                <w:color w:val="auto"/>
              </w:rPr>
            </w:pPr>
            <w:r>
              <w:rPr>
                <w:rFonts w:ascii="Arial" w:cs="Arial" w:eastAsia="Arial" w:hAnsi="Arial"/>
                <w:sz w:val="14"/>
                <w:szCs w:val="14"/>
                <w:color w:val="auto"/>
              </w:rPr>
              <w:t>(42)</w:t>
            </w:r>
          </w:p>
        </w:tc>
        <w:tc>
          <w:tcPr>
            <w:tcW w:w="800" w:type="dxa"/>
            <w:vAlign w:val="bottom"/>
            <w:gridSpan w:val="2"/>
            <w:shd w:val="clear" w:color="auto" w:fill="E5E5E5"/>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5280" w:type="dxa"/>
            <w:vAlign w:val="bottom"/>
            <w:gridSpan w:val="3"/>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280" w:type="dxa"/>
            <w:vAlign w:val="bottom"/>
            <w:gridSpan w:val="3"/>
          </w:tcPr>
          <w:p>
            <w:pPr>
              <w:spacing w:after="0" w:line="155" w:lineRule="exact"/>
              <w:rPr>
                <w:sz w:val="20"/>
                <w:szCs w:val="20"/>
                <w:color w:val="auto"/>
              </w:rPr>
            </w:pPr>
            <w:r>
              <w:rPr>
                <w:rFonts w:ascii="Arial" w:cs="Arial" w:eastAsia="Arial" w:hAnsi="Arial"/>
                <w:sz w:val="14"/>
                <w:szCs w:val="14"/>
                <w:color w:val="auto"/>
              </w:rPr>
              <w:t>Hedge Funds</w:t>
            </w:r>
          </w:p>
        </w:tc>
        <w:tc>
          <w:tcPr>
            <w:tcW w:w="10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4</w:t>
            </w:r>
          </w:p>
        </w:tc>
        <w:tc>
          <w:tcPr>
            <w:tcW w:w="180" w:type="dxa"/>
            <w:vAlign w:val="bottom"/>
          </w:tcPr>
          <w:p>
            <w:pPr>
              <w:spacing w:after="0"/>
              <w:rPr>
                <w:sz w:val="13"/>
                <w:szCs w:val="13"/>
                <w:color w:val="auto"/>
              </w:rPr>
            </w:pPr>
          </w:p>
        </w:tc>
        <w:tc>
          <w:tcPr>
            <w:tcW w:w="118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4</w:t>
            </w:r>
          </w:p>
        </w:tc>
        <w:tc>
          <w:tcPr>
            <w:tcW w:w="8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gridSpan w:val="2"/>
            <w:shd w:val="clear" w:color="auto" w:fill="E5E5E5"/>
          </w:tcPr>
          <w:p>
            <w:pPr>
              <w:spacing w:after="0" w:line="149" w:lineRule="exact"/>
              <w:rPr>
                <w:sz w:val="20"/>
                <w:szCs w:val="20"/>
                <w:color w:val="auto"/>
              </w:rPr>
            </w:pPr>
            <w:r>
              <w:rPr>
                <w:rFonts w:ascii="Arial" w:cs="Arial" w:eastAsia="Arial" w:hAnsi="Arial"/>
                <w:sz w:val="14"/>
                <w:szCs w:val="14"/>
                <w:color w:val="auto"/>
              </w:rPr>
              <w:t>Real Estate</w:t>
            </w:r>
          </w:p>
        </w:tc>
        <w:tc>
          <w:tcPr>
            <w:tcW w:w="100" w:type="dxa"/>
            <w:vAlign w:val="bottom"/>
            <w:shd w:val="clear" w:color="auto" w:fill="E5E5E5"/>
          </w:tcPr>
          <w:p>
            <w:pPr>
              <w:spacing w:after="0"/>
              <w:rPr>
                <w:sz w:val="12"/>
                <w:szCs w:val="12"/>
                <w:color w:val="auto"/>
              </w:rPr>
            </w:pPr>
          </w:p>
        </w:tc>
        <w:tc>
          <w:tcPr>
            <w:tcW w:w="100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62</w:t>
            </w:r>
          </w:p>
        </w:tc>
        <w:tc>
          <w:tcPr>
            <w:tcW w:w="18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1080" w:type="dxa"/>
            <w:vAlign w:val="bottom"/>
            <w:gridSpan w:val="2"/>
            <w:shd w:val="clear" w:color="auto" w:fill="E5E5E5"/>
          </w:tcPr>
          <w:p>
            <w:pPr>
              <w:jc w:val="right"/>
              <w:ind w:right="160"/>
              <w:spacing w:after="0" w:line="149" w:lineRule="exact"/>
              <w:rPr>
                <w:sz w:val="20"/>
                <w:szCs w:val="20"/>
                <w:color w:val="auto"/>
              </w:rPr>
            </w:pPr>
            <w:r>
              <w:rPr>
                <w:rFonts w:ascii="Arial" w:cs="Arial" w:eastAsia="Arial" w:hAnsi="Arial"/>
                <w:sz w:val="14"/>
                <w:szCs w:val="14"/>
                <w:color w:val="auto"/>
              </w:rPr>
              <w:t>119</w:t>
            </w:r>
          </w:p>
        </w:tc>
        <w:tc>
          <w:tcPr>
            <w:tcW w:w="2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1220" w:type="dxa"/>
            <w:vAlign w:val="bottom"/>
            <w:gridSpan w:val="2"/>
            <w:shd w:val="clear" w:color="auto" w:fill="E5E5E5"/>
          </w:tcPr>
          <w:p>
            <w:pPr>
              <w:jc w:val="right"/>
              <w:ind w:right="180"/>
              <w:spacing w:after="0" w:line="149" w:lineRule="exact"/>
              <w:rPr>
                <w:sz w:val="20"/>
                <w:szCs w:val="20"/>
                <w:color w:val="auto"/>
              </w:rPr>
            </w:pPr>
            <w:r>
              <w:rPr>
                <w:rFonts w:ascii="Arial" w:cs="Arial" w:eastAsia="Arial" w:hAnsi="Arial"/>
                <w:sz w:val="14"/>
                <w:szCs w:val="14"/>
                <w:color w:val="auto"/>
              </w:rPr>
              <w:t>237</w:t>
            </w:r>
          </w:p>
        </w:tc>
        <w:tc>
          <w:tcPr>
            <w:tcW w:w="180" w:type="dxa"/>
            <w:vAlign w:val="bottom"/>
            <w:shd w:val="clear" w:color="auto" w:fill="E5E5E5"/>
          </w:tcPr>
          <w:p>
            <w:pPr>
              <w:spacing w:after="0"/>
              <w:rPr>
                <w:sz w:val="12"/>
                <w:szCs w:val="12"/>
                <w:color w:val="auto"/>
              </w:rPr>
            </w:pPr>
          </w:p>
        </w:tc>
        <w:tc>
          <w:tcPr>
            <w:tcW w:w="1180" w:type="dxa"/>
            <w:vAlign w:val="bottom"/>
            <w:gridSpan w:val="2"/>
            <w:shd w:val="clear" w:color="auto" w:fill="E5E5E5"/>
          </w:tcPr>
          <w:p>
            <w:pPr>
              <w:jc w:val="right"/>
              <w:ind w:right="180"/>
              <w:spacing w:after="0" w:line="149" w:lineRule="exact"/>
              <w:rPr>
                <w:sz w:val="20"/>
                <w:szCs w:val="20"/>
                <w:color w:val="auto"/>
              </w:rPr>
            </w:pPr>
            <w:r>
              <w:rPr>
                <w:rFonts w:ascii="Arial" w:cs="Arial" w:eastAsia="Arial" w:hAnsi="Arial"/>
                <w:sz w:val="14"/>
                <w:szCs w:val="14"/>
                <w:color w:val="auto"/>
              </w:rPr>
              <w:t>418</w:t>
            </w:r>
          </w:p>
        </w:tc>
        <w:tc>
          <w:tcPr>
            <w:tcW w:w="800" w:type="dxa"/>
            <w:vAlign w:val="bottom"/>
            <w:gridSpan w:val="2"/>
            <w:shd w:val="clear" w:color="auto" w:fill="E5E5E5"/>
          </w:tcPr>
          <w:p>
            <w:pPr>
              <w:jc w:val="right"/>
              <w:ind w:right="8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gridSpan w:val="2"/>
          </w:tcPr>
          <w:p>
            <w:pPr>
              <w:spacing w:after="0" w:line="149" w:lineRule="exact"/>
              <w:rPr>
                <w:sz w:val="20"/>
                <w:szCs w:val="20"/>
                <w:color w:val="auto"/>
              </w:rPr>
            </w:pPr>
            <w:r>
              <w:rPr>
                <w:rFonts w:ascii="Arial" w:cs="Arial" w:eastAsia="Arial" w:hAnsi="Arial"/>
                <w:sz w:val="14"/>
                <w:szCs w:val="14"/>
                <w:color w:val="auto"/>
              </w:rPr>
              <w:t>Private Equity/Venture Capital</w:t>
            </w: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286</w:t>
            </w:r>
          </w:p>
        </w:tc>
        <w:tc>
          <w:tcPr>
            <w:tcW w:w="180" w:type="dxa"/>
            <w:vAlign w:val="bottom"/>
          </w:tcPr>
          <w:p>
            <w:pPr>
              <w:spacing w:after="0"/>
              <w:rPr>
                <w:sz w:val="12"/>
                <w:szCs w:val="12"/>
                <w:color w:val="auto"/>
              </w:rPr>
            </w:pPr>
          </w:p>
        </w:tc>
        <w:tc>
          <w:tcPr>
            <w:tcW w:w="11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286</w:t>
            </w: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gridSpan w:val="2"/>
            <w:shd w:val="clear" w:color="auto" w:fill="E5E5E5"/>
          </w:tcPr>
          <w:p>
            <w:pPr>
              <w:spacing w:after="0" w:line="149" w:lineRule="exact"/>
              <w:rPr>
                <w:sz w:val="20"/>
                <w:szCs w:val="20"/>
                <w:color w:val="auto"/>
              </w:rPr>
            </w:pPr>
            <w:r>
              <w:rPr>
                <w:rFonts w:ascii="Arial" w:cs="Arial" w:eastAsia="Arial" w:hAnsi="Arial"/>
                <w:sz w:val="14"/>
                <w:szCs w:val="14"/>
                <w:color w:val="auto"/>
              </w:rPr>
              <w:t>Guaranteed Insurance Contracts</w:t>
            </w:r>
          </w:p>
        </w:tc>
        <w:tc>
          <w:tcPr>
            <w:tcW w:w="100" w:type="dxa"/>
            <w:vAlign w:val="bottom"/>
            <w:shd w:val="clear" w:color="auto" w:fill="E5E5E5"/>
          </w:tcPr>
          <w:p>
            <w:pPr>
              <w:spacing w:after="0"/>
              <w:rPr>
                <w:sz w:val="12"/>
                <w:szCs w:val="12"/>
                <w:color w:val="auto"/>
              </w:rPr>
            </w:pPr>
          </w:p>
        </w:tc>
        <w:tc>
          <w:tcPr>
            <w:tcW w:w="100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1080" w:type="dxa"/>
            <w:vAlign w:val="bottom"/>
            <w:gridSpan w:val="2"/>
            <w:shd w:val="clear" w:color="auto" w:fill="E5E5E5"/>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1220" w:type="dxa"/>
            <w:vAlign w:val="bottom"/>
            <w:gridSpan w:val="2"/>
            <w:shd w:val="clear" w:color="auto" w:fill="E5E5E5"/>
          </w:tcPr>
          <w:p>
            <w:pPr>
              <w:jc w:val="right"/>
              <w:ind w:right="180"/>
              <w:spacing w:after="0" w:line="149" w:lineRule="exact"/>
              <w:rPr>
                <w:sz w:val="20"/>
                <w:szCs w:val="20"/>
                <w:color w:val="auto"/>
              </w:rPr>
            </w:pPr>
            <w:r>
              <w:rPr>
                <w:rFonts w:ascii="Arial" w:cs="Arial" w:eastAsia="Arial" w:hAnsi="Arial"/>
                <w:sz w:val="14"/>
                <w:szCs w:val="14"/>
                <w:color w:val="auto"/>
              </w:rPr>
              <w:t>130</w:t>
            </w:r>
          </w:p>
        </w:tc>
        <w:tc>
          <w:tcPr>
            <w:tcW w:w="180" w:type="dxa"/>
            <w:vAlign w:val="bottom"/>
            <w:shd w:val="clear" w:color="auto" w:fill="E5E5E5"/>
          </w:tcPr>
          <w:p>
            <w:pPr>
              <w:spacing w:after="0"/>
              <w:rPr>
                <w:sz w:val="12"/>
                <w:szCs w:val="12"/>
                <w:color w:val="auto"/>
              </w:rPr>
            </w:pPr>
          </w:p>
        </w:tc>
        <w:tc>
          <w:tcPr>
            <w:tcW w:w="1180" w:type="dxa"/>
            <w:vAlign w:val="bottom"/>
            <w:gridSpan w:val="2"/>
            <w:shd w:val="clear" w:color="auto" w:fill="E5E5E5"/>
          </w:tcPr>
          <w:p>
            <w:pPr>
              <w:jc w:val="right"/>
              <w:ind w:right="180"/>
              <w:spacing w:after="0" w:line="149" w:lineRule="exact"/>
              <w:rPr>
                <w:sz w:val="20"/>
                <w:szCs w:val="20"/>
                <w:color w:val="auto"/>
              </w:rPr>
            </w:pPr>
            <w:r>
              <w:rPr>
                <w:rFonts w:ascii="Arial" w:cs="Arial" w:eastAsia="Arial" w:hAnsi="Arial"/>
                <w:sz w:val="14"/>
                <w:szCs w:val="14"/>
                <w:color w:val="auto"/>
              </w:rPr>
              <w:t>130</w:t>
            </w:r>
          </w:p>
        </w:tc>
        <w:tc>
          <w:tcPr>
            <w:tcW w:w="800" w:type="dxa"/>
            <w:vAlign w:val="bottom"/>
            <w:gridSpan w:val="2"/>
            <w:shd w:val="clear" w:color="auto" w:fill="E5E5E5"/>
          </w:tcPr>
          <w:p>
            <w:pPr>
              <w:jc w:val="right"/>
              <w:ind w:right="8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260" w:type="dxa"/>
            <w:vAlign w:val="bottom"/>
            <w:gridSpan w:val="2"/>
          </w:tcPr>
          <w:p>
            <w:pPr>
              <w:spacing w:after="0" w:line="127" w:lineRule="exact"/>
              <w:rPr>
                <w:sz w:val="20"/>
                <w:szCs w:val="20"/>
                <w:color w:val="auto"/>
              </w:rPr>
            </w:pPr>
            <w:r>
              <w:rPr>
                <w:rFonts w:ascii="Arial" w:cs="Arial" w:eastAsia="Arial" w:hAnsi="Arial"/>
                <w:sz w:val="14"/>
                <w:szCs w:val="14"/>
                <w:color w:val="auto"/>
              </w:rPr>
              <w:t>Other</w:t>
            </w:r>
          </w:p>
        </w:tc>
        <w:tc>
          <w:tcPr>
            <w:tcW w:w="100" w:type="dxa"/>
            <w:vAlign w:val="bottom"/>
          </w:tcPr>
          <w:p>
            <w:pPr>
              <w:spacing w:after="0"/>
              <w:rPr>
                <w:sz w:val="11"/>
                <w:szCs w:val="11"/>
                <w:color w:val="auto"/>
              </w:rPr>
            </w:pPr>
          </w:p>
        </w:tc>
        <w:tc>
          <w:tcPr>
            <w:tcW w:w="1000" w:type="dxa"/>
            <w:vAlign w:val="bottom"/>
          </w:tcPr>
          <w:p>
            <w:pPr>
              <w:jc w:val="right"/>
              <w:spacing w:after="0" w:line="127" w:lineRule="exact"/>
              <w:rPr>
                <w:sz w:val="20"/>
                <w:szCs w:val="20"/>
                <w:color w:val="auto"/>
              </w:rPr>
            </w:pPr>
            <w:r>
              <w:rPr>
                <w:rFonts w:ascii="Arial" w:cs="Arial" w:eastAsia="Arial" w:hAnsi="Arial"/>
                <w:sz w:val="14"/>
                <w:szCs w:val="14"/>
                <w:color w:val="auto"/>
              </w:rPr>
              <w:t>8</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2"/>
          </w:tcPr>
          <w:p>
            <w:pPr>
              <w:jc w:val="right"/>
              <w:ind w:right="160"/>
              <w:spacing w:after="0" w:line="127" w:lineRule="exact"/>
              <w:rPr>
                <w:sz w:val="20"/>
                <w:szCs w:val="20"/>
                <w:color w:val="auto"/>
              </w:rPr>
            </w:pPr>
            <w:r>
              <w:rPr>
                <w:rFonts w:ascii="Arial" w:cs="Arial" w:eastAsia="Arial" w:hAnsi="Arial"/>
                <w:sz w:val="14"/>
                <w:szCs w:val="14"/>
                <w:color w:val="auto"/>
              </w:rPr>
              <w:t>9</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jc w:val="right"/>
              <w:ind w:right="180"/>
              <w:spacing w:after="0" w:line="12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1180" w:type="dxa"/>
            <w:vAlign w:val="bottom"/>
            <w:gridSpan w:val="2"/>
          </w:tcPr>
          <w:p>
            <w:pPr>
              <w:jc w:val="right"/>
              <w:ind w:right="180"/>
              <w:spacing w:after="0" w:line="127" w:lineRule="exact"/>
              <w:rPr>
                <w:sz w:val="20"/>
                <w:szCs w:val="20"/>
                <w:color w:val="auto"/>
              </w:rPr>
            </w:pPr>
            <w:r>
              <w:rPr>
                <w:rFonts w:ascii="Arial" w:cs="Arial" w:eastAsia="Arial" w:hAnsi="Arial"/>
                <w:sz w:val="14"/>
                <w:szCs w:val="14"/>
                <w:color w:val="auto"/>
              </w:rPr>
              <w:t>17</w:t>
            </w:r>
          </w:p>
        </w:tc>
        <w:tc>
          <w:tcPr>
            <w:tcW w:w="800" w:type="dxa"/>
            <w:vAlign w:val="bottom"/>
            <w:gridSpan w:val="2"/>
          </w:tcPr>
          <w:p>
            <w:pPr>
              <w:jc w:val="right"/>
              <w:ind w:right="80"/>
              <w:spacing w:after="0" w:line="12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60" w:type="dxa"/>
            <w:vAlign w:val="bottom"/>
            <w:gridSpan w:val="2"/>
            <w:vMerge w:val="restart"/>
          </w:tcPr>
          <w:p>
            <w:pPr>
              <w:spacing w:after="0" w:line="197" w:lineRule="exact"/>
              <w:rPr>
                <w:sz w:val="20"/>
                <w:szCs w:val="20"/>
                <w:color w:val="auto"/>
              </w:rPr>
            </w:pPr>
            <w:r>
              <w:rPr>
                <w:rFonts w:ascii="Arial" w:cs="Arial" w:eastAsia="Arial" w:hAnsi="Arial"/>
                <w:sz w:val="14"/>
                <w:szCs w:val="14"/>
                <w:b w:val="1"/>
                <w:bCs w:val="1"/>
                <w:color w:val="auto"/>
              </w:rPr>
              <w:t>Total Defined Benefit Plans Assets</w:t>
            </w:r>
            <w:r>
              <w:rPr>
                <w:rFonts w:ascii="Arial" w:cs="Arial" w:eastAsia="Arial" w:hAnsi="Arial"/>
                <w:sz w:val="22"/>
                <w:szCs w:val="22"/>
                <w:b w:val="1"/>
                <w:bCs w:val="1"/>
                <w:color w:val="auto"/>
                <w:vertAlign w:val="superscript"/>
              </w:rPr>
              <w:t>(1)</w:t>
            </w: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60" w:type="dxa"/>
            <w:vAlign w:val="bottom"/>
            <w:gridSpan w:val="2"/>
            <w:vMerge w:val="continue"/>
          </w:tcPr>
          <w:p>
            <w:pPr>
              <w:spacing w:after="0"/>
              <w:rPr>
                <w:sz w:val="13"/>
                <w:szCs w:val="13"/>
                <w:color w:val="auto"/>
              </w:rPr>
            </w:pP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3,593</w:t>
            </w:r>
          </w:p>
        </w:tc>
        <w:tc>
          <w:tcPr>
            <w:tcW w:w="360" w:type="dxa"/>
            <w:vAlign w:val="bottom"/>
            <w:gridSpan w:val="2"/>
          </w:tcPr>
          <w:p>
            <w:pPr>
              <w:ind w:left="180"/>
              <w:spacing w:after="0" w:line="155"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3,282</w:t>
            </w:r>
          </w:p>
        </w:tc>
        <w:tc>
          <w:tcPr>
            <w:tcW w:w="22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657</w:t>
            </w:r>
          </w:p>
        </w:tc>
        <w:tc>
          <w:tcPr>
            <w:tcW w:w="18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7,532</w:t>
            </w:r>
          </w:p>
        </w:tc>
        <w:tc>
          <w:tcPr>
            <w:tcW w:w="8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946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1" w:lineRule="exact"/>
        <w:rPr>
          <w:sz w:val="20"/>
          <w:szCs w:val="20"/>
          <w:color w:val="auto"/>
        </w:rPr>
      </w:pPr>
    </w:p>
    <w:p>
      <w:pPr>
        <w:ind w:left="340" w:hanging="332"/>
        <w:spacing w:after="0"/>
        <w:tabs>
          <w:tab w:leader="none" w:pos="340" w:val="left"/>
        </w:tabs>
        <w:numPr>
          <w:ilvl w:val="0"/>
          <w:numId w:val="170"/>
        </w:numPr>
        <w:rPr>
          <w:rFonts w:ascii="Arial" w:cs="Arial" w:eastAsia="Arial" w:hAnsi="Arial"/>
          <w:sz w:val="14"/>
          <w:szCs w:val="14"/>
          <w:color w:val="auto"/>
        </w:rPr>
      </w:pPr>
      <w:r>
        <w:rPr>
          <w:rFonts w:ascii="Arial" w:cs="Arial" w:eastAsia="Arial" w:hAnsi="Arial"/>
          <w:sz w:val="14"/>
          <w:szCs w:val="14"/>
          <w:color w:val="auto"/>
        </w:rPr>
        <w:t>Total fair value assets exclude $29 of other net non-financial assets (liabilities) such as due to/from broker, interest receivables and accrued expenses.</w:t>
      </w:r>
    </w:p>
    <w:p>
      <w:pPr>
        <w:spacing w:after="0" w:line="136" w:lineRule="exact"/>
        <w:rPr>
          <w:sz w:val="20"/>
          <w:szCs w:val="20"/>
          <w:color w:val="auto"/>
        </w:rPr>
      </w:pPr>
    </w:p>
    <w:p>
      <w:pPr>
        <w:ind w:left="9600"/>
        <w:spacing w:after="0"/>
        <w:rPr>
          <w:sz w:val="20"/>
          <w:szCs w:val="20"/>
          <w:color w:val="auto"/>
        </w:rPr>
      </w:pPr>
      <w:r>
        <w:rPr>
          <w:rFonts w:ascii="Arial" w:cs="Arial" w:eastAsia="Arial" w:hAnsi="Arial"/>
          <w:sz w:val="12"/>
          <w:szCs w:val="12"/>
          <w:color w:val="4C9F40"/>
        </w:rPr>
        <w:t>Xerox 2010 Annual Report 86</w:t>
      </w:r>
    </w:p>
    <w:p>
      <w:pPr>
        <w:sectPr>
          <w:pgSz w:w="11900" w:h="16838" w:orient="portrait"/>
          <w:cols w:equalWidth="0" w:num="1">
            <w:col w:w="11420"/>
          </w:cols>
          <w:pgMar w:left="240" w:top="345" w:right="239" w:bottom="1440" w:gutter="0" w:footer="0" w:header="0"/>
        </w:sectPr>
      </w:pPr>
    </w:p>
    <w:bookmarkStart w:id="163" w:name="page164"/>
    <w:bookmarkEnd w:id="16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following table represents a roll-forward of the defined benefit plans assets measured using significant unobservable inputs (Level 3 assets):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320" w:type="dxa"/>
            <w:vAlign w:val="bottom"/>
            <w:tcBorders>
              <w:bottom w:val="single" w:sz="8" w:color="auto"/>
            </w:tcBorders>
            <w:gridSpan w:val="24"/>
          </w:tcPr>
          <w:p>
            <w:pPr>
              <w:jc w:val="right"/>
              <w:spacing w:after="0"/>
              <w:rPr>
                <w:sz w:val="20"/>
                <w:szCs w:val="20"/>
                <w:color w:val="auto"/>
              </w:rPr>
            </w:pPr>
            <w:r>
              <w:rPr>
                <w:rFonts w:ascii="Arial" w:cs="Arial" w:eastAsia="Arial" w:hAnsi="Arial"/>
                <w:sz w:val="14"/>
                <w:szCs w:val="14"/>
                <w:color w:val="auto"/>
                <w:w w:val="98"/>
              </w:rPr>
              <w:t>Fair Value Measurement Using Significant Unobservable Inputs (Level</w:t>
            </w:r>
          </w:p>
        </w:tc>
        <w:tc>
          <w:tcPr>
            <w:tcW w:w="520" w:type="dxa"/>
            <w:vAlign w:val="bottom"/>
            <w:tcBorders>
              <w:bottom w:val="single" w:sz="8" w:color="auto"/>
            </w:tcBorders>
            <w:gridSpan w:val="3"/>
          </w:tcPr>
          <w:p>
            <w:pPr>
              <w:jc w:val="right"/>
              <w:ind w:right="254"/>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3"/>
          </w:tcPr>
          <w:p>
            <w:pPr>
              <w:jc w:val="center"/>
              <w:ind w:right="280"/>
              <w:spacing w:after="0" w:line="141" w:lineRule="exact"/>
              <w:rPr>
                <w:sz w:val="20"/>
                <w:szCs w:val="20"/>
                <w:color w:val="auto"/>
              </w:rPr>
            </w:pPr>
            <w:r>
              <w:rPr>
                <w:rFonts w:ascii="Arial" w:cs="Arial" w:eastAsia="Arial" w:hAnsi="Arial"/>
                <w:sz w:val="14"/>
                <w:szCs w:val="14"/>
                <w:color w:val="auto"/>
                <w:w w:val="96"/>
              </w:rPr>
              <w:t>Private</w:t>
            </w:r>
          </w:p>
        </w:tc>
        <w:tc>
          <w:tcPr>
            <w:tcW w:w="100" w:type="dxa"/>
            <w:vAlign w:val="bottom"/>
          </w:tcPr>
          <w:p>
            <w:pPr>
              <w:spacing w:after="0"/>
              <w:rPr>
                <w:sz w:val="12"/>
                <w:szCs w:val="12"/>
                <w:color w:val="auto"/>
              </w:rPr>
            </w:pPr>
          </w:p>
        </w:tc>
        <w:tc>
          <w:tcPr>
            <w:tcW w:w="780" w:type="dxa"/>
            <w:vAlign w:val="bottom"/>
            <w:gridSpan w:val="4"/>
          </w:tcPr>
          <w:p>
            <w:pPr>
              <w:jc w:val="center"/>
              <w:ind w:right="60"/>
              <w:spacing w:after="0" w:line="141" w:lineRule="exact"/>
              <w:rPr>
                <w:sz w:val="20"/>
                <w:szCs w:val="20"/>
                <w:color w:val="auto"/>
              </w:rPr>
            </w:pPr>
            <w:r>
              <w:rPr>
                <w:rFonts w:ascii="Arial" w:cs="Arial" w:eastAsia="Arial" w:hAnsi="Arial"/>
                <w:sz w:val="14"/>
                <w:szCs w:val="14"/>
                <w:color w:val="auto"/>
                <w:w w:val="97"/>
              </w:rPr>
              <w:t>Guaranteed</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5"/>
          </w:tcPr>
          <w:p>
            <w:pPr>
              <w:jc w:val="center"/>
              <w:ind w:right="80"/>
              <w:spacing w:after="0" w:line="149" w:lineRule="exact"/>
              <w:rPr>
                <w:sz w:val="20"/>
                <w:szCs w:val="20"/>
                <w:color w:val="auto"/>
              </w:rPr>
            </w:pPr>
            <w:r>
              <w:rPr>
                <w:rFonts w:ascii="Arial" w:cs="Arial" w:eastAsia="Arial" w:hAnsi="Arial"/>
                <w:sz w:val="14"/>
                <w:szCs w:val="14"/>
                <w:color w:val="auto"/>
                <w:w w:val="95"/>
              </w:rPr>
              <w:t>Equity/Venture</w:t>
            </w:r>
          </w:p>
        </w:tc>
        <w:tc>
          <w:tcPr>
            <w:tcW w:w="100" w:type="dxa"/>
            <w:vAlign w:val="bottom"/>
          </w:tcPr>
          <w:p>
            <w:pPr>
              <w:spacing w:after="0"/>
              <w:rPr>
                <w:sz w:val="12"/>
                <w:szCs w:val="12"/>
                <w:color w:val="auto"/>
              </w:rPr>
            </w:pPr>
          </w:p>
        </w:tc>
        <w:tc>
          <w:tcPr>
            <w:tcW w:w="780" w:type="dxa"/>
            <w:vAlign w:val="bottom"/>
            <w:gridSpan w:val="4"/>
          </w:tcPr>
          <w:p>
            <w:pPr>
              <w:jc w:val="center"/>
              <w:ind w:right="60"/>
              <w:spacing w:after="0" w:line="149" w:lineRule="exact"/>
              <w:rPr>
                <w:sz w:val="20"/>
                <w:szCs w:val="20"/>
                <w:color w:val="auto"/>
              </w:rPr>
            </w:pPr>
            <w:r>
              <w:rPr>
                <w:rFonts w:ascii="Arial" w:cs="Arial" w:eastAsia="Arial" w:hAnsi="Arial"/>
                <w:sz w:val="14"/>
                <w:szCs w:val="14"/>
                <w:color w:val="auto"/>
                <w:w w:val="97"/>
              </w:rPr>
              <w:t>Insurance</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Arial" w:cs="Arial" w:eastAsia="Arial" w:hAnsi="Arial"/>
                <w:sz w:val="14"/>
                <w:szCs w:val="14"/>
                <w:color w:val="auto"/>
                <w:w w:val="92"/>
              </w:rPr>
              <w:t>Hedge Funds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4"/>
          </w:tcPr>
          <w:p>
            <w:pPr>
              <w:spacing w:after="0" w:line="149" w:lineRule="exact"/>
              <w:rPr>
                <w:sz w:val="20"/>
                <w:szCs w:val="20"/>
                <w:color w:val="auto"/>
              </w:rPr>
            </w:pPr>
            <w:r>
              <w:rPr>
                <w:rFonts w:ascii="Arial" w:cs="Arial" w:eastAsia="Arial" w:hAnsi="Arial"/>
                <w:sz w:val="14"/>
                <w:szCs w:val="14"/>
                <w:color w:val="auto"/>
              </w:rPr>
              <w:t>Real Estate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96"/>
              </w:rPr>
              <w:t>Capital</w:t>
            </w:r>
          </w:p>
        </w:tc>
        <w:tc>
          <w:tcPr>
            <w:tcW w:w="100" w:type="dxa"/>
            <w:vAlign w:val="bottom"/>
          </w:tcPr>
          <w:p>
            <w:pPr>
              <w:spacing w:after="0"/>
              <w:rPr>
                <w:sz w:val="12"/>
                <w:szCs w:val="12"/>
                <w:color w:val="auto"/>
              </w:rPr>
            </w:pPr>
          </w:p>
        </w:tc>
        <w:tc>
          <w:tcPr>
            <w:tcW w:w="780" w:type="dxa"/>
            <w:vAlign w:val="bottom"/>
            <w:gridSpan w:val="4"/>
          </w:tcPr>
          <w:p>
            <w:pPr>
              <w:jc w:val="center"/>
              <w:ind w:right="80"/>
              <w:spacing w:after="0" w:line="149" w:lineRule="exact"/>
              <w:rPr>
                <w:sz w:val="20"/>
                <w:szCs w:val="20"/>
                <w:color w:val="auto"/>
              </w:rPr>
            </w:pPr>
            <w:r>
              <w:rPr>
                <w:rFonts w:ascii="Arial" w:cs="Arial" w:eastAsia="Arial" w:hAnsi="Arial"/>
                <w:sz w:val="14"/>
                <w:szCs w:val="14"/>
                <w:color w:val="auto"/>
                <w:w w:val="96"/>
              </w:rPr>
              <w:t>Contracts</w:t>
            </w:r>
          </w:p>
        </w:tc>
        <w:tc>
          <w:tcPr>
            <w:tcW w:w="140" w:type="dxa"/>
            <w:vAlign w:val="bottom"/>
          </w:tcPr>
          <w:p>
            <w:pPr>
              <w:spacing w:after="0"/>
              <w:rPr>
                <w:sz w:val="12"/>
                <w:szCs w:val="12"/>
                <w:color w:val="auto"/>
              </w:rPr>
            </w:pPr>
          </w:p>
        </w:tc>
        <w:tc>
          <w:tcPr>
            <w:tcW w:w="580" w:type="dxa"/>
            <w:vAlign w:val="bottom"/>
            <w:gridSpan w:val="5"/>
          </w:tcPr>
          <w:p>
            <w:pPr>
              <w:jc w:val="right"/>
              <w:ind w:right="220"/>
              <w:spacing w:after="0" w:line="149" w:lineRule="exact"/>
              <w:rPr>
                <w:sz w:val="20"/>
                <w:szCs w:val="20"/>
                <w:color w:val="auto"/>
              </w:rPr>
            </w:pPr>
            <w:r>
              <w:rPr>
                <w:rFonts w:ascii="Arial" w:cs="Arial" w:eastAsia="Arial" w:hAnsi="Arial"/>
                <w:sz w:val="14"/>
                <w:szCs w:val="14"/>
                <w:color w:val="auto"/>
                <w:w w:val="96"/>
              </w:rPr>
              <w:t>Other</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83"/>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260" w:type="dxa"/>
            <w:vAlign w:val="bottom"/>
            <w:gridSpan w:val="2"/>
            <w:shd w:val="clear" w:color="auto" w:fill="E5E5E5"/>
          </w:tcPr>
          <w:p>
            <w:pPr>
              <w:spacing w:after="0" w:line="196" w:lineRule="exact"/>
              <w:rPr>
                <w:sz w:val="20"/>
                <w:szCs w:val="20"/>
                <w:color w:val="auto"/>
              </w:rPr>
            </w:pPr>
            <w:r>
              <w:rPr>
                <w:rFonts w:ascii="Arial" w:cs="Arial" w:eastAsia="Arial" w:hAnsi="Arial"/>
                <w:sz w:val="18"/>
                <w:szCs w:val="18"/>
                <w:b w:val="1"/>
                <w:bCs w:val="1"/>
                <w:color w:val="auto"/>
              </w:rPr>
              <w:t>December 31, 2008</w:t>
            </w:r>
          </w:p>
        </w:tc>
        <w:tc>
          <w:tcPr>
            <w:tcW w:w="200" w:type="dxa"/>
            <w:vAlign w:val="bottom"/>
            <w:gridSpan w:val="2"/>
            <w:shd w:val="clear" w:color="auto" w:fill="E5E5E5"/>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E5E5E5"/>
          </w:tcPr>
          <w:p>
            <w:pPr>
              <w:jc w:val="right"/>
              <w:ind w:right="100"/>
              <w:spacing w:after="0" w:line="196" w:lineRule="exact"/>
              <w:rPr>
                <w:sz w:val="20"/>
                <w:szCs w:val="20"/>
                <w:color w:val="auto"/>
              </w:rPr>
            </w:pPr>
            <w:r>
              <w:rPr>
                <w:rFonts w:ascii="Arial" w:cs="Arial" w:eastAsia="Arial" w:hAnsi="Arial"/>
                <w:sz w:val="18"/>
                <w:szCs w:val="18"/>
                <w:color w:val="auto"/>
              </w:rPr>
              <w:t>3</w:t>
            </w:r>
          </w:p>
        </w:tc>
        <w:tc>
          <w:tcPr>
            <w:tcW w:w="320" w:type="dxa"/>
            <w:vAlign w:val="bottom"/>
            <w:gridSpan w:val="2"/>
            <w:shd w:val="clear" w:color="auto" w:fill="E5E5E5"/>
          </w:tcPr>
          <w:p>
            <w:pPr>
              <w:ind w:left="100"/>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E5E5E5"/>
          </w:tcPr>
          <w:p>
            <w:pPr>
              <w:spacing w:after="0"/>
              <w:rPr>
                <w:sz w:val="17"/>
                <w:szCs w:val="17"/>
                <w:color w:val="auto"/>
              </w:rPr>
            </w:pPr>
          </w:p>
        </w:tc>
        <w:tc>
          <w:tcPr>
            <w:tcW w:w="34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rPr>
              <w:t>279</w:t>
            </w:r>
          </w:p>
        </w:tc>
        <w:tc>
          <w:tcPr>
            <w:tcW w:w="60" w:type="dxa"/>
            <w:vAlign w:val="bottom"/>
            <w:shd w:val="clear" w:color="auto" w:fill="E5E5E5"/>
          </w:tcPr>
          <w:p>
            <w:pPr>
              <w:spacing w:after="0"/>
              <w:rPr>
                <w:sz w:val="17"/>
                <w:szCs w:val="17"/>
                <w:color w:val="auto"/>
              </w:rPr>
            </w:pPr>
          </w:p>
        </w:tc>
        <w:tc>
          <w:tcPr>
            <w:tcW w:w="260" w:type="dxa"/>
            <w:vAlign w:val="bottom"/>
            <w:gridSpan w:val="2"/>
            <w:shd w:val="clear" w:color="auto" w:fill="E5E5E5"/>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shd w:val="clear" w:color="auto" w:fill="E5E5E5"/>
          </w:tcPr>
          <w:p>
            <w:pPr>
              <w:spacing w:after="0"/>
              <w:rPr>
                <w:sz w:val="17"/>
                <w:szCs w:val="17"/>
                <w:color w:val="auto"/>
              </w:rPr>
            </w:pPr>
          </w:p>
        </w:tc>
        <w:tc>
          <w:tcPr>
            <w:tcW w:w="720" w:type="dxa"/>
            <w:vAlign w:val="bottom"/>
            <w:gridSpan w:val="2"/>
            <w:shd w:val="clear" w:color="auto" w:fill="E5E5E5"/>
          </w:tcPr>
          <w:p>
            <w:pPr>
              <w:jc w:val="right"/>
              <w:spacing w:after="0" w:line="196" w:lineRule="exact"/>
              <w:rPr>
                <w:sz w:val="20"/>
                <w:szCs w:val="20"/>
                <w:color w:val="auto"/>
              </w:rPr>
            </w:pPr>
            <w:r>
              <w:rPr>
                <w:rFonts w:ascii="Arial" w:cs="Arial" w:eastAsia="Arial" w:hAnsi="Arial"/>
                <w:sz w:val="18"/>
                <w:szCs w:val="18"/>
                <w:color w:val="auto"/>
              </w:rPr>
              <w:t>331</w:t>
            </w:r>
          </w:p>
        </w:tc>
        <w:tc>
          <w:tcPr>
            <w:tcW w:w="100" w:type="dxa"/>
            <w:vAlign w:val="bottom"/>
            <w:shd w:val="clear" w:color="auto" w:fill="E5E5E5"/>
          </w:tcPr>
          <w:p>
            <w:pPr>
              <w:spacing w:after="0"/>
              <w:rPr>
                <w:sz w:val="17"/>
                <w:szCs w:val="17"/>
                <w:color w:val="auto"/>
              </w:rPr>
            </w:pPr>
          </w:p>
        </w:tc>
        <w:tc>
          <w:tcPr>
            <w:tcW w:w="280" w:type="dxa"/>
            <w:vAlign w:val="bottom"/>
            <w:gridSpan w:val="2"/>
            <w:shd w:val="clear" w:color="auto" w:fill="E5E5E5"/>
          </w:tcPr>
          <w:p>
            <w:pPr>
              <w:jc w:val="center"/>
              <w:spacing w:after="0" w:line="196" w:lineRule="exact"/>
              <w:rPr>
                <w:sz w:val="20"/>
                <w:szCs w:val="20"/>
                <w:color w:val="auto"/>
              </w:rPr>
            </w:pPr>
            <w:r>
              <w:rPr>
                <w:rFonts w:ascii="Arial" w:cs="Arial" w:eastAsia="Arial" w:hAnsi="Arial"/>
                <w:sz w:val="18"/>
                <w:szCs w:val="18"/>
                <w:color w:val="auto"/>
                <w:w w:val="99"/>
              </w:rPr>
              <w:t>$</w:t>
            </w:r>
          </w:p>
        </w:tc>
        <w:tc>
          <w:tcPr>
            <w:tcW w:w="200" w:type="dxa"/>
            <w:vAlign w:val="bottom"/>
            <w:shd w:val="clear" w:color="auto" w:fill="E5E5E5"/>
          </w:tcPr>
          <w:p>
            <w:pPr>
              <w:spacing w:after="0"/>
              <w:rPr>
                <w:sz w:val="17"/>
                <w:szCs w:val="17"/>
                <w:color w:val="auto"/>
              </w:rPr>
            </w:pPr>
          </w:p>
        </w:tc>
        <w:tc>
          <w:tcPr>
            <w:tcW w:w="34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rPr>
              <w:t>104</w:t>
            </w:r>
          </w:p>
        </w:tc>
        <w:tc>
          <w:tcPr>
            <w:tcW w:w="60" w:type="dxa"/>
            <w:vAlign w:val="bottom"/>
            <w:shd w:val="clear" w:color="auto" w:fill="E5E5E5"/>
          </w:tcPr>
          <w:p>
            <w:pPr>
              <w:spacing w:after="0"/>
              <w:rPr>
                <w:sz w:val="17"/>
                <w:szCs w:val="17"/>
                <w:color w:val="auto"/>
              </w:rPr>
            </w:pPr>
          </w:p>
        </w:tc>
        <w:tc>
          <w:tcPr>
            <w:tcW w:w="320" w:type="dxa"/>
            <w:vAlign w:val="bottom"/>
            <w:gridSpan w:val="2"/>
            <w:shd w:val="clear" w:color="auto" w:fill="E5E5E5"/>
          </w:tcPr>
          <w:p>
            <w:pPr>
              <w:jc w:val="right"/>
              <w:ind w:right="2"/>
              <w:spacing w:after="0" w:line="196" w:lineRule="exact"/>
              <w:rPr>
                <w:sz w:val="20"/>
                <w:szCs w:val="20"/>
                <w:color w:val="auto"/>
              </w:rPr>
            </w:pPr>
            <w:r>
              <w:rPr>
                <w:rFonts w:ascii="Arial" w:cs="Arial" w:eastAsia="Arial" w:hAnsi="Arial"/>
                <w:sz w:val="18"/>
                <w:szCs w:val="18"/>
                <w:color w:val="auto"/>
              </w:rPr>
              <w:t>$</w:t>
            </w:r>
          </w:p>
        </w:tc>
        <w:tc>
          <w:tcPr>
            <w:tcW w:w="20" w:type="dxa"/>
            <w:vAlign w:val="bottom"/>
            <w:shd w:val="clear" w:color="auto" w:fill="E5E5E5"/>
          </w:tcPr>
          <w:p>
            <w:pPr>
              <w:spacing w:after="0"/>
              <w:rPr>
                <w:sz w:val="17"/>
                <w:szCs w:val="17"/>
                <w:color w:val="auto"/>
              </w:rPr>
            </w:pPr>
          </w:p>
        </w:tc>
        <w:tc>
          <w:tcPr>
            <w:tcW w:w="380" w:type="dxa"/>
            <w:vAlign w:val="bottom"/>
            <w:gridSpan w:val="3"/>
            <w:shd w:val="clear" w:color="auto" w:fill="E5E5E5"/>
          </w:tcPr>
          <w:p>
            <w:pPr>
              <w:jc w:val="right"/>
              <w:ind w:right="200"/>
              <w:spacing w:after="0" w:line="196" w:lineRule="exact"/>
              <w:rPr>
                <w:sz w:val="20"/>
                <w:szCs w:val="20"/>
                <w:color w:val="auto"/>
              </w:rPr>
            </w:pPr>
            <w:r>
              <w:rPr>
                <w:rFonts w:ascii="Arial" w:cs="Arial" w:eastAsia="Arial" w:hAnsi="Arial"/>
                <w:sz w:val="18"/>
                <w:szCs w:val="18"/>
                <w:color w:val="auto"/>
                <w:w w:val="88"/>
              </w:rPr>
              <w:t>—</w:t>
            </w:r>
          </w:p>
        </w:tc>
        <w:tc>
          <w:tcPr>
            <w:tcW w:w="120" w:type="dxa"/>
            <w:vAlign w:val="bottom"/>
            <w:gridSpan w:val="2"/>
            <w:shd w:val="clear" w:color="auto" w:fill="E5E5E5"/>
          </w:tcPr>
          <w:p>
            <w:pPr>
              <w:jc w:val="right"/>
              <w:ind w:right="20"/>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rPr>
              <w:t>717</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gridSpan w:val="3"/>
          </w:tcPr>
          <w:p>
            <w:pPr>
              <w:spacing w:after="0" w:line="202" w:lineRule="exact"/>
              <w:rPr>
                <w:sz w:val="20"/>
                <w:szCs w:val="20"/>
                <w:color w:val="auto"/>
              </w:rPr>
            </w:pPr>
            <w:r>
              <w:rPr>
                <w:rFonts w:ascii="Arial" w:cs="Arial" w:eastAsia="Arial" w:hAnsi="Arial"/>
                <w:sz w:val="18"/>
                <w:szCs w:val="18"/>
                <w:color w:val="auto"/>
              </w:rPr>
              <w:t>Net payments, purchases and sales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Net transfers in (out)</w:t>
            </w:r>
          </w:p>
        </w:tc>
        <w:tc>
          <w:tcPr>
            <w:tcW w:w="2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7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40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6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3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16</w:t>
            </w:r>
          </w:p>
        </w:tc>
        <w:tc>
          <w:tcPr>
            <w:tcW w:w="6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380" w:type="dxa"/>
            <w:vAlign w:val="bottom"/>
            <w:gridSpan w:val="3"/>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w w:val="88"/>
              </w:rPr>
              <w:t>—</w:t>
            </w:r>
          </w:p>
        </w:tc>
        <w:tc>
          <w:tcPr>
            <w:tcW w:w="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5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3"/>
        </w:trPr>
        <w:tc>
          <w:tcPr>
            <w:tcW w:w="6280" w:type="dxa"/>
            <w:vAlign w:val="bottom"/>
            <w:gridSpan w:val="3"/>
          </w:tcPr>
          <w:p>
            <w:pPr>
              <w:spacing w:after="0" w:line="202" w:lineRule="exact"/>
              <w:rPr>
                <w:sz w:val="20"/>
                <w:szCs w:val="20"/>
                <w:color w:val="auto"/>
              </w:rPr>
            </w:pPr>
            <w:r>
              <w:rPr>
                <w:rFonts w:ascii="Arial" w:cs="Arial" w:eastAsia="Arial" w:hAnsi="Arial"/>
                <w:sz w:val="18"/>
                <w:szCs w:val="18"/>
                <w:color w:val="auto"/>
              </w:rPr>
              <w:t>Realized gains (losses)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w w:val="99"/>
              </w:rPr>
              <w:t>(1)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Unrealized gains (losses)</w:t>
            </w:r>
          </w:p>
        </w:tc>
        <w:tc>
          <w:tcPr>
            <w:tcW w:w="2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7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40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(66)</w:t>
            </w:r>
          </w:p>
        </w:tc>
        <w:tc>
          <w:tcPr>
            <w:tcW w:w="14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820" w:type="dxa"/>
            <w:vAlign w:val="bottom"/>
            <w:gridSpan w:val="3"/>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(69)</w:t>
            </w:r>
          </w:p>
        </w:tc>
        <w:tc>
          <w:tcPr>
            <w:tcW w:w="10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40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2</w:t>
            </w:r>
          </w:p>
        </w:tc>
        <w:tc>
          <w:tcPr>
            <w:tcW w:w="14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380" w:type="dxa"/>
            <w:vAlign w:val="bottom"/>
            <w:gridSpan w:val="3"/>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1</w:t>
            </w:r>
          </w:p>
        </w:tc>
        <w:tc>
          <w:tcPr>
            <w:tcW w:w="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50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3"/>
        </w:trPr>
        <w:tc>
          <w:tcPr>
            <w:tcW w:w="6280" w:type="dxa"/>
            <w:vAlign w:val="bottom"/>
            <w:gridSpan w:val="3"/>
          </w:tcPr>
          <w:p>
            <w:pPr>
              <w:spacing w:after="0" w:line="202" w:lineRule="exact"/>
              <w:rPr>
                <w:sz w:val="20"/>
                <w:szCs w:val="20"/>
                <w:color w:val="auto"/>
              </w:rPr>
            </w:pPr>
            <w:r>
              <w:rPr>
                <w:rFonts w:ascii="Arial" w:cs="Arial" w:eastAsia="Arial" w:hAnsi="Arial"/>
                <w:sz w:val="18"/>
                <w:szCs w:val="18"/>
                <w:color w:val="auto"/>
              </w:rPr>
              <w:t>Currency translation</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0" w:type="dxa"/>
            <w:vAlign w:val="bottom"/>
          </w:tcPr>
          <w:p>
            <w:pPr>
              <w:spacing w:after="0"/>
              <w:rPr>
                <w:sz w:val="2"/>
                <w:szCs w:val="2"/>
                <w:color w:val="auto"/>
              </w:rPr>
            </w:pPr>
          </w:p>
        </w:tc>
        <w:tc>
          <w:tcPr>
            <w:tcW w:w="5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6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December 31, 2009</w:t>
            </w:r>
          </w:p>
        </w:tc>
        <w:tc>
          <w:tcPr>
            <w:tcW w:w="2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6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4</w:t>
            </w:r>
          </w:p>
        </w:tc>
        <w:tc>
          <w:tcPr>
            <w:tcW w:w="1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3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237</w:t>
            </w:r>
          </w:p>
        </w:tc>
        <w:tc>
          <w:tcPr>
            <w:tcW w:w="6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72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286</w:t>
            </w:r>
          </w:p>
        </w:tc>
        <w:tc>
          <w:tcPr>
            <w:tcW w:w="1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3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130</w:t>
            </w:r>
          </w:p>
        </w:tc>
        <w:tc>
          <w:tcPr>
            <w:tcW w:w="6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380" w:type="dxa"/>
            <w:vAlign w:val="bottom"/>
            <w:gridSpan w:val="3"/>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w w:val="88"/>
              </w:rPr>
              <w:t>—</w:t>
            </w:r>
          </w:p>
        </w:tc>
        <w:tc>
          <w:tcPr>
            <w:tcW w:w="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4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657</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6280" w:type="dxa"/>
            <w:vAlign w:val="bottom"/>
            <w:gridSpan w:val="3"/>
          </w:tcPr>
          <w:p>
            <w:pPr>
              <w:spacing w:after="0"/>
              <w:rPr>
                <w:sz w:val="20"/>
                <w:szCs w:val="20"/>
                <w:color w:val="auto"/>
              </w:rPr>
            </w:pPr>
            <w:r>
              <w:rPr>
                <w:rFonts w:ascii="Arial" w:cs="Arial" w:eastAsia="Arial" w:hAnsi="Arial"/>
                <w:sz w:val="18"/>
                <w:szCs w:val="18"/>
                <w:color w:val="auto"/>
              </w:rPr>
              <w:t>Net payments, purchases and sales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gridSpan w:val="3"/>
          </w:tcPr>
          <w:p>
            <w:pPr>
              <w:jc w:val="right"/>
              <w:ind w:right="20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Net transfers in (out)</w:t>
            </w:r>
          </w:p>
        </w:tc>
        <w:tc>
          <w:tcPr>
            <w:tcW w:w="2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7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40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6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40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1</w:t>
            </w:r>
          </w:p>
        </w:tc>
        <w:tc>
          <w:tcPr>
            <w:tcW w:w="14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380" w:type="dxa"/>
            <w:vAlign w:val="bottom"/>
            <w:gridSpan w:val="3"/>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w w:val="88"/>
              </w:rPr>
              <w:t>—</w:t>
            </w:r>
          </w:p>
        </w:tc>
        <w:tc>
          <w:tcPr>
            <w:tcW w:w="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5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6280" w:type="dxa"/>
            <w:vAlign w:val="bottom"/>
            <w:gridSpan w:val="3"/>
          </w:tcPr>
          <w:p>
            <w:pPr>
              <w:spacing w:after="0" w:line="202" w:lineRule="exact"/>
              <w:rPr>
                <w:sz w:val="20"/>
                <w:szCs w:val="20"/>
                <w:color w:val="auto"/>
              </w:rPr>
            </w:pPr>
            <w:r>
              <w:rPr>
                <w:rFonts w:ascii="Arial" w:cs="Arial" w:eastAsia="Arial" w:hAnsi="Arial"/>
                <w:sz w:val="18"/>
                <w:szCs w:val="18"/>
                <w:color w:val="auto"/>
              </w:rPr>
              <w:t>Realized gains (losses)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Unrealized gains (losses)</w:t>
            </w:r>
          </w:p>
        </w:tc>
        <w:tc>
          <w:tcPr>
            <w:tcW w:w="2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7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40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22</w:t>
            </w:r>
          </w:p>
        </w:tc>
        <w:tc>
          <w:tcPr>
            <w:tcW w:w="14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6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40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(2)</w:t>
            </w:r>
          </w:p>
        </w:tc>
        <w:tc>
          <w:tcPr>
            <w:tcW w:w="14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380" w:type="dxa"/>
            <w:vAlign w:val="bottom"/>
            <w:gridSpan w:val="3"/>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w w:val="88"/>
              </w:rPr>
              <w:t>—</w:t>
            </w:r>
          </w:p>
        </w:tc>
        <w:tc>
          <w:tcPr>
            <w:tcW w:w="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5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3"/>
        </w:trPr>
        <w:tc>
          <w:tcPr>
            <w:tcW w:w="6280" w:type="dxa"/>
            <w:vAlign w:val="bottom"/>
            <w:gridSpan w:val="3"/>
          </w:tcPr>
          <w:p>
            <w:pPr>
              <w:spacing w:after="0" w:line="202" w:lineRule="exact"/>
              <w:rPr>
                <w:sz w:val="20"/>
                <w:szCs w:val="20"/>
                <w:color w:val="auto"/>
              </w:rPr>
            </w:pPr>
            <w:r>
              <w:rPr>
                <w:rFonts w:ascii="Arial" w:cs="Arial" w:eastAsia="Arial" w:hAnsi="Arial"/>
                <w:sz w:val="18"/>
                <w:szCs w:val="18"/>
                <w:color w:val="auto"/>
              </w:rPr>
              <w:t>Currency translation</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Other</w:t>
            </w:r>
          </w:p>
        </w:tc>
        <w:tc>
          <w:tcPr>
            <w:tcW w:w="2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6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40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10</w:t>
            </w:r>
          </w:p>
        </w:tc>
        <w:tc>
          <w:tcPr>
            <w:tcW w:w="14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820" w:type="dxa"/>
            <w:vAlign w:val="bottom"/>
            <w:gridSpan w:val="3"/>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w:t>
            </w:r>
          </w:p>
        </w:tc>
        <w:tc>
          <w:tcPr>
            <w:tcW w:w="10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40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(9)</w:t>
            </w:r>
          </w:p>
        </w:tc>
        <w:tc>
          <w:tcPr>
            <w:tcW w:w="14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380" w:type="dxa"/>
            <w:vAlign w:val="bottom"/>
            <w:gridSpan w:val="3"/>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w w:val="99"/>
              </w:rPr>
              <w:t>(1)</w:t>
            </w:r>
          </w:p>
        </w:tc>
        <w:tc>
          <w:tcPr>
            <w:tcW w:w="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5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62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December 31, 2010</w:t>
            </w: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gridSpan w:val="3"/>
            <w:vMerge w:val="continue"/>
          </w:tcPr>
          <w:p>
            <w:pPr>
              <w:spacing w:after="0"/>
              <w:rPr>
                <w:sz w:val="18"/>
                <w:szCs w:val="18"/>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275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307</w:t>
            </w:r>
          </w:p>
        </w:tc>
        <w:tc>
          <w:tcPr>
            <w:tcW w:w="2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97</w:t>
            </w:r>
          </w:p>
        </w:tc>
        <w:tc>
          <w:tcPr>
            <w:tcW w:w="60" w:type="dxa"/>
            <w:vAlign w:val="bottom"/>
          </w:tcPr>
          <w:p>
            <w:pPr>
              <w:spacing w:after="0"/>
              <w:rPr>
                <w:sz w:val="18"/>
                <w:szCs w:val="18"/>
                <w:color w:val="auto"/>
              </w:rPr>
            </w:pPr>
          </w:p>
        </w:tc>
        <w:tc>
          <w:tcPr>
            <w:tcW w:w="320" w:type="dxa"/>
            <w:vAlign w:val="bottom"/>
            <w:gridSpan w:val="2"/>
          </w:tcPr>
          <w:p>
            <w:pPr>
              <w:jc w:val="right"/>
              <w:ind w:right="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80" w:type="dxa"/>
            <w:vAlign w:val="bottom"/>
            <w:gridSpan w:val="3"/>
          </w:tcPr>
          <w:p>
            <w:pPr>
              <w:jc w:val="right"/>
              <w:ind w:right="140"/>
              <w:spacing w:after="0"/>
              <w:rPr>
                <w:sz w:val="20"/>
                <w:szCs w:val="20"/>
                <w:color w:val="auto"/>
              </w:rPr>
            </w:pPr>
            <w:r>
              <w:rPr>
                <w:rFonts w:ascii="Arial" w:cs="Arial" w:eastAsia="Arial" w:hAnsi="Arial"/>
                <w:sz w:val="18"/>
                <w:szCs w:val="18"/>
                <w:color w:val="auto"/>
                <w:w w:val="99"/>
              </w:rPr>
              <w:t>(1)</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7200" w:type="dxa"/>
            <w:vAlign w:val="bottom"/>
            <w:gridSpan w:val="7"/>
          </w:tcPr>
          <w:p>
            <w:pPr>
              <w:spacing w:after="0"/>
              <w:rPr>
                <w:sz w:val="20"/>
                <w:szCs w:val="20"/>
                <w:color w:val="auto"/>
              </w:rPr>
            </w:pPr>
            <w:r>
              <w:rPr>
                <w:rFonts w:ascii="Arial" w:cs="Arial" w:eastAsia="Arial" w:hAnsi="Arial"/>
                <w:sz w:val="18"/>
                <w:szCs w:val="18"/>
                <w:color w:val="auto"/>
              </w:rPr>
              <w:t>Our pension plan assets and benefit obligations at December 31, 2010 were as follows:</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gridSpan w:val="6"/>
          </w:tcPr>
          <w:p>
            <w:pPr>
              <w:ind w:left="20"/>
              <w:spacing w:after="0"/>
              <w:rPr>
                <w:sz w:val="20"/>
                <w:szCs w:val="20"/>
                <w:color w:val="auto"/>
              </w:rPr>
            </w:pPr>
            <w:r>
              <w:rPr>
                <w:rFonts w:ascii="Arial" w:cs="Arial" w:eastAsia="Arial" w:hAnsi="Arial"/>
                <w:sz w:val="14"/>
                <w:szCs w:val="14"/>
                <w:color w:val="auto"/>
              </w:rPr>
              <w:t>Fair Value of</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6"/>
          </w:tcPr>
          <w:p>
            <w:pPr>
              <w:spacing w:after="0" w:line="149" w:lineRule="exact"/>
              <w:rPr>
                <w:sz w:val="20"/>
                <w:szCs w:val="20"/>
                <w:color w:val="auto"/>
              </w:rPr>
            </w:pPr>
            <w:r>
              <w:rPr>
                <w:rFonts w:ascii="Arial" w:cs="Arial" w:eastAsia="Arial" w:hAnsi="Arial"/>
                <w:sz w:val="14"/>
                <w:szCs w:val="14"/>
                <w:color w:val="auto"/>
              </w:rPr>
              <w:t>Pension Plan</w:t>
            </w:r>
          </w:p>
        </w:tc>
        <w:tc>
          <w:tcPr>
            <w:tcW w:w="140" w:type="dxa"/>
            <w:vAlign w:val="bottom"/>
          </w:tcPr>
          <w:p>
            <w:pPr>
              <w:spacing w:after="0"/>
              <w:rPr>
                <w:sz w:val="12"/>
                <w:szCs w:val="12"/>
                <w:color w:val="auto"/>
              </w:rPr>
            </w:pPr>
          </w:p>
        </w:tc>
        <w:tc>
          <w:tcPr>
            <w:tcW w:w="1160" w:type="dxa"/>
            <w:vAlign w:val="bottom"/>
            <w:gridSpan w:val="5"/>
          </w:tcPr>
          <w:p>
            <w:pPr>
              <w:spacing w:after="0" w:line="149" w:lineRule="exact"/>
              <w:rPr>
                <w:sz w:val="20"/>
                <w:szCs w:val="20"/>
                <w:color w:val="auto"/>
              </w:rPr>
            </w:pPr>
            <w:r>
              <w:rPr>
                <w:rFonts w:ascii="Arial" w:cs="Arial" w:eastAsia="Arial" w:hAnsi="Arial"/>
                <w:sz w:val="14"/>
                <w:szCs w:val="14"/>
                <w:color w:val="auto"/>
              </w:rPr>
              <w:t>Pension Benefit</w:t>
            </w:r>
          </w:p>
        </w:tc>
        <w:tc>
          <w:tcPr>
            <w:tcW w:w="740" w:type="dxa"/>
            <w:vAlign w:val="bottom"/>
            <w:gridSpan w:val="5"/>
          </w:tcPr>
          <w:p>
            <w:pPr>
              <w:spacing w:after="0" w:line="149" w:lineRule="exact"/>
              <w:rPr>
                <w:sz w:val="20"/>
                <w:szCs w:val="20"/>
                <w:color w:val="auto"/>
              </w:rPr>
            </w:pPr>
            <w:r>
              <w:rPr>
                <w:rFonts w:ascii="Arial" w:cs="Arial" w:eastAsia="Arial" w:hAnsi="Arial"/>
                <w:sz w:val="14"/>
                <w:szCs w:val="14"/>
                <w:color w:val="auto"/>
                <w:w w:val="98"/>
              </w:rPr>
              <w:t>Net Funded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gridSpan w:val="3"/>
          </w:tcPr>
          <w:p>
            <w:pPr>
              <w:spacing w:after="0" w:line="149" w:lineRule="exact"/>
              <w:rPr>
                <w:sz w:val="20"/>
                <w:szCs w:val="20"/>
                <w:color w:val="auto"/>
              </w:rPr>
            </w:pPr>
            <w:r>
              <w:rPr>
                <w:rFonts w:ascii="Arial" w:cs="Arial" w:eastAsia="Arial" w:hAnsi="Arial"/>
                <w:sz w:val="14"/>
                <w:szCs w:val="14"/>
                <w:color w:val="auto"/>
              </w:rPr>
              <w:t>(in billions)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5"/>
          </w:tcPr>
          <w:p>
            <w:pPr>
              <w:ind w:left="60"/>
              <w:spacing w:after="0" w:line="149" w:lineRule="exact"/>
              <w:rPr>
                <w:sz w:val="20"/>
                <w:szCs w:val="20"/>
                <w:color w:val="auto"/>
              </w:rPr>
            </w:pPr>
            <w:r>
              <w:rPr>
                <w:rFonts w:ascii="Arial" w:cs="Arial" w:eastAsia="Arial" w:hAnsi="Arial"/>
                <w:sz w:val="14"/>
                <w:szCs w:val="14"/>
                <w:color w:val="auto"/>
              </w:rPr>
              <w:t>Assets</w:t>
            </w:r>
          </w:p>
        </w:tc>
        <w:tc>
          <w:tcPr>
            <w:tcW w:w="140" w:type="dxa"/>
            <w:vAlign w:val="bottom"/>
          </w:tcPr>
          <w:p>
            <w:pPr>
              <w:spacing w:after="0"/>
              <w:rPr>
                <w:sz w:val="12"/>
                <w:szCs w:val="12"/>
                <w:color w:val="auto"/>
              </w:rPr>
            </w:pPr>
          </w:p>
        </w:tc>
        <w:tc>
          <w:tcPr>
            <w:tcW w:w="1160" w:type="dxa"/>
            <w:vAlign w:val="bottom"/>
            <w:gridSpan w:val="5"/>
          </w:tcPr>
          <w:p>
            <w:pPr>
              <w:ind w:left="140"/>
              <w:spacing w:after="0" w:line="149" w:lineRule="exact"/>
              <w:rPr>
                <w:sz w:val="20"/>
                <w:szCs w:val="20"/>
                <w:color w:val="auto"/>
              </w:rPr>
            </w:pPr>
            <w:r>
              <w:rPr>
                <w:rFonts w:ascii="Arial" w:cs="Arial" w:eastAsia="Arial" w:hAnsi="Arial"/>
                <w:sz w:val="14"/>
                <w:szCs w:val="14"/>
                <w:color w:val="auto"/>
              </w:rPr>
              <w:t>Obligations</w:t>
            </w:r>
          </w:p>
        </w:tc>
        <w:tc>
          <w:tcPr>
            <w:tcW w:w="740" w:type="dxa"/>
            <w:vAlign w:val="bottom"/>
            <w:gridSpan w:val="5"/>
          </w:tcPr>
          <w:p>
            <w:pPr>
              <w:ind w:left="160"/>
              <w:spacing w:after="0" w:line="149" w:lineRule="exact"/>
              <w:rPr>
                <w:sz w:val="20"/>
                <w:szCs w:val="20"/>
                <w:color w:val="auto"/>
              </w:rPr>
            </w:pPr>
            <w:r>
              <w:rPr>
                <w:rFonts w:ascii="Arial" w:cs="Arial" w:eastAsia="Arial" w:hAnsi="Arial"/>
                <w:sz w:val="14"/>
                <w:szCs w:val="14"/>
                <w:color w:val="auto"/>
              </w:rPr>
              <w:t>Status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shd w:val="clear" w:color="auto" w:fill="E5E5E5"/>
          </w:tcPr>
          <w:p>
            <w:pPr>
              <w:spacing w:after="0" w:line="196" w:lineRule="exact"/>
              <w:rPr>
                <w:sz w:val="20"/>
                <w:szCs w:val="20"/>
                <w:color w:val="auto"/>
              </w:rPr>
            </w:pPr>
            <w:r>
              <w:rPr>
                <w:rFonts w:ascii="Arial" w:cs="Arial" w:eastAsia="Arial" w:hAnsi="Arial"/>
                <w:sz w:val="18"/>
                <w:szCs w:val="18"/>
                <w:color w:val="auto"/>
              </w:rPr>
              <w:t>U.S.</w:t>
            </w:r>
          </w:p>
        </w:tc>
        <w:tc>
          <w:tcPr>
            <w:tcW w:w="566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460" w:type="dxa"/>
            <w:vAlign w:val="bottom"/>
            <w:gridSpan w:val="3"/>
            <w:shd w:val="clear" w:color="auto" w:fill="E5E5E5"/>
          </w:tcPr>
          <w:p>
            <w:pPr>
              <w:ind w:left="320"/>
              <w:spacing w:after="0" w:line="196" w:lineRule="exact"/>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320" w:type="dxa"/>
            <w:vAlign w:val="bottom"/>
            <w:gridSpan w:val="3"/>
            <w:shd w:val="clear" w:color="auto" w:fill="E5E5E5"/>
          </w:tcPr>
          <w:p>
            <w:pPr>
              <w:jc w:val="right"/>
              <w:ind w:right="60"/>
              <w:spacing w:after="0" w:line="196" w:lineRule="exact"/>
              <w:rPr>
                <w:sz w:val="20"/>
                <w:szCs w:val="20"/>
                <w:color w:val="auto"/>
              </w:rPr>
            </w:pPr>
            <w:r>
              <w:rPr>
                <w:rFonts w:ascii="Arial" w:cs="Arial" w:eastAsia="Arial" w:hAnsi="Arial"/>
                <w:sz w:val="18"/>
                <w:szCs w:val="18"/>
                <w:color w:val="auto"/>
                <w:w w:val="95"/>
              </w:rPr>
              <w:t>3.2</w:t>
            </w:r>
          </w:p>
        </w:tc>
        <w:tc>
          <w:tcPr>
            <w:tcW w:w="720" w:type="dxa"/>
            <w:vAlign w:val="bottom"/>
            <w:gridSpan w:val="2"/>
            <w:shd w:val="clear" w:color="auto" w:fill="E5E5E5"/>
          </w:tcPr>
          <w:p>
            <w:pPr>
              <w:ind w:left="140"/>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E5E5E5"/>
          </w:tcPr>
          <w:p>
            <w:pPr>
              <w:spacing w:after="0"/>
              <w:rPr>
                <w:sz w:val="17"/>
                <w:szCs w:val="17"/>
                <w:color w:val="auto"/>
              </w:rPr>
            </w:pPr>
          </w:p>
        </w:tc>
        <w:tc>
          <w:tcPr>
            <w:tcW w:w="480" w:type="dxa"/>
            <w:vAlign w:val="bottom"/>
            <w:gridSpan w:val="3"/>
            <w:shd w:val="clear" w:color="auto" w:fill="E5E5E5"/>
          </w:tcPr>
          <w:p>
            <w:pPr>
              <w:jc w:val="center"/>
              <w:ind w:right="160"/>
              <w:spacing w:after="0" w:line="196" w:lineRule="exact"/>
              <w:rPr>
                <w:sz w:val="20"/>
                <w:szCs w:val="20"/>
                <w:color w:val="auto"/>
              </w:rPr>
            </w:pPr>
            <w:r>
              <w:rPr>
                <w:rFonts w:ascii="Arial" w:cs="Arial" w:eastAsia="Arial" w:hAnsi="Arial"/>
                <w:sz w:val="18"/>
                <w:szCs w:val="18"/>
                <w:color w:val="auto"/>
                <w:w w:val="95"/>
              </w:rPr>
              <w:t>4.4</w:t>
            </w:r>
          </w:p>
        </w:tc>
        <w:tc>
          <w:tcPr>
            <w:tcW w:w="340" w:type="dxa"/>
            <w:vAlign w:val="bottom"/>
            <w:shd w:val="clear" w:color="auto" w:fill="E5E5E5"/>
          </w:tcPr>
          <w:p>
            <w:pPr>
              <w:spacing w:after="0" w:line="196" w:lineRule="exact"/>
              <w:rPr>
                <w:sz w:val="20"/>
                <w:szCs w:val="20"/>
                <w:color w:val="auto"/>
              </w:rPr>
            </w:pPr>
            <w:r>
              <w:rPr>
                <w:rFonts w:ascii="Arial" w:cs="Arial" w:eastAsia="Arial" w:hAnsi="Arial"/>
                <w:sz w:val="18"/>
                <w:szCs w:val="18"/>
                <w:color w:val="auto"/>
              </w:rPr>
              <w:t>$</w:t>
            </w:r>
          </w:p>
        </w:tc>
        <w:tc>
          <w:tcPr>
            <w:tcW w:w="60" w:type="dxa"/>
            <w:vAlign w:val="bottom"/>
            <w:shd w:val="clear" w:color="auto" w:fill="E5E5E5"/>
          </w:tcPr>
          <w:p>
            <w:pPr>
              <w:spacing w:after="0"/>
              <w:rPr>
                <w:sz w:val="17"/>
                <w:szCs w:val="17"/>
                <w:color w:val="auto"/>
              </w:rPr>
            </w:pPr>
          </w:p>
        </w:tc>
        <w:tc>
          <w:tcPr>
            <w:tcW w:w="420" w:type="dxa"/>
            <w:vAlign w:val="bottom"/>
            <w:gridSpan w:val="4"/>
            <w:shd w:val="clear" w:color="auto" w:fill="E5E5E5"/>
          </w:tcPr>
          <w:p>
            <w:pPr>
              <w:jc w:val="right"/>
              <w:spacing w:after="0" w:line="196" w:lineRule="exact"/>
              <w:rPr>
                <w:sz w:val="20"/>
                <w:szCs w:val="20"/>
                <w:color w:val="auto"/>
              </w:rPr>
            </w:pPr>
            <w:r>
              <w:rPr>
                <w:rFonts w:ascii="Arial" w:cs="Arial" w:eastAsia="Arial" w:hAnsi="Arial"/>
                <w:sz w:val="18"/>
                <w:szCs w:val="18"/>
                <w:color w:val="auto"/>
                <w:w w:val="97"/>
              </w:rPr>
              <w:t>(1.2)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gridSpan w:val="3"/>
          </w:tcPr>
          <w:p>
            <w:pPr>
              <w:spacing w:after="0" w:line="202" w:lineRule="exact"/>
              <w:rPr>
                <w:sz w:val="20"/>
                <w:szCs w:val="20"/>
                <w:color w:val="auto"/>
              </w:rPr>
            </w:pPr>
            <w:r>
              <w:rPr>
                <w:rFonts w:ascii="Arial" w:cs="Arial" w:eastAsia="Arial" w:hAnsi="Arial"/>
                <w:sz w:val="18"/>
                <w:szCs w:val="18"/>
                <w:color w:val="auto"/>
              </w:rPr>
              <w:t>U.K.</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w w:val="95"/>
              </w:rPr>
              <w:t>2.9</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3"/>
          </w:tcPr>
          <w:p>
            <w:pPr>
              <w:jc w:val="center"/>
              <w:ind w:right="160"/>
              <w:spacing w:after="0" w:line="202" w:lineRule="exact"/>
              <w:rPr>
                <w:sz w:val="20"/>
                <w:szCs w:val="20"/>
                <w:color w:val="auto"/>
              </w:rPr>
            </w:pPr>
            <w:r>
              <w:rPr>
                <w:rFonts w:ascii="Arial" w:cs="Arial" w:eastAsia="Arial" w:hAnsi="Arial"/>
                <w:sz w:val="18"/>
                <w:szCs w:val="18"/>
                <w:color w:val="auto"/>
                <w:w w:val="95"/>
              </w:rPr>
              <w:t>2.9</w:t>
            </w: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Canada</w:t>
            </w:r>
          </w:p>
        </w:tc>
        <w:tc>
          <w:tcPr>
            <w:tcW w:w="2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320" w:type="dxa"/>
            <w:vAlign w:val="bottom"/>
            <w:gridSpan w:val="3"/>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w w:val="95"/>
              </w:rPr>
              <w:t>0.6</w:t>
            </w:r>
          </w:p>
        </w:tc>
        <w:tc>
          <w:tcPr>
            <w:tcW w:w="14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480" w:type="dxa"/>
            <w:vAlign w:val="bottom"/>
            <w:gridSpan w:val="3"/>
            <w:shd w:val="clear" w:color="auto" w:fill="E5E5E5"/>
          </w:tcPr>
          <w:p>
            <w:pPr>
              <w:jc w:val="center"/>
              <w:ind w:right="160"/>
              <w:spacing w:after="0" w:line="202" w:lineRule="exact"/>
              <w:rPr>
                <w:sz w:val="20"/>
                <w:szCs w:val="20"/>
                <w:color w:val="auto"/>
              </w:rPr>
            </w:pPr>
            <w:r>
              <w:rPr>
                <w:rFonts w:ascii="Arial" w:cs="Arial" w:eastAsia="Arial" w:hAnsi="Arial"/>
                <w:sz w:val="18"/>
                <w:szCs w:val="18"/>
                <w:color w:val="auto"/>
                <w:w w:val="95"/>
              </w:rPr>
              <w:t>0.8</w:t>
            </w:r>
          </w:p>
        </w:tc>
        <w:tc>
          <w:tcPr>
            <w:tcW w:w="34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420" w:type="dxa"/>
            <w:vAlign w:val="bottom"/>
            <w:gridSpan w:val="4"/>
            <w:shd w:val="clear" w:color="auto" w:fill="E5E5E5"/>
          </w:tcPr>
          <w:p>
            <w:pPr>
              <w:jc w:val="right"/>
              <w:spacing w:after="0" w:line="202" w:lineRule="exact"/>
              <w:rPr>
                <w:sz w:val="20"/>
                <w:szCs w:val="20"/>
                <w:color w:val="auto"/>
              </w:rPr>
            </w:pPr>
            <w:r>
              <w:rPr>
                <w:rFonts w:ascii="Arial" w:cs="Arial" w:eastAsia="Arial" w:hAnsi="Arial"/>
                <w:sz w:val="18"/>
                <w:szCs w:val="18"/>
                <w:color w:val="auto"/>
                <w:w w:val="97"/>
              </w:rPr>
              <w:t>(0.2)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gridSpan w:val="3"/>
          </w:tcPr>
          <w:p>
            <w:pPr>
              <w:spacing w:after="0" w:line="202" w:lineRule="exact"/>
              <w:rPr>
                <w:sz w:val="20"/>
                <w:szCs w:val="20"/>
                <w:color w:val="auto"/>
              </w:rPr>
            </w:pPr>
            <w:r>
              <w:rPr>
                <w:rFonts w:ascii="Arial" w:cs="Arial" w:eastAsia="Arial" w:hAnsi="Arial"/>
                <w:sz w:val="18"/>
                <w:szCs w:val="18"/>
                <w:color w:val="auto"/>
              </w:rPr>
              <w:t>Other</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5"/>
              </w:rPr>
              <w:t>1.2</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5"/>
              </w:rPr>
              <w:t>1.6</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gridSpan w:val="4"/>
          </w:tcPr>
          <w:p>
            <w:pPr>
              <w:jc w:val="right"/>
              <w:spacing w:after="0" w:line="202" w:lineRule="exact"/>
              <w:rPr>
                <w:sz w:val="20"/>
                <w:szCs w:val="20"/>
                <w:color w:val="auto"/>
              </w:rPr>
            </w:pPr>
            <w:r>
              <w:rPr>
                <w:rFonts w:ascii="Arial" w:cs="Arial" w:eastAsia="Arial" w:hAnsi="Arial"/>
                <w:sz w:val="18"/>
                <w:szCs w:val="18"/>
                <w:color w:val="auto"/>
                <w:w w:val="97"/>
              </w:rPr>
              <w:t>(0.4)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0" w:type="dxa"/>
            <w:vAlign w:val="bottom"/>
          </w:tcPr>
          <w:p>
            <w:pPr>
              <w:spacing w:after="0"/>
              <w:rPr>
                <w:sz w:val="2"/>
                <w:szCs w:val="2"/>
                <w:color w:val="auto"/>
              </w:rPr>
            </w:pPr>
          </w:p>
        </w:tc>
        <w:tc>
          <w:tcPr>
            <w:tcW w:w="5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6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Total</w:t>
            </w:r>
          </w:p>
        </w:tc>
        <w:tc>
          <w:tcPr>
            <w:tcW w:w="2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460" w:type="dxa"/>
            <w:vAlign w:val="bottom"/>
            <w:gridSpan w:val="3"/>
            <w:shd w:val="clear" w:color="auto" w:fill="E5E5E5"/>
          </w:tcPr>
          <w:p>
            <w:pPr>
              <w:ind w:left="32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320" w:type="dxa"/>
            <w:vAlign w:val="bottom"/>
            <w:gridSpan w:val="3"/>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w w:val="95"/>
              </w:rPr>
              <w:t>7.9</w:t>
            </w:r>
          </w:p>
        </w:tc>
        <w:tc>
          <w:tcPr>
            <w:tcW w:w="720" w:type="dxa"/>
            <w:vAlign w:val="bottom"/>
            <w:gridSpan w:val="2"/>
            <w:shd w:val="clear" w:color="auto" w:fill="E5E5E5"/>
          </w:tcPr>
          <w:p>
            <w:pPr>
              <w:ind w:left="1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E5E5E5"/>
          </w:tcPr>
          <w:p>
            <w:pPr>
              <w:spacing w:after="0"/>
              <w:rPr>
                <w:sz w:val="17"/>
                <w:szCs w:val="17"/>
                <w:color w:val="auto"/>
              </w:rPr>
            </w:pPr>
          </w:p>
        </w:tc>
        <w:tc>
          <w:tcPr>
            <w:tcW w:w="480" w:type="dxa"/>
            <w:vAlign w:val="bottom"/>
            <w:gridSpan w:val="3"/>
            <w:shd w:val="clear" w:color="auto" w:fill="E5E5E5"/>
          </w:tcPr>
          <w:p>
            <w:pPr>
              <w:jc w:val="center"/>
              <w:ind w:right="160"/>
              <w:spacing w:after="0" w:line="202" w:lineRule="exact"/>
              <w:rPr>
                <w:sz w:val="20"/>
                <w:szCs w:val="20"/>
                <w:color w:val="auto"/>
              </w:rPr>
            </w:pPr>
            <w:r>
              <w:rPr>
                <w:rFonts w:ascii="Arial" w:cs="Arial" w:eastAsia="Arial" w:hAnsi="Arial"/>
                <w:sz w:val="18"/>
                <w:szCs w:val="18"/>
                <w:color w:val="auto"/>
                <w:w w:val="95"/>
              </w:rPr>
              <w:t>9.7</w:t>
            </w:r>
          </w:p>
        </w:tc>
        <w:tc>
          <w:tcPr>
            <w:tcW w:w="3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E5E5E5"/>
          </w:tcPr>
          <w:p>
            <w:pPr>
              <w:spacing w:after="0"/>
              <w:rPr>
                <w:sz w:val="17"/>
                <w:szCs w:val="17"/>
                <w:color w:val="auto"/>
              </w:rPr>
            </w:pPr>
          </w:p>
        </w:tc>
        <w:tc>
          <w:tcPr>
            <w:tcW w:w="420" w:type="dxa"/>
            <w:vAlign w:val="bottom"/>
            <w:gridSpan w:val="4"/>
            <w:shd w:val="clear" w:color="auto" w:fill="E5E5E5"/>
          </w:tcPr>
          <w:p>
            <w:pPr>
              <w:jc w:val="right"/>
              <w:spacing w:after="0" w:line="202" w:lineRule="exact"/>
              <w:rPr>
                <w:sz w:val="20"/>
                <w:szCs w:val="20"/>
                <w:color w:val="auto"/>
              </w:rPr>
            </w:pPr>
            <w:r>
              <w:rPr>
                <w:rFonts w:ascii="Arial" w:cs="Arial" w:eastAsia="Arial" w:hAnsi="Arial"/>
                <w:sz w:val="18"/>
                <w:szCs w:val="18"/>
                <w:color w:val="auto"/>
                <w:w w:val="97"/>
              </w:rPr>
              <w:t>(1.8)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9600"/>
        <w:spacing w:after="0"/>
        <w:rPr>
          <w:sz w:val="20"/>
          <w:szCs w:val="20"/>
          <w:color w:val="auto"/>
        </w:rPr>
      </w:pPr>
      <w:r>
        <w:rPr>
          <w:rFonts w:ascii="Arial" w:cs="Arial" w:eastAsia="Arial" w:hAnsi="Arial"/>
          <w:sz w:val="12"/>
          <w:szCs w:val="12"/>
          <w:color w:val="4C9F40"/>
        </w:rPr>
        <w:t>Xerox 2010 Annual Report 87</w:t>
      </w:r>
    </w:p>
    <w:p>
      <w:pPr>
        <w:sectPr>
          <w:pgSz w:w="11900" w:h="16838" w:orient="portrait"/>
          <w:cols w:equalWidth="0" w:num="1">
            <w:col w:w="11420"/>
          </w:cols>
          <w:pgMar w:left="240" w:top="346" w:right="23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b w:val="1"/>
          <w:bCs w:val="1"/>
          <w:color w:val="4C9F40"/>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Investment Strategy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target asset allocations for our worldwide plans for 2010 and 2009 were: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2010</w:t>
            </w:r>
          </w:p>
        </w:tc>
        <w:tc>
          <w:tcPr>
            <w:tcW w:w="400" w:type="dxa"/>
            <w:vAlign w:val="bottom"/>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2009</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280" w:type="dxa"/>
            <w:vAlign w:val="bottom"/>
            <w:shd w:val="clear" w:color="auto" w:fill="E5E5E5"/>
          </w:tcPr>
          <w:p>
            <w:pPr>
              <w:spacing w:after="0" w:line="196" w:lineRule="exact"/>
              <w:rPr>
                <w:sz w:val="20"/>
                <w:szCs w:val="20"/>
                <w:color w:val="auto"/>
              </w:rPr>
            </w:pPr>
            <w:r>
              <w:rPr>
                <w:rFonts w:ascii="Arial" w:cs="Arial" w:eastAsia="Arial" w:hAnsi="Arial"/>
                <w:sz w:val="18"/>
                <w:szCs w:val="18"/>
                <w:color w:val="auto"/>
              </w:rPr>
              <w:t>Equity investments</w:t>
            </w:r>
          </w:p>
        </w:tc>
        <w:tc>
          <w:tcPr>
            <w:tcW w:w="740" w:type="dxa"/>
            <w:vAlign w:val="bottom"/>
            <w:gridSpan w:val="2"/>
            <w:shd w:val="clear" w:color="auto" w:fill="E5E5E5"/>
          </w:tcPr>
          <w:p>
            <w:pPr>
              <w:jc w:val="right"/>
              <w:ind w:right="240"/>
              <w:spacing w:after="0" w:line="196" w:lineRule="exact"/>
              <w:rPr>
                <w:sz w:val="20"/>
                <w:szCs w:val="20"/>
                <w:color w:val="auto"/>
              </w:rPr>
            </w:pPr>
            <w:r>
              <w:rPr>
                <w:rFonts w:ascii="Arial" w:cs="Arial" w:eastAsia="Arial" w:hAnsi="Arial"/>
                <w:sz w:val="18"/>
                <w:szCs w:val="18"/>
                <w:color w:val="auto"/>
              </w:rPr>
              <w:t>42%</w:t>
            </w:r>
          </w:p>
        </w:tc>
        <w:tc>
          <w:tcPr>
            <w:tcW w:w="560" w:type="dxa"/>
            <w:vAlign w:val="bottom"/>
            <w:gridSpan w:val="2"/>
            <w:shd w:val="clear" w:color="auto" w:fill="E5E5E5"/>
          </w:tcPr>
          <w:p>
            <w:pPr>
              <w:jc w:val="right"/>
              <w:ind w:right="60"/>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3"/>
        </w:trPr>
        <w:tc>
          <w:tcPr>
            <w:tcW w:w="8280" w:type="dxa"/>
            <w:vAlign w:val="bottom"/>
          </w:tcPr>
          <w:p>
            <w:pPr>
              <w:spacing w:after="0" w:line="202" w:lineRule="exact"/>
              <w:rPr>
                <w:sz w:val="20"/>
                <w:szCs w:val="20"/>
                <w:color w:val="auto"/>
              </w:rPr>
            </w:pPr>
            <w:r>
              <w:rPr>
                <w:rFonts w:ascii="Arial" w:cs="Arial" w:eastAsia="Arial" w:hAnsi="Arial"/>
                <w:sz w:val="18"/>
                <w:szCs w:val="18"/>
                <w:color w:val="auto"/>
              </w:rPr>
              <w:t>Fixed income investments</w:t>
            </w:r>
          </w:p>
        </w:tc>
        <w:tc>
          <w:tcPr>
            <w:tcW w:w="7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45%</w:t>
            </w:r>
          </w:p>
        </w:tc>
        <w:tc>
          <w:tcPr>
            <w:tcW w:w="5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3"/>
        </w:trPr>
        <w:tc>
          <w:tcPr>
            <w:tcW w:w="82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Real estate</w:t>
            </w:r>
          </w:p>
        </w:tc>
        <w:tc>
          <w:tcPr>
            <w:tcW w:w="74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color w:val="auto"/>
              </w:rPr>
              <w:t>7%</w:t>
            </w:r>
          </w:p>
        </w:tc>
        <w:tc>
          <w:tcPr>
            <w:tcW w:w="56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8280" w:type="dxa"/>
            <w:vAlign w:val="bottom"/>
          </w:tcPr>
          <w:p>
            <w:pPr>
              <w:spacing w:after="0" w:line="202" w:lineRule="exact"/>
              <w:rPr>
                <w:sz w:val="20"/>
                <w:szCs w:val="20"/>
                <w:color w:val="auto"/>
              </w:rPr>
            </w:pPr>
            <w:r>
              <w:rPr>
                <w:rFonts w:ascii="Arial" w:cs="Arial" w:eastAsia="Arial" w:hAnsi="Arial"/>
                <w:sz w:val="18"/>
                <w:szCs w:val="18"/>
                <w:color w:val="auto"/>
              </w:rPr>
              <w:t>Private equity</w:t>
            </w:r>
          </w:p>
        </w:tc>
        <w:tc>
          <w:tcPr>
            <w:tcW w:w="7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w:t>
            </w:r>
          </w:p>
        </w:tc>
        <w:tc>
          <w:tcPr>
            <w:tcW w:w="5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82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Other</w:t>
            </w:r>
          </w:p>
        </w:tc>
        <w:tc>
          <w:tcPr>
            <w:tcW w:w="74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color w:val="auto"/>
              </w:rPr>
              <w:t>2%</w:t>
            </w:r>
          </w:p>
        </w:tc>
        <w:tc>
          <w:tcPr>
            <w:tcW w:w="56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8280" w:type="dxa"/>
            <w:vAlign w:val="bottom"/>
            <w:vMerge w:val="restart"/>
          </w:tcPr>
          <w:p>
            <w:pPr>
              <w:spacing w:after="0"/>
              <w:rPr>
                <w:sz w:val="20"/>
                <w:szCs w:val="20"/>
                <w:color w:val="auto"/>
              </w:rPr>
            </w:pPr>
            <w:r>
              <w:rPr>
                <w:rFonts w:ascii="Arial" w:cs="Arial" w:eastAsia="Arial" w:hAnsi="Arial"/>
                <w:sz w:val="18"/>
                <w:szCs w:val="18"/>
                <w:b w:val="1"/>
                <w:bCs w:val="1"/>
                <w:color w:val="auto"/>
              </w:rPr>
              <w:t>Total Investment Strategy</w:t>
            </w: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vMerge w:val="continue"/>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We employ a total return investment approach whereby a mix of equities and fixed income investments are used to maximize the long-term return of plan assets for a prudent level of risk. The intent of this strategy is to minimize plan expenses by exceeding the interest growth in long-term plan liabilities. Risk tolerance is established through careful consideration of plan liabilities, plan funded status and corporate financial condition. This consideration involves the use of long-term measures that address both return and risk. The investment portfolio contains a diversified blend of equity and fixed income investments. Furthermore, equity investments are diversified across U.S. and non-U.S. stocks, as well as growth, value and small and large capitalizations. Other assets such as real estate, private equity, and hedge funds are used to improve portfolio diversification. Derivatives may be used to hedge market exposure in an efficient and timely manner; however, derivatives may not be used to leverage the portfolio beyond the market value of the underlying investments. Investment risks and returns are measured and monitored on an ongoing basis through annual liability measurements and quarterly investment portfolio reviews.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Expected Long-term Rate of Return</w:t>
      </w:r>
    </w:p>
    <w:p>
      <w:pPr>
        <w:spacing w:after="0" w:line="180" w:lineRule="exact"/>
        <w:rPr>
          <w:sz w:val="20"/>
          <w:szCs w:val="20"/>
          <w:color w:val="auto"/>
        </w:rPr>
      </w:pPr>
    </w:p>
    <w:p>
      <w:pPr>
        <w:ind w:right="360"/>
        <w:spacing w:after="0" w:line="275" w:lineRule="auto"/>
        <w:rPr>
          <w:sz w:val="20"/>
          <w:szCs w:val="20"/>
          <w:color w:val="auto"/>
        </w:rPr>
      </w:pPr>
      <w:r>
        <w:rPr>
          <w:rFonts w:ascii="Arial" w:cs="Arial" w:eastAsia="Arial" w:hAnsi="Arial"/>
          <w:sz w:val="16"/>
          <w:szCs w:val="16"/>
          <w:color w:val="auto"/>
        </w:rPr>
        <w:t>We employ a “building block” approach in determining the long-term rate of return for plan assets. Historical markets are studied and long-term relationships between equities and fixed income are assessed. Current market factors such as inflation and interest rates are evaluated before long-term capital market assumptions are determined. The long-term portfolio return is established giving consideration to investment diversification and rebalancing. Peer data and historical returns are reviewed periodically to assess reasonableness and appropriateness.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Contributions</w:t>
      </w:r>
    </w:p>
    <w:p>
      <w:pPr>
        <w:spacing w:after="0" w:line="180"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2010 contributions for our defined benefit pension plans were $237 and $92 for our retiree health plans. In 2011 we expect, based on current actuarial calculations, to make contributions of approximately $500 to our defined benefit pension plans and approximately $90 to our retiree health benefit plans.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Estimated Future Benefit Payments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benefit payments, which reflect expected future service, as appropriate, are expected to be paid during the following years: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8"/>
              </w:rPr>
              <w:t>Pension</w:t>
            </w:r>
          </w:p>
        </w:tc>
        <w:tc>
          <w:tcPr>
            <w:tcW w:w="30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4"/>
                <w:szCs w:val="14"/>
                <w:color w:val="auto"/>
              </w:rPr>
              <w:t>Retiree</w:t>
            </w:r>
          </w:p>
        </w:tc>
      </w:tr>
      <w:tr>
        <w:trPr>
          <w:trHeight w:val="149"/>
        </w:trPr>
        <w:tc>
          <w:tcPr>
            <w:tcW w:w="9080" w:type="dxa"/>
            <w:vAlign w:val="bottom"/>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8"/>
              </w:rPr>
              <w:t>Benefits</w:t>
            </w:r>
          </w:p>
        </w:tc>
        <w:tc>
          <w:tcPr>
            <w:tcW w:w="300" w:type="dxa"/>
            <w:vAlign w:val="bottom"/>
          </w:tcPr>
          <w:p>
            <w:pPr>
              <w:spacing w:after="0"/>
              <w:rPr>
                <w:sz w:val="12"/>
                <w:szCs w:val="12"/>
                <w:color w:val="auto"/>
              </w:rPr>
            </w:pPr>
          </w:p>
        </w:tc>
        <w:tc>
          <w:tcPr>
            <w:tcW w:w="4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8"/>
              </w:rPr>
              <w:t>Health</w:t>
            </w:r>
          </w:p>
        </w:tc>
        <w:tc>
          <w:tcPr>
            <w:tcW w:w="100" w:type="dxa"/>
            <w:vAlign w:val="bottom"/>
          </w:tcPr>
          <w:p>
            <w:pPr>
              <w:spacing w:after="0"/>
              <w:rPr>
                <w:sz w:val="12"/>
                <w:szCs w:val="12"/>
                <w:color w:val="auto"/>
              </w:rPr>
            </w:pPr>
          </w:p>
        </w:tc>
      </w:tr>
      <w:tr>
        <w:trPr>
          <w:trHeight w:val="196"/>
        </w:trPr>
        <w:tc>
          <w:tcPr>
            <w:tcW w:w="9080" w:type="dxa"/>
            <w:vAlign w:val="bottom"/>
            <w:shd w:val="clear" w:color="auto" w:fill="E5E5E5"/>
          </w:tcPr>
          <w:p>
            <w:pPr>
              <w:spacing w:after="0" w:line="196" w:lineRule="exact"/>
              <w:rPr>
                <w:sz w:val="20"/>
                <w:szCs w:val="20"/>
                <w:color w:val="auto"/>
              </w:rPr>
            </w:pPr>
            <w:r>
              <w:rPr>
                <w:rFonts w:ascii="Arial" w:cs="Arial" w:eastAsia="Arial" w:hAnsi="Arial"/>
                <w:sz w:val="18"/>
                <w:szCs w:val="18"/>
                <w:color w:val="auto"/>
              </w:rPr>
              <w:t>2011</w:t>
            </w:r>
          </w:p>
        </w:tc>
        <w:tc>
          <w:tcPr>
            <w:tcW w:w="56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rPr>
              <w:t>$  749</w:t>
            </w:r>
          </w:p>
        </w:tc>
        <w:tc>
          <w:tcPr>
            <w:tcW w:w="860" w:type="dxa"/>
            <w:vAlign w:val="bottom"/>
            <w:gridSpan w:val="3"/>
            <w:shd w:val="clear" w:color="auto" w:fill="E5E5E5"/>
          </w:tcPr>
          <w:p>
            <w:pPr>
              <w:jc w:val="right"/>
              <w:ind w:right="100"/>
              <w:spacing w:after="0" w:line="196" w:lineRule="exact"/>
              <w:rPr>
                <w:sz w:val="20"/>
                <w:szCs w:val="20"/>
                <w:color w:val="auto"/>
              </w:rPr>
            </w:pPr>
            <w:r>
              <w:rPr>
                <w:rFonts w:ascii="Arial" w:cs="Arial" w:eastAsia="Arial" w:hAnsi="Arial"/>
                <w:sz w:val="18"/>
                <w:szCs w:val="18"/>
                <w:color w:val="auto"/>
              </w:rPr>
              <w:t>$  87</w:t>
            </w:r>
          </w:p>
        </w:tc>
      </w:tr>
      <w:tr>
        <w:trPr>
          <w:trHeight w:val="203"/>
        </w:trPr>
        <w:tc>
          <w:tcPr>
            <w:tcW w:w="9080" w:type="dxa"/>
            <w:vAlign w:val="bottom"/>
          </w:tcPr>
          <w:p>
            <w:pPr>
              <w:spacing w:after="0" w:line="202" w:lineRule="exact"/>
              <w:rPr>
                <w:sz w:val="20"/>
                <w:szCs w:val="20"/>
                <w:color w:val="auto"/>
              </w:rPr>
            </w:pPr>
            <w:r>
              <w:rPr>
                <w:rFonts w:ascii="Arial" w:cs="Arial" w:eastAsia="Arial" w:hAnsi="Arial"/>
                <w:sz w:val="18"/>
                <w:szCs w:val="18"/>
                <w:color w:val="auto"/>
              </w:rPr>
              <w:t>2012</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647</w:t>
            </w:r>
          </w:p>
        </w:tc>
        <w:tc>
          <w:tcPr>
            <w:tcW w:w="86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86</w:t>
            </w:r>
          </w:p>
        </w:tc>
      </w:tr>
      <w:tr>
        <w:trPr>
          <w:trHeight w:val="203"/>
        </w:trPr>
        <w:tc>
          <w:tcPr>
            <w:tcW w:w="90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2013</w:t>
            </w:r>
          </w:p>
        </w:tc>
        <w:tc>
          <w:tcPr>
            <w:tcW w:w="5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644</w:t>
            </w:r>
          </w:p>
        </w:tc>
        <w:tc>
          <w:tcPr>
            <w:tcW w:w="860" w:type="dxa"/>
            <w:vAlign w:val="bottom"/>
            <w:gridSpan w:val="3"/>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85</w:t>
            </w:r>
          </w:p>
        </w:tc>
      </w:tr>
      <w:tr>
        <w:trPr>
          <w:trHeight w:val="203"/>
        </w:trPr>
        <w:tc>
          <w:tcPr>
            <w:tcW w:w="9080" w:type="dxa"/>
            <w:vAlign w:val="bottom"/>
          </w:tcPr>
          <w:p>
            <w:pPr>
              <w:spacing w:after="0" w:line="202" w:lineRule="exact"/>
              <w:rPr>
                <w:sz w:val="20"/>
                <w:szCs w:val="20"/>
                <w:color w:val="auto"/>
              </w:rPr>
            </w:pPr>
            <w:r>
              <w:rPr>
                <w:rFonts w:ascii="Arial" w:cs="Arial" w:eastAsia="Arial" w:hAnsi="Arial"/>
                <w:sz w:val="18"/>
                <w:szCs w:val="18"/>
                <w:color w:val="auto"/>
              </w:rPr>
              <w:t>2014</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653</w:t>
            </w:r>
          </w:p>
        </w:tc>
        <w:tc>
          <w:tcPr>
            <w:tcW w:w="86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85</w:t>
            </w:r>
          </w:p>
        </w:tc>
      </w:tr>
      <w:tr>
        <w:trPr>
          <w:trHeight w:val="203"/>
        </w:trPr>
        <w:tc>
          <w:tcPr>
            <w:tcW w:w="90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2015</w:t>
            </w:r>
          </w:p>
        </w:tc>
        <w:tc>
          <w:tcPr>
            <w:tcW w:w="5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668</w:t>
            </w:r>
          </w:p>
        </w:tc>
        <w:tc>
          <w:tcPr>
            <w:tcW w:w="860" w:type="dxa"/>
            <w:vAlign w:val="bottom"/>
            <w:gridSpan w:val="3"/>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84</w:t>
            </w:r>
          </w:p>
        </w:tc>
      </w:tr>
      <w:tr>
        <w:trPr>
          <w:trHeight w:val="214"/>
        </w:trPr>
        <w:tc>
          <w:tcPr>
            <w:tcW w:w="9080" w:type="dxa"/>
            <w:vAlign w:val="bottom"/>
          </w:tcPr>
          <w:p>
            <w:pPr>
              <w:spacing w:after="0"/>
              <w:rPr>
                <w:sz w:val="20"/>
                <w:szCs w:val="20"/>
                <w:color w:val="auto"/>
              </w:rPr>
            </w:pPr>
            <w:r>
              <w:rPr>
                <w:rFonts w:ascii="Arial" w:cs="Arial" w:eastAsia="Arial" w:hAnsi="Arial"/>
                <w:sz w:val="18"/>
                <w:szCs w:val="18"/>
                <w:color w:val="auto"/>
              </w:rPr>
              <w:t>Years 2016-2020</w:t>
            </w:r>
          </w:p>
        </w:tc>
        <w:tc>
          <w:tcPr>
            <w:tcW w:w="560" w:type="dxa"/>
            <w:vAlign w:val="bottom"/>
          </w:tcPr>
          <w:p>
            <w:pPr>
              <w:jc w:val="right"/>
              <w:spacing w:after="0"/>
              <w:rPr>
                <w:sz w:val="20"/>
                <w:szCs w:val="20"/>
                <w:color w:val="auto"/>
              </w:rPr>
            </w:pPr>
            <w:r>
              <w:rPr>
                <w:rFonts w:ascii="Arial" w:cs="Arial" w:eastAsia="Arial" w:hAnsi="Arial"/>
                <w:sz w:val="18"/>
                <w:szCs w:val="18"/>
                <w:color w:val="auto"/>
              </w:rPr>
              <w:t>3,473</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396</w:t>
            </w:r>
          </w:p>
        </w:tc>
      </w:tr>
    </w:tbl>
    <w:p>
      <w:pPr>
        <w:spacing w:after="0" w:line="136" w:lineRule="exact"/>
        <w:rPr>
          <w:sz w:val="20"/>
          <w:szCs w:val="20"/>
          <w:color w:val="auto"/>
        </w:rPr>
      </w:pPr>
    </w:p>
    <w:p>
      <w:pPr>
        <w:jc w:val="right"/>
        <w:spacing w:after="0"/>
        <w:rPr>
          <w:sz w:val="20"/>
          <w:szCs w:val="20"/>
          <w:color w:val="auto"/>
        </w:rPr>
      </w:pPr>
      <w:r>
        <w:rPr>
          <w:rFonts w:ascii="Arial" w:cs="Arial" w:eastAsia="Arial" w:hAnsi="Arial"/>
          <w:sz w:val="14"/>
          <w:szCs w:val="14"/>
          <w:color w:val="4C9F40"/>
        </w:rPr>
        <w:t>Xerox 2010 Annual Report 88</w:t>
      </w:r>
    </w:p>
    <w:p>
      <w:pPr>
        <w:sectPr>
          <w:pgSz w:w="11900" w:h="16838" w:orient="portrait"/>
          <w:cols w:equalWidth="0" w:num="1">
            <w:col w:w="11420"/>
          </w:cols>
          <w:pgMar w:left="240" w:top="323" w:right="23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b w:val="1"/>
          <w:bCs w:val="1"/>
          <w:color w:val="4C9F40"/>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Assumptions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Weighted-average assumptions used to determine benefit obligations at the plan measurement dates: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1880" w:type="dxa"/>
            <w:vAlign w:val="bottom"/>
            <w:gridSpan w:val="6"/>
          </w:tcPr>
          <w:p>
            <w:pPr>
              <w:jc w:val="right"/>
              <w:ind w:right="600"/>
              <w:spacing w:after="0"/>
              <w:rPr>
                <w:sz w:val="20"/>
                <w:szCs w:val="20"/>
                <w:color w:val="auto"/>
              </w:rPr>
            </w:pPr>
            <w:r>
              <w:rPr>
                <w:rFonts w:ascii="Arial" w:cs="Arial" w:eastAsia="Arial" w:hAnsi="Arial"/>
                <w:sz w:val="14"/>
                <w:szCs w:val="14"/>
                <w:color w:val="auto"/>
              </w:rPr>
              <w:t>Pension Benefits</w:t>
            </w:r>
          </w:p>
        </w:tc>
        <w:tc>
          <w:tcPr>
            <w:tcW w:w="300" w:type="dxa"/>
            <w:vAlign w:val="bottom"/>
          </w:tcPr>
          <w:p>
            <w:pPr>
              <w:spacing w:after="0"/>
              <w:rPr>
                <w:sz w:val="14"/>
                <w:szCs w:val="14"/>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4"/>
                <w:szCs w:val="14"/>
                <w:color w:val="auto"/>
              </w:rPr>
              <w:t>Retiree Health</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774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2010</w:t>
            </w:r>
          </w:p>
        </w:tc>
        <w:tc>
          <w:tcPr>
            <w:tcW w:w="30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2009</w:t>
            </w:r>
          </w:p>
        </w:tc>
        <w:tc>
          <w:tcPr>
            <w:tcW w:w="30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2008</w:t>
            </w:r>
          </w:p>
        </w:tc>
        <w:tc>
          <w:tcPr>
            <w:tcW w:w="32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2010</w:t>
            </w:r>
          </w:p>
        </w:tc>
        <w:tc>
          <w:tcPr>
            <w:tcW w:w="36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2009</w:t>
            </w:r>
          </w:p>
        </w:tc>
        <w:tc>
          <w:tcPr>
            <w:tcW w:w="32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2008</w:t>
            </w:r>
          </w:p>
        </w:tc>
        <w:tc>
          <w:tcPr>
            <w:tcW w:w="220" w:type="dxa"/>
            <w:vAlign w:val="bottom"/>
          </w:tcPr>
          <w:p>
            <w:pPr>
              <w:spacing w:after="0"/>
              <w:rPr>
                <w:sz w:val="12"/>
                <w:szCs w:val="12"/>
                <w:color w:val="auto"/>
              </w:rPr>
            </w:pPr>
          </w:p>
        </w:tc>
      </w:tr>
      <w:tr>
        <w:trPr>
          <w:trHeight w:val="196"/>
        </w:trPr>
        <w:tc>
          <w:tcPr>
            <w:tcW w:w="7740" w:type="dxa"/>
            <w:vAlign w:val="bottom"/>
            <w:shd w:val="clear" w:color="auto" w:fill="E5E5E5"/>
          </w:tcPr>
          <w:p>
            <w:pPr>
              <w:spacing w:after="0" w:line="196" w:lineRule="exact"/>
              <w:rPr>
                <w:sz w:val="20"/>
                <w:szCs w:val="20"/>
                <w:color w:val="auto"/>
              </w:rPr>
            </w:pPr>
            <w:r>
              <w:rPr>
                <w:rFonts w:ascii="Arial" w:cs="Arial" w:eastAsia="Arial" w:hAnsi="Arial"/>
                <w:sz w:val="18"/>
                <w:szCs w:val="18"/>
                <w:color w:val="auto"/>
              </w:rPr>
              <w:t>Discount rate</w:t>
            </w:r>
          </w:p>
        </w:tc>
        <w:tc>
          <w:tcPr>
            <w:tcW w:w="620" w:type="dxa"/>
            <w:vAlign w:val="bottom"/>
            <w:gridSpan w:val="2"/>
            <w:shd w:val="clear" w:color="auto" w:fill="E5E5E5"/>
          </w:tcPr>
          <w:p>
            <w:pPr>
              <w:jc w:val="right"/>
              <w:ind w:right="140"/>
              <w:spacing w:after="0" w:line="196" w:lineRule="exact"/>
              <w:rPr>
                <w:sz w:val="20"/>
                <w:szCs w:val="20"/>
                <w:color w:val="auto"/>
              </w:rPr>
            </w:pPr>
            <w:r>
              <w:rPr>
                <w:rFonts w:ascii="Arial" w:cs="Arial" w:eastAsia="Arial" w:hAnsi="Arial"/>
                <w:sz w:val="18"/>
                <w:szCs w:val="18"/>
                <w:color w:val="auto"/>
              </w:rPr>
              <w:t>5.2%</w:t>
            </w:r>
          </w:p>
        </w:tc>
        <w:tc>
          <w:tcPr>
            <w:tcW w:w="620" w:type="dxa"/>
            <w:vAlign w:val="bottom"/>
            <w:gridSpan w:val="2"/>
            <w:shd w:val="clear" w:color="auto" w:fill="E5E5E5"/>
          </w:tcPr>
          <w:p>
            <w:pPr>
              <w:jc w:val="right"/>
              <w:ind w:right="140"/>
              <w:spacing w:after="0" w:line="196" w:lineRule="exact"/>
              <w:rPr>
                <w:sz w:val="20"/>
                <w:szCs w:val="20"/>
                <w:color w:val="auto"/>
              </w:rPr>
            </w:pPr>
            <w:r>
              <w:rPr>
                <w:rFonts w:ascii="Arial" w:cs="Arial" w:eastAsia="Arial" w:hAnsi="Arial"/>
                <w:sz w:val="18"/>
                <w:szCs w:val="18"/>
                <w:color w:val="auto"/>
              </w:rPr>
              <w:t>5.7%</w:t>
            </w:r>
          </w:p>
        </w:tc>
        <w:tc>
          <w:tcPr>
            <w:tcW w:w="640" w:type="dxa"/>
            <w:vAlign w:val="bottom"/>
            <w:gridSpan w:val="2"/>
            <w:shd w:val="clear" w:color="auto" w:fill="E5E5E5"/>
          </w:tcPr>
          <w:p>
            <w:pPr>
              <w:jc w:val="right"/>
              <w:ind w:right="160"/>
              <w:spacing w:after="0" w:line="196" w:lineRule="exact"/>
              <w:rPr>
                <w:sz w:val="20"/>
                <w:szCs w:val="20"/>
                <w:color w:val="auto"/>
              </w:rPr>
            </w:pPr>
            <w:r>
              <w:rPr>
                <w:rFonts w:ascii="Arial" w:cs="Arial" w:eastAsia="Arial" w:hAnsi="Arial"/>
                <w:sz w:val="18"/>
                <w:szCs w:val="18"/>
                <w:color w:val="auto"/>
              </w:rPr>
              <w:t>6.3%</w:t>
            </w:r>
          </w:p>
        </w:tc>
        <w:tc>
          <w:tcPr>
            <w:tcW w:w="660" w:type="dxa"/>
            <w:vAlign w:val="bottom"/>
            <w:gridSpan w:val="2"/>
            <w:shd w:val="clear" w:color="auto" w:fill="E5E5E5"/>
          </w:tcPr>
          <w:p>
            <w:pPr>
              <w:jc w:val="right"/>
              <w:ind w:right="132"/>
              <w:spacing w:after="0" w:line="196" w:lineRule="exact"/>
              <w:rPr>
                <w:sz w:val="20"/>
                <w:szCs w:val="20"/>
                <w:color w:val="auto"/>
              </w:rPr>
            </w:pPr>
            <w:r>
              <w:rPr>
                <w:rFonts w:ascii="Arial" w:cs="Arial" w:eastAsia="Arial" w:hAnsi="Arial"/>
                <w:sz w:val="18"/>
                <w:szCs w:val="18"/>
                <w:color w:val="auto"/>
              </w:rPr>
              <w:t>4.9%</w:t>
            </w:r>
          </w:p>
        </w:tc>
        <w:tc>
          <w:tcPr>
            <w:tcW w:w="620" w:type="dxa"/>
            <w:vAlign w:val="bottom"/>
            <w:gridSpan w:val="2"/>
            <w:shd w:val="clear" w:color="auto" w:fill="E5E5E5"/>
          </w:tcPr>
          <w:p>
            <w:pPr>
              <w:jc w:val="right"/>
              <w:ind w:right="160"/>
              <w:spacing w:after="0" w:line="196" w:lineRule="exact"/>
              <w:rPr>
                <w:sz w:val="20"/>
                <w:szCs w:val="20"/>
                <w:color w:val="auto"/>
              </w:rPr>
            </w:pPr>
            <w:r>
              <w:rPr>
                <w:rFonts w:ascii="Arial" w:cs="Arial" w:eastAsia="Arial" w:hAnsi="Arial"/>
                <w:sz w:val="18"/>
                <w:szCs w:val="18"/>
                <w:color w:val="auto"/>
              </w:rPr>
              <w:t>5.4%</w:t>
            </w:r>
          </w:p>
        </w:tc>
        <w:tc>
          <w:tcPr>
            <w:tcW w:w="520" w:type="dxa"/>
            <w:vAlign w:val="bottom"/>
            <w:gridSpan w:val="2"/>
            <w:shd w:val="clear" w:color="auto" w:fill="E5E5E5"/>
          </w:tcPr>
          <w:p>
            <w:pPr>
              <w:jc w:val="right"/>
              <w:ind w:right="60"/>
              <w:spacing w:after="0" w:line="196" w:lineRule="exact"/>
              <w:rPr>
                <w:sz w:val="20"/>
                <w:szCs w:val="20"/>
                <w:color w:val="auto"/>
              </w:rPr>
            </w:pPr>
            <w:r>
              <w:rPr>
                <w:rFonts w:ascii="Arial" w:cs="Arial" w:eastAsia="Arial" w:hAnsi="Arial"/>
                <w:sz w:val="18"/>
                <w:szCs w:val="18"/>
                <w:color w:val="auto"/>
              </w:rPr>
              <w:t>6.3%</w:t>
            </w:r>
          </w:p>
        </w:tc>
      </w:tr>
      <w:tr>
        <w:trPr>
          <w:trHeight w:val="350"/>
        </w:trPr>
        <w:tc>
          <w:tcPr>
            <w:tcW w:w="7740" w:type="dxa"/>
            <w:vAlign w:val="bottom"/>
          </w:tcPr>
          <w:p>
            <w:pPr>
              <w:spacing w:after="0"/>
              <w:rPr>
                <w:sz w:val="20"/>
                <w:szCs w:val="20"/>
                <w:color w:val="auto"/>
              </w:rPr>
            </w:pPr>
            <w:r>
              <w:rPr>
                <w:rFonts w:ascii="Arial" w:cs="Arial" w:eastAsia="Arial" w:hAnsi="Arial"/>
                <w:sz w:val="18"/>
                <w:szCs w:val="18"/>
                <w:color w:val="auto"/>
              </w:rPr>
              <w:t>Rate of compensation increase</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3.1%</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3.6%</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3.9%</w:t>
            </w:r>
          </w:p>
        </w:tc>
        <w:tc>
          <w:tcPr>
            <w:tcW w:w="660" w:type="dxa"/>
            <w:vAlign w:val="bottom"/>
            <w:gridSpan w:val="2"/>
          </w:tcPr>
          <w:p>
            <w:pPr>
              <w:jc w:val="right"/>
              <w:ind w:right="92"/>
              <w:spacing w:after="0" w:line="349"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1"/>
                <w:szCs w:val="11"/>
                <w:color w:val="auto"/>
              </w:rPr>
              <w:t xml:space="preserve"> (1)</w:t>
            </w:r>
          </w:p>
        </w:tc>
        <w:tc>
          <w:tcPr>
            <w:tcW w:w="620" w:type="dxa"/>
            <w:vAlign w:val="bottom"/>
            <w:gridSpan w:val="2"/>
          </w:tcPr>
          <w:p>
            <w:pPr>
              <w:jc w:val="right"/>
              <w:ind w:right="180"/>
              <w:spacing w:after="0" w:line="349"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1"/>
                <w:szCs w:val="11"/>
                <w:color w:val="auto"/>
              </w:rPr>
              <w:t xml:space="preserve"> (1)</w:t>
            </w:r>
          </w:p>
        </w:tc>
        <w:tc>
          <w:tcPr>
            <w:tcW w:w="520" w:type="dxa"/>
            <w:vAlign w:val="bottom"/>
            <w:gridSpan w:val="2"/>
          </w:tcPr>
          <w:p>
            <w:pPr>
              <w:jc w:val="right"/>
              <w:ind w:right="80"/>
              <w:spacing w:after="0" w:line="349"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1"/>
                <w:szCs w:val="11"/>
                <w:color w:val="auto"/>
              </w:rPr>
              <w:t xml:space="preserve"> (1)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89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ind w:left="340" w:hanging="332"/>
        <w:spacing w:after="0"/>
        <w:tabs>
          <w:tab w:leader="none" w:pos="340" w:val="left"/>
        </w:tabs>
        <w:numPr>
          <w:ilvl w:val="0"/>
          <w:numId w:val="171"/>
        </w:numPr>
        <w:rPr>
          <w:rFonts w:ascii="Arial" w:cs="Arial" w:eastAsia="Arial" w:hAnsi="Arial"/>
          <w:sz w:val="14"/>
          <w:szCs w:val="14"/>
          <w:color w:val="auto"/>
        </w:rPr>
      </w:pPr>
      <w:r>
        <w:rPr>
          <w:rFonts w:ascii="Arial" w:cs="Arial" w:eastAsia="Arial" w:hAnsi="Arial"/>
          <w:sz w:val="14"/>
          <w:szCs w:val="14"/>
          <w:color w:val="auto"/>
        </w:rPr>
        <w:t>Rate of compensation increase is not applicable to the retiree health benefits as compensation levels do not impact earned benefits.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Weighted-average assumptions used to determine net periodic benefit cost for years ended December 31:</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4"/>
                <w:szCs w:val="14"/>
                <w:color w:val="auto"/>
              </w:rPr>
              <w:t>Pension Benefits</w:t>
            </w:r>
          </w:p>
        </w:tc>
        <w:tc>
          <w:tcPr>
            <w:tcW w:w="3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color w:val="auto"/>
              </w:rPr>
              <w:t>Retiree Health</w:t>
            </w:r>
          </w:p>
        </w:tc>
        <w:tc>
          <w:tcPr>
            <w:tcW w:w="3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6540" w:type="dxa"/>
            <w:vAlign w:val="bottom"/>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2011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2010</w:t>
            </w:r>
          </w:p>
        </w:tc>
        <w:tc>
          <w:tcPr>
            <w:tcW w:w="300" w:type="dxa"/>
            <w:vAlign w:val="bottom"/>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2009</w:t>
            </w:r>
          </w:p>
        </w:tc>
        <w:tc>
          <w:tcPr>
            <w:tcW w:w="300" w:type="dxa"/>
            <w:vAlign w:val="bottom"/>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2008</w:t>
            </w:r>
          </w:p>
        </w:tc>
        <w:tc>
          <w:tcPr>
            <w:tcW w:w="300" w:type="dxa"/>
            <w:vAlign w:val="bottom"/>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2011</w:t>
            </w:r>
          </w:p>
        </w:tc>
        <w:tc>
          <w:tcPr>
            <w:tcW w:w="320" w:type="dxa"/>
            <w:vAlign w:val="bottom"/>
          </w:tcPr>
          <w:p>
            <w:pPr>
              <w:spacing w:after="0"/>
              <w:rPr>
                <w:sz w:val="12"/>
                <w:szCs w:val="12"/>
                <w:color w:val="auto"/>
              </w:rPr>
            </w:pPr>
          </w:p>
        </w:tc>
        <w:tc>
          <w:tcPr>
            <w:tcW w:w="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2010</w:t>
            </w:r>
          </w:p>
        </w:tc>
        <w:tc>
          <w:tcPr>
            <w:tcW w:w="320" w:type="dxa"/>
            <w:vAlign w:val="bottom"/>
          </w:tcPr>
          <w:p>
            <w:pPr>
              <w:spacing w:after="0"/>
              <w:rPr>
                <w:sz w:val="12"/>
                <w:szCs w:val="12"/>
                <w:color w:val="auto"/>
              </w:rPr>
            </w:pPr>
          </w:p>
        </w:tc>
        <w:tc>
          <w:tcPr>
            <w:tcW w:w="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2009</w:t>
            </w:r>
          </w:p>
        </w:tc>
        <w:tc>
          <w:tcPr>
            <w:tcW w:w="320" w:type="dxa"/>
            <w:vAlign w:val="bottom"/>
          </w:tcPr>
          <w:p>
            <w:pPr>
              <w:spacing w:after="0"/>
              <w:rPr>
                <w:sz w:val="12"/>
                <w:szCs w:val="12"/>
                <w:color w:val="auto"/>
              </w:rPr>
            </w:pPr>
          </w:p>
        </w:tc>
        <w:tc>
          <w:tcPr>
            <w:tcW w:w="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2008</w:t>
            </w:r>
          </w:p>
        </w:tc>
        <w:tc>
          <w:tcPr>
            <w:tcW w:w="220" w:type="dxa"/>
            <w:vAlign w:val="bottom"/>
          </w:tcPr>
          <w:p>
            <w:pPr>
              <w:spacing w:after="0"/>
              <w:rPr>
                <w:sz w:val="12"/>
                <w:szCs w:val="12"/>
                <w:color w:val="auto"/>
              </w:rPr>
            </w:pPr>
          </w:p>
        </w:tc>
      </w:tr>
      <w:tr>
        <w:trPr>
          <w:trHeight w:val="196"/>
        </w:trPr>
        <w:tc>
          <w:tcPr>
            <w:tcW w:w="6540" w:type="dxa"/>
            <w:vAlign w:val="bottom"/>
            <w:shd w:val="clear" w:color="auto" w:fill="E5E5E5"/>
          </w:tcPr>
          <w:p>
            <w:pPr>
              <w:spacing w:after="0" w:line="196" w:lineRule="exact"/>
              <w:rPr>
                <w:sz w:val="20"/>
                <w:szCs w:val="20"/>
                <w:color w:val="auto"/>
              </w:rPr>
            </w:pPr>
            <w:r>
              <w:rPr>
                <w:rFonts w:ascii="Arial" w:cs="Arial" w:eastAsia="Arial" w:hAnsi="Arial"/>
                <w:sz w:val="18"/>
                <w:szCs w:val="18"/>
                <w:color w:val="auto"/>
              </w:rPr>
              <w:t>Discount rate</w:t>
            </w:r>
          </w:p>
        </w:tc>
        <w:tc>
          <w:tcPr>
            <w:tcW w:w="520" w:type="dxa"/>
            <w:vAlign w:val="bottom"/>
            <w:gridSpan w:val="2"/>
            <w:shd w:val="clear" w:color="auto" w:fill="E5E5E5"/>
          </w:tcPr>
          <w:p>
            <w:pPr>
              <w:jc w:val="right"/>
              <w:ind w:right="40"/>
              <w:spacing w:after="0" w:line="196" w:lineRule="exact"/>
              <w:rPr>
                <w:sz w:val="20"/>
                <w:szCs w:val="20"/>
                <w:color w:val="auto"/>
              </w:rPr>
            </w:pPr>
            <w:r>
              <w:rPr>
                <w:rFonts w:ascii="Arial" w:cs="Arial" w:eastAsia="Arial" w:hAnsi="Arial"/>
                <w:sz w:val="18"/>
                <w:szCs w:val="18"/>
                <w:color w:val="auto"/>
              </w:rPr>
              <w:t>5.2%</w:t>
            </w:r>
          </w:p>
        </w:tc>
        <w:tc>
          <w:tcPr>
            <w:tcW w:w="720" w:type="dxa"/>
            <w:vAlign w:val="bottom"/>
            <w:gridSpan w:val="3"/>
            <w:shd w:val="clear" w:color="auto" w:fill="E5E5E5"/>
          </w:tcPr>
          <w:p>
            <w:pPr>
              <w:jc w:val="right"/>
              <w:ind w:right="140"/>
              <w:spacing w:after="0" w:line="196" w:lineRule="exact"/>
              <w:rPr>
                <w:sz w:val="20"/>
                <w:szCs w:val="20"/>
                <w:color w:val="auto"/>
              </w:rPr>
            </w:pPr>
            <w:r>
              <w:rPr>
                <w:rFonts w:ascii="Arial" w:cs="Arial" w:eastAsia="Arial" w:hAnsi="Arial"/>
                <w:sz w:val="18"/>
                <w:szCs w:val="18"/>
                <w:color w:val="auto"/>
              </w:rPr>
              <w:t>5.7%</w:t>
            </w:r>
          </w:p>
        </w:tc>
        <w:tc>
          <w:tcPr>
            <w:tcW w:w="620" w:type="dxa"/>
            <w:vAlign w:val="bottom"/>
            <w:gridSpan w:val="2"/>
            <w:shd w:val="clear" w:color="auto" w:fill="E5E5E5"/>
          </w:tcPr>
          <w:p>
            <w:pPr>
              <w:jc w:val="right"/>
              <w:ind w:right="140"/>
              <w:spacing w:after="0" w:line="196" w:lineRule="exact"/>
              <w:rPr>
                <w:sz w:val="20"/>
                <w:szCs w:val="20"/>
                <w:color w:val="auto"/>
              </w:rPr>
            </w:pPr>
            <w:r>
              <w:rPr>
                <w:rFonts w:ascii="Arial" w:cs="Arial" w:eastAsia="Arial" w:hAnsi="Arial"/>
                <w:sz w:val="18"/>
                <w:szCs w:val="18"/>
                <w:color w:val="auto"/>
              </w:rPr>
              <w:t>6.3%</w:t>
            </w:r>
          </w:p>
        </w:tc>
        <w:tc>
          <w:tcPr>
            <w:tcW w:w="620" w:type="dxa"/>
            <w:vAlign w:val="bottom"/>
            <w:gridSpan w:val="2"/>
            <w:shd w:val="clear" w:color="auto" w:fill="E5E5E5"/>
          </w:tcPr>
          <w:p>
            <w:pPr>
              <w:jc w:val="right"/>
              <w:ind w:right="140"/>
              <w:spacing w:after="0" w:line="196" w:lineRule="exact"/>
              <w:rPr>
                <w:sz w:val="20"/>
                <w:szCs w:val="20"/>
                <w:color w:val="auto"/>
              </w:rPr>
            </w:pPr>
            <w:r>
              <w:rPr>
                <w:rFonts w:ascii="Arial" w:cs="Arial" w:eastAsia="Arial" w:hAnsi="Arial"/>
                <w:sz w:val="18"/>
                <w:szCs w:val="18"/>
                <w:color w:val="auto"/>
              </w:rPr>
              <w:t>5.9%</w:t>
            </w:r>
          </w:p>
        </w:tc>
        <w:tc>
          <w:tcPr>
            <w:tcW w:w="640" w:type="dxa"/>
            <w:vAlign w:val="bottom"/>
            <w:gridSpan w:val="2"/>
            <w:shd w:val="clear" w:color="auto" w:fill="E5E5E5"/>
          </w:tcPr>
          <w:p>
            <w:pPr>
              <w:jc w:val="center"/>
              <w:ind w:right="80"/>
              <w:spacing w:after="0" w:line="196" w:lineRule="exact"/>
              <w:rPr>
                <w:sz w:val="20"/>
                <w:szCs w:val="20"/>
                <w:color w:val="auto"/>
              </w:rPr>
            </w:pPr>
            <w:r>
              <w:rPr>
                <w:rFonts w:ascii="Arial" w:cs="Arial" w:eastAsia="Arial" w:hAnsi="Arial"/>
                <w:sz w:val="18"/>
                <w:szCs w:val="18"/>
                <w:color w:val="auto"/>
                <w:w w:val="97"/>
              </w:rPr>
              <w:t>4.9%</w:t>
            </w:r>
          </w:p>
        </w:tc>
        <w:tc>
          <w:tcPr>
            <w:tcW w:w="620" w:type="dxa"/>
            <w:vAlign w:val="bottom"/>
            <w:gridSpan w:val="2"/>
            <w:shd w:val="clear" w:color="auto" w:fill="E5E5E5"/>
          </w:tcPr>
          <w:p>
            <w:pPr>
              <w:jc w:val="center"/>
              <w:ind w:right="100"/>
              <w:spacing w:after="0" w:line="196" w:lineRule="exact"/>
              <w:rPr>
                <w:sz w:val="20"/>
                <w:szCs w:val="20"/>
                <w:color w:val="auto"/>
              </w:rPr>
            </w:pPr>
            <w:r>
              <w:rPr>
                <w:rFonts w:ascii="Arial" w:cs="Arial" w:eastAsia="Arial" w:hAnsi="Arial"/>
                <w:sz w:val="18"/>
                <w:szCs w:val="18"/>
                <w:color w:val="auto"/>
                <w:w w:val="97"/>
              </w:rPr>
              <w:t>5.4%</w:t>
            </w:r>
          </w:p>
        </w:tc>
        <w:tc>
          <w:tcPr>
            <w:tcW w:w="620" w:type="dxa"/>
            <w:vAlign w:val="bottom"/>
            <w:gridSpan w:val="2"/>
            <w:shd w:val="clear" w:color="auto" w:fill="E5E5E5"/>
          </w:tcPr>
          <w:p>
            <w:pPr>
              <w:jc w:val="center"/>
              <w:ind w:right="100"/>
              <w:spacing w:after="0" w:line="196" w:lineRule="exact"/>
              <w:rPr>
                <w:sz w:val="20"/>
                <w:szCs w:val="20"/>
                <w:color w:val="auto"/>
              </w:rPr>
            </w:pPr>
            <w:r>
              <w:rPr>
                <w:rFonts w:ascii="Arial" w:cs="Arial" w:eastAsia="Arial" w:hAnsi="Arial"/>
                <w:sz w:val="18"/>
                <w:szCs w:val="18"/>
                <w:color w:val="auto"/>
                <w:w w:val="97"/>
              </w:rPr>
              <w:t>6.3%</w:t>
            </w:r>
          </w:p>
        </w:tc>
        <w:tc>
          <w:tcPr>
            <w:tcW w:w="520" w:type="dxa"/>
            <w:vAlign w:val="bottom"/>
            <w:gridSpan w:val="2"/>
            <w:shd w:val="clear" w:color="auto" w:fill="E5E5E5"/>
          </w:tcPr>
          <w:p>
            <w:pPr>
              <w:jc w:val="center"/>
              <w:spacing w:after="0" w:line="196" w:lineRule="exact"/>
              <w:rPr>
                <w:sz w:val="20"/>
                <w:szCs w:val="20"/>
                <w:color w:val="auto"/>
              </w:rPr>
            </w:pPr>
            <w:r>
              <w:rPr>
                <w:rFonts w:ascii="Arial" w:cs="Arial" w:eastAsia="Arial" w:hAnsi="Arial"/>
                <w:sz w:val="18"/>
                <w:szCs w:val="18"/>
                <w:color w:val="auto"/>
                <w:w w:val="97"/>
              </w:rPr>
              <w:t>6.2%</w:t>
            </w:r>
          </w:p>
        </w:tc>
      </w:tr>
      <w:tr>
        <w:trPr>
          <w:trHeight w:val="203"/>
        </w:trPr>
        <w:tc>
          <w:tcPr>
            <w:tcW w:w="6540" w:type="dxa"/>
            <w:vAlign w:val="bottom"/>
          </w:tcPr>
          <w:p>
            <w:pPr>
              <w:spacing w:after="0" w:line="202" w:lineRule="exact"/>
              <w:rPr>
                <w:sz w:val="20"/>
                <w:szCs w:val="20"/>
                <w:color w:val="auto"/>
              </w:rPr>
            </w:pPr>
            <w:r>
              <w:rPr>
                <w:rFonts w:ascii="Arial" w:cs="Arial" w:eastAsia="Arial" w:hAnsi="Arial"/>
                <w:sz w:val="18"/>
                <w:szCs w:val="18"/>
                <w:color w:val="auto"/>
              </w:rPr>
              <w:t>Expected return on plan assets</w:t>
            </w:r>
          </w:p>
        </w:tc>
        <w:tc>
          <w:tcPr>
            <w:tcW w:w="5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7.2%</w:t>
            </w:r>
          </w:p>
        </w:tc>
        <w:tc>
          <w:tcPr>
            <w:tcW w:w="72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7.3%</w:t>
            </w:r>
          </w:p>
        </w:tc>
        <w:tc>
          <w:tcPr>
            <w:tcW w:w="6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7.4%</w:t>
            </w:r>
          </w:p>
        </w:tc>
        <w:tc>
          <w:tcPr>
            <w:tcW w:w="6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7.6%</w:t>
            </w:r>
          </w:p>
        </w:tc>
        <w:tc>
          <w:tcPr>
            <w:tcW w:w="640" w:type="dxa"/>
            <w:vAlign w:val="bottom"/>
            <w:gridSpan w:val="2"/>
          </w:tcPr>
          <w:p>
            <w:pPr>
              <w:jc w:val="center"/>
              <w:ind w:right="80"/>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9"/>
                <w:szCs w:val="9"/>
                <w:color w:val="auto"/>
              </w:rPr>
              <w:t xml:space="preserve"> (1)</w:t>
            </w:r>
          </w:p>
        </w:tc>
        <w:tc>
          <w:tcPr>
            <w:tcW w:w="620" w:type="dxa"/>
            <w:vAlign w:val="bottom"/>
            <w:gridSpan w:val="2"/>
          </w:tcPr>
          <w:p>
            <w:pPr>
              <w:jc w:val="center"/>
              <w:ind w:right="100"/>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9"/>
                <w:szCs w:val="9"/>
                <w:color w:val="auto"/>
              </w:rPr>
              <w:t xml:space="preserve"> (1)</w:t>
            </w:r>
          </w:p>
        </w:tc>
        <w:tc>
          <w:tcPr>
            <w:tcW w:w="620" w:type="dxa"/>
            <w:vAlign w:val="bottom"/>
            <w:gridSpan w:val="2"/>
          </w:tcPr>
          <w:p>
            <w:pPr>
              <w:jc w:val="center"/>
              <w:ind w:right="100"/>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9"/>
                <w:szCs w:val="9"/>
                <w:color w:val="auto"/>
              </w:rPr>
              <w:t xml:space="preserve"> (1)</w:t>
            </w:r>
          </w:p>
        </w:tc>
        <w:tc>
          <w:tcPr>
            <w:tcW w:w="520" w:type="dxa"/>
            <w:vAlign w:val="bottom"/>
            <w:gridSpan w:val="2"/>
          </w:tcPr>
          <w:p>
            <w:pPr>
              <w:jc w:val="center"/>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9"/>
                <w:szCs w:val="9"/>
                <w:color w:val="auto"/>
              </w:rPr>
              <w:t xml:space="preserve"> (1)</w:t>
            </w:r>
          </w:p>
        </w:tc>
      </w:tr>
      <w:tr>
        <w:trPr>
          <w:trHeight w:val="203"/>
        </w:trPr>
        <w:tc>
          <w:tcPr>
            <w:tcW w:w="65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Rate of compensation increase</w:t>
            </w:r>
          </w:p>
        </w:tc>
        <w:tc>
          <w:tcPr>
            <w:tcW w:w="52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3.1%</w:t>
            </w:r>
          </w:p>
        </w:tc>
        <w:tc>
          <w:tcPr>
            <w:tcW w:w="720" w:type="dxa"/>
            <w:vAlign w:val="bottom"/>
            <w:gridSpan w:val="3"/>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3.6%</w:t>
            </w:r>
          </w:p>
        </w:tc>
        <w:tc>
          <w:tcPr>
            <w:tcW w:w="62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3.9%</w:t>
            </w:r>
          </w:p>
        </w:tc>
        <w:tc>
          <w:tcPr>
            <w:tcW w:w="62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4.1%</w:t>
            </w:r>
          </w:p>
        </w:tc>
        <w:tc>
          <w:tcPr>
            <w:tcW w:w="640" w:type="dxa"/>
            <w:vAlign w:val="bottom"/>
            <w:gridSpan w:val="2"/>
            <w:shd w:val="clear" w:color="auto" w:fill="E5E5E5"/>
          </w:tcPr>
          <w:p>
            <w:pPr>
              <w:jc w:val="center"/>
              <w:ind w:right="80"/>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9"/>
                <w:szCs w:val="9"/>
                <w:color w:val="auto"/>
              </w:rPr>
              <w:t xml:space="preserve"> (2)</w:t>
            </w:r>
          </w:p>
        </w:tc>
        <w:tc>
          <w:tcPr>
            <w:tcW w:w="620" w:type="dxa"/>
            <w:vAlign w:val="bottom"/>
            <w:gridSpan w:val="2"/>
            <w:shd w:val="clear" w:color="auto" w:fill="E5E5E5"/>
          </w:tcPr>
          <w:p>
            <w:pPr>
              <w:jc w:val="center"/>
              <w:ind w:right="100"/>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9"/>
                <w:szCs w:val="9"/>
                <w:color w:val="auto"/>
              </w:rPr>
              <w:t xml:space="preserve"> (2)</w:t>
            </w:r>
          </w:p>
        </w:tc>
        <w:tc>
          <w:tcPr>
            <w:tcW w:w="620" w:type="dxa"/>
            <w:vAlign w:val="bottom"/>
            <w:gridSpan w:val="2"/>
            <w:shd w:val="clear" w:color="auto" w:fill="E5E5E5"/>
          </w:tcPr>
          <w:p>
            <w:pPr>
              <w:jc w:val="center"/>
              <w:ind w:right="100"/>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9"/>
                <w:szCs w:val="9"/>
                <w:color w:val="auto"/>
              </w:rPr>
              <w:t xml:space="preserve"> (2)</w:t>
            </w:r>
          </w:p>
        </w:tc>
        <w:tc>
          <w:tcPr>
            <w:tcW w:w="520" w:type="dxa"/>
            <w:vAlign w:val="bottom"/>
            <w:gridSpan w:val="2"/>
            <w:shd w:val="clear" w:color="auto" w:fill="E5E5E5"/>
          </w:tcPr>
          <w:p>
            <w:pPr>
              <w:jc w:val="center"/>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9"/>
                <w:szCs w:val="9"/>
                <w:color w:val="auto"/>
              </w:rPr>
              <w:t xml:space="preserve"> (2)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89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2" w:lineRule="exact"/>
        <w:rPr>
          <w:sz w:val="20"/>
          <w:szCs w:val="20"/>
          <w:color w:val="auto"/>
        </w:rPr>
      </w:pPr>
    </w:p>
    <w:p>
      <w:pPr>
        <w:ind w:left="340" w:hanging="332"/>
        <w:spacing w:after="0"/>
        <w:tabs>
          <w:tab w:leader="none" w:pos="340" w:val="left"/>
        </w:tabs>
        <w:numPr>
          <w:ilvl w:val="0"/>
          <w:numId w:val="172"/>
        </w:numPr>
        <w:rPr>
          <w:rFonts w:ascii="Arial" w:cs="Arial" w:eastAsia="Arial" w:hAnsi="Arial"/>
          <w:sz w:val="14"/>
          <w:szCs w:val="14"/>
          <w:color w:val="auto"/>
        </w:rPr>
      </w:pPr>
      <w:r>
        <w:rPr>
          <w:rFonts w:ascii="Arial" w:cs="Arial" w:eastAsia="Arial" w:hAnsi="Arial"/>
          <w:sz w:val="14"/>
          <w:szCs w:val="14"/>
          <w:color w:val="auto"/>
        </w:rPr>
        <w:t>Expected return on plan assets is not applicable to retiree health benefits as these plans are not funded.</w:t>
      </w:r>
    </w:p>
    <w:p>
      <w:pPr>
        <w:ind w:left="340" w:hanging="332"/>
        <w:spacing w:after="0"/>
        <w:tabs>
          <w:tab w:leader="none" w:pos="340" w:val="left"/>
        </w:tabs>
        <w:numPr>
          <w:ilvl w:val="0"/>
          <w:numId w:val="172"/>
        </w:numPr>
        <w:rPr>
          <w:rFonts w:ascii="Arial" w:cs="Arial" w:eastAsia="Arial" w:hAnsi="Arial"/>
          <w:sz w:val="14"/>
          <w:szCs w:val="14"/>
          <w:color w:val="auto"/>
        </w:rPr>
      </w:pPr>
      <w:r>
        <w:rPr>
          <w:rFonts w:ascii="Arial" w:cs="Arial" w:eastAsia="Arial" w:hAnsi="Arial"/>
          <w:sz w:val="14"/>
          <w:szCs w:val="14"/>
          <w:color w:val="auto"/>
        </w:rPr>
        <w:t>Rate of compensation increase is not applicable to retiree health benefits as compensation levels do not impact earned benefits.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Assumed health care cost trend rates at December 31,</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00" w:type="dxa"/>
            <w:vAlign w:val="bottom"/>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2010</w:t>
            </w:r>
          </w:p>
        </w:tc>
        <w:tc>
          <w:tcPr>
            <w:tcW w:w="420" w:type="dxa"/>
            <w:vAlign w:val="bottom"/>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2009</w:t>
            </w:r>
          </w:p>
        </w:tc>
        <w:tc>
          <w:tcPr>
            <w:tcW w:w="220" w:type="dxa"/>
            <w:vAlign w:val="bottom"/>
          </w:tcPr>
          <w:p>
            <w:pPr>
              <w:spacing w:after="0"/>
              <w:rPr>
                <w:sz w:val="14"/>
                <w:szCs w:val="14"/>
                <w:color w:val="auto"/>
              </w:rPr>
            </w:pPr>
          </w:p>
        </w:tc>
      </w:tr>
      <w:tr>
        <w:trPr>
          <w:trHeight w:val="196"/>
        </w:trPr>
        <w:tc>
          <w:tcPr>
            <w:tcW w:w="9900" w:type="dxa"/>
            <w:vAlign w:val="bottom"/>
            <w:shd w:val="clear" w:color="auto" w:fill="E5E5E5"/>
          </w:tcPr>
          <w:p>
            <w:pPr>
              <w:spacing w:after="0" w:line="196" w:lineRule="exact"/>
              <w:rPr>
                <w:sz w:val="20"/>
                <w:szCs w:val="20"/>
                <w:color w:val="auto"/>
              </w:rPr>
            </w:pPr>
            <w:r>
              <w:rPr>
                <w:rFonts w:ascii="Arial" w:cs="Arial" w:eastAsia="Arial" w:hAnsi="Arial"/>
                <w:sz w:val="18"/>
                <w:szCs w:val="18"/>
                <w:color w:val="auto"/>
              </w:rPr>
              <w:t>Health care cost trend rate assumed for next year</w:t>
            </w:r>
          </w:p>
        </w:tc>
        <w:tc>
          <w:tcPr>
            <w:tcW w:w="860" w:type="dxa"/>
            <w:vAlign w:val="bottom"/>
            <w:gridSpan w:val="2"/>
            <w:shd w:val="clear" w:color="auto" w:fill="E5E5E5"/>
          </w:tcPr>
          <w:p>
            <w:pPr>
              <w:jc w:val="right"/>
              <w:ind w:right="260"/>
              <w:spacing w:after="0" w:line="196" w:lineRule="exact"/>
              <w:rPr>
                <w:sz w:val="20"/>
                <w:szCs w:val="20"/>
                <w:color w:val="auto"/>
              </w:rPr>
            </w:pPr>
            <w:r>
              <w:rPr>
                <w:rFonts w:ascii="Arial" w:cs="Arial" w:eastAsia="Arial" w:hAnsi="Arial"/>
                <w:sz w:val="18"/>
                <w:szCs w:val="18"/>
                <w:color w:val="auto"/>
              </w:rPr>
              <w:t>9.0%</w:t>
            </w:r>
          </w:p>
        </w:tc>
        <w:tc>
          <w:tcPr>
            <w:tcW w:w="660" w:type="dxa"/>
            <w:vAlign w:val="bottom"/>
            <w:gridSpan w:val="2"/>
            <w:shd w:val="clear" w:color="auto" w:fill="E5E5E5"/>
          </w:tcPr>
          <w:p>
            <w:pPr>
              <w:jc w:val="right"/>
              <w:ind w:right="60"/>
              <w:spacing w:after="0" w:line="196" w:lineRule="exact"/>
              <w:rPr>
                <w:sz w:val="20"/>
                <w:szCs w:val="20"/>
                <w:color w:val="auto"/>
              </w:rPr>
            </w:pPr>
            <w:r>
              <w:rPr>
                <w:rFonts w:ascii="Arial" w:cs="Arial" w:eastAsia="Arial" w:hAnsi="Arial"/>
                <w:sz w:val="18"/>
                <w:szCs w:val="18"/>
                <w:color w:val="auto"/>
              </w:rPr>
              <w:t>9.8%</w:t>
            </w:r>
          </w:p>
        </w:tc>
      </w:tr>
      <w:tr>
        <w:trPr>
          <w:trHeight w:val="203"/>
        </w:trPr>
        <w:tc>
          <w:tcPr>
            <w:tcW w:w="9900" w:type="dxa"/>
            <w:vAlign w:val="bottom"/>
          </w:tcPr>
          <w:p>
            <w:pPr>
              <w:spacing w:after="0" w:line="202" w:lineRule="exact"/>
              <w:rPr>
                <w:sz w:val="20"/>
                <w:szCs w:val="20"/>
                <w:color w:val="auto"/>
              </w:rPr>
            </w:pPr>
            <w:r>
              <w:rPr>
                <w:rFonts w:ascii="Arial" w:cs="Arial" w:eastAsia="Arial" w:hAnsi="Arial"/>
                <w:sz w:val="18"/>
                <w:szCs w:val="18"/>
                <w:color w:val="auto"/>
              </w:rPr>
              <w:t>Rate to which the cost trend rate is assumed to decline (the ultimate trend rate)</w:t>
            </w:r>
          </w:p>
        </w:tc>
        <w:tc>
          <w:tcPr>
            <w:tcW w:w="8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4.9%</w:t>
            </w:r>
          </w:p>
        </w:tc>
        <w:tc>
          <w:tcPr>
            <w:tcW w:w="6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4.9%</w:t>
            </w:r>
          </w:p>
        </w:tc>
      </w:tr>
      <w:tr>
        <w:trPr>
          <w:trHeight w:val="203"/>
        </w:trPr>
        <w:tc>
          <w:tcPr>
            <w:tcW w:w="99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Year that the rate reaches the ultimate trend rate</w:t>
            </w:r>
          </w:p>
        </w:tc>
        <w:tc>
          <w:tcPr>
            <w:tcW w:w="860" w:type="dxa"/>
            <w:vAlign w:val="bottom"/>
            <w:gridSpan w:val="2"/>
            <w:shd w:val="clear" w:color="auto" w:fill="E5E5E5"/>
          </w:tcPr>
          <w:p>
            <w:pPr>
              <w:jc w:val="right"/>
              <w:ind w:right="420"/>
              <w:spacing w:after="0" w:line="202" w:lineRule="exact"/>
              <w:rPr>
                <w:sz w:val="20"/>
                <w:szCs w:val="20"/>
                <w:color w:val="auto"/>
              </w:rPr>
            </w:pPr>
            <w:r>
              <w:rPr>
                <w:rFonts w:ascii="Arial" w:cs="Arial" w:eastAsia="Arial" w:hAnsi="Arial"/>
                <w:sz w:val="18"/>
                <w:szCs w:val="18"/>
                <w:color w:val="auto"/>
              </w:rPr>
              <w:t>2017</w:t>
            </w:r>
          </w:p>
        </w:tc>
        <w:tc>
          <w:tcPr>
            <w:tcW w:w="66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2017</w:t>
            </w:r>
          </w:p>
        </w:tc>
      </w:tr>
    </w:tbl>
    <w:p>
      <w:pPr>
        <w:spacing w:after="0" w:line="165"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Assumed health care cost trend rates have a significant effect on the amounts reported for the health care plans. A one-percentage-point change in assumed health care cost trend rates would have the following effects: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6"/>
              </w:rPr>
              <w:t>1% increase</w:t>
            </w:r>
          </w:p>
        </w:tc>
        <w:tc>
          <w:tcPr>
            <w:tcW w:w="200" w:type="dxa"/>
            <w:vAlign w:val="bottom"/>
          </w:tcPr>
          <w:p>
            <w:pPr>
              <w:spacing w:after="0"/>
              <w:rPr>
                <w:sz w:val="14"/>
                <w:szCs w:val="14"/>
                <w:color w:val="auto"/>
              </w:rPr>
            </w:pPr>
          </w:p>
        </w:tc>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5"/>
              </w:rPr>
              <w:t>1% decrease</w:t>
            </w:r>
          </w:p>
        </w:tc>
        <w:tc>
          <w:tcPr>
            <w:tcW w:w="100" w:type="dxa"/>
            <w:vAlign w:val="bottom"/>
          </w:tcPr>
          <w:p>
            <w:pPr>
              <w:spacing w:after="0"/>
              <w:rPr>
                <w:sz w:val="14"/>
                <w:szCs w:val="14"/>
                <w:color w:val="auto"/>
              </w:rPr>
            </w:pPr>
          </w:p>
        </w:tc>
      </w:tr>
      <w:tr>
        <w:trPr>
          <w:trHeight w:val="196"/>
        </w:trPr>
        <w:tc>
          <w:tcPr>
            <w:tcW w:w="7720" w:type="dxa"/>
            <w:vAlign w:val="bottom"/>
            <w:shd w:val="clear" w:color="auto" w:fill="E5E5E5"/>
          </w:tcPr>
          <w:p>
            <w:pPr>
              <w:spacing w:after="0" w:line="196" w:lineRule="exact"/>
              <w:rPr>
                <w:sz w:val="20"/>
                <w:szCs w:val="20"/>
                <w:color w:val="auto"/>
              </w:rPr>
            </w:pPr>
            <w:r>
              <w:rPr>
                <w:rFonts w:ascii="Arial" w:cs="Arial" w:eastAsia="Arial" w:hAnsi="Arial"/>
                <w:sz w:val="18"/>
                <w:szCs w:val="18"/>
                <w:color w:val="auto"/>
              </w:rPr>
              <w:t>Effect on total service and interest cost components</w:t>
            </w:r>
          </w:p>
        </w:tc>
        <w:tc>
          <w:tcPr>
            <w:tcW w:w="320" w:type="dxa"/>
            <w:vAlign w:val="bottom"/>
            <w:shd w:val="clear" w:color="auto" w:fill="E5E5E5"/>
          </w:tcPr>
          <w:p>
            <w:pPr>
              <w:spacing w:after="0" w:line="196"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E5E5E5"/>
          </w:tcPr>
          <w:p>
            <w:pPr>
              <w:jc w:val="right"/>
              <w:ind w:right="200"/>
              <w:spacing w:after="0" w:line="196" w:lineRule="exact"/>
              <w:rPr>
                <w:sz w:val="20"/>
                <w:szCs w:val="20"/>
                <w:color w:val="auto"/>
              </w:rPr>
            </w:pPr>
            <w:r>
              <w:rPr>
                <w:rFonts w:ascii="Arial" w:cs="Arial" w:eastAsia="Arial" w:hAnsi="Arial"/>
                <w:sz w:val="18"/>
                <w:szCs w:val="18"/>
                <w:color w:val="auto"/>
              </w:rPr>
              <w:t>6</w:t>
            </w:r>
          </w:p>
        </w:tc>
        <w:tc>
          <w:tcPr>
            <w:tcW w:w="320" w:type="dxa"/>
            <w:vAlign w:val="bottom"/>
            <w:shd w:val="clear" w:color="auto" w:fill="E5E5E5"/>
          </w:tcPr>
          <w:p>
            <w:pPr>
              <w:spacing w:after="0" w:line="196" w:lineRule="exact"/>
              <w:rPr>
                <w:sz w:val="20"/>
                <w:szCs w:val="20"/>
                <w:color w:val="auto"/>
              </w:rPr>
            </w:pPr>
            <w:r>
              <w:rPr>
                <w:rFonts w:ascii="Arial" w:cs="Arial" w:eastAsia="Arial" w:hAnsi="Arial"/>
                <w:sz w:val="18"/>
                <w:szCs w:val="18"/>
                <w:color w:val="auto"/>
              </w:rPr>
              <w:t>$</w:t>
            </w:r>
          </w:p>
        </w:tc>
        <w:tc>
          <w:tcPr>
            <w:tcW w:w="580" w:type="dxa"/>
            <w:vAlign w:val="bottom"/>
            <w:gridSpan w:val="2"/>
            <w:shd w:val="clear" w:color="auto" w:fill="E5E5E5"/>
          </w:tcPr>
          <w:p>
            <w:pPr>
              <w:jc w:val="right"/>
              <w:ind w:right="40"/>
              <w:spacing w:after="0" w:line="196" w:lineRule="exact"/>
              <w:rPr>
                <w:sz w:val="20"/>
                <w:szCs w:val="20"/>
                <w:color w:val="auto"/>
              </w:rPr>
            </w:pPr>
            <w:r>
              <w:rPr>
                <w:rFonts w:ascii="Arial" w:cs="Arial" w:eastAsia="Arial" w:hAnsi="Arial"/>
                <w:sz w:val="18"/>
                <w:szCs w:val="18"/>
                <w:color w:val="auto"/>
              </w:rPr>
              <w:t>(5)</w:t>
            </w:r>
          </w:p>
        </w:tc>
      </w:tr>
      <w:tr>
        <w:trPr>
          <w:trHeight w:val="214"/>
        </w:trPr>
        <w:tc>
          <w:tcPr>
            <w:tcW w:w="7720" w:type="dxa"/>
            <w:vAlign w:val="bottom"/>
          </w:tcPr>
          <w:p>
            <w:pPr>
              <w:spacing w:after="0"/>
              <w:rPr>
                <w:sz w:val="20"/>
                <w:szCs w:val="20"/>
                <w:color w:val="auto"/>
              </w:rPr>
            </w:pPr>
            <w:r>
              <w:rPr>
                <w:rFonts w:ascii="Arial" w:cs="Arial" w:eastAsia="Arial" w:hAnsi="Arial"/>
                <w:sz w:val="18"/>
                <w:szCs w:val="18"/>
                <w:color w:val="auto"/>
              </w:rPr>
              <w:t>Effect on post-retirement benefit obligation</w:t>
            </w:r>
          </w:p>
        </w:tc>
        <w:tc>
          <w:tcPr>
            <w:tcW w:w="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r>
    </w:tbl>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4C9F40"/>
        </w:rPr>
        <w:t>Note 16 – Income and Other Taxes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Income (loss) before income taxes for the three years ended December 31, 2010 was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color w:val="auto"/>
                <w:w w:val="89"/>
              </w:rPr>
              <w:t>2010</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color w:val="auto"/>
                <w:w w:val="89"/>
              </w:rPr>
              <w:t>2009</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color w:val="auto"/>
                <w:w w:val="96"/>
              </w:rPr>
              <w:t>2008</w:t>
            </w:r>
          </w:p>
        </w:tc>
        <w:tc>
          <w:tcPr>
            <w:tcW w:w="10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9300" w:type="dxa"/>
            <w:vAlign w:val="bottom"/>
            <w:shd w:val="clear" w:color="auto" w:fill="E5E5E5"/>
          </w:tcPr>
          <w:p>
            <w:pPr>
              <w:spacing w:after="0" w:line="196" w:lineRule="exact"/>
              <w:rPr>
                <w:sz w:val="20"/>
                <w:szCs w:val="20"/>
                <w:color w:val="auto"/>
              </w:rPr>
            </w:pPr>
            <w:r>
              <w:rPr>
                <w:rFonts w:ascii="Arial" w:cs="Arial" w:eastAsia="Arial" w:hAnsi="Arial"/>
                <w:sz w:val="18"/>
                <w:szCs w:val="18"/>
                <w:color w:val="auto"/>
              </w:rPr>
              <w:t>Domestic income (loss)</w:t>
            </w:r>
          </w:p>
        </w:tc>
        <w:tc>
          <w:tcPr>
            <w:tcW w:w="10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E5E5E5"/>
          </w:tcPr>
          <w:p>
            <w:pPr>
              <w:jc w:val="right"/>
              <w:ind w:right="200"/>
              <w:spacing w:after="0" w:line="196" w:lineRule="exact"/>
              <w:rPr>
                <w:sz w:val="20"/>
                <w:szCs w:val="20"/>
                <w:color w:val="auto"/>
              </w:rPr>
            </w:pPr>
            <w:r>
              <w:rPr>
                <w:rFonts w:ascii="Arial" w:cs="Arial" w:eastAsia="Arial" w:hAnsi="Arial"/>
                <w:sz w:val="18"/>
                <w:szCs w:val="18"/>
                <w:color w:val="auto"/>
              </w:rPr>
              <w:t>433</w:t>
            </w:r>
          </w:p>
        </w:tc>
        <w:tc>
          <w:tcPr>
            <w:tcW w:w="10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rPr>
              <w:t>45</w:t>
            </w:r>
          </w:p>
        </w:tc>
        <w:tc>
          <w:tcPr>
            <w:tcW w:w="340" w:type="dxa"/>
            <w:vAlign w:val="bottom"/>
            <w:gridSpan w:val="2"/>
            <w:shd w:val="clear" w:color="auto" w:fill="E5E5E5"/>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560" w:type="dxa"/>
            <w:vAlign w:val="bottom"/>
            <w:gridSpan w:val="2"/>
            <w:shd w:val="clear" w:color="auto" w:fill="E5E5E5"/>
          </w:tcPr>
          <w:p>
            <w:pPr>
              <w:jc w:val="right"/>
              <w:ind w:right="40"/>
              <w:spacing w:after="0" w:line="196" w:lineRule="exact"/>
              <w:rPr>
                <w:sz w:val="20"/>
                <w:szCs w:val="20"/>
                <w:color w:val="auto"/>
              </w:rPr>
            </w:pPr>
            <w:r>
              <w:rPr>
                <w:rFonts w:ascii="Arial" w:cs="Arial" w:eastAsia="Arial" w:hAnsi="Arial"/>
                <w:sz w:val="18"/>
                <w:szCs w:val="18"/>
                <w:color w:val="auto"/>
              </w:rPr>
              <w:t>(622)</w:t>
            </w:r>
          </w:p>
        </w:tc>
      </w:tr>
      <w:tr>
        <w:trPr>
          <w:trHeight w:val="210"/>
        </w:trPr>
        <w:tc>
          <w:tcPr>
            <w:tcW w:w="9320" w:type="dxa"/>
            <w:vAlign w:val="bottom"/>
            <w:gridSpan w:val="2"/>
          </w:tcPr>
          <w:p>
            <w:pPr>
              <w:spacing w:after="0" w:line="202" w:lineRule="exact"/>
              <w:rPr>
                <w:sz w:val="20"/>
                <w:szCs w:val="20"/>
                <w:color w:val="auto"/>
              </w:rPr>
            </w:pPr>
            <w:r>
              <w:rPr>
                <w:rFonts w:ascii="Arial" w:cs="Arial" w:eastAsia="Arial" w:hAnsi="Arial"/>
                <w:sz w:val="18"/>
                <w:szCs w:val="18"/>
                <w:color w:val="auto"/>
              </w:rPr>
              <w:t>Foreign income</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382</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582</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543</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930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Income (Loss) Before Income Taxes</w:t>
            </w:r>
          </w:p>
        </w:tc>
        <w:tc>
          <w:tcPr>
            <w:tcW w:w="1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815</w:t>
            </w:r>
          </w:p>
        </w:tc>
        <w:tc>
          <w:tcPr>
            <w:tcW w:w="200" w:type="dxa"/>
            <w:vAlign w:val="bottom"/>
            <w:shd w:val="clear" w:color="auto" w:fill="E5E5E5"/>
          </w:tcPr>
          <w:p>
            <w:pPr>
              <w:spacing w:after="0"/>
              <w:rPr>
                <w:sz w:val="17"/>
                <w:szCs w:val="17"/>
                <w:color w:val="auto"/>
              </w:rPr>
            </w:pPr>
          </w:p>
        </w:tc>
        <w:tc>
          <w:tcPr>
            <w:tcW w:w="1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627</w:t>
            </w:r>
          </w:p>
        </w:tc>
        <w:tc>
          <w:tcPr>
            <w:tcW w:w="34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(79)</w:t>
            </w:r>
          </w:p>
        </w:tc>
      </w:tr>
      <w:tr>
        <w:trPr>
          <w:trHeight w:val="20"/>
        </w:trPr>
        <w:tc>
          <w:tcPr>
            <w:tcW w:w="2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jc w:val="right"/>
        <w:spacing w:after="0"/>
        <w:rPr>
          <w:sz w:val="20"/>
          <w:szCs w:val="20"/>
          <w:color w:val="auto"/>
        </w:rPr>
      </w:pPr>
      <w:r>
        <w:rPr>
          <w:rFonts w:ascii="Arial" w:cs="Arial" w:eastAsia="Arial" w:hAnsi="Arial"/>
          <w:sz w:val="14"/>
          <w:szCs w:val="14"/>
          <w:color w:val="4C9F40"/>
        </w:rPr>
        <w:t>Xerox 2010 Annual Report 89</w:t>
      </w:r>
    </w:p>
    <w:p>
      <w:pPr>
        <w:sectPr>
          <w:pgSz w:w="11900" w:h="16838" w:orient="portrait"/>
          <w:cols w:equalWidth="0" w:num="1">
            <w:col w:w="11420"/>
          </w:cols>
          <w:pgMar w:left="240" w:top="404" w:right="23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Provisions (benefits) for income taxes for the three years ended December 31, 2010 was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w w:val="89"/>
              </w:rPr>
              <w:t>2010</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w w:val="89"/>
              </w:rPr>
              <w:t>2009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w w:val="96"/>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320" w:type="dxa"/>
            <w:vAlign w:val="bottom"/>
            <w:shd w:val="clear" w:color="auto" w:fill="E5E5E5"/>
          </w:tcPr>
          <w:p>
            <w:pPr>
              <w:spacing w:after="0" w:line="196" w:lineRule="exact"/>
              <w:rPr>
                <w:sz w:val="20"/>
                <w:szCs w:val="20"/>
                <w:color w:val="auto"/>
              </w:rPr>
            </w:pPr>
            <w:r>
              <w:rPr>
                <w:rFonts w:ascii="Arial" w:cs="Arial" w:eastAsia="Arial" w:hAnsi="Arial"/>
                <w:sz w:val="18"/>
                <w:szCs w:val="18"/>
                <w:color w:val="auto"/>
              </w:rPr>
              <w:t>Federal income taxes</w:t>
            </w:r>
          </w:p>
        </w:tc>
        <w:tc>
          <w:tcPr>
            <w:tcW w:w="10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320" w:type="dxa"/>
            <w:vAlign w:val="bottom"/>
          </w:tcPr>
          <w:p>
            <w:pPr>
              <w:ind w:left="440"/>
              <w:spacing w:after="0" w:line="202" w:lineRule="exact"/>
              <w:rPr>
                <w:sz w:val="20"/>
                <w:szCs w:val="20"/>
                <w:color w:val="auto"/>
              </w:rPr>
            </w:pPr>
            <w:r>
              <w:rPr>
                <w:rFonts w:ascii="Arial" w:cs="Arial" w:eastAsia="Arial" w:hAnsi="Arial"/>
                <w:sz w:val="18"/>
                <w:szCs w:val="18"/>
                <w:color w:val="auto"/>
              </w:rPr>
              <w:t>Current</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153</w:t>
            </w:r>
          </w:p>
        </w:tc>
        <w:tc>
          <w:tcPr>
            <w:tcW w:w="20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(50)</w:t>
            </w:r>
          </w:p>
        </w:tc>
        <w:tc>
          <w:tcPr>
            <w:tcW w:w="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3"/>
        </w:trPr>
        <w:tc>
          <w:tcPr>
            <w:tcW w:w="9320" w:type="dxa"/>
            <w:vAlign w:val="bottom"/>
            <w:shd w:val="clear" w:color="auto" w:fill="E5E5E5"/>
          </w:tcPr>
          <w:p>
            <w:pPr>
              <w:ind w:left="440"/>
              <w:spacing w:after="0" w:line="202" w:lineRule="exact"/>
              <w:rPr>
                <w:sz w:val="20"/>
                <w:szCs w:val="20"/>
                <w:color w:val="auto"/>
              </w:rPr>
            </w:pPr>
            <w:r>
              <w:rPr>
                <w:rFonts w:ascii="Arial" w:cs="Arial" w:eastAsia="Arial" w:hAnsi="Arial"/>
                <w:sz w:val="18"/>
                <w:szCs w:val="18"/>
                <w:color w:val="auto"/>
              </w:rPr>
              <w:t>Deferred</w:t>
            </w:r>
          </w:p>
        </w:tc>
        <w:tc>
          <w:tcPr>
            <w:tcW w:w="100" w:type="dxa"/>
            <w:vAlign w:val="bottom"/>
            <w:shd w:val="clear" w:color="auto" w:fill="E5E5E5"/>
          </w:tcPr>
          <w:p>
            <w:pPr>
              <w:spacing w:after="0"/>
              <w:rPr>
                <w:sz w:val="17"/>
                <w:szCs w:val="17"/>
                <w:color w:val="auto"/>
              </w:rPr>
            </w:pPr>
          </w:p>
        </w:tc>
        <w:tc>
          <w:tcPr>
            <w:tcW w:w="60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(17)</w:t>
            </w:r>
          </w:p>
        </w:tc>
        <w:tc>
          <w:tcPr>
            <w:tcW w:w="100" w:type="dxa"/>
            <w:vAlign w:val="bottom"/>
            <w:shd w:val="clear" w:color="auto" w:fill="E5E5E5"/>
          </w:tcPr>
          <w:p>
            <w:pPr>
              <w:spacing w:after="0"/>
              <w:rPr>
                <w:sz w:val="17"/>
                <w:szCs w:val="17"/>
                <w:color w:val="auto"/>
              </w:rPr>
            </w:pPr>
          </w:p>
        </w:tc>
        <w:tc>
          <w:tcPr>
            <w:tcW w:w="4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109</w:t>
            </w:r>
          </w:p>
        </w:tc>
        <w:tc>
          <w:tcPr>
            <w:tcW w:w="1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56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03"/>
        </w:trPr>
        <w:tc>
          <w:tcPr>
            <w:tcW w:w="9320" w:type="dxa"/>
            <w:vAlign w:val="bottom"/>
          </w:tcPr>
          <w:p>
            <w:pPr>
              <w:spacing w:after="0" w:line="202" w:lineRule="exact"/>
              <w:rPr>
                <w:sz w:val="20"/>
                <w:szCs w:val="20"/>
                <w:color w:val="auto"/>
              </w:rPr>
            </w:pPr>
            <w:r>
              <w:rPr>
                <w:rFonts w:ascii="Arial" w:cs="Arial" w:eastAsia="Arial" w:hAnsi="Arial"/>
                <w:sz w:val="18"/>
                <w:szCs w:val="18"/>
                <w:color w:val="auto"/>
              </w:rPr>
              <w:t>Foreign income taxes</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320" w:type="dxa"/>
            <w:vAlign w:val="bottom"/>
            <w:shd w:val="clear" w:color="auto" w:fill="E5E5E5"/>
          </w:tcPr>
          <w:p>
            <w:pPr>
              <w:ind w:left="440"/>
              <w:spacing w:after="0" w:line="202" w:lineRule="exact"/>
              <w:rPr>
                <w:sz w:val="20"/>
                <w:szCs w:val="20"/>
                <w:color w:val="auto"/>
              </w:rPr>
            </w:pPr>
            <w:r>
              <w:rPr>
                <w:rFonts w:ascii="Arial" w:cs="Arial" w:eastAsia="Arial" w:hAnsi="Arial"/>
                <w:sz w:val="18"/>
                <w:szCs w:val="18"/>
                <w:color w:val="auto"/>
              </w:rPr>
              <w:t>Current</w:t>
            </w:r>
          </w:p>
        </w:tc>
        <w:tc>
          <w:tcPr>
            <w:tcW w:w="100" w:type="dxa"/>
            <w:vAlign w:val="bottom"/>
            <w:shd w:val="clear" w:color="auto" w:fill="E5E5E5"/>
          </w:tcPr>
          <w:p>
            <w:pPr>
              <w:spacing w:after="0"/>
              <w:rPr>
                <w:sz w:val="17"/>
                <w:szCs w:val="17"/>
                <w:color w:val="auto"/>
              </w:rPr>
            </w:pPr>
          </w:p>
        </w:tc>
        <w:tc>
          <w:tcPr>
            <w:tcW w:w="4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59</w:t>
            </w:r>
          </w:p>
        </w:tc>
        <w:tc>
          <w:tcPr>
            <w:tcW w:w="2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4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84</w:t>
            </w:r>
          </w:p>
        </w:tc>
        <w:tc>
          <w:tcPr>
            <w:tcW w:w="1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4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118</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320" w:type="dxa"/>
            <w:vAlign w:val="bottom"/>
          </w:tcPr>
          <w:p>
            <w:pPr>
              <w:ind w:left="440"/>
              <w:spacing w:after="0" w:line="202" w:lineRule="exact"/>
              <w:rPr>
                <w:sz w:val="20"/>
                <w:szCs w:val="20"/>
                <w:color w:val="auto"/>
              </w:rPr>
            </w:pPr>
            <w:r>
              <w:rPr>
                <w:rFonts w:ascii="Arial" w:cs="Arial" w:eastAsia="Arial" w:hAnsi="Arial"/>
                <w:sz w:val="18"/>
                <w:szCs w:val="18"/>
                <w:color w:val="auto"/>
              </w:rPr>
              <w:t>Deferred</w:t>
            </w:r>
          </w:p>
        </w:tc>
        <w:tc>
          <w:tcPr>
            <w:tcW w:w="10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93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State income taxes</w:t>
            </w:r>
          </w:p>
        </w:tc>
        <w:tc>
          <w:tcPr>
            <w:tcW w:w="10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320" w:type="dxa"/>
            <w:vAlign w:val="bottom"/>
          </w:tcPr>
          <w:p>
            <w:pPr>
              <w:ind w:left="440"/>
              <w:spacing w:after="0" w:line="202" w:lineRule="exact"/>
              <w:rPr>
                <w:sz w:val="20"/>
                <w:szCs w:val="20"/>
                <w:color w:val="auto"/>
              </w:rPr>
            </w:pPr>
            <w:r>
              <w:rPr>
                <w:rFonts w:ascii="Arial" w:cs="Arial" w:eastAsia="Arial" w:hAnsi="Arial"/>
                <w:sz w:val="18"/>
                <w:szCs w:val="18"/>
                <w:color w:val="auto"/>
              </w:rPr>
              <w:t>Current</w:t>
            </w:r>
          </w:p>
        </w:tc>
        <w:tc>
          <w:tcPr>
            <w:tcW w:w="10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46</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9320" w:type="dxa"/>
            <w:vAlign w:val="bottom"/>
            <w:shd w:val="clear" w:color="auto" w:fill="E5E5E5"/>
          </w:tcPr>
          <w:p>
            <w:pPr>
              <w:ind w:left="440"/>
              <w:spacing w:after="0" w:line="202" w:lineRule="exact"/>
              <w:rPr>
                <w:sz w:val="20"/>
                <w:szCs w:val="20"/>
                <w:color w:val="auto"/>
              </w:rPr>
            </w:pPr>
            <w:r>
              <w:rPr>
                <w:rFonts w:ascii="Arial" w:cs="Arial" w:eastAsia="Arial" w:hAnsi="Arial"/>
                <w:sz w:val="18"/>
                <w:szCs w:val="18"/>
                <w:color w:val="auto"/>
              </w:rPr>
              <w:t>Deferred</w:t>
            </w:r>
          </w:p>
        </w:tc>
        <w:tc>
          <w:tcPr>
            <w:tcW w:w="100" w:type="dxa"/>
            <w:vAlign w:val="bottom"/>
            <w:shd w:val="clear" w:color="auto" w:fill="E5E5E5"/>
          </w:tcPr>
          <w:p>
            <w:pPr>
              <w:spacing w:after="0"/>
              <w:rPr>
                <w:sz w:val="17"/>
                <w:szCs w:val="17"/>
                <w:color w:val="auto"/>
              </w:rPr>
            </w:pPr>
          </w:p>
        </w:tc>
        <w:tc>
          <w:tcPr>
            <w:tcW w:w="4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7</w:t>
            </w:r>
          </w:p>
        </w:tc>
        <w:tc>
          <w:tcPr>
            <w:tcW w:w="2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54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56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9320" w:type="dxa"/>
            <w:vAlign w:val="bottom"/>
            <w:vMerge w:val="restart"/>
          </w:tcPr>
          <w:p>
            <w:pPr>
              <w:spacing w:after="0"/>
              <w:rPr>
                <w:sz w:val="20"/>
                <w:szCs w:val="20"/>
                <w:color w:val="auto"/>
              </w:rPr>
            </w:pPr>
            <w:r>
              <w:rPr>
                <w:rFonts w:ascii="Arial" w:cs="Arial" w:eastAsia="Arial" w:hAnsi="Arial"/>
                <w:sz w:val="18"/>
                <w:szCs w:val="18"/>
                <w:b w:val="1"/>
                <w:bCs w:val="1"/>
                <w:color w:val="auto"/>
              </w:rPr>
              <w:t>Total Provision (Benefits)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3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256</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152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0"/>
        </w:trPr>
        <w:tc>
          <w:tcPr>
            <w:tcW w:w="9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A reconciliation of the U.S. federal statutory income tax rate to the consolidated effective income tax rate for the three years ended December 31, 2010 was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2010</w:t>
            </w:r>
          </w:p>
        </w:tc>
        <w:tc>
          <w:tcPr>
            <w:tcW w:w="32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2009</w:t>
            </w:r>
          </w:p>
        </w:tc>
        <w:tc>
          <w:tcPr>
            <w:tcW w:w="300" w:type="dxa"/>
            <w:vAlign w:val="bottom"/>
          </w:tcPr>
          <w:p>
            <w:pPr>
              <w:spacing w:after="0"/>
              <w:rPr>
                <w:sz w:val="14"/>
                <w:szCs w:val="14"/>
                <w:color w:val="auto"/>
              </w:rPr>
            </w:pPr>
          </w:p>
        </w:tc>
        <w:tc>
          <w:tcPr>
            <w:tcW w:w="5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2008</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360" w:type="dxa"/>
            <w:vAlign w:val="bottom"/>
            <w:shd w:val="clear" w:color="auto" w:fill="E5E5E5"/>
          </w:tcPr>
          <w:p>
            <w:pPr>
              <w:spacing w:after="0" w:line="196" w:lineRule="exact"/>
              <w:rPr>
                <w:sz w:val="20"/>
                <w:szCs w:val="20"/>
                <w:color w:val="auto"/>
              </w:rPr>
            </w:pPr>
            <w:r>
              <w:rPr>
                <w:rFonts w:ascii="Arial" w:cs="Arial" w:eastAsia="Arial" w:hAnsi="Arial"/>
                <w:sz w:val="18"/>
                <w:szCs w:val="18"/>
                <w:color w:val="auto"/>
              </w:rPr>
              <w:t>U.S. federal statutory income tax rate</w:t>
            </w:r>
          </w:p>
        </w:tc>
        <w:tc>
          <w:tcPr>
            <w:tcW w:w="720" w:type="dxa"/>
            <w:vAlign w:val="bottom"/>
            <w:gridSpan w:val="2"/>
            <w:shd w:val="clear" w:color="auto" w:fill="E5E5E5"/>
          </w:tcPr>
          <w:p>
            <w:pPr>
              <w:jc w:val="right"/>
              <w:ind w:right="160"/>
              <w:spacing w:after="0" w:line="196" w:lineRule="exact"/>
              <w:rPr>
                <w:sz w:val="20"/>
                <w:szCs w:val="20"/>
                <w:color w:val="auto"/>
              </w:rPr>
            </w:pPr>
            <w:r>
              <w:rPr>
                <w:rFonts w:ascii="Arial" w:cs="Arial" w:eastAsia="Arial" w:hAnsi="Arial"/>
                <w:sz w:val="18"/>
                <w:szCs w:val="18"/>
                <w:color w:val="auto"/>
              </w:rPr>
              <w:t>35.0%</w:t>
            </w:r>
          </w:p>
        </w:tc>
        <w:tc>
          <w:tcPr>
            <w:tcW w:w="700" w:type="dxa"/>
            <w:vAlign w:val="bottom"/>
            <w:gridSpan w:val="2"/>
            <w:shd w:val="clear" w:color="auto" w:fill="E5E5E5"/>
          </w:tcPr>
          <w:p>
            <w:pPr>
              <w:jc w:val="right"/>
              <w:ind w:right="140"/>
              <w:spacing w:after="0" w:line="196" w:lineRule="exact"/>
              <w:rPr>
                <w:sz w:val="20"/>
                <w:szCs w:val="20"/>
                <w:color w:val="auto"/>
              </w:rPr>
            </w:pPr>
            <w:r>
              <w:rPr>
                <w:rFonts w:ascii="Arial" w:cs="Arial" w:eastAsia="Arial" w:hAnsi="Arial"/>
                <w:sz w:val="18"/>
                <w:szCs w:val="18"/>
                <w:color w:val="auto"/>
              </w:rPr>
              <w:t>35.0%</w:t>
            </w:r>
          </w:p>
        </w:tc>
        <w:tc>
          <w:tcPr>
            <w:tcW w:w="720" w:type="dxa"/>
            <w:vAlign w:val="bottom"/>
            <w:gridSpan w:val="2"/>
            <w:shd w:val="clear" w:color="auto" w:fill="E5E5E5"/>
          </w:tcPr>
          <w:p>
            <w:pPr>
              <w:jc w:val="right"/>
              <w:ind w:right="60"/>
              <w:spacing w:after="0" w:line="196" w:lineRule="exact"/>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03"/>
        </w:trPr>
        <w:tc>
          <w:tcPr>
            <w:tcW w:w="8360" w:type="dxa"/>
            <w:vAlign w:val="bottom"/>
          </w:tcPr>
          <w:p>
            <w:pPr>
              <w:spacing w:after="0" w:line="202" w:lineRule="exact"/>
              <w:rPr>
                <w:sz w:val="20"/>
                <w:szCs w:val="20"/>
                <w:color w:val="auto"/>
              </w:rPr>
            </w:pPr>
            <w:r>
              <w:rPr>
                <w:rFonts w:ascii="Arial" w:cs="Arial" w:eastAsia="Arial" w:hAnsi="Arial"/>
                <w:sz w:val="18"/>
                <w:szCs w:val="18"/>
                <w:color w:val="auto"/>
              </w:rPr>
              <w:t>Nondeductible expenses</w:t>
            </w:r>
          </w:p>
        </w:tc>
        <w:tc>
          <w:tcPr>
            <w:tcW w:w="7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6.3</w:t>
            </w:r>
          </w:p>
        </w:tc>
        <w:tc>
          <w:tcPr>
            <w:tcW w:w="7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3.2</w:t>
            </w:r>
          </w:p>
        </w:tc>
        <w:tc>
          <w:tcPr>
            <w:tcW w:w="7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03"/>
        </w:trPr>
        <w:tc>
          <w:tcPr>
            <w:tcW w:w="83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Effect of tax law changes</w:t>
            </w:r>
          </w:p>
        </w:tc>
        <w:tc>
          <w:tcPr>
            <w:tcW w:w="720" w:type="dxa"/>
            <w:vAlign w:val="bottom"/>
            <w:gridSpan w:val="2"/>
            <w:shd w:val="clear" w:color="auto" w:fill="E5E5E5"/>
          </w:tcPr>
          <w:p>
            <w:pPr>
              <w:jc w:val="right"/>
              <w:ind w:right="260"/>
              <w:spacing w:after="0" w:line="202" w:lineRule="exact"/>
              <w:rPr>
                <w:sz w:val="20"/>
                <w:szCs w:val="20"/>
                <w:color w:val="auto"/>
              </w:rPr>
            </w:pPr>
            <w:r>
              <w:rPr>
                <w:rFonts w:ascii="Arial" w:cs="Arial" w:eastAsia="Arial" w:hAnsi="Arial"/>
                <w:sz w:val="18"/>
                <w:szCs w:val="18"/>
                <w:color w:val="auto"/>
              </w:rPr>
              <w:t>(0.2)</w:t>
            </w:r>
          </w:p>
        </w:tc>
        <w:tc>
          <w:tcPr>
            <w:tcW w:w="700" w:type="dxa"/>
            <w:vAlign w:val="bottom"/>
            <w:gridSpan w:val="2"/>
            <w:shd w:val="clear" w:color="auto" w:fill="E5E5E5"/>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3"/>
        </w:trPr>
        <w:tc>
          <w:tcPr>
            <w:tcW w:w="8360" w:type="dxa"/>
            <w:vAlign w:val="bottom"/>
          </w:tcPr>
          <w:p>
            <w:pPr>
              <w:spacing w:after="0" w:line="202" w:lineRule="exact"/>
              <w:rPr>
                <w:sz w:val="20"/>
                <w:szCs w:val="20"/>
                <w:color w:val="auto"/>
              </w:rPr>
            </w:pPr>
            <w:r>
              <w:rPr>
                <w:rFonts w:ascii="Arial" w:cs="Arial" w:eastAsia="Arial" w:hAnsi="Arial"/>
                <w:sz w:val="18"/>
                <w:szCs w:val="18"/>
                <w:color w:val="auto"/>
              </w:rPr>
              <w:t>Change in valuation allowance for deferred tax assets</w:t>
            </w:r>
          </w:p>
        </w:tc>
        <w:tc>
          <w:tcPr>
            <w:tcW w:w="7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2.6</w:t>
            </w:r>
          </w:p>
        </w:tc>
        <w:tc>
          <w:tcPr>
            <w:tcW w:w="7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(1.7)</w:t>
            </w:r>
          </w:p>
        </w:tc>
        <w:tc>
          <w:tcPr>
            <w:tcW w:w="7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03"/>
        </w:trPr>
        <w:tc>
          <w:tcPr>
            <w:tcW w:w="83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State taxes, net of federal benefit</w:t>
            </w:r>
          </w:p>
        </w:tc>
        <w:tc>
          <w:tcPr>
            <w:tcW w:w="720" w:type="dxa"/>
            <w:vAlign w:val="bottom"/>
            <w:gridSpan w:val="2"/>
            <w:shd w:val="clear" w:color="auto" w:fill="E5E5E5"/>
          </w:tcPr>
          <w:p>
            <w:pPr>
              <w:jc w:val="right"/>
              <w:ind w:right="320"/>
              <w:spacing w:after="0" w:line="202" w:lineRule="exact"/>
              <w:rPr>
                <w:sz w:val="20"/>
                <w:szCs w:val="20"/>
                <w:color w:val="auto"/>
              </w:rPr>
            </w:pPr>
            <w:r>
              <w:rPr>
                <w:rFonts w:ascii="Arial" w:cs="Arial" w:eastAsia="Arial" w:hAnsi="Arial"/>
                <w:sz w:val="18"/>
                <w:szCs w:val="18"/>
                <w:color w:val="auto"/>
              </w:rPr>
              <w:t>2.0</w:t>
            </w:r>
          </w:p>
        </w:tc>
        <w:tc>
          <w:tcPr>
            <w:tcW w:w="70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color w:val="auto"/>
              </w:rPr>
              <w:t>(0.2)</w:t>
            </w:r>
          </w:p>
        </w:tc>
        <w:tc>
          <w:tcPr>
            <w:tcW w:w="72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03"/>
        </w:trPr>
        <w:tc>
          <w:tcPr>
            <w:tcW w:w="8360" w:type="dxa"/>
            <w:vAlign w:val="bottom"/>
          </w:tcPr>
          <w:p>
            <w:pPr>
              <w:spacing w:after="0" w:line="202" w:lineRule="exact"/>
              <w:rPr>
                <w:sz w:val="20"/>
                <w:szCs w:val="20"/>
                <w:color w:val="auto"/>
              </w:rPr>
            </w:pPr>
            <w:r>
              <w:rPr>
                <w:rFonts w:ascii="Arial" w:cs="Arial" w:eastAsia="Arial" w:hAnsi="Arial"/>
                <w:sz w:val="18"/>
                <w:szCs w:val="18"/>
                <w:color w:val="auto"/>
              </w:rPr>
              <w:t>Audit and other tax return adjustments</w:t>
            </w:r>
          </w:p>
        </w:tc>
        <w:tc>
          <w:tcPr>
            <w:tcW w:w="7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(4.2)</w:t>
            </w:r>
          </w:p>
        </w:tc>
        <w:tc>
          <w:tcPr>
            <w:tcW w:w="7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(8.7)</w:t>
            </w:r>
          </w:p>
        </w:tc>
        <w:tc>
          <w:tcPr>
            <w:tcW w:w="7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03"/>
        </w:trPr>
        <w:tc>
          <w:tcPr>
            <w:tcW w:w="83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Tax-exempt income</w:t>
            </w:r>
          </w:p>
        </w:tc>
        <w:tc>
          <w:tcPr>
            <w:tcW w:w="720" w:type="dxa"/>
            <w:vAlign w:val="bottom"/>
            <w:gridSpan w:val="2"/>
            <w:shd w:val="clear" w:color="auto" w:fill="E5E5E5"/>
          </w:tcPr>
          <w:p>
            <w:pPr>
              <w:jc w:val="right"/>
              <w:ind w:right="260"/>
              <w:spacing w:after="0" w:line="202" w:lineRule="exact"/>
              <w:rPr>
                <w:sz w:val="20"/>
                <w:szCs w:val="20"/>
                <w:color w:val="auto"/>
              </w:rPr>
            </w:pPr>
            <w:r>
              <w:rPr>
                <w:rFonts w:ascii="Arial" w:cs="Arial" w:eastAsia="Arial" w:hAnsi="Arial"/>
                <w:sz w:val="18"/>
                <w:szCs w:val="18"/>
                <w:color w:val="auto"/>
              </w:rPr>
              <w:t>(0.4)</w:t>
            </w:r>
          </w:p>
        </w:tc>
        <w:tc>
          <w:tcPr>
            <w:tcW w:w="70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color w:val="auto"/>
              </w:rPr>
              <w:t>(0.5)</w:t>
            </w:r>
          </w:p>
        </w:tc>
        <w:tc>
          <w:tcPr>
            <w:tcW w:w="72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3"/>
        </w:trPr>
        <w:tc>
          <w:tcPr>
            <w:tcW w:w="8360" w:type="dxa"/>
            <w:vAlign w:val="bottom"/>
          </w:tcPr>
          <w:p>
            <w:pPr>
              <w:spacing w:after="0" w:line="202" w:lineRule="exact"/>
              <w:rPr>
                <w:sz w:val="20"/>
                <w:szCs w:val="20"/>
                <w:color w:val="auto"/>
              </w:rPr>
            </w:pPr>
            <w:r>
              <w:rPr>
                <w:rFonts w:ascii="Arial" w:cs="Arial" w:eastAsia="Arial" w:hAnsi="Arial"/>
                <w:sz w:val="18"/>
                <w:szCs w:val="18"/>
                <w:color w:val="auto"/>
              </w:rPr>
              <w:t>Other foreign, including earnings taxed at different rates</w:t>
            </w:r>
          </w:p>
        </w:tc>
        <w:tc>
          <w:tcPr>
            <w:tcW w:w="7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(8.1)</w:t>
            </w:r>
          </w:p>
        </w:tc>
        <w:tc>
          <w:tcPr>
            <w:tcW w:w="7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(3.7)</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148.9</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Other</w:t>
            </w:r>
          </w:p>
        </w:tc>
        <w:tc>
          <w:tcPr>
            <w:tcW w:w="720" w:type="dxa"/>
            <w:vAlign w:val="bottom"/>
            <w:gridSpan w:val="2"/>
            <w:shd w:val="clear" w:color="auto" w:fill="E5E5E5"/>
          </w:tcPr>
          <w:p>
            <w:pPr>
              <w:jc w:val="right"/>
              <w:ind w:right="260"/>
              <w:spacing w:after="0" w:line="202" w:lineRule="exact"/>
              <w:rPr>
                <w:sz w:val="20"/>
                <w:szCs w:val="20"/>
                <w:color w:val="auto"/>
              </w:rPr>
            </w:pPr>
            <w:r>
              <w:rPr>
                <w:rFonts w:ascii="Arial" w:cs="Arial" w:eastAsia="Arial" w:hAnsi="Arial"/>
                <w:sz w:val="18"/>
                <w:szCs w:val="18"/>
                <w:color w:val="auto"/>
              </w:rPr>
              <w:t>(1.6)</w:t>
            </w:r>
          </w:p>
        </w:tc>
        <w:tc>
          <w:tcPr>
            <w:tcW w:w="700" w:type="dxa"/>
            <w:vAlign w:val="bottom"/>
            <w:gridSpan w:val="2"/>
            <w:shd w:val="clear" w:color="auto" w:fill="E5E5E5"/>
          </w:tcPr>
          <w:p>
            <w:pPr>
              <w:jc w:val="right"/>
              <w:ind w:right="300"/>
              <w:spacing w:after="0" w:line="202" w:lineRule="exact"/>
              <w:rPr>
                <w:sz w:val="20"/>
                <w:szCs w:val="20"/>
                <w:color w:val="auto"/>
              </w:rPr>
            </w:pPr>
            <w:r>
              <w:rPr>
                <w:rFonts w:ascii="Arial" w:cs="Arial" w:eastAsia="Arial" w:hAnsi="Arial"/>
                <w:sz w:val="18"/>
                <w:szCs w:val="18"/>
                <w:color w:val="auto"/>
              </w:rPr>
              <w:t>0.8</w:t>
            </w:r>
          </w:p>
        </w:tc>
        <w:tc>
          <w:tcPr>
            <w:tcW w:w="72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8"/>
                <w:szCs w:val="18"/>
                <w:b w:val="1"/>
                <w:bCs w:val="1"/>
                <w:color w:val="auto"/>
              </w:rPr>
              <w:t>Effective Income Tax Rate</w:t>
            </w: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60" w:type="dxa"/>
            <w:vAlign w:val="bottom"/>
            <w:vMerge w:val="continue"/>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31.4%</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24.2%</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292.4%</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right="420"/>
        <w:spacing w:after="0" w:line="239" w:lineRule="auto"/>
        <w:rPr>
          <w:sz w:val="20"/>
          <w:szCs w:val="20"/>
          <w:color w:val="auto"/>
        </w:rPr>
      </w:pPr>
      <w:r>
        <w:rPr>
          <w:rFonts w:ascii="Arial" w:cs="Arial" w:eastAsia="Arial" w:hAnsi="Arial"/>
          <w:sz w:val="18"/>
          <w:szCs w:val="18"/>
          <w:color w:val="auto"/>
        </w:rPr>
        <w:t>On a consolidated basis, we paid a total of $49, $78 and $194 in income taxes to federal, foreign and state jurisdictions during the three years ended December 31, 2010, 2009 and 2008,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Total income tax expense (benefit) for the three years ended December 31, 2010 was allocated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w w:val="89"/>
              </w:rPr>
              <w:t>2010</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w w:val="89"/>
              </w:rPr>
              <w:t>2009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color w:val="auto"/>
                <w:w w:val="96"/>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320" w:type="dxa"/>
            <w:vAlign w:val="bottom"/>
            <w:shd w:val="clear" w:color="auto" w:fill="E5E5E5"/>
          </w:tcPr>
          <w:p>
            <w:pPr>
              <w:spacing w:after="0" w:line="196" w:lineRule="exact"/>
              <w:rPr>
                <w:sz w:val="20"/>
                <w:szCs w:val="20"/>
                <w:color w:val="auto"/>
              </w:rPr>
            </w:pPr>
            <w:r>
              <w:rPr>
                <w:rFonts w:ascii="Arial" w:cs="Arial" w:eastAsia="Arial" w:hAnsi="Arial"/>
                <w:sz w:val="18"/>
                <w:szCs w:val="18"/>
                <w:color w:val="auto"/>
              </w:rPr>
              <w:t>Pre-tax income</w:t>
            </w:r>
          </w:p>
        </w:tc>
        <w:tc>
          <w:tcPr>
            <w:tcW w:w="10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E5E5E5"/>
          </w:tcPr>
          <w:p>
            <w:pPr>
              <w:jc w:val="right"/>
              <w:ind w:right="200"/>
              <w:spacing w:after="0" w:line="196" w:lineRule="exact"/>
              <w:rPr>
                <w:sz w:val="20"/>
                <w:szCs w:val="20"/>
                <w:color w:val="auto"/>
              </w:rPr>
            </w:pPr>
            <w:r>
              <w:rPr>
                <w:rFonts w:ascii="Arial" w:cs="Arial" w:eastAsia="Arial" w:hAnsi="Arial"/>
                <w:sz w:val="18"/>
                <w:szCs w:val="18"/>
                <w:color w:val="auto"/>
              </w:rPr>
              <w:t>256</w:t>
            </w:r>
          </w:p>
        </w:tc>
        <w:tc>
          <w:tcPr>
            <w:tcW w:w="10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rPr>
              <w:t>152</w:t>
            </w:r>
          </w:p>
        </w:tc>
        <w:tc>
          <w:tcPr>
            <w:tcW w:w="140" w:type="dxa"/>
            <w:vAlign w:val="bottom"/>
            <w:shd w:val="clear" w:color="auto" w:fill="E5E5E5"/>
          </w:tcPr>
          <w:p>
            <w:pPr>
              <w:spacing w:after="0"/>
              <w:rPr>
                <w:sz w:val="17"/>
                <w:szCs w:val="17"/>
                <w:color w:val="auto"/>
              </w:rPr>
            </w:pPr>
          </w:p>
        </w:tc>
        <w:tc>
          <w:tcPr>
            <w:tcW w:w="200" w:type="dxa"/>
            <w:vAlign w:val="bottom"/>
            <w:gridSpan w:val="2"/>
            <w:shd w:val="clear" w:color="auto" w:fill="E5E5E5"/>
          </w:tcPr>
          <w:p>
            <w:pPr>
              <w:jc w:val="right"/>
              <w:spacing w:after="0" w:line="196" w:lineRule="exact"/>
              <w:rPr>
                <w:sz w:val="20"/>
                <w:szCs w:val="20"/>
                <w:color w:val="auto"/>
              </w:rPr>
            </w:pPr>
            <w:r>
              <w:rPr>
                <w:rFonts w:ascii="Arial" w:cs="Arial" w:eastAsia="Arial" w:hAnsi="Arial"/>
                <w:sz w:val="18"/>
                <w:szCs w:val="18"/>
                <w:color w:val="auto"/>
              </w:rPr>
              <w:t>$</w:t>
            </w:r>
          </w:p>
        </w:tc>
        <w:tc>
          <w:tcPr>
            <w:tcW w:w="560" w:type="dxa"/>
            <w:vAlign w:val="bottom"/>
            <w:gridSpan w:val="2"/>
            <w:shd w:val="clear" w:color="auto" w:fill="E5E5E5"/>
          </w:tcPr>
          <w:p>
            <w:pPr>
              <w:jc w:val="right"/>
              <w:ind w:right="40"/>
              <w:spacing w:after="0" w:line="196" w:lineRule="exact"/>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03"/>
        </w:trPr>
        <w:tc>
          <w:tcPr>
            <w:tcW w:w="9320" w:type="dxa"/>
            <w:vAlign w:val="bottom"/>
          </w:tcPr>
          <w:p>
            <w:pPr>
              <w:spacing w:after="0" w:line="202" w:lineRule="exact"/>
              <w:rPr>
                <w:sz w:val="20"/>
                <w:szCs w:val="20"/>
                <w:color w:val="auto"/>
              </w:rPr>
            </w:pPr>
            <w:r>
              <w:rPr>
                <w:rFonts w:ascii="Arial" w:cs="Arial" w:eastAsia="Arial" w:hAnsi="Arial"/>
                <w:sz w:val="18"/>
                <w:szCs w:val="18"/>
                <w:color w:val="auto"/>
              </w:rPr>
              <w:t>Common shareholders’ equity:</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32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Changes in defined benefit plans</w:t>
            </w:r>
          </w:p>
        </w:tc>
        <w:tc>
          <w:tcPr>
            <w:tcW w:w="100" w:type="dxa"/>
            <w:vAlign w:val="bottom"/>
            <w:shd w:val="clear" w:color="auto" w:fill="E5E5E5"/>
          </w:tcPr>
          <w:p>
            <w:pPr>
              <w:spacing w:after="0"/>
              <w:rPr>
                <w:sz w:val="17"/>
                <w:szCs w:val="17"/>
                <w:color w:val="auto"/>
              </w:rPr>
            </w:pPr>
          </w:p>
        </w:tc>
        <w:tc>
          <w:tcPr>
            <w:tcW w:w="4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12</w:t>
            </w:r>
          </w:p>
        </w:tc>
        <w:tc>
          <w:tcPr>
            <w:tcW w:w="2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54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(61)</w:t>
            </w:r>
          </w:p>
        </w:tc>
        <w:tc>
          <w:tcPr>
            <w:tcW w:w="8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56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03"/>
        </w:trPr>
        <w:tc>
          <w:tcPr>
            <w:tcW w:w="9320" w:type="dxa"/>
            <w:vAlign w:val="bottom"/>
          </w:tcPr>
          <w:p>
            <w:pPr>
              <w:ind w:left="220"/>
              <w:spacing w:after="0" w:line="202" w:lineRule="exact"/>
              <w:rPr>
                <w:sz w:val="20"/>
                <w:szCs w:val="20"/>
                <w:color w:val="auto"/>
              </w:rPr>
            </w:pPr>
            <w:r>
              <w:rPr>
                <w:rFonts w:ascii="Arial" w:cs="Arial" w:eastAsia="Arial" w:hAnsi="Arial"/>
                <w:sz w:val="18"/>
                <w:szCs w:val="18"/>
                <w:color w:val="auto"/>
              </w:rPr>
              <w:t>Stock option and incentive plans, net</w:t>
            </w:r>
          </w:p>
        </w:tc>
        <w:tc>
          <w:tcPr>
            <w:tcW w:w="100" w:type="dxa"/>
            <w:vAlign w:val="bottom"/>
          </w:tcPr>
          <w:p>
            <w:pPr>
              <w:spacing w:after="0"/>
              <w:rPr>
                <w:sz w:val="17"/>
                <w:szCs w:val="17"/>
                <w:color w:val="auto"/>
              </w:rPr>
            </w:pPr>
          </w:p>
        </w:tc>
        <w:tc>
          <w:tcPr>
            <w:tcW w:w="6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w:t>
            </w:r>
          </w:p>
        </w:tc>
        <w:tc>
          <w:tcPr>
            <w:tcW w:w="10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932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Translation adjustments and other</w:t>
            </w:r>
          </w:p>
        </w:tc>
        <w:tc>
          <w:tcPr>
            <w:tcW w:w="100" w:type="dxa"/>
            <w:vAlign w:val="bottom"/>
            <w:shd w:val="clear" w:color="auto" w:fill="E5E5E5"/>
          </w:tcPr>
          <w:p>
            <w:pPr>
              <w:spacing w:after="0"/>
              <w:rPr>
                <w:sz w:val="17"/>
                <w:szCs w:val="17"/>
                <w:color w:val="auto"/>
              </w:rPr>
            </w:pPr>
          </w:p>
        </w:tc>
        <w:tc>
          <w:tcPr>
            <w:tcW w:w="4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11</w:t>
            </w:r>
          </w:p>
        </w:tc>
        <w:tc>
          <w:tcPr>
            <w:tcW w:w="2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54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(13)</w:t>
            </w:r>
          </w:p>
        </w:tc>
        <w:tc>
          <w:tcPr>
            <w:tcW w:w="8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5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9320" w:type="dxa"/>
            <w:vAlign w:val="bottom"/>
            <w:vMerge w:val="restart"/>
          </w:tcPr>
          <w:p>
            <w:pPr>
              <w:spacing w:after="0"/>
              <w:rPr>
                <w:sz w:val="20"/>
                <w:szCs w:val="20"/>
                <w:color w:val="auto"/>
              </w:rPr>
            </w:pPr>
            <w:r>
              <w:rPr>
                <w:rFonts w:ascii="Arial" w:cs="Arial" w:eastAsia="Arial" w:hAnsi="Arial"/>
                <w:sz w:val="18"/>
                <w:szCs w:val="18"/>
                <w:b w:val="1"/>
                <w:bCs w:val="1"/>
                <w:color w:val="auto"/>
              </w:rPr>
              <w:t>Total Income Tax Expense (Benefit)</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3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273</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0"/>
        </w:trPr>
        <w:tc>
          <w:tcPr>
            <w:tcW w:w="9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Unrecognized Tax Benefits and Audit Resolutions</w:t>
      </w:r>
    </w:p>
    <w:p>
      <w:pPr>
        <w:spacing w:after="0" w:line="9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Due to the extensive geographical scope of our operations, we are subject to ongoing tax examinations in numerous jurisdictions. Accordingly, we may record incremental tax expense based upon the more-likely-than-not outcomes of any uncertain tax positions. In addition, when applicable, we adjust the previously recorded tax expense to reflect examination results when the position is effectively settled. Our ongoing assessments of the more-likely-than-not outcomes of the examinations and related tax positions require judgment and can increase or decrease our effective tax rate, as well as impact our operating results. The specific timing of when the resolution of each tax position will be reached is uncertain. As of December 31, 2010, we do not believe that there are any positions for which it is reasonably possible that the total amount of unrecognized tax benefits will significantly increase or decrease within the next 12 months.</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4"/>
          <w:szCs w:val="14"/>
          <w:color w:val="4C9F40"/>
        </w:rPr>
        <w:t>Xerox 2010 Annual Report 90</w:t>
      </w:r>
    </w:p>
    <w:p>
      <w:pPr>
        <w:sectPr>
          <w:pgSz w:w="11900" w:h="16838" w:orient="portrait"/>
          <w:cols w:equalWidth="0" w:num="1">
            <w:col w:w="11420"/>
          </w:cols>
          <w:pgMar w:left="240" w:top="426" w:right="23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reconciliation of the beginning and ending amount of unrecognized tax benefits is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w w:val="89"/>
              </w:rPr>
              <w:t>2010</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w w:val="89"/>
              </w:rPr>
              <w:t>2009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w w:val="89"/>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60" w:type="dxa"/>
            <w:vAlign w:val="bottom"/>
            <w:shd w:val="clear" w:color="auto" w:fill="E5E5E5"/>
          </w:tcPr>
          <w:p>
            <w:pPr>
              <w:spacing w:after="0" w:line="196" w:lineRule="exact"/>
              <w:rPr>
                <w:sz w:val="20"/>
                <w:szCs w:val="20"/>
                <w:color w:val="auto"/>
              </w:rPr>
            </w:pPr>
            <w:r>
              <w:rPr>
                <w:rFonts w:ascii="Arial" w:cs="Arial" w:eastAsia="Arial" w:hAnsi="Arial"/>
                <w:sz w:val="18"/>
                <w:szCs w:val="18"/>
                <w:b w:val="1"/>
                <w:bCs w:val="1"/>
                <w:color w:val="auto"/>
              </w:rPr>
              <w:t>Balance at January 1</w:t>
            </w:r>
          </w:p>
        </w:tc>
        <w:tc>
          <w:tcPr>
            <w:tcW w:w="10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rPr>
              <w:t>148</w:t>
            </w:r>
          </w:p>
        </w:tc>
        <w:tc>
          <w:tcPr>
            <w:tcW w:w="220" w:type="dxa"/>
            <w:vAlign w:val="bottom"/>
            <w:shd w:val="clear" w:color="auto" w:fill="E5E5E5"/>
          </w:tcPr>
          <w:p>
            <w:pPr>
              <w:spacing w:after="0"/>
              <w:rPr>
                <w:sz w:val="17"/>
                <w:szCs w:val="17"/>
                <w:color w:val="auto"/>
              </w:rPr>
            </w:pPr>
          </w:p>
        </w:tc>
        <w:tc>
          <w:tcPr>
            <w:tcW w:w="100" w:type="dxa"/>
            <w:vAlign w:val="bottom"/>
            <w:shd w:val="clear" w:color="auto" w:fill="E5E5E5"/>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E5E5E5"/>
          </w:tcPr>
          <w:p>
            <w:pPr>
              <w:jc w:val="right"/>
              <w:ind w:right="120"/>
              <w:spacing w:after="0" w:line="196" w:lineRule="exact"/>
              <w:rPr>
                <w:sz w:val="20"/>
                <w:szCs w:val="20"/>
                <w:color w:val="auto"/>
              </w:rPr>
            </w:pPr>
            <w:r>
              <w:rPr>
                <w:rFonts w:ascii="Arial" w:cs="Arial" w:eastAsia="Arial" w:hAnsi="Arial"/>
                <w:sz w:val="18"/>
                <w:szCs w:val="18"/>
                <w:color w:val="auto"/>
              </w:rPr>
              <w:t>170</w:t>
            </w:r>
          </w:p>
        </w:tc>
        <w:tc>
          <w:tcPr>
            <w:tcW w:w="180" w:type="dxa"/>
            <w:vAlign w:val="bottom"/>
            <w:gridSpan w:val="2"/>
            <w:shd w:val="clear" w:color="auto" w:fill="E5E5E5"/>
          </w:tcPr>
          <w:p>
            <w:pPr>
              <w:jc w:val="right"/>
              <w:spacing w:after="0" w:line="196" w:lineRule="exact"/>
              <w:rPr>
                <w:sz w:val="20"/>
                <w:szCs w:val="20"/>
                <w:color w:val="auto"/>
              </w:rPr>
            </w:pPr>
            <w:r>
              <w:rPr>
                <w:rFonts w:ascii="Arial" w:cs="Arial" w:eastAsia="Arial" w:hAnsi="Arial"/>
                <w:sz w:val="18"/>
                <w:szCs w:val="18"/>
                <w:color w:val="auto"/>
              </w:rPr>
              <w:t>$</w:t>
            </w:r>
          </w:p>
        </w:tc>
        <w:tc>
          <w:tcPr>
            <w:tcW w:w="500" w:type="dxa"/>
            <w:vAlign w:val="bottom"/>
            <w:gridSpan w:val="2"/>
            <w:shd w:val="clear" w:color="auto" w:fill="E5E5E5"/>
          </w:tcPr>
          <w:p>
            <w:pPr>
              <w:jc w:val="right"/>
              <w:ind w:right="100"/>
              <w:spacing w:after="0" w:line="196" w:lineRule="exact"/>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03"/>
        </w:trPr>
        <w:tc>
          <w:tcPr>
            <w:tcW w:w="8480" w:type="dxa"/>
            <w:vAlign w:val="bottom"/>
            <w:gridSpan w:val="2"/>
          </w:tcPr>
          <w:p>
            <w:pPr>
              <w:spacing w:after="0" w:line="202" w:lineRule="exact"/>
              <w:rPr>
                <w:sz w:val="20"/>
                <w:szCs w:val="20"/>
                <w:color w:val="auto"/>
              </w:rPr>
            </w:pPr>
            <w:r>
              <w:rPr>
                <w:rFonts w:ascii="Arial" w:cs="Arial" w:eastAsia="Arial" w:hAnsi="Arial"/>
                <w:sz w:val="18"/>
                <w:szCs w:val="18"/>
                <w:color w:val="auto"/>
              </w:rPr>
              <w:t>Additions from acquisitions</w:t>
            </w:r>
          </w:p>
        </w:tc>
        <w:tc>
          <w:tcPr>
            <w:tcW w:w="10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46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Additions related to current year</w:t>
            </w:r>
          </w:p>
        </w:tc>
        <w:tc>
          <w:tcPr>
            <w:tcW w:w="100" w:type="dxa"/>
            <w:vAlign w:val="bottom"/>
            <w:shd w:val="clear" w:color="auto" w:fill="E5E5E5"/>
          </w:tcPr>
          <w:p>
            <w:pPr>
              <w:spacing w:after="0"/>
              <w:rPr>
                <w:sz w:val="17"/>
                <w:szCs w:val="17"/>
                <w:color w:val="auto"/>
              </w:rPr>
            </w:pPr>
          </w:p>
        </w:tc>
        <w:tc>
          <w:tcPr>
            <w:tcW w:w="4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38</w:t>
            </w:r>
          </w:p>
        </w:tc>
        <w:tc>
          <w:tcPr>
            <w:tcW w:w="2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5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6</w:t>
            </w:r>
          </w:p>
        </w:tc>
        <w:tc>
          <w:tcPr>
            <w:tcW w:w="8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5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3"/>
        </w:trPr>
        <w:tc>
          <w:tcPr>
            <w:tcW w:w="8480" w:type="dxa"/>
            <w:vAlign w:val="bottom"/>
            <w:gridSpan w:val="2"/>
          </w:tcPr>
          <w:p>
            <w:pPr>
              <w:spacing w:after="0" w:line="202" w:lineRule="exact"/>
              <w:rPr>
                <w:sz w:val="20"/>
                <w:szCs w:val="20"/>
                <w:color w:val="auto"/>
              </w:rPr>
            </w:pPr>
            <w:r>
              <w:rPr>
                <w:rFonts w:ascii="Arial" w:cs="Arial" w:eastAsia="Arial" w:hAnsi="Arial"/>
                <w:sz w:val="18"/>
                <w:szCs w:val="18"/>
                <w:color w:val="auto"/>
              </w:rPr>
              <w:t>Additions related to prior years positions</w:t>
            </w:r>
          </w:p>
        </w:tc>
        <w:tc>
          <w:tcPr>
            <w:tcW w:w="10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Reductions related to prior years positions</w:t>
            </w:r>
          </w:p>
        </w:tc>
        <w:tc>
          <w:tcPr>
            <w:tcW w:w="100" w:type="dxa"/>
            <w:vAlign w:val="bottom"/>
            <w:shd w:val="clear" w:color="auto" w:fill="E5E5E5"/>
          </w:tcPr>
          <w:p>
            <w:pPr>
              <w:spacing w:after="0"/>
              <w:rPr>
                <w:sz w:val="17"/>
                <w:szCs w:val="17"/>
                <w:color w:val="auto"/>
              </w:rPr>
            </w:pPr>
          </w:p>
        </w:tc>
        <w:tc>
          <w:tcPr>
            <w:tcW w:w="62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(16)</w:t>
            </w:r>
          </w:p>
        </w:tc>
        <w:tc>
          <w:tcPr>
            <w:tcW w:w="100" w:type="dxa"/>
            <w:vAlign w:val="bottom"/>
            <w:shd w:val="clear" w:color="auto" w:fill="E5E5E5"/>
          </w:tcPr>
          <w:p>
            <w:pPr>
              <w:spacing w:after="0"/>
              <w:rPr>
                <w:sz w:val="17"/>
                <w:szCs w:val="17"/>
                <w:color w:val="auto"/>
              </w:rPr>
            </w:pPr>
          </w:p>
        </w:tc>
        <w:tc>
          <w:tcPr>
            <w:tcW w:w="52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(33)</w:t>
            </w:r>
          </w:p>
        </w:tc>
        <w:tc>
          <w:tcPr>
            <w:tcW w:w="8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50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3"/>
        </w:trPr>
        <w:tc>
          <w:tcPr>
            <w:tcW w:w="8480" w:type="dxa"/>
            <w:vAlign w:val="bottom"/>
            <w:gridSpan w:val="2"/>
          </w:tcPr>
          <w:p>
            <w:pPr>
              <w:spacing w:after="0" w:line="203" w:lineRule="exact"/>
              <w:rPr>
                <w:sz w:val="20"/>
                <w:szCs w:val="20"/>
                <w:color w:val="auto"/>
              </w:rPr>
            </w:pPr>
            <w:r>
              <w:rPr>
                <w:rFonts w:ascii="Arial" w:cs="Arial" w:eastAsia="Arial" w:hAnsi="Arial"/>
                <w:sz w:val="18"/>
                <w:szCs w:val="18"/>
                <w:color w:val="auto"/>
              </w:rPr>
              <w:t xml:space="preserve">Settlements with taxing authorities </w:t>
            </w:r>
            <w:r>
              <w:rPr>
                <w:rFonts w:ascii="Arial" w:cs="Arial" w:eastAsia="Arial" w:hAnsi="Arial"/>
                <w:sz w:val="22"/>
                <w:szCs w:val="22"/>
                <w:color w:val="auto"/>
                <w:vertAlign w:val="superscript"/>
              </w:rPr>
              <w:t>(1)</w:t>
            </w:r>
          </w:p>
        </w:tc>
        <w:tc>
          <w:tcPr>
            <w:tcW w:w="100" w:type="dxa"/>
            <w:vAlign w:val="bottom"/>
          </w:tcPr>
          <w:p>
            <w:pPr>
              <w:spacing w:after="0"/>
              <w:rPr>
                <w:sz w:val="17"/>
                <w:szCs w:val="17"/>
                <w:color w:val="auto"/>
              </w:rPr>
            </w:pPr>
          </w:p>
        </w:tc>
        <w:tc>
          <w:tcPr>
            <w:tcW w:w="6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(19)</w:t>
            </w:r>
          </w:p>
        </w:tc>
        <w:tc>
          <w:tcPr>
            <w:tcW w:w="100" w:type="dxa"/>
            <w:vAlign w:val="bottom"/>
          </w:tcPr>
          <w:p>
            <w:pPr>
              <w:spacing w:after="0"/>
              <w:rPr>
                <w:sz w:val="17"/>
                <w:szCs w:val="17"/>
                <w:color w:val="auto"/>
              </w:rPr>
            </w:pPr>
          </w:p>
        </w:tc>
        <w:tc>
          <w:tcPr>
            <w:tcW w:w="5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Reductions related to lapse of statute of limitations</w:t>
            </w:r>
          </w:p>
        </w:tc>
        <w:tc>
          <w:tcPr>
            <w:tcW w:w="100" w:type="dxa"/>
            <w:vAlign w:val="bottom"/>
            <w:shd w:val="clear" w:color="auto" w:fill="E5E5E5"/>
          </w:tcPr>
          <w:p>
            <w:pPr>
              <w:spacing w:after="0"/>
              <w:rPr>
                <w:sz w:val="17"/>
                <w:szCs w:val="17"/>
                <w:color w:val="auto"/>
              </w:rPr>
            </w:pPr>
          </w:p>
        </w:tc>
        <w:tc>
          <w:tcPr>
            <w:tcW w:w="62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(35)</w:t>
            </w:r>
          </w:p>
        </w:tc>
        <w:tc>
          <w:tcPr>
            <w:tcW w:w="100" w:type="dxa"/>
            <w:vAlign w:val="bottom"/>
            <w:shd w:val="clear" w:color="auto" w:fill="E5E5E5"/>
          </w:tcPr>
          <w:p>
            <w:pPr>
              <w:spacing w:after="0"/>
              <w:rPr>
                <w:sz w:val="17"/>
                <w:szCs w:val="17"/>
                <w:color w:val="auto"/>
              </w:rPr>
            </w:pPr>
          </w:p>
        </w:tc>
        <w:tc>
          <w:tcPr>
            <w:tcW w:w="52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(29)</w:t>
            </w:r>
          </w:p>
        </w:tc>
        <w:tc>
          <w:tcPr>
            <w:tcW w:w="8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50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3"/>
        </w:trPr>
        <w:tc>
          <w:tcPr>
            <w:tcW w:w="8480" w:type="dxa"/>
            <w:vAlign w:val="bottom"/>
            <w:gridSpan w:val="2"/>
          </w:tcPr>
          <w:p>
            <w:pPr>
              <w:spacing w:after="0" w:line="202" w:lineRule="exact"/>
              <w:rPr>
                <w:sz w:val="20"/>
                <w:szCs w:val="20"/>
                <w:color w:val="auto"/>
              </w:rPr>
            </w:pPr>
            <w:r>
              <w:rPr>
                <w:rFonts w:ascii="Arial" w:cs="Arial" w:eastAsia="Arial" w:hAnsi="Arial"/>
                <w:sz w:val="18"/>
                <w:szCs w:val="18"/>
                <w:color w:val="auto"/>
              </w:rPr>
              <w:t>Currency</w:t>
            </w:r>
          </w:p>
        </w:tc>
        <w:tc>
          <w:tcPr>
            <w:tcW w:w="100" w:type="dxa"/>
            <w:vAlign w:val="bottom"/>
          </w:tcPr>
          <w:p>
            <w:pPr>
              <w:spacing w:after="0"/>
              <w:rPr>
                <w:sz w:val="17"/>
                <w:szCs w:val="17"/>
                <w:color w:val="auto"/>
              </w:rPr>
            </w:pPr>
          </w:p>
        </w:tc>
        <w:tc>
          <w:tcPr>
            <w:tcW w:w="6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5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846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Balance at December 31</w:t>
            </w:r>
          </w:p>
        </w:tc>
        <w:tc>
          <w:tcPr>
            <w:tcW w:w="1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186</w:t>
            </w:r>
          </w:p>
        </w:tc>
        <w:tc>
          <w:tcPr>
            <w:tcW w:w="220" w:type="dxa"/>
            <w:vAlign w:val="bottom"/>
            <w:shd w:val="clear" w:color="auto" w:fill="E5E5E5"/>
          </w:tcPr>
          <w:p>
            <w:pPr>
              <w:spacing w:after="0"/>
              <w:rPr>
                <w:sz w:val="17"/>
                <w:szCs w:val="17"/>
                <w:color w:val="auto"/>
              </w:rPr>
            </w:pPr>
          </w:p>
        </w:tc>
        <w:tc>
          <w:tcPr>
            <w:tcW w:w="100" w:type="dxa"/>
            <w:vAlign w:val="bottom"/>
            <w:shd w:val="clear" w:color="auto" w:fill="E5E5E5"/>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148</w:t>
            </w:r>
          </w:p>
        </w:tc>
        <w:tc>
          <w:tcPr>
            <w:tcW w:w="120" w:type="dxa"/>
            <w:vAlign w:val="bottom"/>
            <w:shd w:val="clear" w:color="auto" w:fill="E5E5E5"/>
          </w:tcPr>
          <w:p>
            <w:pPr>
              <w:spacing w:after="0"/>
              <w:rPr>
                <w:sz w:val="17"/>
                <w:szCs w:val="17"/>
                <w:color w:val="auto"/>
              </w:rPr>
            </w:pPr>
          </w:p>
        </w:tc>
        <w:tc>
          <w:tcPr>
            <w:tcW w:w="18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1"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(1)</w:t>
        <w:tab/>
        <w:t>Majority of settlements did not result in the utilization of cash.</w:t>
      </w:r>
    </w:p>
    <w:p>
      <w:pPr>
        <w:spacing w:after="0" w:line="316" w:lineRule="exact"/>
        <w:rPr>
          <w:sz w:val="20"/>
          <w:szCs w:val="20"/>
          <w:color w:val="auto"/>
        </w:rPr>
      </w:pPr>
    </w:p>
    <w:p>
      <w:pPr>
        <w:ind w:right="540"/>
        <w:spacing w:after="0" w:line="237" w:lineRule="auto"/>
        <w:rPr>
          <w:sz w:val="20"/>
          <w:szCs w:val="20"/>
          <w:color w:val="auto"/>
        </w:rPr>
      </w:pPr>
      <w:r>
        <w:rPr>
          <w:rFonts w:ascii="Arial" w:cs="Arial" w:eastAsia="Arial" w:hAnsi="Arial"/>
          <w:sz w:val="18"/>
          <w:szCs w:val="18"/>
          <w:color w:val="auto"/>
        </w:rPr>
        <w:t>Included in the balances at December 31, 2010, 2009 and 2008 are $39, $67 and $67, respectively, of tax positions that are highly certain of realizability but for which there is uncertainty about the timing or may be reduced through an indirect benefit from other taxing jurisdictions. Because of the impact of deferred tax accounting, other than for the possible incurrence of interest and penalties, the disallowance of these positions would not affect the annual effective tax rate.</w:t>
      </w:r>
    </w:p>
    <w:p>
      <w:pPr>
        <w:spacing w:after="0" w:line="155" w:lineRule="exact"/>
        <w:rPr>
          <w:sz w:val="20"/>
          <w:szCs w:val="20"/>
          <w:color w:val="auto"/>
        </w:rPr>
      </w:pPr>
    </w:p>
    <w:p>
      <w:pPr>
        <w:jc w:val="both"/>
        <w:ind w:right="120"/>
        <w:spacing w:after="0" w:line="238" w:lineRule="auto"/>
        <w:rPr>
          <w:sz w:val="20"/>
          <w:szCs w:val="20"/>
          <w:color w:val="auto"/>
        </w:rPr>
      </w:pPr>
      <w:r>
        <w:rPr>
          <w:rFonts w:ascii="Arial" w:cs="Arial" w:eastAsia="Arial" w:hAnsi="Arial"/>
          <w:sz w:val="18"/>
          <w:szCs w:val="18"/>
          <w:color w:val="auto"/>
        </w:rPr>
        <w:t>We have filed claims in certain jurisdictions to assert our position should the law be clarified by judicial means. At this point in time, we believe it is unlikely that we will receive any benefit from these types of claims but we will continue to analyze as the issues develop. Accordingly, we have not included any benefit for these types of claims in the amount of unrecognized tax benefits.</w:t>
      </w:r>
    </w:p>
    <w:p>
      <w:pPr>
        <w:spacing w:after="0" w:line="154"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We recognized interest and penalties accrued on unrecognized tax benefits, as well as interest received from favorable settlements within income tax expense. We had $31, $13 and $22 accrued for the payment of interest and penalties associated with unrecognized tax benefits at December 31, 2010, 2009 and 2008, respectively.</w:t>
      </w:r>
    </w:p>
    <w:p>
      <w:pPr>
        <w:spacing w:after="0" w:line="154" w:lineRule="exact"/>
        <w:rPr>
          <w:sz w:val="20"/>
          <w:szCs w:val="20"/>
          <w:color w:val="auto"/>
        </w:rPr>
      </w:pPr>
    </w:p>
    <w:p>
      <w:pPr>
        <w:jc w:val="both"/>
        <w:ind w:right="100"/>
        <w:spacing w:after="0" w:line="238" w:lineRule="auto"/>
        <w:rPr>
          <w:sz w:val="20"/>
          <w:szCs w:val="20"/>
          <w:color w:val="auto"/>
        </w:rPr>
      </w:pPr>
      <w:r>
        <w:rPr>
          <w:rFonts w:ascii="Arial" w:cs="Arial" w:eastAsia="Arial" w:hAnsi="Arial"/>
          <w:sz w:val="18"/>
          <w:szCs w:val="18"/>
          <w:color w:val="auto"/>
        </w:rPr>
        <w:t>We file income tax returns in the U.S. federal jurisdiction and various foreign jurisdictions. In the U.S., with the exception of ACS, we are no longer subject to U.S. federal income tax examinations for years before 2007. ACS is no longer subject to such examinations for years before 2004. With respect to our major foreign jurisdictions, we are no longer subject to tax examinations by tax authorities for years before 2000.</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Deferred Income Taxes</w:t>
      </w:r>
    </w:p>
    <w:p>
      <w:pPr>
        <w:spacing w:after="0" w:line="180"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In substantially all instances, deferred income taxes have not been provided on the undistributed earnings of foreign subsidiaries and other foreign investments carried at equity. The amount of such earnings at December 31, 2010 was approximately $7 billion. These earnings have been indefinitely reinvested and we currently do not plan to initiate any action that would precipitate the payment of income taxes thereon. It is not practicable to estimate the amount of additional tax that might be payable on the foreign earnings. Our 2001 sale of half of our ownership interest in Fuji Xerox resulted in our investment no longer qualifying as a foreign corporate joint venture. Accordingly, deferred taxes are required to be provided on the undistributed earnings of Fuji Xerox, arising subsequent to such date, as we no longer have the ability to ensure indefinite reinvestment.</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4"/>
          <w:szCs w:val="14"/>
          <w:color w:val="4C9F40"/>
        </w:rPr>
        <w:t>Xerox 2010 Annual Report 91</w:t>
      </w:r>
    </w:p>
    <w:p>
      <w:pPr>
        <w:sectPr>
          <w:pgSz w:w="11900" w:h="16838" w:orient="portrait"/>
          <w:cols w:equalWidth="0" w:num="1">
            <w:col w:w="11420"/>
          </w:cols>
          <w:pgMar w:left="240" w:top="427" w:right="239" w:bottom="1440" w:gutter="0" w:footer="0" w:header="0"/>
        </w:sectPr>
      </w:pPr>
    </w:p>
    <w:bookmarkStart w:id="168" w:name="page169"/>
    <w:bookmarkEnd w:id="16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tax effects of temporary differences that give rise to significant portions of the deferred taxes at December 31, 2010 and 2009 were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2010</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00" w:type="dxa"/>
            <w:vAlign w:val="bottom"/>
            <w:shd w:val="clear" w:color="auto" w:fill="E5E5E5"/>
          </w:tcPr>
          <w:p>
            <w:pPr>
              <w:spacing w:after="0" w:line="196" w:lineRule="exact"/>
              <w:rPr>
                <w:sz w:val="20"/>
                <w:szCs w:val="20"/>
                <w:color w:val="auto"/>
              </w:rPr>
            </w:pPr>
            <w:r>
              <w:rPr>
                <w:rFonts w:ascii="Arial" w:cs="Arial" w:eastAsia="Arial" w:hAnsi="Arial"/>
                <w:sz w:val="18"/>
                <w:szCs w:val="18"/>
                <w:b w:val="1"/>
                <w:bCs w:val="1"/>
                <w:color w:val="auto"/>
              </w:rPr>
              <w:t>Deferred Tax Assets:</w:t>
            </w:r>
          </w:p>
        </w:tc>
        <w:tc>
          <w:tcPr>
            <w:tcW w:w="284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56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5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gridSpan w:val="2"/>
          </w:tcPr>
          <w:p>
            <w:pPr>
              <w:spacing w:after="0" w:line="202" w:lineRule="exact"/>
              <w:rPr>
                <w:sz w:val="20"/>
                <w:szCs w:val="20"/>
                <w:color w:val="auto"/>
              </w:rPr>
            </w:pPr>
            <w:r>
              <w:rPr>
                <w:rFonts w:ascii="Arial" w:cs="Arial" w:eastAsia="Arial" w:hAnsi="Arial"/>
                <w:sz w:val="18"/>
                <w:szCs w:val="18"/>
                <w:color w:val="auto"/>
              </w:rPr>
              <w:t>Research and development</w:t>
            </w:r>
          </w:p>
        </w:tc>
        <w:tc>
          <w:tcPr>
            <w:tcW w:w="30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855</w:t>
            </w:r>
          </w:p>
        </w:tc>
        <w:tc>
          <w:tcPr>
            <w:tcW w:w="20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Post-retirement medical benefits</w:t>
            </w:r>
          </w:p>
        </w:tc>
        <w:tc>
          <w:tcPr>
            <w:tcW w:w="284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5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373</w:t>
            </w:r>
          </w:p>
        </w:tc>
        <w:tc>
          <w:tcPr>
            <w:tcW w:w="2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6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03"/>
        </w:trPr>
        <w:tc>
          <w:tcPr>
            <w:tcW w:w="5920" w:type="dxa"/>
            <w:vAlign w:val="bottom"/>
            <w:gridSpan w:val="2"/>
          </w:tcPr>
          <w:p>
            <w:pPr>
              <w:spacing w:after="0" w:line="202" w:lineRule="exact"/>
              <w:rPr>
                <w:sz w:val="20"/>
                <w:szCs w:val="20"/>
                <w:color w:val="auto"/>
              </w:rPr>
            </w:pPr>
            <w:r>
              <w:rPr>
                <w:rFonts w:ascii="Arial" w:cs="Arial" w:eastAsia="Arial" w:hAnsi="Arial"/>
                <w:sz w:val="18"/>
                <w:szCs w:val="18"/>
                <w:color w:val="auto"/>
              </w:rPr>
              <w:t>Depreciation</w:t>
            </w:r>
          </w:p>
        </w:tc>
        <w:tc>
          <w:tcPr>
            <w:tcW w:w="2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200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Net operating losses</w:t>
            </w:r>
          </w:p>
        </w:tc>
        <w:tc>
          <w:tcPr>
            <w:tcW w:w="284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5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634</w:t>
            </w:r>
          </w:p>
        </w:tc>
        <w:tc>
          <w:tcPr>
            <w:tcW w:w="2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6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03"/>
        </w:trPr>
        <w:tc>
          <w:tcPr>
            <w:tcW w:w="5920" w:type="dxa"/>
            <w:vAlign w:val="bottom"/>
            <w:gridSpan w:val="2"/>
          </w:tcPr>
          <w:p>
            <w:pPr>
              <w:spacing w:after="0" w:line="202" w:lineRule="exact"/>
              <w:rPr>
                <w:sz w:val="20"/>
                <w:szCs w:val="20"/>
                <w:color w:val="auto"/>
              </w:rPr>
            </w:pPr>
            <w:r>
              <w:rPr>
                <w:rFonts w:ascii="Arial" w:cs="Arial" w:eastAsia="Arial" w:hAnsi="Arial"/>
                <w:sz w:val="18"/>
                <w:szCs w:val="18"/>
                <w:color w:val="auto"/>
              </w:rPr>
              <w:t>Other operating reserves</w:t>
            </w:r>
          </w:p>
        </w:tc>
        <w:tc>
          <w:tcPr>
            <w:tcW w:w="2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172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Tax credit carryforwards</w:t>
            </w:r>
          </w:p>
        </w:tc>
        <w:tc>
          <w:tcPr>
            <w:tcW w:w="284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5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409</w:t>
            </w:r>
          </w:p>
        </w:tc>
        <w:tc>
          <w:tcPr>
            <w:tcW w:w="2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6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03"/>
        </w:trPr>
        <w:tc>
          <w:tcPr>
            <w:tcW w:w="5920" w:type="dxa"/>
            <w:vAlign w:val="bottom"/>
            <w:gridSpan w:val="2"/>
          </w:tcPr>
          <w:p>
            <w:pPr>
              <w:spacing w:after="0" w:line="202" w:lineRule="exact"/>
              <w:rPr>
                <w:sz w:val="20"/>
                <w:szCs w:val="20"/>
                <w:color w:val="auto"/>
              </w:rPr>
            </w:pPr>
            <w:r>
              <w:rPr>
                <w:rFonts w:ascii="Arial" w:cs="Arial" w:eastAsia="Arial" w:hAnsi="Arial"/>
                <w:sz w:val="18"/>
                <w:szCs w:val="18"/>
                <w:color w:val="auto"/>
              </w:rPr>
              <w:t>Deferred compensation</w:t>
            </w:r>
          </w:p>
        </w:tc>
        <w:tc>
          <w:tcPr>
            <w:tcW w:w="2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340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Allowance for doubtful accounts</w:t>
            </w:r>
          </w:p>
        </w:tc>
        <w:tc>
          <w:tcPr>
            <w:tcW w:w="284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5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97</w:t>
            </w:r>
          </w:p>
        </w:tc>
        <w:tc>
          <w:tcPr>
            <w:tcW w:w="2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6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3"/>
        </w:trPr>
        <w:tc>
          <w:tcPr>
            <w:tcW w:w="5920" w:type="dxa"/>
            <w:vAlign w:val="bottom"/>
            <w:gridSpan w:val="2"/>
          </w:tcPr>
          <w:p>
            <w:pPr>
              <w:spacing w:after="0" w:line="202" w:lineRule="exact"/>
              <w:rPr>
                <w:sz w:val="20"/>
                <w:szCs w:val="20"/>
                <w:color w:val="auto"/>
              </w:rPr>
            </w:pPr>
            <w:r>
              <w:rPr>
                <w:rFonts w:ascii="Arial" w:cs="Arial" w:eastAsia="Arial" w:hAnsi="Arial"/>
                <w:sz w:val="18"/>
                <w:szCs w:val="18"/>
                <w:color w:val="auto"/>
              </w:rPr>
              <w:t>Restructuring reserves</w:t>
            </w:r>
          </w:p>
        </w:tc>
        <w:tc>
          <w:tcPr>
            <w:tcW w:w="2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78</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Pension</w:t>
            </w:r>
          </w:p>
        </w:tc>
        <w:tc>
          <w:tcPr>
            <w:tcW w:w="284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5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437</w:t>
            </w:r>
          </w:p>
        </w:tc>
        <w:tc>
          <w:tcPr>
            <w:tcW w:w="2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6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10"/>
        </w:trPr>
        <w:tc>
          <w:tcPr>
            <w:tcW w:w="5920" w:type="dxa"/>
            <w:vAlign w:val="bottom"/>
            <w:gridSpan w:val="2"/>
          </w:tcPr>
          <w:p>
            <w:pPr>
              <w:spacing w:after="0" w:line="202" w:lineRule="exact"/>
              <w:rPr>
                <w:sz w:val="20"/>
                <w:szCs w:val="20"/>
                <w:color w:val="auto"/>
              </w:rPr>
            </w:pPr>
            <w:r>
              <w:rPr>
                <w:rFonts w:ascii="Arial" w:cs="Arial" w:eastAsia="Arial" w:hAnsi="Arial"/>
                <w:sz w:val="18"/>
                <w:szCs w:val="18"/>
                <w:color w:val="auto"/>
              </w:rPr>
              <w:t>Other</w:t>
            </w:r>
          </w:p>
        </w:tc>
        <w:tc>
          <w:tcPr>
            <w:tcW w:w="2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156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Subtotal</w:t>
            </w:r>
          </w:p>
        </w:tc>
        <w:tc>
          <w:tcPr>
            <w:tcW w:w="2840" w:type="dxa"/>
            <w:vAlign w:val="bottom"/>
            <w:shd w:val="clear" w:color="auto" w:fill="E5E5E5"/>
          </w:tcPr>
          <w:p>
            <w:pPr>
              <w:spacing w:after="0"/>
              <w:rPr>
                <w:sz w:val="17"/>
                <w:szCs w:val="17"/>
                <w:color w:val="auto"/>
              </w:rPr>
            </w:pPr>
          </w:p>
        </w:tc>
        <w:tc>
          <w:tcPr>
            <w:tcW w:w="160" w:type="dxa"/>
            <w:vAlign w:val="bottom"/>
            <w:tcBorders>
              <w:top w:val="single" w:sz="8" w:color="auto"/>
            </w:tcBorders>
            <w:shd w:val="clear" w:color="auto" w:fill="E5E5E5"/>
          </w:tcPr>
          <w:p>
            <w:pPr>
              <w:spacing w:after="0"/>
              <w:rPr>
                <w:sz w:val="17"/>
                <w:szCs w:val="17"/>
                <w:color w:val="auto"/>
              </w:rPr>
            </w:pPr>
          </w:p>
        </w:tc>
        <w:tc>
          <w:tcPr>
            <w:tcW w:w="560" w:type="dxa"/>
            <w:vAlign w:val="bottom"/>
            <w:tcBorders>
              <w:top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3,751</w:t>
            </w:r>
          </w:p>
        </w:tc>
        <w:tc>
          <w:tcPr>
            <w:tcW w:w="200" w:type="dxa"/>
            <w:vAlign w:val="bottom"/>
            <w:shd w:val="clear" w:color="auto" w:fill="E5E5E5"/>
          </w:tcPr>
          <w:p>
            <w:pPr>
              <w:spacing w:after="0"/>
              <w:rPr>
                <w:sz w:val="17"/>
                <w:szCs w:val="17"/>
                <w:color w:val="auto"/>
              </w:rPr>
            </w:pPr>
          </w:p>
        </w:tc>
        <w:tc>
          <w:tcPr>
            <w:tcW w:w="160" w:type="dxa"/>
            <w:vAlign w:val="bottom"/>
            <w:tcBorders>
              <w:top w:val="single" w:sz="8" w:color="auto"/>
            </w:tcBorders>
            <w:shd w:val="clear" w:color="auto" w:fill="E5E5E5"/>
          </w:tcPr>
          <w:p>
            <w:pPr>
              <w:spacing w:after="0"/>
              <w:rPr>
                <w:sz w:val="17"/>
                <w:szCs w:val="17"/>
                <w:color w:val="auto"/>
              </w:rPr>
            </w:pPr>
          </w:p>
        </w:tc>
        <w:tc>
          <w:tcPr>
            <w:tcW w:w="560" w:type="dxa"/>
            <w:vAlign w:val="bottom"/>
            <w:tcBorders>
              <w:top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3,658</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gridSpan w:val="2"/>
          </w:tcPr>
          <w:p>
            <w:pPr>
              <w:spacing w:after="0" w:line="202" w:lineRule="exact"/>
              <w:rPr>
                <w:sz w:val="20"/>
                <w:szCs w:val="20"/>
                <w:color w:val="auto"/>
              </w:rPr>
            </w:pPr>
            <w:r>
              <w:rPr>
                <w:rFonts w:ascii="Arial" w:cs="Arial" w:eastAsia="Arial" w:hAnsi="Arial"/>
                <w:sz w:val="18"/>
                <w:szCs w:val="18"/>
                <w:color w:val="auto"/>
              </w:rPr>
              <w:t>Valuation allowance</w:t>
            </w:r>
          </w:p>
        </w:tc>
        <w:tc>
          <w:tcPr>
            <w:tcW w:w="2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(735)</w:t>
            </w:r>
          </w:p>
        </w:tc>
        <w:tc>
          <w:tcPr>
            <w:tcW w:w="160" w:type="dxa"/>
            <w:vAlign w:val="bottom"/>
          </w:tcPr>
          <w:p>
            <w:pPr>
              <w:spacing w:after="0"/>
              <w:rPr>
                <w:sz w:val="17"/>
                <w:szCs w:val="17"/>
                <w:color w:val="auto"/>
              </w:rPr>
            </w:pPr>
          </w:p>
        </w:tc>
        <w:tc>
          <w:tcPr>
            <w:tcW w:w="6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90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Total</w:t>
            </w:r>
          </w:p>
        </w:tc>
        <w:tc>
          <w:tcPr>
            <w:tcW w:w="300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3,016</w:t>
            </w:r>
          </w:p>
        </w:tc>
        <w:tc>
          <w:tcPr>
            <w:tcW w:w="200" w:type="dxa"/>
            <w:vAlign w:val="bottom"/>
            <w:shd w:val="clear" w:color="auto" w:fill="E5E5E5"/>
          </w:tcPr>
          <w:p>
            <w:pPr>
              <w:spacing w:after="0"/>
              <w:rPr>
                <w:sz w:val="17"/>
                <w:szCs w:val="17"/>
                <w:color w:val="auto"/>
              </w:rPr>
            </w:pPr>
          </w:p>
        </w:tc>
        <w:tc>
          <w:tcPr>
            <w:tcW w:w="1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2,986</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920" w:type="dxa"/>
            <w:vAlign w:val="bottom"/>
            <w:gridSpan w:val="2"/>
          </w:tcPr>
          <w:p>
            <w:pPr>
              <w:spacing w:after="0"/>
              <w:rPr>
                <w:sz w:val="20"/>
                <w:szCs w:val="20"/>
                <w:color w:val="auto"/>
              </w:rPr>
            </w:pPr>
            <w:r>
              <w:rPr>
                <w:rFonts w:ascii="Arial" w:cs="Arial" w:eastAsia="Arial" w:hAnsi="Arial"/>
                <w:sz w:val="18"/>
                <w:szCs w:val="18"/>
                <w:b w:val="1"/>
                <w:bCs w:val="1"/>
                <w:color w:val="auto"/>
              </w:rPr>
              <w:t>Deferred Tax Liabilities:</w:t>
            </w:r>
          </w:p>
        </w:tc>
        <w:tc>
          <w:tcPr>
            <w:tcW w:w="28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Unearned income and installment sales</w:t>
            </w:r>
          </w:p>
        </w:tc>
        <w:tc>
          <w:tcPr>
            <w:tcW w:w="300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(1,025)</w:t>
            </w:r>
          </w:p>
        </w:tc>
        <w:tc>
          <w:tcPr>
            <w:tcW w:w="1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03"/>
        </w:trPr>
        <w:tc>
          <w:tcPr>
            <w:tcW w:w="5920" w:type="dxa"/>
            <w:vAlign w:val="bottom"/>
            <w:gridSpan w:val="2"/>
          </w:tcPr>
          <w:p>
            <w:pPr>
              <w:spacing w:after="0" w:line="202" w:lineRule="exact"/>
              <w:rPr>
                <w:sz w:val="20"/>
                <w:szCs w:val="20"/>
                <w:color w:val="auto"/>
              </w:rPr>
            </w:pPr>
            <w:r>
              <w:rPr>
                <w:rFonts w:ascii="Arial" w:cs="Arial" w:eastAsia="Arial" w:hAnsi="Arial"/>
                <w:sz w:val="18"/>
                <w:szCs w:val="18"/>
                <w:color w:val="auto"/>
              </w:rPr>
              <w:t>Intangibles and goodwill</w:t>
            </w:r>
          </w:p>
        </w:tc>
        <w:tc>
          <w:tcPr>
            <w:tcW w:w="2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(1,207)</w:t>
            </w:r>
          </w:p>
        </w:tc>
        <w:tc>
          <w:tcPr>
            <w:tcW w:w="160" w:type="dxa"/>
            <w:vAlign w:val="bottom"/>
          </w:tcPr>
          <w:p>
            <w:pPr>
              <w:spacing w:after="0"/>
              <w:rPr>
                <w:sz w:val="17"/>
                <w:szCs w:val="17"/>
                <w:color w:val="auto"/>
              </w:rPr>
            </w:pPr>
          </w:p>
        </w:tc>
        <w:tc>
          <w:tcPr>
            <w:tcW w:w="6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Other</w:t>
            </w:r>
          </w:p>
        </w:tc>
        <w:tc>
          <w:tcPr>
            <w:tcW w:w="284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76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(54)</w:t>
            </w:r>
          </w:p>
        </w:tc>
        <w:tc>
          <w:tcPr>
            <w:tcW w:w="160" w:type="dxa"/>
            <w:vAlign w:val="bottom"/>
            <w:shd w:val="clear" w:color="auto" w:fill="E5E5E5"/>
          </w:tcPr>
          <w:p>
            <w:pPr>
              <w:spacing w:after="0"/>
              <w:rPr>
                <w:sz w:val="17"/>
                <w:szCs w:val="17"/>
                <w:color w:val="auto"/>
              </w:rPr>
            </w:pPr>
          </w:p>
        </w:tc>
        <w:tc>
          <w:tcPr>
            <w:tcW w:w="66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w:t>
            </w:r>
          </w:p>
        </w:tc>
        <w:tc>
          <w:tcPr>
            <w:tcW w:w="28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20" w:type="dxa"/>
            <w:vAlign w:val="bottom"/>
            <w:gridSpan w:val="2"/>
            <w:vMerge w:val="continue"/>
          </w:tcPr>
          <w:p>
            <w:pPr>
              <w:spacing w:after="0"/>
              <w:rPr>
                <w:sz w:val="18"/>
                <w:szCs w:val="18"/>
                <w:color w:val="auto"/>
              </w:rPr>
            </w:pPr>
          </w:p>
        </w:tc>
        <w:tc>
          <w:tcPr>
            <w:tcW w:w="30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(2,286)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90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90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Total Deferred Taxes, Net</w:t>
            </w:r>
          </w:p>
        </w:tc>
        <w:tc>
          <w:tcPr>
            <w:tcW w:w="300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730</w:t>
            </w:r>
          </w:p>
        </w:tc>
        <w:tc>
          <w:tcPr>
            <w:tcW w:w="200" w:type="dxa"/>
            <w:vAlign w:val="bottom"/>
            <w:shd w:val="clear" w:color="auto" w:fill="E5E5E5"/>
          </w:tcPr>
          <w:p>
            <w:pPr>
              <w:spacing w:after="0"/>
              <w:rPr>
                <w:sz w:val="17"/>
                <w:szCs w:val="17"/>
                <w:color w:val="auto"/>
              </w:rPr>
            </w:pPr>
          </w:p>
        </w:tc>
        <w:tc>
          <w:tcPr>
            <w:tcW w:w="1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1,798</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The above amounts are classified as current or long-term in the Consolidated Balance Sheets in accordance with the asset or liability to which they relate or, when applicable, based on the expected timing of the reversal. Current deferred tax assets at December 31, 2010 and 2009 amounted to $298 and $290, respectively.</w:t>
      </w:r>
    </w:p>
    <w:p>
      <w:pPr>
        <w:spacing w:after="0" w:line="154"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The deferred tax assets for the respective periods were assessed for recoverability and, where applicable, a valuation allowance was recorded to reduce the total deferred tax asset to an amount that will, more-likely-than-not, be realized in the future. The net change in the total valuation allowance for the years ended December 31, 2010 and 2009 was an increase of $63 and a increase of $44, respectively. The valuation allowance relates primarily to certain net operating loss carryforwards, tax credit carryforwards and deductible temporary differences for which we have concluded it is more-likely-than-not that these items will not be realized in the ordinary course of operations.</w:t>
      </w:r>
    </w:p>
    <w:p>
      <w:pPr>
        <w:spacing w:after="0" w:line="157"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Although realization is not assured, we have concluded that it is more-likely-than-not that the deferred tax assets, for which a valuation allowance was determined to be unnecessary, will be realized in the ordinary course of operations based on the available positive and negative evidence, including scheduling of deferred tax liabilities and projected income from operating activities. The amount of the net deferred tax assets considered realizable, however, could be reduced in the near term if actual future income or income tax rates are lower than estimated, or if there are differences in the timing or amount of future reversals of existing taxable or deductible temporary differences.</w:t>
      </w:r>
    </w:p>
    <w:p>
      <w:pPr>
        <w:spacing w:after="0" w:line="157"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At December 31, 2010, we had tax credit carryforwards of $409 available to offset future income taxes, of which $109 are available to carryforward indefinitely while the remaining $300 will expire 2011 through 2027 if not utilized. We also had net operating loss carryforwards for income tax purposes of $1,236 that will expire 2011 through 2029, if not utilized, and $2,478 billion available to offset future taxable income indefinitely.</w:t>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14"/>
          <w:szCs w:val="14"/>
          <w:color w:val="4C9F40"/>
        </w:rPr>
        <w:t>Xerox 2010 Annual Report 92</w:t>
      </w:r>
    </w:p>
    <w:p>
      <w:pPr>
        <w:sectPr>
          <w:pgSz w:w="11900" w:h="16838" w:orient="portrait"/>
          <w:cols w:equalWidth="0" w:num="1">
            <w:col w:w="11420"/>
          </w:cols>
          <w:pgMar w:left="240" w:top="345" w:right="239" w:bottom="1440" w:gutter="0" w:footer="0" w:header="0"/>
        </w:sectPr>
      </w:pPr>
    </w:p>
    <w:bookmarkStart w:id="169" w:name="page170"/>
    <w:bookmarkEnd w:id="169"/>
    <w:p>
      <w:pPr>
        <w:spacing w:after="0"/>
        <w:rPr>
          <w:sz w:val="20"/>
          <w:szCs w:val="20"/>
          <w:color w:val="auto"/>
        </w:rPr>
      </w:pPr>
      <w:r>
        <w:rPr>
          <w:rFonts w:ascii="Arial" w:cs="Arial" w:eastAsia="Arial" w:hAnsi="Arial"/>
          <w:sz w:val="22"/>
          <w:szCs w:val="22"/>
          <w:b w:val="1"/>
          <w:bCs w:val="1"/>
          <w:color w:val="4C9F40"/>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 17 – Contingencies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Brazil Tax and Labor Contingencies</w:t>
      </w:r>
    </w:p>
    <w:p>
      <w:pPr>
        <w:spacing w:after="0" w:line="99"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Our Brazilian operations are involved in various litigation matters and have received or been the subject of numerous governmental assessments related to indirect and other taxes, as well as disputes associated with former employees and contract labor. The tax matters, which comprise a significant portion of the total contingencies, principally relate to claims for taxes on the internal transfer of inventory, municipal service taxes on rentals and gross revenue taxes. We are disputing these tax matters and intend to vigorously defend our positions. Based on the opinion of legal counsel and current reserves for those matters deemed probable of loss, we do not believe that the ultimate resolution of these matters will materially impact our results of operations, financial position or cash flows. The labor matters principally relate to claims made by former employees and contract labor for the equivalent payment of all social security and other related labor benefits, as well as consequential tax claims, as if they were regular employees. As of December 31, 2010, the total amounts related to the unreserved portion of the tax and labor contingencies, inclusive of any related interest, amounted to approximately $1,274, with the increase from December 31, 2009 balance of approximately $1,225 primarily related to currency and current year interest indexation partially offset by matters that have been closed. With respect to the unreserved balance of $1,274, the majority has been assessed by management as being remote as to the likelihood of ultimately resulting in a loss to the Company. In connection with the above proceedings, customary local regulations may require us to make escrow cash deposits or post other security of up to half of the total amount in dispute. As of December 31, 2010 we had $276 of escrow cash deposits for matters we are disputing and there are liens on certain Brazilian assets with a net book value of $19 and additional letters of credit of approximately $160. Generally, any escrowed amounts would be refundable and any liens would be removed to the extent the matters are resolved in our favor. We routinely assess all these matters as to probability of ultimately incurring a liability against our Brazilian operations and record our best estimate of the ultimate loss in situations where we assess the likelihood of an ultimate loss as probable.</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Legal Matters</w:t>
      </w:r>
    </w:p>
    <w:p>
      <w:pPr>
        <w:spacing w:after="0" w:line="180"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As more fully discussed below, we are involved in a variety of claims, lawsuits, investigations and proceedings concerning securities law, intellectual property law, environmental law, employment law and the Employee Retirement Income Security Act (“ERISA”). We determine whether an estimated loss from a contingency should be accrued by assessing whether a loss is deemed probable and can be reasonably estimated. We assess our potential liability by analyzing our litigation and regulatory matters using available information. We develop our views on estimated losses in consultation with outside counsel handling our defense in these matters, which involves an analysis of potential results, assuming a combination of litigation and settlement strategies. Should developments in any of these matters cause a change in our determination as to an unfavorable outcome and result in the need to recognize a material accrual, or should any of these matters result in a final adverse judgment or be settled for significant amounts, they could have a material adverse effect on our results of operations, cash flows and financial position in the period or periods in which such change in determination, judgment or settlement occurs.</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4"/>
          <w:szCs w:val="14"/>
          <w:color w:val="4C9F40"/>
        </w:rPr>
        <w:t>Xerox 2010 Annual Report 93</w:t>
      </w:r>
    </w:p>
    <w:p>
      <w:pPr>
        <w:sectPr>
          <w:pgSz w:w="11900" w:h="16838" w:orient="portrait"/>
          <w:cols w:equalWidth="0" w:num="1">
            <w:col w:w="11420"/>
          </w:cols>
          <w:pgMar w:left="240" w:top="310" w:right="239" w:bottom="1440" w:gutter="0" w:footer="0" w:header="0"/>
        </w:sectPr>
      </w:pPr>
    </w:p>
    <w:bookmarkStart w:id="170" w:name="page171"/>
    <w:bookmarkEnd w:id="170"/>
    <w:p>
      <w:pPr>
        <w:spacing w:after="0"/>
        <w:rPr>
          <w:sz w:val="20"/>
          <w:szCs w:val="20"/>
          <w:color w:val="auto"/>
        </w:rPr>
      </w:pPr>
      <w:r>
        <w:rPr>
          <w:rFonts w:ascii="Arial" w:cs="Arial" w:eastAsia="Arial" w:hAnsi="Arial"/>
          <w:sz w:val="18"/>
          <w:szCs w:val="18"/>
          <w:b w:val="1"/>
          <w:bCs w:val="1"/>
          <w:color w:val="4C9F40"/>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Litigation Against the Company</w:t>
      </w:r>
    </w:p>
    <w:p>
      <w:pPr>
        <w:spacing w:after="0" w:line="160" w:lineRule="exact"/>
        <w:rPr>
          <w:sz w:val="20"/>
          <w:szCs w:val="20"/>
          <w:color w:val="auto"/>
        </w:rPr>
      </w:pPr>
    </w:p>
    <w:p>
      <w:pPr>
        <w:ind w:right="40"/>
        <w:spacing w:after="0" w:line="267" w:lineRule="auto"/>
        <w:rPr>
          <w:sz w:val="20"/>
          <w:szCs w:val="20"/>
          <w:color w:val="auto"/>
        </w:rPr>
      </w:pPr>
      <w:r>
        <w:rPr>
          <w:rFonts w:ascii="Arial" w:cs="Arial" w:eastAsia="Arial" w:hAnsi="Arial"/>
          <w:sz w:val="16"/>
          <w:szCs w:val="16"/>
          <w:b w:val="1"/>
          <w:bCs w:val="1"/>
          <w:i w:val="1"/>
          <w:iCs w:val="1"/>
          <w:u w:val="single" w:color="auto"/>
          <w:color w:val="4C9F40"/>
        </w:rPr>
        <w:t>In re Xerox Corporation Securities Litigation:</w:t>
      </w:r>
      <w:r>
        <w:rPr>
          <w:rFonts w:ascii="Arial" w:cs="Arial" w:eastAsia="Arial" w:hAnsi="Arial"/>
          <w:sz w:val="16"/>
          <w:szCs w:val="16"/>
          <w:b w:val="1"/>
          <w:bCs w:val="1"/>
          <w:i w:val="1"/>
          <w:iCs w:val="1"/>
          <w:color w:val="4C9F40"/>
        </w:rPr>
        <w:t xml:space="preserve"> </w:t>
      </w:r>
      <w:r>
        <w:rPr>
          <w:rFonts w:ascii="Arial" w:cs="Arial" w:eastAsia="Arial" w:hAnsi="Arial"/>
          <w:sz w:val="16"/>
          <w:szCs w:val="16"/>
          <w:color w:val="000000"/>
        </w:rPr>
        <w:t>A consolidated securities law action (consisting of 17 cases) is pending in the United States</w:t>
      </w:r>
      <w:r>
        <w:rPr>
          <w:rFonts w:ascii="Arial" w:cs="Arial" w:eastAsia="Arial" w:hAnsi="Arial"/>
          <w:sz w:val="16"/>
          <w:szCs w:val="16"/>
          <w:b w:val="1"/>
          <w:bCs w:val="1"/>
          <w:i w:val="1"/>
          <w:iCs w:val="1"/>
          <w:color w:val="4C9F40"/>
        </w:rPr>
        <w:t xml:space="preserve"> </w:t>
      </w:r>
      <w:r>
        <w:rPr>
          <w:rFonts w:ascii="Arial" w:cs="Arial" w:eastAsia="Arial" w:hAnsi="Arial"/>
          <w:sz w:val="16"/>
          <w:szCs w:val="16"/>
          <w:color w:val="000000"/>
        </w:rPr>
        <w:t>District Court for the District of Connecticut. Defendants are the Company, Barry Romeril, Paul Allaire and G. Richard Thoman. The consolidated action is a class action on behalf of all persons and entities who purchased Xerox Corporation common stock during the period October 22, 1998 through October 7, 1999 inclusive (“Class Period”) and who suffered a loss as a result of misrepresentations or omissions by Defendants as alleged by Plaintiffs (the “Class”). The Class alleges that in violation of Section 10(b) and/or 20(a) of the Securities Exchange Act of 1934, as amended (“1934 Act”), and SEC Rule 10b-5 thereunder, each of the defendants is liable as a participant in a fraudulent scheme and course of business that operated as a fraud or deceit on purchasers of the Company’s common stock during the Class Period by disseminating materially false and misleading statements and/or concealing material facts relating to the defendants’ alleged failure to disclose the material negative impact that the April 1998 restructuring had on the Company’s operations and revenues. The complaint further alleges that the alleged scheme:</w:t>
      </w:r>
    </w:p>
    <w:p>
      <w:pPr>
        <w:spacing w:after="0" w:line="1" w:lineRule="exact"/>
        <w:rPr>
          <w:sz w:val="20"/>
          <w:szCs w:val="20"/>
          <w:color w:val="auto"/>
        </w:rPr>
      </w:pPr>
    </w:p>
    <w:p>
      <w:pPr>
        <w:ind w:firstLine="8"/>
        <w:spacing w:after="0" w:line="265" w:lineRule="auto"/>
        <w:tabs>
          <w:tab w:leader="none" w:pos="205" w:val="left"/>
        </w:tabs>
        <w:numPr>
          <w:ilvl w:val="0"/>
          <w:numId w:val="173"/>
        </w:numPr>
        <w:rPr>
          <w:rFonts w:ascii="Arial" w:cs="Arial" w:eastAsia="Arial" w:hAnsi="Arial"/>
          <w:sz w:val="16"/>
          <w:szCs w:val="16"/>
          <w:color w:val="auto"/>
        </w:rPr>
      </w:pPr>
      <w:r>
        <w:rPr>
          <w:rFonts w:ascii="Arial" w:cs="Arial" w:eastAsia="Arial" w:hAnsi="Arial"/>
          <w:sz w:val="16"/>
          <w:szCs w:val="16"/>
          <w:color w:val="auto"/>
        </w:rPr>
        <w:t>deceived the investing public regarding the economic capabilities, sales proficiencies, growth, operations and the intrinsic value of the Company’s common stock; (ii) allowed several corporate insiders, such as the named individual defendants, to sell shares of privately held common stock of the Company while in possession of materially adverse, non-public information; and (iii) caused the individual plaintiffs and the other members of the purported class to purchase common stock of the Company at inflated prices. The complaint seeks unspecified compensatory damages in favor of the plaintiffs and the other members of the purported class against all defendants, jointly and severally, for all damages sustained as a result of defendants’ alleged wrongdoing, including interest thereon, together with reasonable costs and expenses incurred in the action, including counsel fees and expert fees. In 2001, the Court denied the defendants’ motion for dismissal of the complaint. The plaintiffs’ motion for class certification was denied by the Court in 2006, without prejudice to refiling. In February 2007, the Court granted the motion of the International Brotherhood of Electrical Workers Welfare Fund of Local Union No. 164, Robert W. Roten, Robert Agius (“Agius”) and Georgia Stanley to appoint them as additional lead plaintiffs. In July 2007, the Court denied plaintiffs’ renewed motion for class certification, without prejudice to renewal after the Court holds a pre-filing conference to identify factual disputes the Court will be required to resolve in ruling on the motion. After that conference and Agius’s withdrawal as lead plaintiff and proposed class representative, in February 2008 plaintiffs filed a second renewed motion for class certification. In April 2008, defendants filed their response and motion to disqualify Milberg LLP as a lead counsel. On September 30, 2008, the Court entered an order certifying the class and denying the appointment of Milberg LLP as class counsel. Subsequently, on April 9, 2009, the Court denied defendants’ motion to disqualify Milberg LLP. On November 6, 2008, the defendants filed a motion for summary judgment. Briefing with respect to the motion is complete. The Court has not yet rendered a decision. The parties also filed motions to exclude the testimony of certain expert witnesses. On April 22, 2009, the Court denied plaintiffs’ motions to exclude the testimony of two of defendants’ expert witnesses. On September 30, 2010, the Court denied plaintiffs’ motion to exclude the testimony of another of defendants’ expert witnesses. The Court also granted defendants’ motion to exclude the testimony of one of plaintiffs’ expert witnesses, and granted in part and denied in part defendants’ motion to exclude the testimony of plaintiffs’ two remaining expert witnesses. The individual defendants and we deny any wrongdoing and are vigorously defending the action. In the course of litigation, we periodically engage in discussions with plaintiffs’ counsel for possible resolution of this matter. Should developments cause a change in our determination as to an unfavorable outcome, or result in a final adverse judgment or a settlement for a significant amount, there could be a material adverse effect on our results of operations, cash flows and financial position in the period in which such change in determination, judgment or settlement occurs.</w:t>
      </w:r>
    </w:p>
    <w:p>
      <w:pPr>
        <w:spacing w:after="0" w:line="200" w:lineRule="exact"/>
        <w:rPr>
          <w:sz w:val="20"/>
          <w:szCs w:val="20"/>
          <w:color w:val="auto"/>
        </w:rPr>
      </w:pPr>
    </w:p>
    <w:p>
      <w:pPr>
        <w:spacing w:after="0" w:line="335"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b w:val="1"/>
          <w:bCs w:val="1"/>
          <w:i w:val="1"/>
          <w:iCs w:val="1"/>
          <w:u w:val="single" w:color="auto"/>
          <w:color w:val="4C9F40"/>
        </w:rPr>
        <w:t>Merger Agreement Between Xerox and Affiliated Computer Services, Inc.:</w:t>
      </w:r>
      <w:r>
        <w:rPr>
          <w:rFonts w:ascii="Arial" w:cs="Arial" w:eastAsia="Arial" w:hAnsi="Arial"/>
          <w:sz w:val="18"/>
          <w:szCs w:val="18"/>
          <w:b w:val="1"/>
          <w:bCs w:val="1"/>
          <w:i w:val="1"/>
          <w:iCs w:val="1"/>
          <w:color w:val="4C9F40"/>
        </w:rPr>
        <w:t xml:space="preserve"> </w:t>
      </w:r>
      <w:r>
        <w:rPr>
          <w:rFonts w:ascii="Arial" w:cs="Arial" w:eastAsia="Arial" w:hAnsi="Arial"/>
          <w:sz w:val="18"/>
          <w:szCs w:val="18"/>
          <w:color w:val="000000"/>
        </w:rPr>
        <w:t>In late September and early October 2009, nine purported class</w:t>
      </w:r>
      <w:r>
        <w:rPr>
          <w:rFonts w:ascii="Arial" w:cs="Arial" w:eastAsia="Arial" w:hAnsi="Arial"/>
          <w:sz w:val="18"/>
          <w:szCs w:val="18"/>
          <w:b w:val="1"/>
          <w:bCs w:val="1"/>
          <w:i w:val="1"/>
          <w:iCs w:val="1"/>
          <w:color w:val="4C9F40"/>
        </w:rPr>
        <w:t xml:space="preserve"> </w:t>
      </w:r>
      <w:r>
        <w:rPr>
          <w:rFonts w:ascii="Arial" w:cs="Arial" w:eastAsia="Arial" w:hAnsi="Arial"/>
          <w:sz w:val="18"/>
          <w:szCs w:val="18"/>
          <w:color w:val="000000"/>
        </w:rPr>
        <w:t>action complaints were filed by ACS shareholders challenging ACS’s proposed merger with Xerox. Two actions were filed in the Delaware Court of Chancery which subsequently were consolidated into one action. Seven actions were filed in state courts in Texas, which subsequently were consolidated into one action in the Dallas County Court at Law No. 3. The operative complaints in the Delaware and Texas actions named as defendants ACS and/or the members of ACS’s board of directors (the “Individual Defendants”) and Xerox Corporation and/or Boulder Acquisition Corp., a wholly owned subsidiary of Xerox (“Boulder”) (ACS, the Individual Defendants, Xerox Corporation and Boulder, collectively, the “Xerox Defendants”). A class of ACS shareholders was certified in the Delaware action. Pursuant to a stipulation entered into by all parties in the Delaware and Texas actions prosecution of the Texas action was stayed and further prosecution of the Delaware and Texas actions would proceed in the Delaware action.</w:t>
      </w:r>
    </w:p>
    <w:p>
      <w:pPr>
        <w:spacing w:after="0" w:line="158"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The plaintiffs in the Delaware action alledged, among other things, that (i) the Individual Defendants breached their fiduciary duties to ACS and its shareholders by authorizing the sale of ACS to Xerox for what plaintiffs deemed was inadequate consideration and pursuant to inadequate process, and the Xerox Defendants aided and abetted those alleged breaches; (ii) the Individual Defendants breached their fiduciary duties to ACS and its shareholders by agreeing to the provisions of the merger agreement relating to the consideration to be paid to the holders of Class B shares which the Delaware plaintiffs alleged violated the ACS certificate of incorporation and was, therefore, void, and the Xerox Defendants aided and abetted those alleged breaches; and (iii) the Individual Defendants breached their fiduciary duties by failing to disclose material facts in the October 23, 2009 Form S-4 filed with the SEC in connection with the merger. The plaintiffs sought, among other things, to enjoin the defendants from consummating the merger on the agreed-upon terms, and unspecified compensatory damages, together with the costs and disbursements of the action.</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4"/>
          <w:szCs w:val="14"/>
          <w:color w:val="4C9F40"/>
        </w:rPr>
        <w:t>Xerox 2010 Annual Report 94</w:t>
      </w:r>
    </w:p>
    <w:p>
      <w:pPr>
        <w:sectPr>
          <w:pgSz w:w="11900" w:h="16838" w:orient="portrait"/>
          <w:cols w:equalWidth="0" w:num="1">
            <w:col w:w="11420"/>
          </w:cols>
          <w:pgMar w:left="240" w:top="323" w:right="239" w:bottom="1440" w:gutter="0" w:footer="0" w:header="0"/>
        </w:sectPr>
      </w:pPr>
    </w:p>
    <w:bookmarkStart w:id="171" w:name="page172"/>
    <w:bookmarkEnd w:id="171"/>
    <w:p>
      <w:pPr>
        <w:ind w:right="260"/>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 May 19, 2010, the parties in the Delaware and Texas Actions entered into a Stipulation and Agreement of Compromise and Settlement (“Settlement”) resolving all claims by ACS shareholders arising out of Xerox’s acquisition of ACS, including all claims in the Delaware and Texas Actions. The defendants in the Delaware and Texas Actions did not admit to any wrongdoing as part of the Settlement, which provided for an aggregate payment of $69 on behalf of all defendants, including a payment of approximately $36 by Xerox, net of insurance proceeds. The Delaware court approved the Settlement at a hearing held on August 24, 2010. In light of the Delaware court’s approval of the Settlement, on October 13, 2010, the Texas court signed an order dismissing the Texas action.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Other Contingencies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Guarantees, Indemnifications and Warranty Liabilities</w:t>
      </w:r>
    </w:p>
    <w:p>
      <w:pPr>
        <w:spacing w:after="0" w:line="1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Guarantees and claims arise during the ordinary course of business from relationships with suppliers, customers and nonconsolidated affiliates when the Company undertakes an obligation to guarantee the performance of others if specified triggering events occur. Nonperformance under a contract could trigger an obligation of the Company. These potential claims include actions based upon alleged exposures to products, real estate, intellectual property such as patents, environmental matters, and other indemnifications. The ultimate effect on future financial results is not subject to reasonable estimation because considerable uncertainty exists as to the final outcome of these claims. However, while the ultimate liabilities resulting from such claims may be significant to results of operations in the period recognized, management does not anticipate they will have a material adverse effect on the Company’s consolidated financial position or liquidity. As of December 31, 2010, we have accrued our estimate of liability incurred under our indemnification arrangements and guarantees.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Indemnifications Provided as Part of Contracts and Agreements</w:t>
      </w:r>
    </w:p>
    <w:p>
      <w:pPr>
        <w:spacing w:after="0" w:line="18" w:lineRule="exact"/>
        <w:rPr>
          <w:sz w:val="20"/>
          <w:szCs w:val="20"/>
          <w:color w:val="auto"/>
        </w:rPr>
      </w:pPr>
    </w:p>
    <w:p>
      <w:pPr>
        <w:ind w:right="380"/>
        <w:spacing w:after="0" w:line="234" w:lineRule="auto"/>
        <w:rPr>
          <w:sz w:val="20"/>
          <w:szCs w:val="20"/>
          <w:color w:val="auto"/>
        </w:rPr>
      </w:pPr>
      <w:r>
        <w:rPr>
          <w:rFonts w:ascii="Arial" w:cs="Arial" w:eastAsia="Arial" w:hAnsi="Arial"/>
          <w:sz w:val="18"/>
          <w:szCs w:val="18"/>
          <w:color w:val="auto"/>
        </w:rPr>
        <w:t>We are a party to the following types of agreements pursuant to which we may be obligated to indemnify the other party with respect to certain matters:</w:t>
      </w:r>
    </w:p>
    <w:p>
      <w:pPr>
        <w:spacing w:after="0" w:line="2" w:lineRule="exact"/>
        <w:rPr>
          <w:sz w:val="20"/>
          <w:szCs w:val="20"/>
          <w:color w:val="auto"/>
        </w:rPr>
      </w:pPr>
    </w:p>
    <w:p>
      <w:pPr>
        <w:ind w:left="340" w:right="40" w:hanging="332"/>
        <w:spacing w:after="0" w:line="234" w:lineRule="auto"/>
        <w:tabs>
          <w:tab w:leader="none" w:pos="3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Contracts that we entered into for the sale or purchase of businesses or real estate assets, under which we customarily agree to hold the other party harmless against losses arising from a breach of representations and covenants, including obligations to pay rent. Typically, these relate to such matters as adequate title to assets sold, intellectual property rights, specified environmental matters and certain income taxes arising prior to the date of acquisition.</w:t>
      </w:r>
    </w:p>
    <w:p>
      <w:pPr>
        <w:spacing w:after="0" w:line="3" w:lineRule="exact"/>
        <w:rPr>
          <w:rFonts w:ascii="Arial" w:cs="Arial" w:eastAsia="Arial" w:hAnsi="Arial"/>
          <w:sz w:val="18"/>
          <w:szCs w:val="18"/>
          <w:color w:val="auto"/>
        </w:rPr>
      </w:pPr>
    </w:p>
    <w:p>
      <w:pPr>
        <w:ind w:left="340" w:right="260" w:hanging="332"/>
        <w:spacing w:after="0" w:line="234" w:lineRule="auto"/>
        <w:tabs>
          <w:tab w:leader="none" w:pos="3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Guarantees on behalf of our subsidiaries with respect to real estate leases. These lease guarantees may remain in effect subsequent to the sale of the subsidiary.</w:t>
      </w:r>
    </w:p>
    <w:p>
      <w:pPr>
        <w:spacing w:after="0" w:line="1" w:lineRule="exact"/>
        <w:rPr>
          <w:rFonts w:ascii="Arial" w:cs="Arial" w:eastAsia="Arial" w:hAnsi="Arial"/>
          <w:sz w:val="18"/>
          <w:szCs w:val="18"/>
          <w:color w:val="auto"/>
        </w:rPr>
      </w:pPr>
    </w:p>
    <w:p>
      <w:pPr>
        <w:ind w:left="340" w:right="220" w:hanging="332"/>
        <w:spacing w:after="0" w:line="234" w:lineRule="auto"/>
        <w:tabs>
          <w:tab w:leader="none" w:pos="3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Agreements to indemnify various service providers, trustees and bank agents from any third party claims related to their performance on our behalf, with the exception of claims that result from third-party’s own willful misconduct or gross negligence.</w:t>
      </w:r>
    </w:p>
    <w:p>
      <w:pPr>
        <w:spacing w:after="0" w:line="1" w:lineRule="exact"/>
        <w:rPr>
          <w:rFonts w:ascii="Arial" w:cs="Arial" w:eastAsia="Arial" w:hAnsi="Arial"/>
          <w:sz w:val="18"/>
          <w:szCs w:val="18"/>
          <w:color w:val="auto"/>
        </w:rPr>
      </w:pPr>
    </w:p>
    <w:p>
      <w:pPr>
        <w:ind w:left="340" w:right="40" w:hanging="332"/>
        <w:spacing w:after="0" w:line="238" w:lineRule="auto"/>
        <w:tabs>
          <w:tab w:leader="none" w:pos="3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Guarantees of our performance in certain sales and services contracts to our customers and indirectly the performance of third parties with whom we have subcontracted for their services. This includes indemnifications to customers for losses that may be sustained as a result of the use of our equipment at a customer’s location.</w:t>
      </w:r>
    </w:p>
    <w:p>
      <w:pPr>
        <w:spacing w:after="0" w:line="73"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 each of these circumstances, our payment is conditioned on the other party making a claim pursuant to the procedures specified in the particular contract, which procedures typically allow us to challenge the other party’s claims. In the case of lease guarantees, we may contest the liabilities asserted under the lease. Further, our obligations under these agreements and guarantees may be limited in terms of time and/or amount, and in some instances, we may have recourse against third parties for certain payments we made.</w:t>
      </w:r>
    </w:p>
    <w:p>
      <w:pPr>
        <w:spacing w:after="0" w:line="137" w:lineRule="exact"/>
        <w:rPr>
          <w:sz w:val="20"/>
          <w:szCs w:val="20"/>
          <w:color w:val="auto"/>
        </w:rPr>
      </w:pPr>
    </w:p>
    <w:p>
      <w:pPr>
        <w:jc w:val="right"/>
        <w:spacing w:after="0"/>
        <w:rPr>
          <w:sz w:val="20"/>
          <w:szCs w:val="20"/>
          <w:color w:val="auto"/>
        </w:rPr>
      </w:pPr>
      <w:r>
        <w:rPr>
          <w:rFonts w:ascii="Arial" w:cs="Arial" w:eastAsia="Arial" w:hAnsi="Arial"/>
          <w:sz w:val="14"/>
          <w:szCs w:val="14"/>
          <w:color w:val="4C9F40"/>
        </w:rPr>
        <w:t>Xerox 2010 Annual Report 95</w:t>
      </w:r>
    </w:p>
    <w:p>
      <w:pPr>
        <w:sectPr>
          <w:pgSz w:w="11900" w:h="16838" w:orient="portrait"/>
          <w:cols w:equalWidth="0" w:num="1">
            <w:col w:w="11420"/>
          </w:cols>
          <w:pgMar w:left="240" w:top="345" w:right="23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b w:val="1"/>
          <w:bCs w:val="1"/>
          <w:color w:val="4C9F40"/>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Patent Indemnifications</w:t>
      </w:r>
    </w:p>
    <w:p>
      <w:pPr>
        <w:spacing w:after="0" w:line="18"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In most sales transactions to resellers of our products, we indemnify against possible claims of patent infringement caused by our products or solutions. In addition, we indemnify certain software providers against claims that may arise as a result of our use or our subsidiaries’, customers’ or resellers’ use of their software in our products and solutions. These indemnifications usually do not include limits on the claims, provided the claim is made pursuant to the procedures required in the sales contract.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Indemnification of Officers and Directors</w:t>
      </w:r>
    </w:p>
    <w:p>
      <w:pPr>
        <w:spacing w:after="0" w:line="1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Our corporate by-laws require that, except to the extent expressly prohibited by law, we must indemnify Xerox Corporation’s officers and directors against judgments, fines, penalties and amounts paid in settlement, including legal fees and all appeals, incurred in connection with civil or criminal action or proceedings, as it relates to their services to Xerox Corporation and our subsidiaries. Although the by-laws provide no limit on the amount of indemnification, we may have recourse against our insurance carriers for certain payments made by us. However, certain indemnification payments may not be covered under our directors’ and officers’ insurance coverage. In addition, we indemnify certain fiduciaries of our employee benefit plans for liabilities incurred in their service as fiduciary whether or not they are officers of the Company.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Product Warranty Liabilities</w:t>
      </w:r>
    </w:p>
    <w:p>
      <w:pPr>
        <w:spacing w:after="0" w:line="18"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In connection with our normal sales of equipment, including those under sales-type leases, we generally do not issue product warranties. Our arrangements typically involve a separate full service maintenance agreement with the customer. The agreements generally extend over a period equivalent to the lease term or the expected useful life under a cash sale. The service agreements involve the payment of fees in return for our performance of repairs and maintenance. As a consequence, we do not have any significant product warranty obligations including any obligations under customer satisfaction programs. In a few circumstances, particularly in certain cash sales, we may issue a limited product warranty if negotiated by the customer. We also issue warranties for certain of our entry level products, where full service maintenance agreements are not available. In these instances, we record warranty obligations at the time of the sale. Aggregate product warranty liability expenses for the three years ended December 31, 2010 were $33, $34 and $39, respectively. Total product warranty liabilities as of December 31, 2010 and 2009 were $18 and $20, respectively.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Other Contingencies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We have issued or provided the following guarantees as of December 31, 2010:</w:t>
      </w:r>
    </w:p>
    <w:p>
      <w:pPr>
        <w:ind w:left="340" w:right="20" w:hanging="332"/>
        <w:spacing w:after="0" w:line="234" w:lineRule="auto"/>
        <w:tabs>
          <w:tab w:leader="none" w:pos="3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$270 for letters of credit issued i) to guarantee our performance under certain services contracts; ii) to support certain insurance programs; and iii) to support our obligations related to the Brazil tax and labor contingencies.</w:t>
      </w:r>
    </w:p>
    <w:p>
      <w:pPr>
        <w:spacing w:after="0" w:line="1" w:lineRule="exact"/>
        <w:rPr>
          <w:rFonts w:ascii="Arial" w:cs="Arial" w:eastAsia="Arial" w:hAnsi="Arial"/>
          <w:sz w:val="18"/>
          <w:szCs w:val="18"/>
          <w:color w:val="auto"/>
        </w:rPr>
      </w:pPr>
    </w:p>
    <w:p>
      <w:pPr>
        <w:ind w:left="340" w:right="100" w:hanging="332"/>
        <w:spacing w:after="0" w:line="239" w:lineRule="auto"/>
        <w:tabs>
          <w:tab w:leader="none" w:pos="3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$666 for outstanding surety bonds. Certain contracts, primarily those involving public sector customers, require us to provide a surety bond as a guarantee of our performance of contractual obligations.</w:t>
      </w:r>
    </w:p>
    <w:p>
      <w:pPr>
        <w:spacing w:after="0" w:line="155" w:lineRule="exact"/>
        <w:rPr>
          <w:sz w:val="20"/>
          <w:szCs w:val="20"/>
          <w:color w:val="auto"/>
        </w:rPr>
      </w:pPr>
    </w:p>
    <w:p>
      <w:pPr>
        <w:ind w:right="380"/>
        <w:spacing w:after="0" w:line="281" w:lineRule="auto"/>
        <w:rPr>
          <w:sz w:val="20"/>
          <w:szCs w:val="20"/>
          <w:color w:val="auto"/>
        </w:rPr>
      </w:pPr>
      <w:r>
        <w:rPr>
          <w:rFonts w:ascii="Arial" w:cs="Arial" w:eastAsia="Arial" w:hAnsi="Arial"/>
          <w:sz w:val="16"/>
          <w:szCs w:val="16"/>
          <w:color w:val="auto"/>
        </w:rPr>
        <w:t>In general, we would only be liable for the amount of these guarantees in the event of default in our performance of our obligations under each contract; the probability of which we believe is remote. We believe that our capacity in the surety markets as well as under various credit arrangements (including our Credit Facility) is sufficient to allow us to respond to future requests for proposals that require such credit support.</w:t>
      </w:r>
    </w:p>
    <w:p>
      <w:pPr>
        <w:spacing w:after="0" w:line="124"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We have service arrangements where we service third party student loans in the Federal Family Education Loan program (“FFEL”) on behalf of various financial institutions. We service these loans for investors under outsourcing arrangements and do not acquire any servicing rights that are transferable by us to a third party. At December 31, 2010, we serviced a FFEL portfolio of approximately 3.6 million loans with an outstanding principal balance of approximately $51.4 billion. Some servicing agreements contain provisions that, under certain circumstances, require us to purchase the loans from the investor if the loan guaranty has been permanently terminated as a result of a loan default caused by our servicing error. If defaults caused by us are cured during an initial period, any obligation we may have to purchase these loans expires. Loans that we purchase may be subsequently cured, the guaranty reinstated and the loans repackaged for sale to third parties. We evaluate our exposure under our purchase obligations on defaulted loans and establish a reserve for potential losses, or default liability reserve, through a charge to the provision for loss on defaulted loans purchased. The reserve is evaluated periodically and adjusted based upon management’s analysis of the historical performance of the defaulted loans. As of December 31, 2010, other current liabilities include reserves of less than $1 for losses on defaulted loans purchased.</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4"/>
          <w:szCs w:val="14"/>
          <w:color w:val="4C9F40"/>
        </w:rPr>
        <w:t>Xerox 2010 Annual Report 96</w:t>
      </w:r>
    </w:p>
    <w:p>
      <w:pPr>
        <w:sectPr>
          <w:pgSz w:w="11900" w:h="16838" w:orient="portrait"/>
          <w:cols w:equalWidth="0" w:num="1">
            <w:col w:w="11420"/>
          </w:cols>
          <w:pgMar w:left="240" w:top="324" w:right="239" w:bottom="1440" w:gutter="0" w:footer="0" w:header="0"/>
        </w:sectPr>
      </w:pPr>
    </w:p>
    <w:bookmarkStart w:id="173" w:name="page174"/>
    <w:bookmarkEnd w:id="173"/>
    <w:p>
      <w:pPr>
        <w:ind w:right="40"/>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connection with the acquisition of ACS, the Company agreed to provide certain tax and prior employment agreement-related indemnities to former officers and directors of ACS. Management does not anticipate any potential claims under these indemnities would have a material adverse effect on the Company’s financial statements taken as a whole and accordingly no value has been assigned for financial reporting purposes.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4C9F40"/>
        </w:rPr>
        <w:t>Note 18 – Preferred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Series A Convertible Preferred Stock</w:t>
      </w:r>
    </w:p>
    <w:p>
      <w:pPr>
        <w:spacing w:after="0" w:line="18"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In connection with the acquisition of ACS in February 2010 (see Note 3 – Acquisitions for additional information), we issued 300,000 shares of Series A convertible perpetual preferred stock with an aggregate liquidation preference of $300 and a fair value of $349 as of the acquisition date to the holder of ACS Class B common stock. The convertible preferred stock pays quarterly cash dividends at a rate of 8 percent per year and has a liquidation preference of $1,000 per share. Each share of convertible preferred stock is convertible at any time, at the option of the holder, into 89.8876 shares of common stock for a total of 26,966 thousand shares (reflecting an initial conversion price of approximately $11.125 per share of common stock and is a 25% premium over $8.90, the average closing price of Xerox common stock over the 7-trading day period ended on September 14, 2009 and the number used for calculating the conversion price in the ACS merger agreement), subject to customary anti-dilution adjustments. On or after the fifth anniversary of the issue date, we have the right to cause, under certain circumstances, any or all of the convertible preferred stock to be converted into shares of common stock at the then applicable conversion rate. The convertible preferred stock is also convertible, at the option of the holder, upon a change in control, at the applicable conversion rate plus an additional number of shares determined by reference to the price paid for our common stock upon such change in control. In addition, upon the occurrence of certain fundamental change events, including a change in control or the delisting of Xerox’s common stock, the holder of convertible preferred stock has the right to require us to redeem any or all of the convertible preferred stock in cash at a redemption price per share equal to the liquidation preference and any accrued and unpaid dividends to, but not including the redemption date. The convertible preferred stock is classified as temporary equity (i.e., apart from permanent equity) as a result of the contingent redemption feature.</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4C9F40"/>
        </w:rPr>
        <w:t>Note 19 – Shareholders’ Equity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Preferred Stock</w:t>
      </w:r>
    </w:p>
    <w:p>
      <w:pPr>
        <w:spacing w:after="0" w:line="18" w:lineRule="exact"/>
        <w:rPr>
          <w:sz w:val="20"/>
          <w:szCs w:val="20"/>
          <w:color w:val="auto"/>
        </w:rPr>
      </w:pPr>
    </w:p>
    <w:p>
      <w:pPr>
        <w:ind w:right="760"/>
        <w:spacing w:after="0" w:line="239" w:lineRule="auto"/>
        <w:rPr>
          <w:sz w:val="20"/>
          <w:szCs w:val="20"/>
          <w:color w:val="auto"/>
        </w:rPr>
      </w:pPr>
      <w:r>
        <w:rPr>
          <w:rFonts w:ascii="Arial" w:cs="Arial" w:eastAsia="Arial" w:hAnsi="Arial"/>
          <w:sz w:val="18"/>
          <w:szCs w:val="18"/>
          <w:color w:val="auto"/>
        </w:rPr>
        <w:t>As of December 31, 2010 we had one class of preferred stock outstanding. See Note 18 – Preferred Stock for further information. We are authorized to issue approximately 22 million shares of cumulative preferred stock, $1.00 par value per share.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Common Stock</w:t>
      </w:r>
    </w:p>
    <w:p>
      <w:pPr>
        <w:spacing w:after="0" w:line="18"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We have 1.75 billion authorized shares of common stock, $1 par value per share. At December 31, 2010, 167 million shares were reserved for issuance under our incentive compensation plans, 48 million shares were reserved for debt to equity exchanges, 27 million shares were reserved for conversion of the Series A convertible preferred stock and 2 million shares were reserved for the conversion of convertible debt.</w:t>
      </w:r>
    </w:p>
    <w:p>
      <w:pPr>
        <w:spacing w:after="0" w:line="154"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In connection with the acquisition of ACS in February 2010 (see Note 3 – Acquisitions for further information), we issued 489,802 thousand shares of common stock to holders of ACS Class A and Class B common stock.</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Treasury Stock</w:t>
      </w:r>
    </w:p>
    <w:p>
      <w:pPr>
        <w:spacing w:after="0" w:line="18"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Our Board of Directors has authorized programs for repurchase of the Company’s common stock. During the year ended December 31, 2010, we did not purchase any common stock.</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4"/>
          <w:szCs w:val="14"/>
          <w:color w:val="4C9F40"/>
        </w:rPr>
        <w:t>Xerox 2010 Annual Report 97</w:t>
      </w:r>
    </w:p>
    <w:p>
      <w:pPr>
        <w:sectPr>
          <w:pgSz w:w="11900" w:h="16838" w:orient="portrait"/>
          <w:cols w:equalWidth="0" w:num="1">
            <w:col w:w="11420"/>
          </w:cols>
          <w:pgMar w:left="240" w:top="345" w:right="239"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following provides cumulative information relating to our share repurchase programs from their inception in October 2005 through</w:t>
      </w:r>
    </w:p>
    <w:p>
      <w:pPr>
        <w:spacing w:after="0"/>
        <w:rPr>
          <w:sz w:val="20"/>
          <w:szCs w:val="20"/>
          <w:color w:val="auto"/>
        </w:rPr>
      </w:pPr>
      <w:r>
        <w:rPr>
          <w:rFonts w:ascii="Arial" w:cs="Arial" w:eastAsia="Arial" w:hAnsi="Arial"/>
          <w:sz w:val="18"/>
          <w:szCs w:val="18"/>
          <w:color w:val="auto"/>
        </w:rPr>
        <w:t>December 31, 2010 (shares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60" w:type="dxa"/>
            <w:vAlign w:val="bottom"/>
            <w:shd w:val="clear" w:color="auto" w:fill="E5E5E5"/>
          </w:tcPr>
          <w:p>
            <w:pPr>
              <w:spacing w:after="0"/>
              <w:rPr>
                <w:sz w:val="20"/>
                <w:szCs w:val="20"/>
                <w:color w:val="auto"/>
              </w:rPr>
            </w:pPr>
            <w:r>
              <w:rPr>
                <w:rFonts w:ascii="Arial" w:cs="Arial" w:eastAsia="Arial" w:hAnsi="Arial"/>
                <w:sz w:val="18"/>
                <w:szCs w:val="18"/>
                <w:color w:val="auto"/>
              </w:rPr>
              <w:t>Authorized share repurchase</w:t>
            </w:r>
          </w:p>
        </w:tc>
        <w:tc>
          <w:tcPr>
            <w:tcW w:w="2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4,500</w:t>
            </w: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Share repurchases</w:t>
            </w:r>
          </w:p>
        </w:tc>
        <w:tc>
          <w:tcPr>
            <w:tcW w:w="2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2,941</w:t>
            </w:r>
          </w:p>
        </w:tc>
      </w:tr>
      <w:tr>
        <w:trPr>
          <w:trHeight w:val="203"/>
        </w:trPr>
        <w:tc>
          <w:tcPr>
            <w:tcW w:w="46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Share repurchase fees</w:t>
            </w:r>
          </w:p>
        </w:tc>
        <w:tc>
          <w:tcPr>
            <w:tcW w:w="23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ind w:right="12"/>
              <w:spacing w:after="0" w:line="202" w:lineRule="exact"/>
              <w:rPr>
                <w:sz w:val="20"/>
                <w:szCs w:val="20"/>
                <w:color w:val="auto"/>
              </w:rPr>
            </w:pPr>
            <w:r>
              <w:rPr>
                <w:rFonts w:ascii="Arial" w:cs="Arial" w:eastAsia="Arial" w:hAnsi="Arial"/>
                <w:sz w:val="18"/>
                <w:szCs w:val="18"/>
                <w:color w:val="auto"/>
              </w:rPr>
              <w:t>4</w:t>
            </w:r>
          </w:p>
        </w:tc>
      </w:tr>
      <w:tr>
        <w:trPr>
          <w:trHeight w:val="214"/>
        </w:trPr>
        <w:tc>
          <w:tcPr>
            <w:tcW w:w="4660" w:type="dxa"/>
            <w:vAlign w:val="bottom"/>
          </w:tcPr>
          <w:p>
            <w:pPr>
              <w:spacing w:after="0"/>
              <w:rPr>
                <w:sz w:val="20"/>
                <w:szCs w:val="20"/>
                <w:color w:val="auto"/>
              </w:rPr>
            </w:pPr>
            <w:r>
              <w:rPr>
                <w:rFonts w:ascii="Arial" w:cs="Arial" w:eastAsia="Arial" w:hAnsi="Arial"/>
                <w:sz w:val="18"/>
                <w:szCs w:val="18"/>
                <w:color w:val="auto"/>
              </w:rPr>
              <w:t>Number of shares repurchased</w:t>
            </w:r>
          </w:p>
        </w:tc>
        <w:tc>
          <w:tcPr>
            <w:tcW w:w="2360" w:type="dxa"/>
            <w:vAlign w:val="bottom"/>
          </w:tcPr>
          <w:p>
            <w:pPr>
              <w:spacing w:after="0"/>
              <w:rPr>
                <w:sz w:val="18"/>
                <w:szCs w:val="18"/>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w w:val="95"/>
              </w:rPr>
              <w:t>194,093</w:t>
            </w:r>
          </w:p>
        </w:tc>
      </w:tr>
    </w:tbl>
    <w:p>
      <w:pPr>
        <w:spacing w:after="0" w:line="154" w:lineRule="exact"/>
        <w:rPr>
          <w:sz w:val="20"/>
          <w:szCs w:val="20"/>
          <w:color w:val="auto"/>
        </w:rPr>
      </w:pPr>
    </w:p>
    <w:p>
      <w:pPr>
        <w:ind w:right="840"/>
        <w:spacing w:after="0" w:line="239" w:lineRule="auto"/>
        <w:rPr>
          <w:sz w:val="20"/>
          <w:szCs w:val="20"/>
          <w:color w:val="auto"/>
        </w:rPr>
      </w:pPr>
      <w:r>
        <w:rPr>
          <w:rFonts w:ascii="Arial" w:cs="Arial" w:eastAsia="Arial" w:hAnsi="Arial"/>
          <w:sz w:val="18"/>
          <w:szCs w:val="18"/>
          <w:color w:val="auto"/>
        </w:rPr>
        <w:t>The following table reflects the changes in Common and Treasury stock shares for the three years ended December 31, 2010 (shares in thousand):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4"/>
                <w:szCs w:val="14"/>
                <w:color w:val="auto"/>
                <w:w w:val="94"/>
              </w:rPr>
              <w:t>Common Stock Shares</w:t>
            </w:r>
          </w:p>
        </w:tc>
        <w:tc>
          <w:tcPr>
            <w:tcW w:w="1480" w:type="dxa"/>
            <w:vAlign w:val="bottom"/>
            <w:gridSpan w:val="2"/>
          </w:tcPr>
          <w:p>
            <w:pPr>
              <w:jc w:val="right"/>
              <w:ind w:right="120"/>
              <w:spacing w:after="0"/>
              <w:rPr>
                <w:sz w:val="20"/>
                <w:szCs w:val="20"/>
                <w:color w:val="auto"/>
              </w:rPr>
            </w:pPr>
            <w:r>
              <w:rPr>
                <w:rFonts w:ascii="Arial" w:cs="Arial" w:eastAsia="Arial" w:hAnsi="Arial"/>
                <w:sz w:val="14"/>
                <w:szCs w:val="14"/>
                <w:color w:val="auto"/>
                <w:w w:val="94"/>
              </w:rPr>
              <w:t>Treasury Stock Shares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560" w:type="dxa"/>
            <w:vAlign w:val="bottom"/>
            <w:shd w:val="clear" w:color="auto" w:fill="E5E5E5"/>
          </w:tcPr>
          <w:p>
            <w:pPr>
              <w:spacing w:after="0" w:line="196" w:lineRule="exact"/>
              <w:rPr>
                <w:sz w:val="20"/>
                <w:szCs w:val="20"/>
                <w:color w:val="auto"/>
              </w:rPr>
            </w:pPr>
            <w:r>
              <w:rPr>
                <w:rFonts w:ascii="Arial" w:cs="Arial" w:eastAsia="Arial" w:hAnsi="Arial"/>
                <w:sz w:val="18"/>
                <w:szCs w:val="18"/>
                <w:b w:val="1"/>
                <w:bCs w:val="1"/>
                <w:color w:val="auto"/>
              </w:rPr>
              <w:t>Balance at December 31, 2007</w:t>
            </w:r>
          </w:p>
        </w:tc>
        <w:tc>
          <w:tcPr>
            <w:tcW w:w="138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rPr>
              <w:t>919,013</w:t>
            </w:r>
          </w:p>
        </w:tc>
        <w:tc>
          <w:tcPr>
            <w:tcW w:w="240" w:type="dxa"/>
            <w:vAlign w:val="bottom"/>
            <w:shd w:val="clear" w:color="auto" w:fill="E5E5E5"/>
          </w:tcPr>
          <w:p>
            <w:pPr>
              <w:spacing w:after="0"/>
              <w:rPr>
                <w:sz w:val="17"/>
                <w:szCs w:val="17"/>
                <w:color w:val="auto"/>
              </w:rPr>
            </w:pPr>
          </w:p>
        </w:tc>
        <w:tc>
          <w:tcPr>
            <w:tcW w:w="1480" w:type="dxa"/>
            <w:vAlign w:val="bottom"/>
            <w:gridSpan w:val="2"/>
            <w:shd w:val="clear" w:color="auto" w:fill="E5E5E5"/>
          </w:tcPr>
          <w:p>
            <w:pPr>
              <w:jc w:val="right"/>
              <w:ind w:right="60"/>
              <w:spacing w:after="0" w:line="196" w:lineRule="exact"/>
              <w:rPr>
                <w:sz w:val="20"/>
                <w:szCs w:val="20"/>
                <w:color w:val="auto"/>
              </w:rPr>
            </w:pPr>
            <w:r>
              <w:rPr>
                <w:rFonts w:ascii="Arial" w:cs="Arial" w:eastAsia="Arial" w:hAnsi="Arial"/>
                <w:sz w:val="18"/>
                <w:szCs w:val="18"/>
                <w:color w:val="auto"/>
              </w:rPr>
              <w:t>(1,836)</w:t>
            </w:r>
          </w:p>
        </w:tc>
        <w:tc>
          <w:tcPr>
            <w:tcW w:w="0" w:type="dxa"/>
            <w:vAlign w:val="bottom"/>
          </w:tcPr>
          <w:p>
            <w:pPr>
              <w:spacing w:after="0"/>
              <w:rPr>
                <w:sz w:val="1"/>
                <w:szCs w:val="1"/>
                <w:color w:val="auto"/>
              </w:rPr>
            </w:pPr>
          </w:p>
        </w:tc>
      </w:tr>
      <w:tr>
        <w:trPr>
          <w:trHeight w:val="203"/>
        </w:trPr>
        <w:tc>
          <w:tcPr>
            <w:tcW w:w="5580" w:type="dxa"/>
            <w:vAlign w:val="bottom"/>
            <w:gridSpan w:val="2"/>
          </w:tcPr>
          <w:p>
            <w:pPr>
              <w:spacing w:after="0" w:line="202" w:lineRule="exact"/>
              <w:rPr>
                <w:sz w:val="20"/>
                <w:szCs w:val="20"/>
                <w:color w:val="auto"/>
              </w:rPr>
            </w:pPr>
            <w:r>
              <w:rPr>
                <w:rFonts w:ascii="Arial" w:cs="Arial" w:eastAsia="Arial" w:hAnsi="Arial"/>
                <w:sz w:val="18"/>
                <w:szCs w:val="18"/>
                <w:color w:val="auto"/>
              </w:rPr>
              <w:t>Stock option and incentive plans, net</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4,442</w:t>
            </w:r>
          </w:p>
        </w:tc>
        <w:tc>
          <w:tcPr>
            <w:tcW w:w="240" w:type="dxa"/>
            <w:vAlign w:val="bottom"/>
          </w:tcPr>
          <w:p>
            <w:pPr>
              <w:spacing w:after="0"/>
              <w:rPr>
                <w:sz w:val="17"/>
                <w:szCs w:val="17"/>
                <w:color w:val="auto"/>
              </w:rPr>
            </w:pPr>
          </w:p>
        </w:tc>
        <w:tc>
          <w:tcPr>
            <w:tcW w:w="14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Acquisition of Treasury stock</w:t>
            </w:r>
          </w:p>
        </w:tc>
        <w:tc>
          <w:tcPr>
            <w:tcW w:w="162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(56,842)</w:t>
            </w:r>
          </w:p>
        </w:tc>
        <w:tc>
          <w:tcPr>
            <w:tcW w:w="0" w:type="dxa"/>
            <w:vAlign w:val="bottom"/>
          </w:tcPr>
          <w:p>
            <w:pPr>
              <w:spacing w:after="0"/>
              <w:rPr>
                <w:sz w:val="1"/>
                <w:szCs w:val="1"/>
                <w:color w:val="auto"/>
              </w:rPr>
            </w:pPr>
          </w:p>
        </w:tc>
      </w:tr>
      <w:tr>
        <w:trPr>
          <w:trHeight w:val="210"/>
        </w:trPr>
        <w:tc>
          <w:tcPr>
            <w:tcW w:w="5580" w:type="dxa"/>
            <w:vAlign w:val="bottom"/>
            <w:gridSpan w:val="2"/>
          </w:tcPr>
          <w:p>
            <w:pPr>
              <w:spacing w:after="0" w:line="202" w:lineRule="exact"/>
              <w:rPr>
                <w:sz w:val="20"/>
                <w:szCs w:val="20"/>
                <w:color w:val="auto"/>
              </w:rPr>
            </w:pPr>
            <w:r>
              <w:rPr>
                <w:rFonts w:ascii="Arial" w:cs="Arial" w:eastAsia="Arial" w:hAnsi="Arial"/>
                <w:sz w:val="18"/>
                <w:szCs w:val="18"/>
                <w:color w:val="auto"/>
              </w:rPr>
              <w:t>Cancellation of Treasury stock</w:t>
            </w:r>
          </w:p>
        </w:tc>
        <w:tc>
          <w:tcPr>
            <w:tcW w:w="16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(58,678)</w:t>
            </w:r>
          </w:p>
        </w:tc>
        <w:tc>
          <w:tcPr>
            <w:tcW w:w="14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58,678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Balance at December 31, 2008</w:t>
            </w:r>
          </w:p>
        </w:tc>
        <w:tc>
          <w:tcPr>
            <w:tcW w:w="1380" w:type="dxa"/>
            <w:vAlign w:val="bottom"/>
            <w:tcBorders>
              <w:top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864,777</w:t>
            </w:r>
          </w:p>
        </w:tc>
        <w:tc>
          <w:tcPr>
            <w:tcW w:w="240" w:type="dxa"/>
            <w:vAlign w:val="bottom"/>
            <w:shd w:val="clear" w:color="auto" w:fill="E5E5E5"/>
          </w:tcPr>
          <w:p>
            <w:pPr>
              <w:spacing w:after="0"/>
              <w:rPr>
                <w:sz w:val="17"/>
                <w:szCs w:val="17"/>
                <w:color w:val="auto"/>
              </w:rPr>
            </w:pPr>
          </w:p>
        </w:tc>
        <w:tc>
          <w:tcPr>
            <w:tcW w:w="1380" w:type="dxa"/>
            <w:vAlign w:val="bottom"/>
            <w:tcBorders>
              <w:top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580" w:type="dxa"/>
            <w:vAlign w:val="bottom"/>
            <w:gridSpan w:val="2"/>
          </w:tcPr>
          <w:p>
            <w:pPr>
              <w:spacing w:after="0" w:line="202" w:lineRule="exact"/>
              <w:rPr>
                <w:sz w:val="20"/>
                <w:szCs w:val="20"/>
                <w:color w:val="auto"/>
              </w:rPr>
            </w:pPr>
            <w:r>
              <w:rPr>
                <w:rFonts w:ascii="Arial" w:cs="Arial" w:eastAsia="Arial" w:hAnsi="Arial"/>
                <w:sz w:val="18"/>
                <w:szCs w:val="18"/>
                <w:color w:val="auto"/>
              </w:rPr>
              <w:t>Stock option and incentive plans, net</w:t>
            </w: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4,604</w:t>
            </w:r>
          </w:p>
        </w:tc>
        <w:tc>
          <w:tcPr>
            <w:tcW w:w="240" w:type="dxa"/>
            <w:vAlign w:val="bottom"/>
          </w:tcPr>
          <w:p>
            <w:pPr>
              <w:spacing w:after="0"/>
              <w:rPr>
                <w:sz w:val="18"/>
                <w:szCs w:val="18"/>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Balance at December 31, 2009</w:t>
            </w:r>
          </w:p>
        </w:tc>
        <w:tc>
          <w:tcPr>
            <w:tcW w:w="13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869,381</w:t>
            </w:r>
          </w:p>
        </w:tc>
        <w:tc>
          <w:tcPr>
            <w:tcW w:w="240" w:type="dxa"/>
            <w:vAlign w:val="bottom"/>
            <w:shd w:val="clear" w:color="auto" w:fill="E5E5E5"/>
          </w:tcPr>
          <w:p>
            <w:pPr>
              <w:spacing w:after="0"/>
              <w:rPr>
                <w:sz w:val="17"/>
                <w:szCs w:val="17"/>
                <w:color w:val="auto"/>
              </w:rPr>
            </w:pPr>
          </w:p>
        </w:tc>
        <w:tc>
          <w:tcPr>
            <w:tcW w:w="14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580" w:type="dxa"/>
            <w:vAlign w:val="bottom"/>
            <w:gridSpan w:val="2"/>
          </w:tcPr>
          <w:p>
            <w:pPr>
              <w:spacing w:after="0" w:line="203" w:lineRule="exact"/>
              <w:rPr>
                <w:sz w:val="20"/>
                <w:szCs w:val="20"/>
                <w:color w:val="auto"/>
              </w:rPr>
            </w:pPr>
            <w:r>
              <w:rPr>
                <w:rFonts w:ascii="Arial" w:cs="Arial" w:eastAsia="Arial" w:hAnsi="Arial"/>
                <w:sz w:val="18"/>
                <w:szCs w:val="18"/>
                <w:color w:val="auto"/>
              </w:rPr>
              <w:t xml:space="preserve">ACS acquisition </w:t>
            </w:r>
            <w:r>
              <w:rPr>
                <w:rFonts w:ascii="Arial" w:cs="Arial" w:eastAsia="Arial" w:hAnsi="Arial"/>
                <w:sz w:val="22"/>
                <w:szCs w:val="22"/>
                <w:color w:val="auto"/>
                <w:vertAlign w:val="superscript"/>
              </w:rPr>
              <w:t>(1)</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489,802</w:t>
            </w:r>
          </w:p>
        </w:tc>
        <w:tc>
          <w:tcPr>
            <w:tcW w:w="240" w:type="dxa"/>
            <w:vAlign w:val="bottom"/>
          </w:tcPr>
          <w:p>
            <w:pPr>
              <w:spacing w:after="0"/>
              <w:rPr>
                <w:sz w:val="17"/>
                <w:szCs w:val="17"/>
                <w:color w:val="auto"/>
              </w:rPr>
            </w:pPr>
          </w:p>
        </w:tc>
        <w:tc>
          <w:tcPr>
            <w:tcW w:w="14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Stock option and incentive plans, net</w:t>
            </w:r>
          </w:p>
        </w:tc>
        <w:tc>
          <w:tcPr>
            <w:tcW w:w="1380" w:type="dxa"/>
            <w:vAlign w:val="bottom"/>
            <w:tcBorders>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38,395</w:t>
            </w:r>
          </w:p>
        </w:tc>
        <w:tc>
          <w:tcPr>
            <w:tcW w:w="240" w:type="dxa"/>
            <w:vAlign w:val="bottom"/>
            <w:shd w:val="clear" w:color="auto" w:fill="E5E5E5"/>
          </w:tcPr>
          <w:p>
            <w:pPr>
              <w:spacing w:after="0"/>
              <w:rPr>
                <w:sz w:val="17"/>
                <w:szCs w:val="17"/>
                <w:color w:val="auto"/>
              </w:rPr>
            </w:pPr>
          </w:p>
        </w:tc>
        <w:tc>
          <w:tcPr>
            <w:tcW w:w="1380" w:type="dxa"/>
            <w:vAlign w:val="bottom"/>
            <w:tcBorders>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58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2010</w:t>
            </w:r>
          </w:p>
        </w:tc>
        <w:tc>
          <w:tcPr>
            <w:tcW w:w="1380" w:type="dxa"/>
            <w:vAlign w:val="bottom"/>
          </w:tcPr>
          <w:p>
            <w:pPr>
              <w:jc w:val="right"/>
              <w:spacing w:after="0"/>
              <w:rPr>
                <w:sz w:val="20"/>
                <w:szCs w:val="20"/>
                <w:color w:val="auto"/>
              </w:rPr>
            </w:pPr>
            <w:r>
              <w:rPr>
                <w:rFonts w:ascii="Arial" w:cs="Arial" w:eastAsia="Arial" w:hAnsi="Arial"/>
                <w:sz w:val="18"/>
                <w:szCs w:val="18"/>
                <w:color w:val="auto"/>
              </w:rPr>
              <w:t>1,397,578</w:t>
            </w:r>
          </w:p>
        </w:tc>
        <w:tc>
          <w:tcPr>
            <w:tcW w:w="24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ind w:left="340" w:hanging="332"/>
        <w:spacing w:after="0"/>
        <w:tabs>
          <w:tab w:leader="none" w:pos="340" w:val="left"/>
        </w:tabs>
        <w:numPr>
          <w:ilvl w:val="0"/>
          <w:numId w:val="176"/>
        </w:numPr>
        <w:rPr>
          <w:rFonts w:ascii="Arial" w:cs="Arial" w:eastAsia="Arial" w:hAnsi="Arial"/>
          <w:sz w:val="22"/>
          <w:szCs w:val="22"/>
          <w:color w:val="auto"/>
          <w:vertAlign w:val="superscript"/>
        </w:rPr>
      </w:pPr>
      <w:r>
        <w:rPr>
          <w:rFonts w:ascii="Arial" w:cs="Arial" w:eastAsia="Arial" w:hAnsi="Arial"/>
          <w:sz w:val="14"/>
          <w:szCs w:val="14"/>
          <w:color w:val="auto"/>
        </w:rPr>
        <w:t>Refer to Note 3 – Acquisitions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89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Stock-Based Compensation</w:t>
      </w:r>
    </w:p>
    <w:p>
      <w:pPr>
        <w:spacing w:after="0" w:line="18"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We have a long-term incentive plan whereby eligible employees may be granted restricted stock units (“RSUs”), performance shares (“PSs”) and non-qualified stock options.</w:t>
      </w:r>
    </w:p>
    <w:p>
      <w:pPr>
        <w:spacing w:after="0" w:line="155" w:lineRule="exact"/>
        <w:rPr>
          <w:sz w:val="20"/>
          <w:szCs w:val="20"/>
          <w:color w:val="auto"/>
        </w:rPr>
      </w:pPr>
    </w:p>
    <w:p>
      <w:pPr>
        <w:ind w:right="420"/>
        <w:spacing w:after="0" w:line="238" w:lineRule="auto"/>
        <w:rPr>
          <w:sz w:val="20"/>
          <w:szCs w:val="20"/>
          <w:color w:val="auto"/>
        </w:rPr>
      </w:pPr>
      <w:r>
        <w:rPr>
          <w:rFonts w:ascii="Arial" w:cs="Arial" w:eastAsia="Arial" w:hAnsi="Arial"/>
          <w:sz w:val="18"/>
          <w:szCs w:val="18"/>
          <w:color w:val="auto"/>
        </w:rPr>
        <w:t>We grant PSs and RSUs in order to continue to attract and retain employees and to better align employees’ interests with those of our shareholders. Each of these awards is subject to settlement with newly issued shares of our common stock. At December 31, 2010 and 2009, 30 million and 15 million shares, respectively, were available for grant of awards.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for the three years ended December 31, 2010 was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5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2010</w:t>
            </w:r>
          </w:p>
        </w:tc>
        <w:tc>
          <w:tcPr>
            <w:tcW w:w="20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4"/>
                <w:szCs w:val="14"/>
                <w:color w:val="auto"/>
              </w:rPr>
            </w:pPr>
          </w:p>
        </w:tc>
      </w:tr>
      <w:tr>
        <w:trPr>
          <w:trHeight w:val="196"/>
        </w:trPr>
        <w:tc>
          <w:tcPr>
            <w:tcW w:w="5620" w:type="dxa"/>
            <w:vAlign w:val="bottom"/>
            <w:shd w:val="clear" w:color="auto" w:fill="E5E5E5"/>
          </w:tcPr>
          <w:p>
            <w:pPr>
              <w:spacing w:after="0" w:line="196" w:lineRule="exact"/>
              <w:rPr>
                <w:sz w:val="20"/>
                <w:szCs w:val="20"/>
                <w:color w:val="auto"/>
              </w:rPr>
            </w:pPr>
            <w:r>
              <w:rPr>
                <w:rFonts w:ascii="Arial" w:cs="Arial" w:eastAsia="Arial" w:hAnsi="Arial"/>
                <w:sz w:val="18"/>
                <w:szCs w:val="18"/>
                <w:color w:val="auto"/>
              </w:rPr>
              <w:t>Stock-based compensation expense, pre-tax</w:t>
            </w:r>
          </w:p>
        </w:tc>
        <w:tc>
          <w:tcPr>
            <w:tcW w:w="2840" w:type="dxa"/>
            <w:vAlign w:val="bottom"/>
            <w:gridSpan w:val="3"/>
            <w:shd w:val="clear" w:color="auto" w:fill="E5E5E5"/>
          </w:tcPr>
          <w:p>
            <w:pPr>
              <w:jc w:val="right"/>
              <w:ind w:right="200"/>
              <w:spacing w:after="0" w:line="196" w:lineRule="exact"/>
              <w:rPr>
                <w:sz w:val="20"/>
                <w:szCs w:val="20"/>
                <w:color w:val="auto"/>
              </w:rPr>
            </w:pPr>
            <w:r>
              <w:rPr>
                <w:rFonts w:ascii="Arial" w:cs="Arial" w:eastAsia="Arial" w:hAnsi="Arial"/>
                <w:sz w:val="18"/>
                <w:szCs w:val="18"/>
                <w:color w:val="auto"/>
              </w:rPr>
              <w:t>$ 123</w:t>
            </w:r>
          </w:p>
        </w:tc>
        <w:tc>
          <w:tcPr>
            <w:tcW w:w="500" w:type="dxa"/>
            <w:vAlign w:val="bottom"/>
            <w:gridSpan w:val="2"/>
            <w:shd w:val="clear" w:color="auto" w:fill="E5E5E5"/>
          </w:tcPr>
          <w:p>
            <w:pPr>
              <w:jc w:val="right"/>
              <w:ind w:right="100"/>
              <w:spacing w:after="0" w:line="196" w:lineRule="exact"/>
              <w:rPr>
                <w:sz w:val="20"/>
                <w:szCs w:val="20"/>
                <w:color w:val="auto"/>
              </w:rPr>
            </w:pPr>
            <w:r>
              <w:rPr>
                <w:rFonts w:ascii="Arial" w:cs="Arial" w:eastAsia="Arial" w:hAnsi="Arial"/>
                <w:sz w:val="18"/>
                <w:szCs w:val="18"/>
                <w:color w:val="auto"/>
              </w:rPr>
              <w:t>$ 85</w:t>
            </w:r>
          </w:p>
        </w:tc>
        <w:tc>
          <w:tcPr>
            <w:tcW w:w="620" w:type="dxa"/>
            <w:vAlign w:val="bottom"/>
            <w:gridSpan w:val="3"/>
            <w:shd w:val="clear" w:color="auto" w:fill="E5E5E5"/>
          </w:tcPr>
          <w:p>
            <w:pPr>
              <w:jc w:val="right"/>
              <w:ind w:right="100"/>
              <w:spacing w:after="0" w:line="196" w:lineRule="exact"/>
              <w:rPr>
                <w:sz w:val="20"/>
                <w:szCs w:val="20"/>
                <w:color w:val="auto"/>
              </w:rPr>
            </w:pPr>
            <w:r>
              <w:rPr>
                <w:rFonts w:ascii="Arial" w:cs="Arial" w:eastAsia="Arial" w:hAnsi="Arial"/>
                <w:sz w:val="18"/>
                <w:szCs w:val="18"/>
                <w:color w:val="auto"/>
              </w:rPr>
              <w:t>$ 85</w:t>
            </w:r>
          </w:p>
        </w:tc>
      </w:tr>
      <w:tr>
        <w:trPr>
          <w:trHeight w:val="322"/>
        </w:trPr>
        <w:tc>
          <w:tcPr>
            <w:tcW w:w="5620" w:type="dxa"/>
            <w:vAlign w:val="bottom"/>
          </w:tcPr>
          <w:p>
            <w:pPr>
              <w:spacing w:after="0"/>
              <w:rPr>
                <w:sz w:val="20"/>
                <w:szCs w:val="20"/>
                <w:color w:val="auto"/>
              </w:rPr>
            </w:pPr>
            <w:r>
              <w:rPr>
                <w:rFonts w:ascii="Arial" w:cs="Arial" w:eastAsia="Arial" w:hAnsi="Arial"/>
                <w:sz w:val="18"/>
                <w:szCs w:val="18"/>
                <w:color w:val="auto"/>
              </w:rPr>
              <w:t>Income tax benefit recognized in earnings</w:t>
            </w:r>
          </w:p>
        </w:tc>
        <w:tc>
          <w:tcPr>
            <w:tcW w:w="2840" w:type="dxa"/>
            <w:vAlign w:val="bottom"/>
            <w:gridSpan w:val="3"/>
          </w:tcPr>
          <w:p>
            <w:pPr>
              <w:jc w:val="right"/>
              <w:ind w:right="200"/>
              <w:spacing w:after="0"/>
              <w:rPr>
                <w:sz w:val="20"/>
                <w:szCs w:val="20"/>
                <w:color w:val="auto"/>
              </w:rPr>
            </w:pPr>
            <w:r>
              <w:rPr>
                <w:rFonts w:ascii="Arial" w:cs="Arial" w:eastAsia="Arial" w:hAnsi="Arial"/>
                <w:sz w:val="18"/>
                <w:szCs w:val="18"/>
                <w:color w:val="auto"/>
              </w:rPr>
              <w:t>47</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4"/>
                <w:szCs w:val="24"/>
                <w:color w:val="auto"/>
              </w:rPr>
            </w:pPr>
          </w:p>
        </w:tc>
      </w:tr>
    </w:tbl>
    <w:p>
      <w:pPr>
        <w:spacing w:after="0" w:line="136" w:lineRule="exact"/>
        <w:rPr>
          <w:sz w:val="20"/>
          <w:szCs w:val="20"/>
          <w:color w:val="auto"/>
        </w:rPr>
      </w:pPr>
    </w:p>
    <w:p>
      <w:pPr>
        <w:jc w:val="right"/>
        <w:spacing w:after="0"/>
        <w:rPr>
          <w:sz w:val="20"/>
          <w:szCs w:val="20"/>
          <w:color w:val="auto"/>
        </w:rPr>
      </w:pPr>
      <w:r>
        <w:rPr>
          <w:rFonts w:ascii="Arial" w:cs="Arial" w:eastAsia="Arial" w:hAnsi="Arial"/>
          <w:sz w:val="14"/>
          <w:szCs w:val="14"/>
          <w:color w:val="4C9F40"/>
        </w:rPr>
        <w:t>Xerox 2010 Annual Report 98</w:t>
      </w:r>
    </w:p>
    <w:p>
      <w:pPr>
        <w:sectPr>
          <w:pgSz w:w="11900" w:h="16838" w:orient="portrait"/>
          <w:cols w:equalWidth="0" w:num="1">
            <w:col w:w="11420"/>
          </w:cols>
          <w:pgMar w:left="240" w:top="341" w:right="239" w:bottom="1440" w:gutter="0" w:footer="0" w:header="0"/>
        </w:sectPr>
      </w:pPr>
    </w:p>
    <w:bookmarkStart w:id="175" w:name="page176"/>
    <w:bookmarkEnd w:id="175"/>
    <w:p>
      <w:pPr>
        <w:ind w:right="60"/>
        <w:spacing w:after="0" w:line="244" w:lineRule="auto"/>
        <w:rPr>
          <w:sz w:val="20"/>
          <w:szCs w:val="20"/>
          <w:color w:val="auto"/>
        </w:rPr>
      </w:pPr>
      <w:r>
        <w:rPr>
          <w:rFonts w:ascii="Arial" w:cs="Arial" w:eastAsia="Arial" w:hAnsi="Arial"/>
          <w:sz w:val="18"/>
          <w:szCs w:val="18"/>
          <w:b w:val="1"/>
          <w:bCs w:val="1"/>
          <w:color w:val="4C9F40"/>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Restricted stock units: </w:t>
      </w:r>
      <w:r>
        <w:rPr>
          <w:rFonts w:ascii="Arial" w:cs="Arial" w:eastAsia="Arial" w:hAnsi="Arial"/>
          <w:sz w:val="18"/>
          <w:szCs w:val="18"/>
          <w:color w:val="000000"/>
        </w:rPr>
        <w:t>Compensation expense is based upon the grant date market price for most awards and a Monte Carlo simulation pricing</w:t>
      </w:r>
      <w:r>
        <w:rPr>
          <w:rFonts w:ascii="Arial" w:cs="Arial" w:eastAsia="Arial" w:hAnsi="Arial"/>
          <w:sz w:val="18"/>
          <w:szCs w:val="18"/>
          <w:b w:val="1"/>
          <w:bCs w:val="1"/>
          <w:color w:val="4C9F40"/>
        </w:rPr>
        <w:t xml:space="preserve"> </w:t>
      </w:r>
      <w:r>
        <w:rPr>
          <w:rFonts w:ascii="Arial" w:cs="Arial" w:eastAsia="Arial" w:hAnsi="Arial"/>
          <w:sz w:val="18"/>
          <w:szCs w:val="18"/>
          <w:color w:val="000000"/>
        </w:rPr>
        <w:t>model for a grant in 2009 that included a market condition; the expense is recorded over the vesting period, which ranges from three to five years from the date of grant. A summary of the activity for RSUs as of December 31, 2010, 2009 and 2008, and changes during the years then ended, is presented below (shares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4"/>
                <w:szCs w:val="14"/>
                <w:color w:val="auto"/>
                <w:w w:val="96"/>
              </w:rPr>
              <w:t>2010</w:t>
            </w:r>
          </w:p>
        </w:tc>
        <w:tc>
          <w:tcPr>
            <w:tcW w:w="1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4"/>
                <w:szCs w:val="14"/>
                <w:color w:val="auto"/>
                <w:w w:val="96"/>
              </w:rPr>
              <w:t>2009</w:t>
            </w:r>
          </w:p>
        </w:tc>
        <w:tc>
          <w:tcPr>
            <w:tcW w:w="2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4"/>
                <w:szCs w:val="14"/>
                <w:color w:val="auto"/>
                <w:w w:val="96"/>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60"/>
              <w:spacing w:after="0" w:line="141" w:lineRule="exact"/>
              <w:rPr>
                <w:sz w:val="20"/>
                <w:szCs w:val="20"/>
                <w:color w:val="auto"/>
              </w:rPr>
            </w:pPr>
            <w:r>
              <w:rPr>
                <w:rFonts w:ascii="Arial" w:cs="Arial" w:eastAsia="Arial" w:hAnsi="Arial"/>
                <w:sz w:val="14"/>
                <w:szCs w:val="14"/>
                <w:color w:val="auto"/>
                <w:w w:val="97"/>
              </w:rPr>
              <w:t>Weighted</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60"/>
              <w:spacing w:after="0" w:line="141" w:lineRule="exact"/>
              <w:rPr>
                <w:sz w:val="20"/>
                <w:szCs w:val="20"/>
                <w:color w:val="auto"/>
              </w:rPr>
            </w:pPr>
            <w:r>
              <w:rPr>
                <w:rFonts w:ascii="Arial" w:cs="Arial" w:eastAsia="Arial" w:hAnsi="Arial"/>
                <w:sz w:val="14"/>
                <w:szCs w:val="14"/>
                <w:color w:val="auto"/>
                <w:w w:val="94"/>
              </w:rPr>
              <w:t>Weighted</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60"/>
              <w:spacing w:after="0" w:line="141" w:lineRule="exact"/>
              <w:rPr>
                <w:sz w:val="20"/>
                <w:szCs w:val="20"/>
                <w:color w:val="auto"/>
              </w:rPr>
            </w:pPr>
            <w:r>
              <w:rPr>
                <w:rFonts w:ascii="Arial" w:cs="Arial" w:eastAsia="Arial" w:hAnsi="Arial"/>
                <w:sz w:val="14"/>
                <w:szCs w:val="14"/>
                <w:color w:val="auto"/>
                <w:w w:val="97"/>
              </w:rPr>
              <w:t>Weighted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w w:val="96"/>
              </w:rPr>
              <w:t>Average Grant</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6"/>
              </w:rPr>
              <w:t>Average Grant</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w w:val="94"/>
              </w:rPr>
              <w:t>Average Grant</w:t>
            </w:r>
          </w:p>
        </w:tc>
        <w:tc>
          <w:tcPr>
            <w:tcW w:w="0" w:type="dxa"/>
            <w:vAlign w:val="bottom"/>
          </w:tcPr>
          <w:p>
            <w:pPr>
              <w:spacing w:after="0"/>
              <w:rPr>
                <w:sz w:val="1"/>
                <w:szCs w:val="1"/>
                <w:color w:val="auto"/>
              </w:rPr>
            </w:pPr>
          </w:p>
        </w:tc>
      </w:tr>
      <w:tr>
        <w:trPr>
          <w:trHeight w:val="149"/>
        </w:trPr>
        <w:tc>
          <w:tcPr>
            <w:tcW w:w="5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Nonvested Restricted Stock Units</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7"/>
              </w:rPr>
              <w:t>Date Fair</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7"/>
              </w:rPr>
              <w:t>Date Fair</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7"/>
              </w:rPr>
              <w:t>Date Fair</w:t>
            </w:r>
          </w:p>
        </w:tc>
        <w:tc>
          <w:tcPr>
            <w:tcW w:w="0" w:type="dxa"/>
            <w:vAlign w:val="bottom"/>
          </w:tcPr>
          <w:p>
            <w:pPr>
              <w:spacing w:after="0"/>
              <w:rPr>
                <w:sz w:val="1"/>
                <w:szCs w:val="1"/>
                <w:color w:val="auto"/>
              </w:rPr>
            </w:pPr>
          </w:p>
        </w:tc>
      </w:tr>
      <w:tr>
        <w:trPr>
          <w:trHeight w:val="149"/>
        </w:trPr>
        <w:tc>
          <w:tcPr>
            <w:tcW w:w="5960" w:type="dxa"/>
            <w:vAlign w:val="bottom"/>
            <w:gridSpan w:val="3"/>
            <w:vMerge w:val="continue"/>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4"/>
              </w:rPr>
              <w:t>Value</w:t>
            </w: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4"/>
              </w:rPr>
              <w:t>Value</w:t>
            </w: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4"/>
              </w:rPr>
              <w:t>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40" w:type="dxa"/>
            <w:vAlign w:val="bottom"/>
            <w:shd w:val="clear" w:color="auto" w:fill="E5E5E5"/>
          </w:tcPr>
          <w:p>
            <w:pPr>
              <w:spacing w:after="0" w:line="196" w:lineRule="exact"/>
              <w:rPr>
                <w:sz w:val="20"/>
                <w:szCs w:val="20"/>
                <w:color w:val="auto"/>
              </w:rPr>
            </w:pPr>
            <w:r>
              <w:rPr>
                <w:rFonts w:ascii="Arial" w:cs="Arial" w:eastAsia="Arial" w:hAnsi="Arial"/>
                <w:sz w:val="18"/>
                <w:szCs w:val="18"/>
                <w:color w:val="auto"/>
              </w:rPr>
              <w:t>Outstanding at January 1</w:t>
            </w:r>
          </w:p>
        </w:tc>
        <w:tc>
          <w:tcPr>
            <w:tcW w:w="100" w:type="dxa"/>
            <w:vAlign w:val="bottom"/>
            <w:shd w:val="clear" w:color="auto" w:fill="E5E5E5"/>
          </w:tcPr>
          <w:p>
            <w:pPr>
              <w:spacing w:after="0"/>
              <w:rPr>
                <w:sz w:val="17"/>
                <w:szCs w:val="17"/>
                <w:color w:val="auto"/>
              </w:rPr>
            </w:pPr>
          </w:p>
        </w:tc>
        <w:tc>
          <w:tcPr>
            <w:tcW w:w="660" w:type="dxa"/>
            <w:vAlign w:val="bottom"/>
            <w:gridSpan w:val="2"/>
            <w:shd w:val="clear" w:color="auto" w:fill="E5E5E5"/>
          </w:tcPr>
          <w:p>
            <w:pPr>
              <w:jc w:val="right"/>
              <w:ind w:right="80"/>
              <w:spacing w:after="0" w:line="196" w:lineRule="exact"/>
              <w:rPr>
                <w:sz w:val="20"/>
                <w:szCs w:val="20"/>
                <w:color w:val="auto"/>
              </w:rPr>
            </w:pPr>
            <w:r>
              <w:rPr>
                <w:rFonts w:ascii="Arial" w:cs="Arial" w:eastAsia="Arial" w:hAnsi="Arial"/>
                <w:sz w:val="18"/>
                <w:szCs w:val="18"/>
                <w:color w:val="auto"/>
              </w:rPr>
              <w:t>25,127</w:t>
            </w:r>
          </w:p>
        </w:tc>
        <w:tc>
          <w:tcPr>
            <w:tcW w:w="240" w:type="dxa"/>
            <w:vAlign w:val="bottom"/>
            <w:gridSpan w:val="2"/>
            <w:shd w:val="clear" w:color="auto" w:fill="E5E5E5"/>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E5E5E5"/>
          </w:tcPr>
          <w:p>
            <w:pPr>
              <w:jc w:val="right"/>
              <w:ind w:right="180"/>
              <w:spacing w:after="0" w:line="196" w:lineRule="exact"/>
              <w:rPr>
                <w:sz w:val="20"/>
                <w:szCs w:val="20"/>
                <w:color w:val="auto"/>
              </w:rPr>
            </w:pPr>
            <w:r>
              <w:rPr>
                <w:rFonts w:ascii="Arial" w:cs="Arial" w:eastAsia="Arial" w:hAnsi="Arial"/>
                <w:sz w:val="18"/>
                <w:szCs w:val="18"/>
                <w:color w:val="auto"/>
              </w:rPr>
              <w:t>10.18</w:t>
            </w:r>
          </w:p>
        </w:tc>
        <w:tc>
          <w:tcPr>
            <w:tcW w:w="660" w:type="dxa"/>
            <w:vAlign w:val="bottom"/>
            <w:gridSpan w:val="2"/>
            <w:shd w:val="clear" w:color="auto" w:fill="E5E5E5"/>
          </w:tcPr>
          <w:p>
            <w:pPr>
              <w:jc w:val="right"/>
              <w:ind w:right="60"/>
              <w:spacing w:after="0" w:line="196" w:lineRule="exact"/>
              <w:rPr>
                <w:sz w:val="20"/>
                <w:szCs w:val="20"/>
                <w:color w:val="auto"/>
              </w:rPr>
            </w:pPr>
            <w:r>
              <w:rPr>
                <w:rFonts w:ascii="Arial" w:cs="Arial" w:eastAsia="Arial" w:hAnsi="Arial"/>
                <w:sz w:val="18"/>
                <w:szCs w:val="18"/>
                <w:color w:val="auto"/>
              </w:rPr>
              <w:t>14,037</w:t>
            </w:r>
          </w:p>
        </w:tc>
        <w:tc>
          <w:tcPr>
            <w:tcW w:w="260" w:type="dxa"/>
            <w:vAlign w:val="bottom"/>
            <w:gridSpan w:val="2"/>
            <w:shd w:val="clear" w:color="auto" w:fill="E5E5E5"/>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E5E5E5"/>
          </w:tcPr>
          <w:p>
            <w:pPr>
              <w:jc w:val="right"/>
              <w:ind w:right="200"/>
              <w:spacing w:after="0" w:line="196" w:lineRule="exact"/>
              <w:rPr>
                <w:sz w:val="20"/>
                <w:szCs w:val="20"/>
                <w:color w:val="auto"/>
              </w:rPr>
            </w:pPr>
            <w:r>
              <w:rPr>
                <w:rFonts w:ascii="Arial" w:cs="Arial" w:eastAsia="Arial" w:hAnsi="Arial"/>
                <w:sz w:val="18"/>
                <w:szCs w:val="18"/>
                <w:color w:val="auto"/>
              </w:rPr>
              <w:t>15.43</w:t>
            </w:r>
          </w:p>
        </w:tc>
        <w:tc>
          <w:tcPr>
            <w:tcW w:w="58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rPr>
              <w:t>11,696</w:t>
            </w:r>
          </w:p>
        </w:tc>
        <w:tc>
          <w:tcPr>
            <w:tcW w:w="80" w:type="dxa"/>
            <w:vAlign w:val="bottom"/>
            <w:shd w:val="clear" w:color="auto" w:fill="E5E5E5"/>
          </w:tcPr>
          <w:p>
            <w:pPr>
              <w:spacing w:after="0"/>
              <w:rPr>
                <w:sz w:val="17"/>
                <w:szCs w:val="17"/>
                <w:color w:val="auto"/>
              </w:rPr>
            </w:pPr>
          </w:p>
        </w:tc>
        <w:tc>
          <w:tcPr>
            <w:tcW w:w="240" w:type="dxa"/>
            <w:vAlign w:val="bottom"/>
            <w:gridSpan w:val="2"/>
            <w:shd w:val="clear" w:color="auto" w:fill="E5E5E5"/>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E5E5E5"/>
          </w:tcPr>
          <w:p>
            <w:pPr>
              <w:jc w:val="right"/>
              <w:ind w:right="100"/>
              <w:spacing w:after="0" w:line="196" w:lineRule="exact"/>
              <w:rPr>
                <w:sz w:val="20"/>
                <w:szCs w:val="20"/>
                <w:color w:val="auto"/>
              </w:rPr>
            </w:pPr>
            <w:r>
              <w:rPr>
                <w:rFonts w:ascii="Arial" w:cs="Arial" w:eastAsia="Arial" w:hAnsi="Arial"/>
                <w:sz w:val="18"/>
                <w:szCs w:val="18"/>
                <w:color w:val="auto"/>
              </w:rPr>
              <w:t>16.78</w:t>
            </w:r>
          </w:p>
        </w:tc>
        <w:tc>
          <w:tcPr>
            <w:tcW w:w="0" w:type="dxa"/>
            <w:vAlign w:val="bottom"/>
          </w:tcPr>
          <w:p>
            <w:pPr>
              <w:spacing w:after="0"/>
              <w:rPr>
                <w:sz w:val="1"/>
                <w:szCs w:val="1"/>
                <w:color w:val="auto"/>
              </w:rPr>
            </w:pPr>
          </w:p>
        </w:tc>
      </w:tr>
      <w:tr>
        <w:trPr>
          <w:trHeight w:val="203"/>
        </w:trPr>
        <w:tc>
          <w:tcPr>
            <w:tcW w:w="5960" w:type="dxa"/>
            <w:vAlign w:val="bottom"/>
            <w:gridSpan w:val="3"/>
          </w:tcPr>
          <w:p>
            <w:pPr>
              <w:spacing w:after="0" w:line="202" w:lineRule="exact"/>
              <w:rPr>
                <w:sz w:val="20"/>
                <w:szCs w:val="20"/>
                <w:color w:val="auto"/>
              </w:rPr>
            </w:pPr>
            <w:r>
              <w:rPr>
                <w:rFonts w:ascii="Arial" w:cs="Arial" w:eastAsia="Arial" w:hAnsi="Arial"/>
                <w:sz w:val="18"/>
                <w:szCs w:val="18"/>
                <w:color w:val="auto"/>
              </w:rPr>
              <w:t>Granted</w:t>
            </w:r>
          </w:p>
        </w:tc>
        <w:tc>
          <w:tcPr>
            <w:tcW w:w="6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11,845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8.56</w:t>
            </w:r>
          </w:p>
        </w:tc>
        <w:tc>
          <w:tcPr>
            <w:tcW w:w="180" w:type="dxa"/>
            <w:vAlign w:val="bottom"/>
          </w:tcPr>
          <w:p>
            <w:pPr>
              <w:spacing w:after="0"/>
              <w:rPr>
                <w:sz w:val="17"/>
                <w:szCs w:val="17"/>
                <w:color w:val="auto"/>
              </w:rPr>
            </w:pPr>
          </w:p>
        </w:tc>
        <w:tc>
          <w:tcPr>
            <w:tcW w:w="6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15,268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6.69</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5,923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13.63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Vested</w:t>
            </w:r>
          </w:p>
        </w:tc>
        <w:tc>
          <w:tcPr>
            <w:tcW w:w="66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color w:val="auto"/>
              </w:rPr>
              <w:t>(3,671)</w:t>
            </w:r>
          </w:p>
        </w:tc>
        <w:tc>
          <w:tcPr>
            <w:tcW w:w="1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7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18.22</w:t>
            </w:r>
          </w:p>
        </w:tc>
        <w:tc>
          <w:tcPr>
            <w:tcW w:w="180" w:type="dxa"/>
            <w:vAlign w:val="bottom"/>
            <w:shd w:val="clear" w:color="auto" w:fill="E5E5E5"/>
          </w:tcPr>
          <w:p>
            <w:pPr>
              <w:spacing w:after="0"/>
              <w:rPr>
                <w:sz w:val="17"/>
                <w:szCs w:val="17"/>
                <w:color w:val="auto"/>
              </w:rPr>
            </w:pPr>
          </w:p>
        </w:tc>
        <w:tc>
          <w:tcPr>
            <w:tcW w:w="66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(3,764)</w:t>
            </w:r>
          </w:p>
        </w:tc>
        <w:tc>
          <w:tcPr>
            <w:tcW w:w="1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7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15.17</w:t>
            </w:r>
          </w:p>
        </w:tc>
        <w:tc>
          <w:tcPr>
            <w:tcW w:w="200" w:type="dxa"/>
            <w:vAlign w:val="bottom"/>
            <w:shd w:val="clear" w:color="auto" w:fill="E5E5E5"/>
          </w:tcPr>
          <w:p>
            <w:pPr>
              <w:spacing w:after="0"/>
              <w:rPr>
                <w:sz w:val="17"/>
                <w:szCs w:val="17"/>
                <w:color w:val="auto"/>
              </w:rPr>
            </w:pPr>
          </w:p>
        </w:tc>
        <w:tc>
          <w:tcPr>
            <w:tcW w:w="66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color w:val="auto"/>
              </w:rPr>
              <w:t>(3,350)</w:t>
            </w:r>
          </w:p>
        </w:tc>
        <w:tc>
          <w:tcPr>
            <w:tcW w:w="1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7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16.92</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gridSpan w:val="3"/>
          </w:tcPr>
          <w:p>
            <w:pPr>
              <w:spacing w:after="0" w:line="202" w:lineRule="exact"/>
              <w:rPr>
                <w:sz w:val="20"/>
                <w:szCs w:val="20"/>
                <w:color w:val="auto"/>
              </w:rPr>
            </w:pPr>
            <w:r>
              <w:rPr>
                <w:rFonts w:ascii="Arial" w:cs="Arial" w:eastAsia="Arial" w:hAnsi="Arial"/>
                <w:sz w:val="18"/>
                <w:szCs w:val="18"/>
                <w:color w:val="auto"/>
              </w:rPr>
              <w:t>Cancelled</w:t>
            </w:r>
          </w:p>
        </w:tc>
        <w:tc>
          <w:tcPr>
            <w:tcW w:w="6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(870)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10.36</w:t>
            </w:r>
          </w:p>
        </w:tc>
        <w:tc>
          <w:tcPr>
            <w:tcW w:w="18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(414)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13.94</w:t>
            </w:r>
          </w:p>
        </w:tc>
        <w:tc>
          <w:tcPr>
            <w:tcW w:w="200" w:type="dxa"/>
            <w:vAlign w:val="bottom"/>
          </w:tcPr>
          <w:p>
            <w:pPr>
              <w:spacing w:after="0"/>
              <w:rPr>
                <w:sz w:val="17"/>
                <w:szCs w:val="17"/>
                <w:color w:val="auto"/>
              </w:rPr>
            </w:pPr>
          </w:p>
        </w:tc>
        <w:tc>
          <w:tcPr>
            <w:tcW w:w="6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(232)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15.98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94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Outstanding at December 31</w:t>
            </w:r>
          </w:p>
        </w:tc>
        <w:tc>
          <w:tcPr>
            <w:tcW w:w="66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32,431</w:t>
            </w:r>
          </w:p>
        </w:tc>
        <w:tc>
          <w:tcPr>
            <w:tcW w:w="1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7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8.68</w:t>
            </w:r>
          </w:p>
        </w:tc>
        <w:tc>
          <w:tcPr>
            <w:tcW w:w="180" w:type="dxa"/>
            <w:vAlign w:val="bottom"/>
            <w:shd w:val="clear" w:color="auto" w:fill="E5E5E5"/>
          </w:tcPr>
          <w:p>
            <w:pPr>
              <w:spacing w:after="0"/>
              <w:rPr>
                <w:sz w:val="17"/>
                <w:szCs w:val="17"/>
                <w:color w:val="auto"/>
              </w:rPr>
            </w:pPr>
          </w:p>
        </w:tc>
        <w:tc>
          <w:tcPr>
            <w:tcW w:w="66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25,127</w:t>
            </w:r>
          </w:p>
        </w:tc>
        <w:tc>
          <w:tcPr>
            <w:tcW w:w="1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7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10.18</w:t>
            </w:r>
          </w:p>
        </w:tc>
        <w:tc>
          <w:tcPr>
            <w:tcW w:w="200" w:type="dxa"/>
            <w:vAlign w:val="bottom"/>
            <w:shd w:val="clear" w:color="auto" w:fill="E5E5E5"/>
          </w:tcPr>
          <w:p>
            <w:pPr>
              <w:spacing w:after="0"/>
              <w:rPr>
                <w:sz w:val="17"/>
                <w:szCs w:val="17"/>
                <w:color w:val="auto"/>
              </w:rPr>
            </w:pPr>
          </w:p>
        </w:tc>
        <w:tc>
          <w:tcPr>
            <w:tcW w:w="5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14,037</w:t>
            </w:r>
          </w:p>
        </w:tc>
        <w:tc>
          <w:tcPr>
            <w:tcW w:w="8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7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15.43</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At December 31, 2010, the aggregate intrinsic value of RSUs outstanding was $374. The total intrinsic value and actual tax benefit realized for the tax deductions for vested RSUs for the three years ended December 31, 2010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9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Vested Restricted Stock Units</w:t>
            </w:r>
          </w:p>
        </w:tc>
        <w:tc>
          <w:tcPr>
            <w:tcW w:w="100" w:type="dxa"/>
            <w:vAlign w:val="bottom"/>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2010</w:t>
            </w:r>
          </w:p>
        </w:tc>
        <w:tc>
          <w:tcPr>
            <w:tcW w:w="220" w:type="dxa"/>
            <w:vAlign w:val="bottom"/>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2009</w:t>
            </w:r>
          </w:p>
        </w:tc>
        <w:tc>
          <w:tcPr>
            <w:tcW w:w="200" w:type="dxa"/>
            <w:vAlign w:val="bottom"/>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5"/>
                <w:szCs w:val="15"/>
                <w:color w:val="auto"/>
              </w:rPr>
            </w:pPr>
          </w:p>
        </w:tc>
      </w:tr>
      <w:tr>
        <w:trPr>
          <w:trHeight w:val="196"/>
        </w:trPr>
        <w:tc>
          <w:tcPr>
            <w:tcW w:w="9560" w:type="dxa"/>
            <w:vAlign w:val="bottom"/>
            <w:shd w:val="clear" w:color="auto" w:fill="E5E5E5"/>
          </w:tcPr>
          <w:p>
            <w:pPr>
              <w:spacing w:after="0" w:line="196" w:lineRule="exact"/>
              <w:rPr>
                <w:sz w:val="20"/>
                <w:szCs w:val="20"/>
                <w:color w:val="auto"/>
              </w:rPr>
            </w:pPr>
            <w:r>
              <w:rPr>
                <w:rFonts w:ascii="Arial" w:cs="Arial" w:eastAsia="Arial" w:hAnsi="Arial"/>
                <w:sz w:val="18"/>
                <w:szCs w:val="18"/>
                <w:color w:val="auto"/>
              </w:rPr>
              <w:t>Total intrinsic value of vested RSUs</w:t>
            </w:r>
          </w:p>
        </w:tc>
        <w:tc>
          <w:tcPr>
            <w:tcW w:w="720" w:type="dxa"/>
            <w:vAlign w:val="bottom"/>
            <w:gridSpan w:val="3"/>
            <w:shd w:val="clear" w:color="auto" w:fill="E5E5E5"/>
          </w:tcPr>
          <w:p>
            <w:pPr>
              <w:jc w:val="right"/>
              <w:ind w:right="220"/>
              <w:spacing w:after="0" w:line="196" w:lineRule="exact"/>
              <w:rPr>
                <w:sz w:val="20"/>
                <w:szCs w:val="20"/>
                <w:color w:val="auto"/>
              </w:rPr>
            </w:pPr>
            <w:r>
              <w:rPr>
                <w:rFonts w:ascii="Arial" w:cs="Arial" w:eastAsia="Arial" w:hAnsi="Arial"/>
                <w:sz w:val="18"/>
                <w:szCs w:val="18"/>
                <w:color w:val="auto"/>
              </w:rPr>
              <w:t>$ 31</w:t>
            </w:r>
          </w:p>
        </w:tc>
        <w:tc>
          <w:tcPr>
            <w:tcW w:w="620" w:type="dxa"/>
            <w:vAlign w:val="bottom"/>
            <w:gridSpan w:val="2"/>
            <w:shd w:val="clear" w:color="auto" w:fill="E5E5E5"/>
          </w:tcPr>
          <w:p>
            <w:pPr>
              <w:jc w:val="right"/>
              <w:ind w:right="200"/>
              <w:spacing w:after="0" w:line="196" w:lineRule="exact"/>
              <w:rPr>
                <w:sz w:val="20"/>
                <w:szCs w:val="20"/>
                <w:color w:val="auto"/>
              </w:rPr>
            </w:pPr>
            <w:r>
              <w:rPr>
                <w:rFonts w:ascii="Arial" w:cs="Arial" w:eastAsia="Arial" w:hAnsi="Arial"/>
                <w:sz w:val="18"/>
                <w:szCs w:val="18"/>
                <w:color w:val="auto"/>
              </w:rPr>
              <w:t>$ 19</w:t>
            </w:r>
          </w:p>
        </w:tc>
        <w:tc>
          <w:tcPr>
            <w:tcW w:w="520" w:type="dxa"/>
            <w:vAlign w:val="bottom"/>
            <w:gridSpan w:val="2"/>
            <w:shd w:val="clear" w:color="auto" w:fill="E5E5E5"/>
          </w:tcPr>
          <w:p>
            <w:pPr>
              <w:jc w:val="right"/>
              <w:ind w:right="100"/>
              <w:spacing w:after="0" w:line="196" w:lineRule="exact"/>
              <w:rPr>
                <w:sz w:val="20"/>
                <w:szCs w:val="20"/>
                <w:color w:val="auto"/>
              </w:rPr>
            </w:pPr>
            <w:r>
              <w:rPr>
                <w:rFonts w:ascii="Arial" w:cs="Arial" w:eastAsia="Arial" w:hAnsi="Arial"/>
                <w:sz w:val="18"/>
                <w:szCs w:val="18"/>
                <w:color w:val="auto"/>
              </w:rPr>
              <w:t>$ 54</w:t>
            </w:r>
          </w:p>
        </w:tc>
      </w:tr>
      <w:tr>
        <w:trPr>
          <w:trHeight w:val="214"/>
        </w:trPr>
        <w:tc>
          <w:tcPr>
            <w:tcW w:w="9560" w:type="dxa"/>
            <w:vAlign w:val="bottom"/>
          </w:tcPr>
          <w:p>
            <w:pPr>
              <w:spacing w:after="0"/>
              <w:rPr>
                <w:sz w:val="20"/>
                <w:szCs w:val="20"/>
                <w:color w:val="auto"/>
              </w:rPr>
            </w:pPr>
            <w:r>
              <w:rPr>
                <w:rFonts w:ascii="Arial" w:cs="Arial" w:eastAsia="Arial" w:hAnsi="Arial"/>
                <w:sz w:val="18"/>
                <w:szCs w:val="18"/>
                <w:color w:val="auto"/>
              </w:rPr>
              <w:t>Tax benefit realized for vested RSUs tax deductions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r>
    </w:tbl>
    <w:p>
      <w:pPr>
        <w:spacing w:after="0" w:line="154"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At December 31, 2010, there was $135 of total unrecognized compensation cost related to nonvested RSUs, which is expected to be recognized ratably over a remaining weighted-average contractual term of 1.7 years.</w:t>
      </w:r>
    </w:p>
    <w:p>
      <w:pPr>
        <w:spacing w:after="0" w:line="133" w:lineRule="exact"/>
        <w:rPr>
          <w:sz w:val="20"/>
          <w:szCs w:val="20"/>
          <w:color w:val="auto"/>
        </w:rPr>
      </w:pPr>
    </w:p>
    <w:p>
      <w:pPr>
        <w:ind w:right="160"/>
        <w:spacing w:after="0" w:line="242" w:lineRule="auto"/>
        <w:rPr>
          <w:sz w:val="20"/>
          <w:szCs w:val="20"/>
          <w:color w:val="auto"/>
        </w:rPr>
      </w:pPr>
      <w:r>
        <w:rPr>
          <w:rFonts w:ascii="Arial" w:cs="Arial" w:eastAsia="Arial" w:hAnsi="Arial"/>
          <w:sz w:val="18"/>
          <w:szCs w:val="18"/>
          <w:b w:val="1"/>
          <w:bCs w:val="1"/>
          <w:color w:val="4C9F40"/>
        </w:rPr>
        <w:t xml:space="preserve">Performance shares: </w:t>
      </w:r>
      <w:r>
        <w:rPr>
          <w:rFonts w:ascii="Arial" w:cs="Arial" w:eastAsia="Arial" w:hAnsi="Arial"/>
          <w:sz w:val="18"/>
          <w:szCs w:val="18"/>
          <w:color w:val="000000"/>
        </w:rPr>
        <w:t>We grant officers and selected executives PSs that vest contingent upon meeting pre-determined Earnings per Share</w:t>
      </w:r>
      <w:r>
        <w:rPr>
          <w:rFonts w:ascii="Arial" w:cs="Arial" w:eastAsia="Arial" w:hAnsi="Arial"/>
          <w:sz w:val="18"/>
          <w:szCs w:val="18"/>
          <w:b w:val="1"/>
          <w:bCs w:val="1"/>
          <w:color w:val="4C9F40"/>
        </w:rPr>
        <w:t xml:space="preserve"> </w:t>
      </w:r>
      <w:r>
        <w:rPr>
          <w:rFonts w:ascii="Arial" w:cs="Arial" w:eastAsia="Arial" w:hAnsi="Arial"/>
          <w:sz w:val="18"/>
          <w:szCs w:val="18"/>
          <w:color w:val="000000"/>
        </w:rPr>
        <w:t>(“EPS”) and Cash Flow from Operations targets. These shares entitle the holder to one share of common stock, payable after a three-year period and the attainment of the stated goals. If the cumulative three-year actual results for EPS and Cash Flow from Operations exceed the stated targets, then the plan participants have the potential to earn additional shares of common stock. This overachievement can not exceed 50% for officers and 25% for non-officers of the original grant.</w:t>
      </w:r>
    </w:p>
    <w:p>
      <w:pPr>
        <w:spacing w:after="0" w:line="153"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In connection with the ACS acquisition, selected ACS executives received a special one-time grant of PSs that vest over a three-year period contingent upon ACS meeting pre-determined annual earnings targets. These shares entitle the holder to one share of common stock, payable after the three-year period and the attainment of the targets. The aggregate number of shares that may be delivered based on achievement of the targets was determined on the date of grant and ranges in value as follows: 50% of base salary (threshold); 100% of base salary (target); and 200% of base salary plus 50% of the value of the August 2009 options (maximum).</w:t>
      </w:r>
    </w:p>
    <w:p>
      <w:pPr>
        <w:spacing w:after="0" w:line="15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 summary of the activity for PSs as of December 31, 2010, 2009 and 2008, and changes during the years then ended, is presented below (shares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ind w:right="580"/>
              <w:spacing w:after="0"/>
              <w:rPr>
                <w:sz w:val="20"/>
                <w:szCs w:val="20"/>
                <w:color w:val="auto"/>
              </w:rPr>
            </w:pPr>
            <w:r>
              <w:rPr>
                <w:rFonts w:ascii="Arial" w:cs="Arial" w:eastAsia="Arial" w:hAnsi="Arial"/>
                <w:sz w:val="14"/>
                <w:szCs w:val="14"/>
                <w:color w:val="auto"/>
              </w:rPr>
              <w:t>2010</w:t>
            </w:r>
          </w:p>
        </w:tc>
        <w:tc>
          <w:tcPr>
            <w:tcW w:w="1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ind w:right="580"/>
              <w:spacing w:after="0"/>
              <w:rPr>
                <w:sz w:val="20"/>
                <w:szCs w:val="20"/>
                <w:color w:val="auto"/>
              </w:rPr>
            </w:pPr>
            <w:r>
              <w:rPr>
                <w:rFonts w:ascii="Arial" w:cs="Arial" w:eastAsia="Arial" w:hAnsi="Arial"/>
                <w:sz w:val="14"/>
                <w:szCs w:val="14"/>
                <w:color w:val="auto"/>
                <w:w w:val="96"/>
              </w:rPr>
              <w:t>2009</w:t>
            </w:r>
          </w:p>
        </w:tc>
        <w:tc>
          <w:tcPr>
            <w:tcW w:w="2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ind w:right="580"/>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60"/>
              <w:spacing w:after="0" w:line="141" w:lineRule="exact"/>
              <w:rPr>
                <w:sz w:val="20"/>
                <w:szCs w:val="20"/>
                <w:color w:val="auto"/>
              </w:rPr>
            </w:pPr>
            <w:r>
              <w:rPr>
                <w:rFonts w:ascii="Arial" w:cs="Arial" w:eastAsia="Arial" w:hAnsi="Arial"/>
                <w:sz w:val="14"/>
                <w:szCs w:val="14"/>
                <w:color w:val="auto"/>
                <w:w w:val="97"/>
              </w:rPr>
              <w:t>Weighted</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60"/>
              <w:spacing w:after="0" w:line="141" w:lineRule="exact"/>
              <w:rPr>
                <w:sz w:val="20"/>
                <w:szCs w:val="20"/>
                <w:color w:val="auto"/>
              </w:rPr>
            </w:pPr>
            <w:r>
              <w:rPr>
                <w:rFonts w:ascii="Arial" w:cs="Arial" w:eastAsia="Arial" w:hAnsi="Arial"/>
                <w:sz w:val="14"/>
                <w:szCs w:val="14"/>
                <w:color w:val="auto"/>
                <w:w w:val="94"/>
              </w:rPr>
              <w:t>Weighted</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60"/>
              <w:spacing w:after="0" w:line="141" w:lineRule="exact"/>
              <w:rPr>
                <w:sz w:val="20"/>
                <w:szCs w:val="20"/>
                <w:color w:val="auto"/>
              </w:rPr>
            </w:pPr>
            <w:r>
              <w:rPr>
                <w:rFonts w:ascii="Arial" w:cs="Arial" w:eastAsia="Arial" w:hAnsi="Arial"/>
                <w:sz w:val="14"/>
                <w:szCs w:val="14"/>
                <w:color w:val="auto"/>
                <w:w w:val="97"/>
              </w:rPr>
              <w:t>Weighted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w w:val="96"/>
              </w:rPr>
              <w:t>Average Grant</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4"/>
              </w:rPr>
              <w:t>Average Grant</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w w:val="94"/>
              </w:rPr>
              <w:t>Average Grant</w:t>
            </w:r>
          </w:p>
        </w:tc>
        <w:tc>
          <w:tcPr>
            <w:tcW w:w="0" w:type="dxa"/>
            <w:vAlign w:val="bottom"/>
          </w:tcPr>
          <w:p>
            <w:pPr>
              <w:spacing w:after="0"/>
              <w:rPr>
                <w:sz w:val="1"/>
                <w:szCs w:val="1"/>
                <w:color w:val="auto"/>
              </w:rPr>
            </w:pPr>
          </w:p>
        </w:tc>
      </w:tr>
      <w:tr>
        <w:trPr>
          <w:trHeight w:val="149"/>
        </w:trPr>
        <w:tc>
          <w:tcPr>
            <w:tcW w:w="6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Nonvested Performance Shares</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7"/>
              </w:rPr>
              <w:t>Date Fair</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60"/>
              <w:spacing w:after="0" w:line="149" w:lineRule="exact"/>
              <w:rPr>
                <w:sz w:val="20"/>
                <w:szCs w:val="20"/>
                <w:color w:val="auto"/>
              </w:rPr>
            </w:pPr>
            <w:r>
              <w:rPr>
                <w:rFonts w:ascii="Arial" w:cs="Arial" w:eastAsia="Arial" w:hAnsi="Arial"/>
                <w:sz w:val="14"/>
                <w:szCs w:val="14"/>
                <w:color w:val="auto"/>
                <w:w w:val="97"/>
              </w:rPr>
              <w:t>Date Fair</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7"/>
              </w:rPr>
              <w:t>Date Fair</w:t>
            </w:r>
          </w:p>
        </w:tc>
        <w:tc>
          <w:tcPr>
            <w:tcW w:w="0" w:type="dxa"/>
            <w:vAlign w:val="bottom"/>
          </w:tcPr>
          <w:p>
            <w:pPr>
              <w:spacing w:after="0"/>
              <w:rPr>
                <w:sz w:val="1"/>
                <w:szCs w:val="1"/>
                <w:color w:val="auto"/>
              </w:rPr>
            </w:pPr>
          </w:p>
        </w:tc>
      </w:tr>
      <w:tr>
        <w:trPr>
          <w:trHeight w:val="149"/>
        </w:trPr>
        <w:tc>
          <w:tcPr>
            <w:tcW w:w="6080" w:type="dxa"/>
            <w:vAlign w:val="bottom"/>
            <w:gridSpan w:val="3"/>
            <w:vMerge w:val="continue"/>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4"/>
              </w:rPr>
              <w:t>Value</w:t>
            </w: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Shares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40"/>
              <w:spacing w:after="0" w:line="149" w:lineRule="exact"/>
              <w:rPr>
                <w:sz w:val="20"/>
                <w:szCs w:val="20"/>
                <w:color w:val="auto"/>
              </w:rPr>
            </w:pPr>
            <w:r>
              <w:rPr>
                <w:rFonts w:ascii="Arial" w:cs="Arial" w:eastAsia="Arial" w:hAnsi="Arial"/>
                <w:sz w:val="14"/>
                <w:szCs w:val="14"/>
                <w:color w:val="auto"/>
                <w:w w:val="94"/>
              </w:rPr>
              <w:t>Value</w:t>
            </w:r>
          </w:p>
        </w:tc>
        <w:tc>
          <w:tcPr>
            <w:tcW w:w="20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4"/>
              </w:rPr>
              <w:t>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980" w:type="dxa"/>
            <w:vAlign w:val="bottom"/>
            <w:shd w:val="clear" w:color="auto" w:fill="E5E5E5"/>
          </w:tcPr>
          <w:p>
            <w:pPr>
              <w:spacing w:after="0" w:line="196" w:lineRule="exact"/>
              <w:rPr>
                <w:sz w:val="20"/>
                <w:szCs w:val="20"/>
                <w:color w:val="auto"/>
              </w:rPr>
            </w:pPr>
            <w:r>
              <w:rPr>
                <w:rFonts w:ascii="Arial" w:cs="Arial" w:eastAsia="Arial" w:hAnsi="Arial"/>
                <w:sz w:val="18"/>
                <w:szCs w:val="18"/>
                <w:color w:val="auto"/>
              </w:rPr>
              <w:t>Outstanding at January 1</w:t>
            </w:r>
          </w:p>
        </w:tc>
        <w:tc>
          <w:tcPr>
            <w:tcW w:w="80" w:type="dxa"/>
            <w:vAlign w:val="bottom"/>
            <w:shd w:val="clear" w:color="auto" w:fill="E5E5E5"/>
          </w:tcPr>
          <w:p>
            <w:pPr>
              <w:spacing w:after="0"/>
              <w:rPr>
                <w:sz w:val="17"/>
                <w:szCs w:val="17"/>
                <w:color w:val="auto"/>
              </w:rPr>
            </w:pPr>
          </w:p>
        </w:tc>
        <w:tc>
          <w:tcPr>
            <w:tcW w:w="54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rPr>
              <w:t>4,874</w:t>
            </w:r>
          </w:p>
        </w:tc>
        <w:tc>
          <w:tcPr>
            <w:tcW w:w="80" w:type="dxa"/>
            <w:vAlign w:val="bottom"/>
            <w:shd w:val="clear" w:color="auto" w:fill="E5E5E5"/>
          </w:tcPr>
          <w:p>
            <w:pPr>
              <w:spacing w:after="0"/>
              <w:rPr>
                <w:sz w:val="17"/>
                <w:szCs w:val="17"/>
                <w:color w:val="auto"/>
              </w:rPr>
            </w:pPr>
          </w:p>
        </w:tc>
        <w:tc>
          <w:tcPr>
            <w:tcW w:w="240" w:type="dxa"/>
            <w:vAlign w:val="bottom"/>
            <w:gridSpan w:val="2"/>
            <w:shd w:val="clear" w:color="auto" w:fill="E5E5E5"/>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E5E5E5"/>
          </w:tcPr>
          <w:p>
            <w:pPr>
              <w:jc w:val="right"/>
              <w:ind w:right="180"/>
              <w:spacing w:after="0" w:line="196" w:lineRule="exact"/>
              <w:rPr>
                <w:sz w:val="20"/>
                <w:szCs w:val="20"/>
                <w:color w:val="auto"/>
              </w:rPr>
            </w:pPr>
            <w:r>
              <w:rPr>
                <w:rFonts w:ascii="Arial" w:cs="Arial" w:eastAsia="Arial" w:hAnsi="Arial"/>
                <w:sz w:val="18"/>
                <w:szCs w:val="18"/>
                <w:color w:val="auto"/>
              </w:rPr>
              <w:t>15.49</w:t>
            </w:r>
          </w:p>
        </w:tc>
        <w:tc>
          <w:tcPr>
            <w:tcW w:w="56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rPr>
              <w:t>7,378</w:t>
            </w:r>
          </w:p>
        </w:tc>
        <w:tc>
          <w:tcPr>
            <w:tcW w:w="80" w:type="dxa"/>
            <w:vAlign w:val="bottom"/>
            <w:shd w:val="clear" w:color="auto" w:fill="E5E5E5"/>
          </w:tcPr>
          <w:p>
            <w:pPr>
              <w:spacing w:after="0"/>
              <w:rPr>
                <w:sz w:val="17"/>
                <w:szCs w:val="17"/>
                <w:color w:val="auto"/>
              </w:rPr>
            </w:pPr>
          </w:p>
        </w:tc>
        <w:tc>
          <w:tcPr>
            <w:tcW w:w="240" w:type="dxa"/>
            <w:vAlign w:val="bottom"/>
            <w:gridSpan w:val="2"/>
            <w:shd w:val="clear" w:color="auto" w:fill="E5E5E5"/>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rPr>
              <w:t>15.39</w:t>
            </w:r>
          </w:p>
        </w:tc>
        <w:tc>
          <w:tcPr>
            <w:tcW w:w="740" w:type="dxa"/>
            <w:vAlign w:val="bottom"/>
            <w:gridSpan w:val="2"/>
            <w:shd w:val="clear" w:color="auto" w:fill="E5E5E5"/>
          </w:tcPr>
          <w:p>
            <w:pPr>
              <w:jc w:val="right"/>
              <w:spacing w:after="0" w:line="196" w:lineRule="exact"/>
              <w:rPr>
                <w:sz w:val="20"/>
                <w:szCs w:val="20"/>
                <w:color w:val="auto"/>
              </w:rPr>
            </w:pPr>
            <w:r>
              <w:rPr>
                <w:rFonts w:ascii="Arial" w:cs="Arial" w:eastAsia="Arial" w:hAnsi="Arial"/>
                <w:sz w:val="18"/>
                <w:szCs w:val="18"/>
                <w:color w:val="auto"/>
              </w:rPr>
              <w:t>6,585</w:t>
            </w:r>
          </w:p>
        </w:tc>
        <w:tc>
          <w:tcPr>
            <w:tcW w:w="80" w:type="dxa"/>
            <w:vAlign w:val="bottom"/>
            <w:shd w:val="clear" w:color="auto" w:fill="E5E5E5"/>
          </w:tcPr>
          <w:p>
            <w:pPr>
              <w:spacing w:after="0"/>
              <w:rPr>
                <w:sz w:val="17"/>
                <w:szCs w:val="17"/>
                <w:color w:val="auto"/>
              </w:rPr>
            </w:pPr>
          </w:p>
        </w:tc>
        <w:tc>
          <w:tcPr>
            <w:tcW w:w="240" w:type="dxa"/>
            <w:vAlign w:val="bottom"/>
            <w:gridSpan w:val="2"/>
            <w:shd w:val="clear" w:color="auto" w:fill="E5E5E5"/>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E5E5E5"/>
          </w:tcPr>
          <w:p>
            <w:pPr>
              <w:jc w:val="right"/>
              <w:ind w:right="100"/>
              <w:spacing w:after="0" w:line="196" w:lineRule="exact"/>
              <w:rPr>
                <w:sz w:val="20"/>
                <w:szCs w:val="20"/>
                <w:color w:val="auto"/>
              </w:rPr>
            </w:pPr>
            <w:r>
              <w:rPr>
                <w:rFonts w:ascii="Arial" w:cs="Arial" w:eastAsia="Arial" w:hAnsi="Arial"/>
                <w:sz w:val="18"/>
                <w:szCs w:val="18"/>
                <w:color w:val="auto"/>
              </w:rPr>
              <w:t>16.16</w:t>
            </w:r>
          </w:p>
        </w:tc>
        <w:tc>
          <w:tcPr>
            <w:tcW w:w="0" w:type="dxa"/>
            <w:vAlign w:val="bottom"/>
          </w:tcPr>
          <w:p>
            <w:pPr>
              <w:spacing w:after="0"/>
              <w:rPr>
                <w:sz w:val="1"/>
                <w:szCs w:val="1"/>
                <w:color w:val="auto"/>
              </w:rPr>
            </w:pPr>
          </w:p>
        </w:tc>
      </w:tr>
      <w:tr>
        <w:trPr>
          <w:trHeight w:val="203"/>
        </w:trPr>
        <w:tc>
          <w:tcPr>
            <w:tcW w:w="6080" w:type="dxa"/>
            <w:vAlign w:val="bottom"/>
            <w:gridSpan w:val="3"/>
          </w:tcPr>
          <w:p>
            <w:pPr>
              <w:spacing w:after="0" w:line="202" w:lineRule="exact"/>
              <w:rPr>
                <w:sz w:val="20"/>
                <w:szCs w:val="20"/>
                <w:color w:val="auto"/>
              </w:rPr>
            </w:pPr>
            <w:r>
              <w:rPr>
                <w:rFonts w:ascii="Arial" w:cs="Arial" w:eastAsia="Arial" w:hAnsi="Arial"/>
                <w:sz w:val="18"/>
                <w:szCs w:val="18"/>
                <w:color w:val="auto"/>
              </w:rPr>
              <w:t>Granted</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5,364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8.10</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718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15.17</w:t>
            </w: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3,696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13.67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Vested</w:t>
            </w:r>
          </w:p>
        </w:tc>
        <w:tc>
          <w:tcPr>
            <w:tcW w:w="62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color w:val="auto"/>
              </w:rPr>
              <w:t>(1,566)</w:t>
            </w:r>
          </w:p>
        </w:tc>
        <w:tc>
          <w:tcPr>
            <w:tcW w:w="1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7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18.48</w:t>
            </w:r>
          </w:p>
        </w:tc>
        <w:tc>
          <w:tcPr>
            <w:tcW w:w="180" w:type="dxa"/>
            <w:vAlign w:val="bottom"/>
            <w:shd w:val="clear" w:color="auto" w:fill="E5E5E5"/>
          </w:tcPr>
          <w:p>
            <w:pPr>
              <w:spacing w:after="0"/>
              <w:rPr>
                <w:sz w:val="17"/>
                <w:szCs w:val="17"/>
                <w:color w:val="auto"/>
              </w:rPr>
            </w:pPr>
          </w:p>
        </w:tc>
        <w:tc>
          <w:tcPr>
            <w:tcW w:w="64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color w:val="auto"/>
              </w:rPr>
              <w:t>(3,075)</w:t>
            </w:r>
          </w:p>
        </w:tc>
        <w:tc>
          <w:tcPr>
            <w:tcW w:w="10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7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15.17</w:t>
            </w:r>
          </w:p>
        </w:tc>
        <w:tc>
          <w:tcPr>
            <w:tcW w:w="820" w:type="dxa"/>
            <w:vAlign w:val="bottom"/>
            <w:gridSpan w:val="3"/>
            <w:shd w:val="clear" w:color="auto" w:fill="E5E5E5"/>
          </w:tcPr>
          <w:p>
            <w:pPr>
              <w:jc w:val="right"/>
              <w:ind w:right="20"/>
              <w:spacing w:after="0" w:line="202" w:lineRule="exact"/>
              <w:rPr>
                <w:sz w:val="20"/>
                <w:szCs w:val="20"/>
                <w:color w:val="auto"/>
              </w:rPr>
            </w:pPr>
            <w:r>
              <w:rPr>
                <w:rFonts w:ascii="Arial" w:cs="Arial" w:eastAsia="Arial" w:hAnsi="Arial"/>
                <w:sz w:val="18"/>
                <w:szCs w:val="18"/>
                <w:color w:val="auto"/>
              </w:rPr>
              <w:t>(2,734)</w:t>
            </w:r>
          </w:p>
        </w:tc>
        <w:tc>
          <w:tcPr>
            <w:tcW w:w="1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7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14.87</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080" w:type="dxa"/>
            <w:vAlign w:val="bottom"/>
            <w:gridSpan w:val="3"/>
          </w:tcPr>
          <w:p>
            <w:pPr>
              <w:spacing w:after="0" w:line="202" w:lineRule="exact"/>
              <w:rPr>
                <w:sz w:val="20"/>
                <w:szCs w:val="20"/>
                <w:color w:val="auto"/>
              </w:rPr>
            </w:pPr>
            <w:r>
              <w:rPr>
                <w:rFonts w:ascii="Arial" w:cs="Arial" w:eastAsia="Arial" w:hAnsi="Arial"/>
                <w:sz w:val="18"/>
                <w:szCs w:val="18"/>
                <w:color w:val="auto"/>
              </w:rPr>
              <w:t>Cancelled</w:t>
            </w:r>
          </w:p>
        </w:tc>
        <w:tc>
          <w:tcPr>
            <w:tcW w:w="6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15.51</w:t>
            </w:r>
          </w:p>
        </w:tc>
        <w:tc>
          <w:tcPr>
            <w:tcW w:w="180" w:type="dxa"/>
            <w:vAlign w:val="bottom"/>
          </w:tcPr>
          <w:p>
            <w:pPr>
              <w:spacing w:after="0"/>
              <w:rPr>
                <w:sz w:val="18"/>
                <w:szCs w:val="18"/>
                <w:color w:val="auto"/>
              </w:rPr>
            </w:pP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(147)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15.52</w:t>
            </w:r>
          </w:p>
        </w:tc>
        <w:tc>
          <w:tcPr>
            <w:tcW w:w="82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(169)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16.05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Outstanding at December 31</w:t>
            </w:r>
          </w:p>
        </w:tc>
        <w:tc>
          <w:tcPr>
            <w:tcW w:w="540" w:type="dxa"/>
            <w:vAlign w:val="bottom"/>
            <w:tcBorders>
              <w:top w:val="single" w:sz="8" w:color="auto"/>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7,771</w:t>
            </w:r>
          </w:p>
        </w:tc>
        <w:tc>
          <w:tcPr>
            <w:tcW w:w="8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9.78</w:t>
            </w:r>
          </w:p>
        </w:tc>
        <w:tc>
          <w:tcPr>
            <w:tcW w:w="560" w:type="dxa"/>
            <w:vAlign w:val="bottom"/>
            <w:tcBorders>
              <w:top w:val="single" w:sz="8" w:color="auto"/>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4,874</w:t>
            </w:r>
          </w:p>
        </w:tc>
        <w:tc>
          <w:tcPr>
            <w:tcW w:w="8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7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15.49</w:t>
            </w:r>
          </w:p>
        </w:tc>
        <w:tc>
          <w:tcPr>
            <w:tcW w:w="200" w:type="dxa"/>
            <w:vAlign w:val="bottom"/>
            <w:shd w:val="clear" w:color="auto" w:fill="E5E5E5"/>
          </w:tcPr>
          <w:p>
            <w:pPr>
              <w:spacing w:after="0"/>
              <w:rPr>
                <w:sz w:val="17"/>
                <w:szCs w:val="17"/>
                <w:color w:val="auto"/>
              </w:rPr>
            </w:pPr>
          </w:p>
        </w:tc>
        <w:tc>
          <w:tcPr>
            <w:tcW w:w="540" w:type="dxa"/>
            <w:vAlign w:val="bottom"/>
            <w:tcBorders>
              <w:top w:val="single" w:sz="8" w:color="auto"/>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7,378</w:t>
            </w:r>
          </w:p>
        </w:tc>
        <w:tc>
          <w:tcPr>
            <w:tcW w:w="8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7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15.39</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right"/>
        <w:spacing w:after="0"/>
        <w:rPr>
          <w:sz w:val="20"/>
          <w:szCs w:val="20"/>
          <w:color w:val="auto"/>
        </w:rPr>
      </w:pPr>
      <w:r>
        <w:rPr>
          <w:rFonts w:ascii="Arial" w:cs="Arial" w:eastAsia="Arial" w:hAnsi="Arial"/>
          <w:sz w:val="14"/>
          <w:szCs w:val="14"/>
          <w:color w:val="4C9F40"/>
        </w:rPr>
        <w:t>Xerox 2010 Annual Report 99</w:t>
      </w:r>
    </w:p>
    <w:p>
      <w:pPr>
        <w:sectPr>
          <w:pgSz w:w="11900" w:h="16838" w:orient="portrait"/>
          <w:cols w:equalWidth="0" w:num="1">
            <w:col w:w="11420"/>
          </w:cols>
          <w:pgMar w:left="240" w:top="323" w:right="239" w:bottom="1440" w:gutter="0" w:footer="0" w:header="0"/>
        </w:sectPr>
      </w:pPr>
    </w:p>
    <w:bookmarkStart w:id="176" w:name="page177"/>
    <w:bookmarkEnd w:id="176"/>
    <w:p>
      <w:pPr>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 December 31, 2010, the aggregate intrinsic value of PSs outstanding was $90. The total intrinsic value of PSs and the actual tax benefit realized for the tax deductions for vested PSs for the three years ended December 31, 2010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Vested Performance Shares</w:t>
            </w:r>
          </w:p>
        </w:tc>
        <w:tc>
          <w:tcPr>
            <w:tcW w:w="100" w:type="dxa"/>
            <w:vAlign w:val="bottom"/>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2010</w:t>
            </w:r>
          </w:p>
        </w:tc>
        <w:tc>
          <w:tcPr>
            <w:tcW w:w="200" w:type="dxa"/>
            <w:vAlign w:val="bottom"/>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5"/>
                <w:szCs w:val="15"/>
                <w:color w:val="auto"/>
              </w:rPr>
            </w:pPr>
          </w:p>
        </w:tc>
      </w:tr>
      <w:tr>
        <w:trPr>
          <w:trHeight w:val="196"/>
        </w:trPr>
        <w:tc>
          <w:tcPr>
            <w:tcW w:w="7760" w:type="dxa"/>
            <w:vAlign w:val="bottom"/>
            <w:shd w:val="clear" w:color="auto" w:fill="E5E5E5"/>
          </w:tcPr>
          <w:p>
            <w:pPr>
              <w:spacing w:after="0" w:line="196" w:lineRule="exact"/>
              <w:rPr>
                <w:sz w:val="20"/>
                <w:szCs w:val="20"/>
                <w:color w:val="auto"/>
              </w:rPr>
            </w:pPr>
            <w:r>
              <w:rPr>
                <w:rFonts w:ascii="Arial" w:cs="Arial" w:eastAsia="Arial" w:hAnsi="Arial"/>
                <w:sz w:val="18"/>
                <w:szCs w:val="18"/>
                <w:color w:val="auto"/>
              </w:rPr>
              <w:t>Total intrinsic value of vested PSs</w:t>
            </w:r>
          </w:p>
        </w:tc>
        <w:tc>
          <w:tcPr>
            <w:tcW w:w="700" w:type="dxa"/>
            <w:vAlign w:val="bottom"/>
            <w:gridSpan w:val="3"/>
            <w:shd w:val="clear" w:color="auto" w:fill="E5E5E5"/>
          </w:tcPr>
          <w:p>
            <w:pPr>
              <w:jc w:val="right"/>
              <w:ind w:right="200"/>
              <w:spacing w:after="0" w:line="196" w:lineRule="exact"/>
              <w:rPr>
                <w:sz w:val="20"/>
                <w:szCs w:val="20"/>
                <w:color w:val="auto"/>
              </w:rPr>
            </w:pPr>
            <w:r>
              <w:rPr>
                <w:rFonts w:ascii="Arial" w:cs="Arial" w:eastAsia="Arial" w:hAnsi="Arial"/>
                <w:sz w:val="18"/>
                <w:szCs w:val="18"/>
                <w:color w:val="auto"/>
              </w:rPr>
              <w:t>$ 12</w:t>
            </w:r>
          </w:p>
        </w:tc>
        <w:tc>
          <w:tcPr>
            <w:tcW w:w="500" w:type="dxa"/>
            <w:vAlign w:val="bottom"/>
            <w:gridSpan w:val="2"/>
            <w:shd w:val="clear" w:color="auto" w:fill="E5E5E5"/>
          </w:tcPr>
          <w:p>
            <w:pPr>
              <w:jc w:val="right"/>
              <w:ind w:right="100"/>
              <w:spacing w:after="0" w:line="196" w:lineRule="exact"/>
              <w:rPr>
                <w:sz w:val="20"/>
                <w:szCs w:val="20"/>
                <w:color w:val="auto"/>
              </w:rPr>
            </w:pPr>
            <w:r>
              <w:rPr>
                <w:rFonts w:ascii="Arial" w:cs="Arial" w:eastAsia="Arial" w:hAnsi="Arial"/>
                <w:sz w:val="18"/>
                <w:szCs w:val="18"/>
                <w:color w:val="auto"/>
              </w:rPr>
              <w:t>$ 15</w:t>
            </w:r>
          </w:p>
        </w:tc>
        <w:tc>
          <w:tcPr>
            <w:tcW w:w="620" w:type="dxa"/>
            <w:vAlign w:val="bottom"/>
            <w:gridSpan w:val="3"/>
            <w:shd w:val="clear" w:color="auto" w:fill="E5E5E5"/>
          </w:tcPr>
          <w:p>
            <w:pPr>
              <w:jc w:val="right"/>
              <w:ind w:right="100"/>
              <w:spacing w:after="0" w:line="196" w:lineRule="exact"/>
              <w:rPr>
                <w:sz w:val="20"/>
                <w:szCs w:val="20"/>
                <w:color w:val="auto"/>
              </w:rPr>
            </w:pPr>
            <w:r>
              <w:rPr>
                <w:rFonts w:ascii="Arial" w:cs="Arial" w:eastAsia="Arial" w:hAnsi="Arial"/>
                <w:sz w:val="18"/>
                <w:szCs w:val="18"/>
                <w:color w:val="auto"/>
              </w:rPr>
              <w:t>$ 41</w:t>
            </w:r>
          </w:p>
        </w:tc>
      </w:tr>
      <w:tr>
        <w:trPr>
          <w:trHeight w:val="214"/>
        </w:trPr>
        <w:tc>
          <w:tcPr>
            <w:tcW w:w="7760" w:type="dxa"/>
            <w:vAlign w:val="bottom"/>
          </w:tcPr>
          <w:p>
            <w:pPr>
              <w:spacing w:after="0"/>
              <w:rPr>
                <w:sz w:val="20"/>
                <w:szCs w:val="20"/>
                <w:color w:val="auto"/>
              </w:rPr>
            </w:pPr>
            <w:r>
              <w:rPr>
                <w:rFonts w:ascii="Arial" w:cs="Arial" w:eastAsia="Arial" w:hAnsi="Arial"/>
                <w:sz w:val="18"/>
                <w:szCs w:val="18"/>
                <w:color w:val="auto"/>
              </w:rPr>
              <w:t>Tax benefit realized for vested PSs tax deductions</w:t>
            </w:r>
          </w:p>
        </w:tc>
        <w:tc>
          <w:tcPr>
            <w:tcW w:w="700" w:type="dxa"/>
            <w:vAlign w:val="bottom"/>
            <w:gridSpan w:val="3"/>
          </w:tcPr>
          <w:p>
            <w:pPr>
              <w:jc w:val="right"/>
              <w:ind w:right="200"/>
              <w:spacing w:after="0"/>
              <w:rPr>
                <w:sz w:val="20"/>
                <w:szCs w:val="20"/>
                <w:color w:val="auto"/>
              </w:rPr>
            </w:pPr>
            <w:r>
              <w:rPr>
                <w:rFonts w:ascii="Arial" w:cs="Arial" w:eastAsia="Arial" w:hAnsi="Arial"/>
                <w:sz w:val="18"/>
                <w:szCs w:val="18"/>
                <w:color w:val="auto"/>
              </w:rPr>
              <w:t>5</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r>
    </w:tbl>
    <w:p>
      <w:pPr>
        <w:spacing w:after="0" w:line="154" w:lineRule="exact"/>
        <w:rPr>
          <w:sz w:val="20"/>
          <w:szCs w:val="20"/>
          <w:color w:val="auto"/>
        </w:rPr>
      </w:pPr>
    </w:p>
    <w:p>
      <w:pPr>
        <w:jc w:val="both"/>
        <w:ind w:right="60"/>
        <w:spacing w:after="0" w:line="238" w:lineRule="auto"/>
        <w:rPr>
          <w:sz w:val="20"/>
          <w:szCs w:val="20"/>
          <w:color w:val="auto"/>
        </w:rPr>
      </w:pPr>
      <w:r>
        <w:rPr>
          <w:rFonts w:ascii="Arial" w:cs="Arial" w:eastAsia="Arial" w:hAnsi="Arial"/>
          <w:sz w:val="18"/>
          <w:szCs w:val="18"/>
          <w:color w:val="auto"/>
        </w:rPr>
        <w:t>We account for PSs using fair value determined as of the grant date. If the stated targets are not met, any recognized compensation cost would be reversed. As of December 31, 2010, there was $45 of total unrecognized compensation cost related to nonvested PSs; this cost is expected to be recognized ratably over a remaining weighted-average contractual term of 1.8 years.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Stock options</w:t>
      </w:r>
    </w:p>
    <w:p>
      <w:pPr>
        <w:spacing w:after="0" w:line="158" w:lineRule="exact"/>
        <w:rPr>
          <w:sz w:val="20"/>
          <w:szCs w:val="20"/>
          <w:color w:val="auto"/>
        </w:rPr>
      </w:pPr>
    </w:p>
    <w:p>
      <w:pPr>
        <w:jc w:val="both"/>
        <w:ind w:right="60"/>
        <w:spacing w:after="0" w:line="244" w:lineRule="auto"/>
        <w:rPr>
          <w:sz w:val="20"/>
          <w:szCs w:val="20"/>
          <w:color w:val="auto"/>
        </w:rPr>
      </w:pPr>
      <w:r>
        <w:rPr>
          <w:rFonts w:ascii="Arial" w:cs="Arial" w:eastAsia="Arial" w:hAnsi="Arial"/>
          <w:sz w:val="18"/>
          <w:szCs w:val="18"/>
          <w:b w:val="1"/>
          <w:bCs w:val="1"/>
          <w:color w:val="4C9F40"/>
        </w:rPr>
        <w:t xml:space="preserve">Employee stock options: </w:t>
      </w:r>
      <w:r>
        <w:rPr>
          <w:rFonts w:ascii="Arial" w:cs="Arial" w:eastAsia="Arial" w:hAnsi="Arial"/>
          <w:sz w:val="18"/>
          <w:szCs w:val="18"/>
          <w:color w:val="000000"/>
        </w:rPr>
        <w:t>With the exception of the stock options issued in connection with the ACS acquisition (see below), we have not issued</w:t>
      </w:r>
      <w:r>
        <w:rPr>
          <w:rFonts w:ascii="Arial" w:cs="Arial" w:eastAsia="Arial" w:hAnsi="Arial"/>
          <w:sz w:val="18"/>
          <w:szCs w:val="18"/>
          <w:b w:val="1"/>
          <w:bCs w:val="1"/>
          <w:color w:val="4C9F40"/>
        </w:rPr>
        <w:t xml:space="preserve"> </w:t>
      </w:r>
      <w:r>
        <w:rPr>
          <w:rFonts w:ascii="Arial" w:cs="Arial" w:eastAsia="Arial" w:hAnsi="Arial"/>
          <w:sz w:val="18"/>
          <w:szCs w:val="18"/>
          <w:color w:val="000000"/>
        </w:rPr>
        <w:t>any new stock options associated with our employee long-term incentive plan since 2004. All stock options previously issued under our employee long-term incentive plan and currently outstanding are fully vested and exercisable and generally expire between eight and ten years from the date of grant.</w:t>
      </w:r>
    </w:p>
    <w:p>
      <w:pPr>
        <w:spacing w:after="0" w:line="131" w:lineRule="exact"/>
        <w:rPr>
          <w:sz w:val="20"/>
          <w:szCs w:val="20"/>
          <w:color w:val="auto"/>
        </w:rPr>
      </w:pPr>
    </w:p>
    <w:p>
      <w:pPr>
        <w:spacing w:after="0" w:line="274" w:lineRule="auto"/>
        <w:rPr>
          <w:sz w:val="20"/>
          <w:szCs w:val="20"/>
          <w:color w:val="auto"/>
        </w:rPr>
      </w:pPr>
      <w:r>
        <w:rPr>
          <w:rFonts w:ascii="Arial" w:cs="Arial" w:eastAsia="Arial" w:hAnsi="Arial"/>
          <w:sz w:val="16"/>
          <w:szCs w:val="16"/>
          <w:b w:val="1"/>
          <w:bCs w:val="1"/>
          <w:color w:val="4C9F40"/>
        </w:rPr>
        <w:t xml:space="preserve">ACS Acquisition: </w:t>
      </w:r>
      <w:r>
        <w:rPr>
          <w:rFonts w:ascii="Arial" w:cs="Arial" w:eastAsia="Arial" w:hAnsi="Arial"/>
          <w:sz w:val="16"/>
          <w:szCs w:val="16"/>
          <w:color w:val="000000"/>
        </w:rPr>
        <w:t>In connection with the acquisition of ACS (see Note 3 – Acquisitions for further information), outstanding ACS options were</w:t>
      </w:r>
      <w:r>
        <w:rPr>
          <w:rFonts w:ascii="Arial" w:cs="Arial" w:eastAsia="Arial" w:hAnsi="Arial"/>
          <w:sz w:val="16"/>
          <w:szCs w:val="16"/>
          <w:b w:val="1"/>
          <w:bCs w:val="1"/>
          <w:color w:val="4C9F40"/>
        </w:rPr>
        <w:t xml:space="preserve"> </w:t>
      </w:r>
      <w:r>
        <w:rPr>
          <w:rFonts w:ascii="Arial" w:cs="Arial" w:eastAsia="Arial" w:hAnsi="Arial"/>
          <w:sz w:val="16"/>
          <w:szCs w:val="16"/>
          <w:color w:val="000000"/>
        </w:rPr>
        <w:t>converted into 96,662 thousand Xerox options. The Xerox options have a weighted average exercise price of $6.79 per option. The estimated fair value associated with the options issued was approximately $222 based on a Black-Scholes valuation model utilizing the assumptions stated below. Approximately $168 of the estimated fair value is associated with ACS options issued prior to August 2009, which became fully vested and exercisable upon the acquisition in accordance with preexisting change-in-control provisions, was recorded as part of the acquisition fair value. The remaining $54 is associated with ACS options issued in August 2009 which continue to vest according to their original terms and, therefore, is being expensed as compensation cost over the remaining vesting period. The options generally expire 10 years from date of grant.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vMerge w:val="restart"/>
          </w:tcPr>
          <w:p>
            <w:pPr>
              <w:spacing w:after="0"/>
              <w:rPr>
                <w:sz w:val="20"/>
                <w:szCs w:val="20"/>
                <w:color w:val="auto"/>
              </w:rPr>
            </w:pPr>
            <w:r>
              <w:rPr>
                <w:rFonts w:ascii="Arial" w:cs="Arial" w:eastAsia="Arial" w:hAnsi="Arial"/>
                <w:sz w:val="18"/>
                <w:szCs w:val="18"/>
                <w:b w:val="1"/>
                <w:bCs w:val="1"/>
                <w:color w:val="auto"/>
              </w:rPr>
              <w:t>Assumptions</w:t>
            </w:r>
          </w:p>
        </w:tc>
        <w:tc>
          <w:tcPr>
            <w:tcW w:w="800" w:type="dxa"/>
            <w:vAlign w:val="bottom"/>
          </w:tcPr>
          <w:p>
            <w:pPr>
              <w:spacing w:after="0"/>
              <w:rPr>
                <w:sz w:val="14"/>
                <w:szCs w:val="14"/>
                <w:color w:val="auto"/>
              </w:rPr>
            </w:pPr>
          </w:p>
        </w:tc>
        <w:tc>
          <w:tcPr>
            <w:tcW w:w="2000" w:type="dxa"/>
            <w:vAlign w:val="bottom"/>
            <w:gridSpan w:val="3"/>
          </w:tcPr>
          <w:p>
            <w:pPr>
              <w:jc w:val="right"/>
              <w:ind w:right="980"/>
              <w:spacing w:after="0"/>
              <w:rPr>
                <w:sz w:val="20"/>
                <w:szCs w:val="20"/>
                <w:color w:val="auto"/>
              </w:rPr>
            </w:pPr>
            <w:r>
              <w:rPr>
                <w:rFonts w:ascii="Arial" w:cs="Arial" w:eastAsia="Arial" w:hAnsi="Arial"/>
                <w:sz w:val="14"/>
                <w:szCs w:val="14"/>
                <w:color w:val="auto"/>
                <w:w w:val="95"/>
              </w:rPr>
              <w:t>Pre-August 2009</w:t>
            </w:r>
          </w:p>
        </w:tc>
        <w:tc>
          <w:tcPr>
            <w:tcW w:w="1060" w:type="dxa"/>
            <w:vAlign w:val="bottom"/>
            <w:gridSpan w:val="3"/>
          </w:tcPr>
          <w:p>
            <w:pPr>
              <w:jc w:val="center"/>
              <w:ind w:right="220"/>
              <w:spacing w:after="0"/>
              <w:rPr>
                <w:sz w:val="20"/>
                <w:szCs w:val="20"/>
                <w:color w:val="auto"/>
              </w:rPr>
            </w:pPr>
            <w:r>
              <w:rPr>
                <w:rFonts w:ascii="Arial" w:cs="Arial" w:eastAsia="Arial" w:hAnsi="Arial"/>
                <w:sz w:val="14"/>
                <w:szCs w:val="14"/>
                <w:color w:val="auto"/>
                <w:w w:val="96"/>
              </w:rPr>
              <w:t>August 2009</w:t>
            </w:r>
          </w:p>
        </w:tc>
        <w:tc>
          <w:tcPr>
            <w:tcW w:w="0" w:type="dxa"/>
            <w:vAlign w:val="bottom"/>
          </w:tcPr>
          <w:p>
            <w:pPr>
              <w:spacing w:after="0"/>
              <w:rPr>
                <w:sz w:val="1"/>
                <w:szCs w:val="1"/>
                <w:color w:val="auto"/>
              </w:rPr>
            </w:pPr>
          </w:p>
        </w:tc>
      </w:tr>
      <w:tr>
        <w:trPr>
          <w:trHeight w:val="149"/>
        </w:trPr>
        <w:tc>
          <w:tcPr>
            <w:tcW w:w="4820" w:type="dxa"/>
            <w:vAlign w:val="bottom"/>
            <w:tcBorders>
              <w:bottom w:val="single" w:sz="8" w:color="auto"/>
            </w:tcBorders>
            <w:vMerge w:val="continue"/>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196"/>
              <w:spacing w:after="0" w:line="149" w:lineRule="exact"/>
              <w:rPr>
                <w:sz w:val="20"/>
                <w:szCs w:val="20"/>
                <w:color w:val="auto"/>
              </w:rPr>
            </w:pPr>
            <w:r>
              <w:rPr>
                <w:rFonts w:ascii="Arial" w:cs="Arial" w:eastAsia="Arial" w:hAnsi="Arial"/>
                <w:sz w:val="14"/>
                <w:szCs w:val="14"/>
                <w:color w:val="auto"/>
              </w:rPr>
              <w:t>Options</w:t>
            </w:r>
          </w:p>
        </w:tc>
        <w:tc>
          <w:tcPr>
            <w:tcW w:w="9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16"/>
              <w:spacing w:after="0" w:line="149" w:lineRule="exact"/>
              <w:rPr>
                <w:sz w:val="20"/>
                <w:szCs w:val="20"/>
                <w:color w:val="auto"/>
              </w:rPr>
            </w:pPr>
            <w:r>
              <w:rPr>
                <w:rFonts w:ascii="Arial" w:cs="Arial" w:eastAsia="Arial" w:hAnsi="Arial"/>
                <w:sz w:val="14"/>
                <w:szCs w:val="14"/>
                <w:color w:val="auto"/>
                <w:w w:val="95"/>
              </w:rPr>
              <w:t>Options</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820" w:type="dxa"/>
            <w:vAlign w:val="bottom"/>
            <w:shd w:val="clear" w:color="auto" w:fill="E5E5E5"/>
          </w:tcPr>
          <w:p>
            <w:pPr>
              <w:spacing w:after="0" w:line="196" w:lineRule="exact"/>
              <w:rPr>
                <w:sz w:val="20"/>
                <w:szCs w:val="20"/>
                <w:color w:val="auto"/>
              </w:rPr>
            </w:pPr>
            <w:r>
              <w:rPr>
                <w:rFonts w:ascii="Arial" w:cs="Arial" w:eastAsia="Arial" w:hAnsi="Arial"/>
                <w:sz w:val="18"/>
                <w:szCs w:val="18"/>
                <w:color w:val="auto"/>
              </w:rPr>
              <w:t>Strike price</w:t>
            </w:r>
          </w:p>
        </w:tc>
        <w:tc>
          <w:tcPr>
            <w:tcW w:w="940" w:type="dxa"/>
            <w:vAlign w:val="bottom"/>
            <w:gridSpan w:val="2"/>
            <w:shd w:val="clear" w:color="auto" w:fill="E5E5E5"/>
          </w:tcPr>
          <w:p>
            <w:pPr>
              <w:jc w:val="right"/>
              <w:spacing w:after="0" w:line="196" w:lineRule="exact"/>
              <w:rPr>
                <w:sz w:val="20"/>
                <w:szCs w:val="20"/>
                <w:color w:val="auto"/>
              </w:rPr>
            </w:pPr>
            <w:r>
              <w:rPr>
                <w:rFonts w:ascii="Arial" w:cs="Arial" w:eastAsia="Arial" w:hAnsi="Arial"/>
                <w:sz w:val="18"/>
                <w:szCs w:val="18"/>
                <w:color w:val="auto"/>
              </w:rPr>
              <w:t>$</w:t>
            </w:r>
          </w:p>
        </w:tc>
        <w:tc>
          <w:tcPr>
            <w:tcW w:w="1860" w:type="dxa"/>
            <w:vAlign w:val="bottom"/>
            <w:gridSpan w:val="2"/>
            <w:shd w:val="clear" w:color="auto" w:fill="E5E5E5"/>
          </w:tcPr>
          <w:p>
            <w:pPr>
              <w:jc w:val="right"/>
              <w:ind w:right="980"/>
              <w:spacing w:after="0" w:line="196" w:lineRule="exact"/>
              <w:rPr>
                <w:sz w:val="20"/>
                <w:szCs w:val="20"/>
                <w:color w:val="auto"/>
              </w:rPr>
            </w:pPr>
            <w:r>
              <w:rPr>
                <w:rFonts w:ascii="Arial" w:cs="Arial" w:eastAsia="Arial" w:hAnsi="Arial"/>
                <w:sz w:val="18"/>
                <w:szCs w:val="18"/>
                <w:color w:val="auto"/>
              </w:rPr>
              <w:t>6.89</w:t>
            </w:r>
          </w:p>
        </w:tc>
        <w:tc>
          <w:tcPr>
            <w:tcW w:w="12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E5E5E5"/>
          </w:tcPr>
          <w:p>
            <w:pPr>
              <w:jc w:val="right"/>
              <w:ind w:right="220"/>
              <w:spacing w:after="0" w:line="196" w:lineRule="exact"/>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03"/>
        </w:trPr>
        <w:tc>
          <w:tcPr>
            <w:tcW w:w="4820" w:type="dxa"/>
            <w:vAlign w:val="bottom"/>
          </w:tcPr>
          <w:p>
            <w:pPr>
              <w:spacing w:after="0" w:line="202" w:lineRule="exact"/>
              <w:rPr>
                <w:sz w:val="20"/>
                <w:szCs w:val="20"/>
                <w:color w:val="auto"/>
              </w:rPr>
            </w:pPr>
            <w:r>
              <w:rPr>
                <w:rFonts w:ascii="Arial" w:cs="Arial" w:eastAsia="Arial" w:hAnsi="Arial"/>
                <w:sz w:val="18"/>
                <w:szCs w:val="18"/>
                <w:color w:val="auto"/>
              </w:rPr>
              <w:t>Expected volatility</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60" w:type="dxa"/>
            <w:vAlign w:val="bottom"/>
            <w:gridSpan w:val="2"/>
          </w:tcPr>
          <w:p>
            <w:pPr>
              <w:jc w:val="right"/>
              <w:ind w:right="820"/>
              <w:spacing w:after="0" w:line="202" w:lineRule="exact"/>
              <w:rPr>
                <w:sz w:val="20"/>
                <w:szCs w:val="20"/>
                <w:color w:val="auto"/>
              </w:rPr>
            </w:pPr>
            <w:r>
              <w:rPr>
                <w:rFonts w:ascii="Arial" w:cs="Arial" w:eastAsia="Arial" w:hAnsi="Arial"/>
                <w:sz w:val="18"/>
                <w:szCs w:val="18"/>
                <w:color w:val="auto"/>
              </w:rPr>
              <w:t>37.90%</w:t>
            </w:r>
          </w:p>
        </w:tc>
        <w:tc>
          <w:tcPr>
            <w:tcW w:w="120" w:type="dxa"/>
            <w:vAlign w:val="bottom"/>
          </w:tcPr>
          <w:p>
            <w:pPr>
              <w:spacing w:after="0"/>
              <w:rPr>
                <w:sz w:val="17"/>
                <w:szCs w:val="17"/>
                <w:color w:val="auto"/>
              </w:rPr>
            </w:pP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38.05%</w:t>
            </w:r>
          </w:p>
        </w:tc>
        <w:tc>
          <w:tcPr>
            <w:tcW w:w="0" w:type="dxa"/>
            <w:vAlign w:val="bottom"/>
          </w:tcPr>
          <w:p>
            <w:pPr>
              <w:spacing w:after="0"/>
              <w:rPr>
                <w:sz w:val="1"/>
                <w:szCs w:val="1"/>
                <w:color w:val="auto"/>
              </w:rPr>
            </w:pPr>
          </w:p>
        </w:tc>
      </w:tr>
      <w:tr>
        <w:trPr>
          <w:trHeight w:val="203"/>
        </w:trPr>
        <w:tc>
          <w:tcPr>
            <w:tcW w:w="48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Risk-free interest rate</w:t>
            </w:r>
          </w:p>
        </w:tc>
        <w:tc>
          <w:tcPr>
            <w:tcW w:w="80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860" w:type="dxa"/>
            <w:vAlign w:val="bottom"/>
            <w:gridSpan w:val="2"/>
            <w:shd w:val="clear" w:color="auto" w:fill="E5E5E5"/>
          </w:tcPr>
          <w:p>
            <w:pPr>
              <w:jc w:val="right"/>
              <w:ind w:right="820"/>
              <w:spacing w:after="0" w:line="202" w:lineRule="exact"/>
              <w:rPr>
                <w:sz w:val="20"/>
                <w:szCs w:val="20"/>
                <w:color w:val="auto"/>
              </w:rPr>
            </w:pPr>
            <w:r>
              <w:rPr>
                <w:rFonts w:ascii="Arial" w:cs="Arial" w:eastAsia="Arial" w:hAnsi="Arial"/>
                <w:sz w:val="18"/>
                <w:szCs w:val="18"/>
                <w:color w:val="auto"/>
              </w:rPr>
              <w:t>0.23%</w:t>
            </w:r>
          </w:p>
        </w:tc>
        <w:tc>
          <w:tcPr>
            <w:tcW w:w="12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03"/>
        </w:trPr>
        <w:tc>
          <w:tcPr>
            <w:tcW w:w="4820" w:type="dxa"/>
            <w:vAlign w:val="bottom"/>
          </w:tcPr>
          <w:p>
            <w:pPr>
              <w:spacing w:after="0" w:line="202" w:lineRule="exact"/>
              <w:rPr>
                <w:sz w:val="20"/>
                <w:szCs w:val="20"/>
                <w:color w:val="auto"/>
              </w:rPr>
            </w:pPr>
            <w:r>
              <w:rPr>
                <w:rFonts w:ascii="Arial" w:cs="Arial" w:eastAsia="Arial" w:hAnsi="Arial"/>
                <w:sz w:val="18"/>
                <w:szCs w:val="18"/>
                <w:color w:val="auto"/>
              </w:rPr>
              <w:t>Dividend yield</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60" w:type="dxa"/>
            <w:vAlign w:val="bottom"/>
            <w:gridSpan w:val="2"/>
          </w:tcPr>
          <w:p>
            <w:pPr>
              <w:jc w:val="right"/>
              <w:ind w:right="820"/>
              <w:spacing w:after="0" w:line="202" w:lineRule="exact"/>
              <w:rPr>
                <w:sz w:val="20"/>
                <w:szCs w:val="20"/>
                <w:color w:val="auto"/>
              </w:rPr>
            </w:pPr>
            <w:r>
              <w:rPr>
                <w:rFonts w:ascii="Arial" w:cs="Arial" w:eastAsia="Arial" w:hAnsi="Arial"/>
                <w:sz w:val="18"/>
                <w:szCs w:val="18"/>
                <w:color w:val="auto"/>
              </w:rPr>
              <w:t>1.97%</w:t>
            </w:r>
          </w:p>
        </w:tc>
        <w:tc>
          <w:tcPr>
            <w:tcW w:w="120" w:type="dxa"/>
            <w:vAlign w:val="bottom"/>
          </w:tcPr>
          <w:p>
            <w:pPr>
              <w:spacing w:after="0"/>
              <w:rPr>
                <w:sz w:val="17"/>
                <w:szCs w:val="17"/>
                <w:color w:val="auto"/>
              </w:rPr>
            </w:pP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03"/>
        </w:trPr>
        <w:tc>
          <w:tcPr>
            <w:tcW w:w="48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Expected term</w:t>
            </w:r>
          </w:p>
        </w:tc>
        <w:tc>
          <w:tcPr>
            <w:tcW w:w="80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860" w:type="dxa"/>
            <w:vAlign w:val="bottom"/>
            <w:gridSpan w:val="2"/>
            <w:shd w:val="clear" w:color="auto" w:fill="E5E5E5"/>
          </w:tcPr>
          <w:p>
            <w:pPr>
              <w:jc w:val="right"/>
              <w:ind w:right="980"/>
              <w:spacing w:after="0" w:line="202" w:lineRule="exact"/>
              <w:rPr>
                <w:sz w:val="20"/>
                <w:szCs w:val="20"/>
                <w:color w:val="auto"/>
              </w:rPr>
            </w:pPr>
            <w:r>
              <w:rPr>
                <w:rFonts w:ascii="Arial" w:cs="Arial" w:eastAsia="Arial" w:hAnsi="Arial"/>
                <w:sz w:val="18"/>
                <w:szCs w:val="18"/>
                <w:color w:val="auto"/>
              </w:rPr>
              <w:t>0.75 years</w:t>
            </w:r>
          </w:p>
        </w:tc>
        <w:tc>
          <w:tcPr>
            <w:tcW w:w="12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w w:val="94"/>
              </w:rPr>
              <w:t>4.2 years</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right"/>
        <w:spacing w:after="0"/>
        <w:rPr>
          <w:sz w:val="20"/>
          <w:szCs w:val="20"/>
          <w:color w:val="auto"/>
        </w:rPr>
      </w:pPr>
      <w:r>
        <w:rPr>
          <w:rFonts w:ascii="Arial" w:cs="Arial" w:eastAsia="Arial" w:hAnsi="Arial"/>
          <w:sz w:val="14"/>
          <w:szCs w:val="14"/>
          <w:color w:val="4C9F40"/>
        </w:rPr>
        <w:t>Xerox 2010 Annual Report 100</w:t>
      </w:r>
    </w:p>
    <w:p>
      <w:pPr>
        <w:sectPr>
          <w:pgSz w:w="11900" w:h="16838" w:orient="portrait"/>
          <w:cols w:equalWidth="0" w:num="1">
            <w:col w:w="11420"/>
          </w:cols>
          <w:pgMar w:left="240" w:top="345" w:right="23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following table provides information relating to the status of, and changes in, outstanding stock options for each of the three years ended</w:t>
      </w:r>
    </w:p>
    <w:p>
      <w:pPr>
        <w:spacing w:after="0"/>
        <w:rPr>
          <w:sz w:val="20"/>
          <w:szCs w:val="20"/>
          <w:color w:val="auto"/>
        </w:rPr>
      </w:pPr>
      <w:r>
        <w:rPr>
          <w:rFonts w:ascii="Arial" w:cs="Arial" w:eastAsia="Arial" w:hAnsi="Arial"/>
          <w:sz w:val="18"/>
          <w:szCs w:val="18"/>
          <w:color w:val="auto"/>
        </w:rPr>
        <w:t>December 31, 2010 (stock options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500" w:type="dxa"/>
            <w:vAlign w:val="bottom"/>
            <w:tcBorders>
              <w:bottom w:val="single" w:sz="8" w:color="auto"/>
            </w:tcBorders>
            <w:gridSpan w:val="4"/>
          </w:tcPr>
          <w:p>
            <w:pPr>
              <w:jc w:val="right"/>
              <w:ind w:right="532"/>
              <w:spacing w:after="0"/>
              <w:rPr>
                <w:sz w:val="20"/>
                <w:szCs w:val="20"/>
                <w:color w:val="auto"/>
              </w:rPr>
            </w:pPr>
            <w:r>
              <w:rPr>
                <w:rFonts w:ascii="Arial" w:cs="Arial" w:eastAsia="Arial" w:hAnsi="Arial"/>
                <w:sz w:val="14"/>
                <w:szCs w:val="14"/>
                <w:color w:val="auto"/>
              </w:rPr>
              <w:t>2010</w:t>
            </w:r>
          </w:p>
        </w:tc>
        <w:tc>
          <w:tcPr>
            <w:tcW w:w="220" w:type="dxa"/>
            <w:vAlign w:val="bottom"/>
          </w:tcPr>
          <w:p>
            <w:pPr>
              <w:spacing w:after="0"/>
              <w:rPr>
                <w:sz w:val="14"/>
                <w:szCs w:val="14"/>
                <w:color w:val="auto"/>
              </w:rPr>
            </w:pPr>
          </w:p>
        </w:tc>
        <w:tc>
          <w:tcPr>
            <w:tcW w:w="1500" w:type="dxa"/>
            <w:vAlign w:val="bottom"/>
            <w:tcBorders>
              <w:bottom w:val="single" w:sz="8" w:color="auto"/>
            </w:tcBorders>
            <w:gridSpan w:val="4"/>
          </w:tcPr>
          <w:p>
            <w:pPr>
              <w:jc w:val="right"/>
              <w:ind w:right="528"/>
              <w:spacing w:after="0"/>
              <w:rPr>
                <w:sz w:val="20"/>
                <w:szCs w:val="20"/>
                <w:color w:val="auto"/>
              </w:rPr>
            </w:pPr>
            <w:r>
              <w:rPr>
                <w:rFonts w:ascii="Arial" w:cs="Arial" w:eastAsia="Arial" w:hAnsi="Arial"/>
                <w:sz w:val="14"/>
                <w:szCs w:val="14"/>
                <w:color w:val="auto"/>
              </w:rPr>
              <w:t>2009</w:t>
            </w:r>
          </w:p>
        </w:tc>
        <w:tc>
          <w:tcPr>
            <w:tcW w:w="200" w:type="dxa"/>
            <w:vAlign w:val="bottom"/>
          </w:tcPr>
          <w:p>
            <w:pPr>
              <w:spacing w:after="0"/>
              <w:rPr>
                <w:sz w:val="14"/>
                <w:szCs w:val="14"/>
                <w:color w:val="auto"/>
              </w:rPr>
            </w:pPr>
          </w:p>
        </w:tc>
        <w:tc>
          <w:tcPr>
            <w:tcW w:w="1460" w:type="dxa"/>
            <w:vAlign w:val="bottom"/>
            <w:tcBorders>
              <w:bottom w:val="single" w:sz="8" w:color="auto"/>
            </w:tcBorders>
            <w:gridSpan w:val="4"/>
          </w:tcPr>
          <w:p>
            <w:pPr>
              <w:jc w:val="right"/>
              <w:ind w:right="508"/>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spacing w:after="0" w:line="141" w:lineRule="exact"/>
              <w:rPr>
                <w:sz w:val="20"/>
                <w:szCs w:val="20"/>
                <w:color w:val="auto"/>
              </w:rPr>
            </w:pPr>
            <w:r>
              <w:rPr>
                <w:rFonts w:ascii="Arial" w:cs="Arial" w:eastAsia="Arial" w:hAnsi="Arial"/>
                <w:sz w:val="14"/>
                <w:szCs w:val="14"/>
                <w:color w:val="auto"/>
                <w:w w:val="94"/>
              </w:rPr>
              <w:t>Weighted</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spacing w:after="0" w:line="141" w:lineRule="exact"/>
              <w:rPr>
                <w:sz w:val="20"/>
                <w:szCs w:val="20"/>
                <w:color w:val="auto"/>
              </w:rPr>
            </w:pPr>
            <w:r>
              <w:rPr>
                <w:rFonts w:ascii="Arial" w:cs="Arial" w:eastAsia="Arial" w:hAnsi="Arial"/>
                <w:sz w:val="14"/>
                <w:szCs w:val="14"/>
                <w:color w:val="auto"/>
                <w:w w:val="94"/>
              </w:rPr>
              <w:t>Weighted</w:t>
            </w: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center"/>
              <w:spacing w:after="0" w:line="141" w:lineRule="exact"/>
              <w:rPr>
                <w:sz w:val="20"/>
                <w:szCs w:val="20"/>
                <w:color w:val="auto"/>
              </w:rPr>
            </w:pPr>
            <w:r>
              <w:rPr>
                <w:rFonts w:ascii="Arial" w:cs="Arial" w:eastAsia="Arial" w:hAnsi="Arial"/>
                <w:sz w:val="14"/>
                <w:szCs w:val="14"/>
                <w:color w:val="auto"/>
                <w:w w:val="97"/>
              </w:rPr>
              <w:t>Weighted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Average</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9"/>
              </w:rPr>
              <w:t>Average</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5"/>
              </w:rPr>
              <w:t>Average</w:t>
            </w:r>
          </w:p>
        </w:tc>
        <w:tc>
          <w:tcPr>
            <w:tcW w:w="0" w:type="dxa"/>
            <w:vAlign w:val="bottom"/>
          </w:tcPr>
          <w:p>
            <w:pPr>
              <w:spacing w:after="0"/>
              <w:rPr>
                <w:sz w:val="1"/>
                <w:szCs w:val="1"/>
                <w:color w:val="auto"/>
              </w:rPr>
            </w:pPr>
          </w:p>
        </w:tc>
      </w:tr>
      <w:tr>
        <w:trPr>
          <w:trHeight w:val="149"/>
        </w:trPr>
        <w:tc>
          <w:tcPr>
            <w:tcW w:w="6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Employee Stock Options</w:t>
            </w: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Stock</w:t>
            </w:r>
          </w:p>
        </w:tc>
        <w:tc>
          <w:tcPr>
            <w:tcW w:w="8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Option</w:t>
            </w: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Stock</w:t>
            </w:r>
          </w:p>
        </w:tc>
        <w:tc>
          <w:tcPr>
            <w:tcW w:w="8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Option</w:t>
            </w: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Stock</w:t>
            </w:r>
          </w:p>
        </w:tc>
        <w:tc>
          <w:tcPr>
            <w:tcW w:w="6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Option</w:t>
            </w:r>
          </w:p>
        </w:tc>
        <w:tc>
          <w:tcPr>
            <w:tcW w:w="0" w:type="dxa"/>
            <w:vAlign w:val="bottom"/>
          </w:tcPr>
          <w:p>
            <w:pPr>
              <w:spacing w:after="0"/>
              <w:rPr>
                <w:sz w:val="1"/>
                <w:szCs w:val="1"/>
                <w:color w:val="auto"/>
              </w:rPr>
            </w:pPr>
          </w:p>
        </w:tc>
      </w:tr>
      <w:tr>
        <w:trPr>
          <w:trHeight w:val="149"/>
        </w:trPr>
        <w:tc>
          <w:tcPr>
            <w:tcW w:w="6440" w:type="dxa"/>
            <w:vAlign w:val="bottom"/>
            <w:gridSpan w:val="3"/>
            <w:vMerge w:val="continue"/>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Options</w:t>
            </w:r>
          </w:p>
        </w:tc>
        <w:tc>
          <w:tcPr>
            <w:tcW w:w="8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Price</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Options</w:t>
            </w:r>
          </w:p>
        </w:tc>
        <w:tc>
          <w:tcPr>
            <w:tcW w:w="8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rPr>
              <w:t>Price</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Options</w:t>
            </w:r>
          </w:p>
        </w:tc>
        <w:tc>
          <w:tcPr>
            <w:tcW w:w="6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Price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420" w:type="dxa"/>
            <w:vAlign w:val="bottom"/>
            <w:gridSpan w:val="2"/>
            <w:shd w:val="clear" w:color="auto" w:fill="E5E5E5"/>
          </w:tcPr>
          <w:p>
            <w:pPr>
              <w:spacing w:after="0" w:line="196" w:lineRule="exact"/>
              <w:rPr>
                <w:sz w:val="20"/>
                <w:szCs w:val="20"/>
                <w:color w:val="auto"/>
              </w:rPr>
            </w:pPr>
            <w:r>
              <w:rPr>
                <w:rFonts w:ascii="Arial" w:cs="Arial" w:eastAsia="Arial" w:hAnsi="Arial"/>
                <w:sz w:val="18"/>
                <w:szCs w:val="18"/>
                <w:color w:val="auto"/>
              </w:rPr>
              <w:t>Outstanding at January 1</w:t>
            </w:r>
          </w:p>
        </w:tc>
        <w:tc>
          <w:tcPr>
            <w:tcW w:w="66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rPr>
              <w:t>28,363</w:t>
            </w:r>
          </w:p>
        </w:tc>
        <w:tc>
          <w:tcPr>
            <w:tcW w:w="120" w:type="dxa"/>
            <w:vAlign w:val="bottom"/>
            <w:shd w:val="clear" w:color="auto" w:fill="E5E5E5"/>
          </w:tcPr>
          <w:p>
            <w:pPr>
              <w:spacing w:after="0"/>
              <w:rPr>
                <w:sz w:val="17"/>
                <w:szCs w:val="17"/>
                <w:color w:val="auto"/>
              </w:rPr>
            </w:pPr>
          </w:p>
        </w:tc>
        <w:tc>
          <w:tcPr>
            <w:tcW w:w="940" w:type="dxa"/>
            <w:vAlign w:val="bottom"/>
            <w:gridSpan w:val="3"/>
            <w:shd w:val="clear" w:color="auto" w:fill="E5E5E5"/>
          </w:tcPr>
          <w:p>
            <w:pPr>
              <w:jc w:val="right"/>
              <w:ind w:right="220"/>
              <w:spacing w:after="0" w:line="196" w:lineRule="exact"/>
              <w:rPr>
                <w:sz w:val="20"/>
                <w:szCs w:val="20"/>
                <w:color w:val="auto"/>
              </w:rPr>
            </w:pPr>
            <w:r>
              <w:rPr>
                <w:rFonts w:ascii="Arial" w:cs="Arial" w:eastAsia="Arial" w:hAnsi="Arial"/>
                <w:sz w:val="18"/>
                <w:szCs w:val="18"/>
                <w:color w:val="auto"/>
              </w:rPr>
              <w:t>$ 10.13</w:t>
            </w:r>
          </w:p>
        </w:tc>
        <w:tc>
          <w:tcPr>
            <w:tcW w:w="780" w:type="dxa"/>
            <w:vAlign w:val="bottom"/>
            <w:gridSpan w:val="2"/>
            <w:shd w:val="clear" w:color="auto" w:fill="E5E5E5"/>
          </w:tcPr>
          <w:p>
            <w:pPr>
              <w:jc w:val="right"/>
              <w:ind w:right="120"/>
              <w:spacing w:after="0" w:line="196" w:lineRule="exact"/>
              <w:rPr>
                <w:sz w:val="20"/>
                <w:szCs w:val="20"/>
                <w:color w:val="auto"/>
              </w:rPr>
            </w:pPr>
            <w:r>
              <w:rPr>
                <w:rFonts w:ascii="Arial" w:cs="Arial" w:eastAsia="Arial" w:hAnsi="Arial"/>
                <w:sz w:val="18"/>
                <w:szCs w:val="18"/>
                <w:color w:val="auto"/>
              </w:rPr>
              <w:t>45,185</w:t>
            </w:r>
          </w:p>
        </w:tc>
        <w:tc>
          <w:tcPr>
            <w:tcW w:w="920" w:type="dxa"/>
            <w:vAlign w:val="bottom"/>
            <w:gridSpan w:val="3"/>
            <w:shd w:val="clear" w:color="auto" w:fill="E5E5E5"/>
          </w:tcPr>
          <w:p>
            <w:pPr>
              <w:jc w:val="right"/>
              <w:ind w:right="200"/>
              <w:spacing w:after="0" w:line="196" w:lineRule="exact"/>
              <w:rPr>
                <w:sz w:val="20"/>
                <w:szCs w:val="20"/>
                <w:color w:val="auto"/>
              </w:rPr>
            </w:pPr>
            <w:r>
              <w:rPr>
                <w:rFonts w:ascii="Arial" w:cs="Arial" w:eastAsia="Arial" w:hAnsi="Arial"/>
                <w:sz w:val="18"/>
                <w:szCs w:val="18"/>
                <w:color w:val="auto"/>
              </w:rPr>
              <w:t>$ 15.49</w:t>
            </w:r>
          </w:p>
        </w:tc>
        <w:tc>
          <w:tcPr>
            <w:tcW w:w="740" w:type="dxa"/>
            <w:vAlign w:val="bottom"/>
            <w:gridSpan w:val="2"/>
            <w:shd w:val="clear" w:color="auto" w:fill="E5E5E5"/>
          </w:tcPr>
          <w:p>
            <w:pPr>
              <w:jc w:val="right"/>
              <w:ind w:right="140"/>
              <w:spacing w:after="0" w:line="196" w:lineRule="exact"/>
              <w:rPr>
                <w:sz w:val="20"/>
                <w:szCs w:val="20"/>
                <w:color w:val="auto"/>
              </w:rPr>
            </w:pPr>
            <w:r>
              <w:rPr>
                <w:rFonts w:ascii="Arial" w:cs="Arial" w:eastAsia="Arial" w:hAnsi="Arial"/>
                <w:sz w:val="18"/>
                <w:szCs w:val="18"/>
                <w:color w:val="auto"/>
              </w:rPr>
              <w:t>52,424</w:t>
            </w:r>
          </w:p>
        </w:tc>
        <w:tc>
          <w:tcPr>
            <w:tcW w:w="820" w:type="dxa"/>
            <w:vAlign w:val="bottom"/>
            <w:gridSpan w:val="3"/>
            <w:shd w:val="clear" w:color="auto" w:fill="E5E5E5"/>
          </w:tcPr>
          <w:p>
            <w:pPr>
              <w:jc w:val="right"/>
              <w:ind w:right="100"/>
              <w:spacing w:after="0" w:line="196" w:lineRule="exact"/>
              <w:rPr>
                <w:sz w:val="20"/>
                <w:szCs w:val="20"/>
                <w:color w:val="auto"/>
              </w:rPr>
            </w:pPr>
            <w:r>
              <w:rPr>
                <w:rFonts w:ascii="Arial" w:cs="Arial" w:eastAsia="Arial" w:hAnsi="Arial"/>
                <w:sz w:val="18"/>
                <w:szCs w:val="18"/>
                <w:color w:val="auto"/>
              </w:rPr>
              <w:t>$ 19.73</w:t>
            </w:r>
          </w:p>
        </w:tc>
        <w:tc>
          <w:tcPr>
            <w:tcW w:w="0" w:type="dxa"/>
            <w:vAlign w:val="bottom"/>
          </w:tcPr>
          <w:p>
            <w:pPr>
              <w:spacing w:after="0"/>
              <w:rPr>
                <w:sz w:val="1"/>
                <w:szCs w:val="1"/>
                <w:color w:val="auto"/>
              </w:rPr>
            </w:pPr>
          </w:p>
        </w:tc>
      </w:tr>
      <w:tr>
        <w:trPr>
          <w:trHeight w:val="203"/>
        </w:trPr>
        <w:tc>
          <w:tcPr>
            <w:tcW w:w="6440" w:type="dxa"/>
            <w:vAlign w:val="bottom"/>
            <w:gridSpan w:val="3"/>
          </w:tcPr>
          <w:p>
            <w:pPr>
              <w:spacing w:after="0" w:line="202" w:lineRule="exact"/>
              <w:rPr>
                <w:sz w:val="20"/>
                <w:szCs w:val="20"/>
                <w:color w:val="auto"/>
              </w:rPr>
            </w:pPr>
            <w:r>
              <w:rPr>
                <w:rFonts w:ascii="Arial" w:cs="Arial" w:eastAsia="Arial" w:hAnsi="Arial"/>
                <w:sz w:val="18"/>
                <w:szCs w:val="18"/>
                <w:color w:val="auto"/>
              </w:rPr>
              <w:t>Granted – ACS acquisition</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96,662</w:t>
            </w:r>
          </w:p>
        </w:tc>
        <w:tc>
          <w:tcPr>
            <w:tcW w:w="120" w:type="dxa"/>
            <w:vAlign w:val="bottom"/>
          </w:tcPr>
          <w:p>
            <w:pPr>
              <w:spacing w:after="0"/>
              <w:rPr>
                <w:sz w:val="17"/>
                <w:szCs w:val="17"/>
                <w:color w:val="auto"/>
              </w:rPr>
            </w:pPr>
          </w:p>
        </w:tc>
        <w:tc>
          <w:tcPr>
            <w:tcW w:w="94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6.79</w:t>
            </w: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8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Cancelled/Expired</w:t>
            </w:r>
          </w:p>
        </w:tc>
        <w:tc>
          <w:tcPr>
            <w:tcW w:w="78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(2,735)</w:t>
            </w:r>
          </w:p>
        </w:tc>
        <w:tc>
          <w:tcPr>
            <w:tcW w:w="940" w:type="dxa"/>
            <w:vAlign w:val="bottom"/>
            <w:gridSpan w:val="3"/>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7.33</w:t>
            </w:r>
          </w:p>
        </w:tc>
        <w:tc>
          <w:tcPr>
            <w:tcW w:w="78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(16,676)</w:t>
            </w:r>
          </w:p>
        </w:tc>
        <w:tc>
          <w:tcPr>
            <w:tcW w:w="72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24.68</w:t>
            </w:r>
          </w:p>
        </w:tc>
        <w:tc>
          <w:tcPr>
            <w:tcW w:w="200" w:type="dxa"/>
            <w:vAlign w:val="bottom"/>
            <w:shd w:val="clear" w:color="auto" w:fill="E5E5E5"/>
          </w:tcPr>
          <w:p>
            <w:pPr>
              <w:spacing w:after="0"/>
              <w:rPr>
                <w:sz w:val="17"/>
                <w:szCs w:val="17"/>
                <w:color w:val="auto"/>
              </w:rPr>
            </w:pPr>
          </w:p>
        </w:tc>
        <w:tc>
          <w:tcPr>
            <w:tcW w:w="74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(6,559)</w:t>
            </w:r>
          </w:p>
        </w:tc>
        <w:tc>
          <w:tcPr>
            <w:tcW w:w="72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50.08</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gridSpan w:val="3"/>
          </w:tcPr>
          <w:p>
            <w:pPr>
              <w:spacing w:after="0" w:line="202" w:lineRule="exact"/>
              <w:rPr>
                <w:sz w:val="20"/>
                <w:szCs w:val="20"/>
                <w:color w:val="auto"/>
              </w:rPr>
            </w:pPr>
            <w:r>
              <w:rPr>
                <w:rFonts w:ascii="Arial" w:cs="Arial" w:eastAsia="Arial" w:hAnsi="Arial"/>
                <w:sz w:val="18"/>
                <w:szCs w:val="18"/>
                <w:color w:val="auto"/>
              </w:rPr>
              <w:t>Exercised</w:t>
            </w: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(51,252)</w:t>
            </w:r>
          </w:p>
        </w:tc>
        <w:tc>
          <w:tcPr>
            <w:tcW w:w="94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6.92</w:t>
            </w: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(146)</w:t>
            </w: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5.88</w:t>
            </w:r>
          </w:p>
        </w:tc>
        <w:tc>
          <w:tcPr>
            <w:tcW w:w="200" w:type="dxa"/>
            <w:vAlign w:val="bottom"/>
          </w:tcPr>
          <w:p>
            <w:pPr>
              <w:spacing w:after="0"/>
              <w:rPr>
                <w:sz w:val="17"/>
                <w:szCs w:val="17"/>
                <w:color w:val="auto"/>
              </w:rPr>
            </w:pPr>
          </w:p>
        </w:tc>
        <w:tc>
          <w:tcPr>
            <w:tcW w:w="7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(680)</w:t>
            </w:r>
          </w:p>
        </w:tc>
        <w:tc>
          <w:tcPr>
            <w:tcW w:w="82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00" w:type="dxa"/>
            <w:vAlign w:val="bottom"/>
          </w:tcPr>
          <w:p>
            <w:pPr>
              <w:spacing w:after="0"/>
              <w:rPr>
                <w:sz w:val="2"/>
                <w:szCs w:val="2"/>
                <w:color w:val="auto"/>
              </w:rPr>
            </w:pPr>
          </w:p>
        </w:tc>
        <w:tc>
          <w:tcPr>
            <w:tcW w:w="50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42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Outstanding at December 31</w:t>
            </w:r>
          </w:p>
        </w:tc>
        <w:tc>
          <w:tcPr>
            <w:tcW w:w="6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71,038</w:t>
            </w:r>
          </w:p>
        </w:tc>
        <w:tc>
          <w:tcPr>
            <w:tcW w:w="120" w:type="dxa"/>
            <w:vAlign w:val="bottom"/>
            <w:shd w:val="clear" w:color="auto" w:fill="E5E5E5"/>
          </w:tcPr>
          <w:p>
            <w:pPr>
              <w:spacing w:after="0"/>
              <w:rPr>
                <w:sz w:val="17"/>
                <w:szCs w:val="17"/>
                <w:color w:val="auto"/>
              </w:rPr>
            </w:pPr>
          </w:p>
        </w:tc>
        <w:tc>
          <w:tcPr>
            <w:tcW w:w="940" w:type="dxa"/>
            <w:vAlign w:val="bottom"/>
            <w:gridSpan w:val="3"/>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8.00</w:t>
            </w:r>
          </w:p>
        </w:tc>
        <w:tc>
          <w:tcPr>
            <w:tcW w:w="6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28,363</w:t>
            </w:r>
          </w:p>
        </w:tc>
        <w:tc>
          <w:tcPr>
            <w:tcW w:w="120" w:type="dxa"/>
            <w:vAlign w:val="bottom"/>
            <w:shd w:val="clear" w:color="auto" w:fill="E5E5E5"/>
          </w:tcPr>
          <w:p>
            <w:pPr>
              <w:spacing w:after="0"/>
              <w:rPr>
                <w:sz w:val="17"/>
                <w:szCs w:val="17"/>
                <w:color w:val="auto"/>
              </w:rPr>
            </w:pPr>
          </w:p>
        </w:tc>
        <w:tc>
          <w:tcPr>
            <w:tcW w:w="72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10.13</w:t>
            </w:r>
          </w:p>
        </w:tc>
        <w:tc>
          <w:tcPr>
            <w:tcW w:w="200" w:type="dxa"/>
            <w:vAlign w:val="bottom"/>
            <w:shd w:val="clear" w:color="auto" w:fill="E5E5E5"/>
          </w:tcPr>
          <w:p>
            <w:pPr>
              <w:spacing w:after="0"/>
              <w:rPr>
                <w:sz w:val="17"/>
                <w:szCs w:val="17"/>
                <w:color w:val="auto"/>
              </w:rPr>
            </w:pPr>
          </w:p>
        </w:tc>
        <w:tc>
          <w:tcPr>
            <w:tcW w:w="74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45,185</w:t>
            </w:r>
          </w:p>
        </w:tc>
        <w:tc>
          <w:tcPr>
            <w:tcW w:w="72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15.49</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Exercisable at December 31</w:t>
            </w: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40" w:type="dxa"/>
            <w:vAlign w:val="bottom"/>
            <w:gridSpan w:val="3"/>
            <w:vMerge w:val="continue"/>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57,985</w:t>
            </w:r>
          </w:p>
        </w:tc>
        <w:tc>
          <w:tcPr>
            <w:tcW w:w="120" w:type="dxa"/>
            <w:vAlign w:val="bottom"/>
          </w:tcPr>
          <w:p>
            <w:pPr>
              <w:spacing w:after="0"/>
              <w:rPr>
                <w:sz w:val="18"/>
                <w:szCs w:val="18"/>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8.38</w:t>
            </w:r>
          </w:p>
        </w:tc>
        <w:tc>
          <w:tcPr>
            <w:tcW w:w="660" w:type="dxa"/>
            <w:vAlign w:val="bottom"/>
          </w:tcPr>
          <w:p>
            <w:pPr>
              <w:jc w:val="right"/>
              <w:spacing w:after="0"/>
              <w:rPr>
                <w:sz w:val="20"/>
                <w:szCs w:val="20"/>
                <w:color w:val="auto"/>
              </w:rPr>
            </w:pPr>
            <w:r>
              <w:rPr>
                <w:rFonts w:ascii="Arial" w:cs="Arial" w:eastAsia="Arial" w:hAnsi="Arial"/>
                <w:sz w:val="18"/>
                <w:szCs w:val="18"/>
                <w:color w:val="auto"/>
              </w:rPr>
              <w:t>28,363</w:t>
            </w: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10.13</w:t>
            </w:r>
          </w:p>
        </w:tc>
        <w:tc>
          <w:tcPr>
            <w:tcW w:w="2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45,185</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15.49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As of December 31, 2010, there was $35 of total unrecognized compensation cost related to non-vested stock options. This cost is expected to be recognized ratably over a remaining weighted-average vesting period of 3 years.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relating to options outstanding and exercisable at December 31, 2010 was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12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w w:val="95"/>
              </w:rPr>
              <w:t>Options Outstanding</w:t>
            </w:r>
          </w:p>
        </w:tc>
        <w:tc>
          <w:tcPr>
            <w:tcW w:w="240" w:type="dxa"/>
            <w:vAlign w:val="bottom"/>
          </w:tcPr>
          <w:p>
            <w:pPr>
              <w:spacing w:after="0"/>
              <w:rPr>
                <w:sz w:val="14"/>
                <w:szCs w:val="14"/>
                <w:color w:val="auto"/>
              </w:rPr>
            </w:pPr>
          </w:p>
        </w:tc>
        <w:tc>
          <w:tcPr>
            <w:tcW w:w="12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6"/>
              </w:rPr>
              <w:t>Options Exercisable</w:t>
            </w:r>
          </w:p>
        </w:tc>
        <w:tc>
          <w:tcPr>
            <w:tcW w:w="100" w:type="dxa"/>
            <w:vAlign w:val="bottom"/>
          </w:tcPr>
          <w:p>
            <w:pPr>
              <w:spacing w:after="0"/>
              <w:rPr>
                <w:sz w:val="14"/>
                <w:szCs w:val="14"/>
                <w:color w:val="auto"/>
              </w:rPr>
            </w:pPr>
          </w:p>
        </w:tc>
      </w:tr>
      <w:tr>
        <w:trPr>
          <w:trHeight w:val="196"/>
        </w:trPr>
        <w:tc>
          <w:tcPr>
            <w:tcW w:w="5860" w:type="dxa"/>
            <w:vAlign w:val="bottom"/>
            <w:shd w:val="clear" w:color="auto" w:fill="E5E5E5"/>
          </w:tcPr>
          <w:p>
            <w:pPr>
              <w:spacing w:after="0" w:line="196" w:lineRule="exact"/>
              <w:rPr>
                <w:sz w:val="20"/>
                <w:szCs w:val="20"/>
                <w:color w:val="auto"/>
              </w:rPr>
            </w:pPr>
            <w:r>
              <w:rPr>
                <w:rFonts w:ascii="Arial" w:cs="Arial" w:eastAsia="Arial" w:hAnsi="Arial"/>
                <w:sz w:val="18"/>
                <w:szCs w:val="18"/>
                <w:color w:val="auto"/>
              </w:rPr>
              <w:t>Aggregate intrinsic value</w:t>
            </w:r>
          </w:p>
        </w:tc>
        <w:tc>
          <w:tcPr>
            <w:tcW w:w="500" w:type="dxa"/>
            <w:vAlign w:val="bottom"/>
            <w:shd w:val="clear" w:color="auto" w:fill="E5E5E5"/>
          </w:tcPr>
          <w:p>
            <w:pPr>
              <w:spacing w:after="0" w:line="196"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E5E5E5"/>
          </w:tcPr>
          <w:p>
            <w:pPr>
              <w:jc w:val="right"/>
              <w:ind w:right="240"/>
              <w:spacing w:after="0" w:line="196" w:lineRule="exact"/>
              <w:rPr>
                <w:sz w:val="20"/>
                <w:szCs w:val="20"/>
                <w:color w:val="auto"/>
              </w:rPr>
            </w:pPr>
            <w:r>
              <w:rPr>
                <w:rFonts w:ascii="Arial" w:cs="Arial" w:eastAsia="Arial" w:hAnsi="Arial"/>
                <w:sz w:val="18"/>
                <w:szCs w:val="18"/>
                <w:color w:val="auto"/>
              </w:rPr>
              <w:t>267</w:t>
            </w:r>
          </w:p>
        </w:tc>
        <w:tc>
          <w:tcPr>
            <w:tcW w:w="480" w:type="dxa"/>
            <w:vAlign w:val="bottom"/>
            <w:shd w:val="clear" w:color="auto" w:fill="E5E5E5"/>
          </w:tcPr>
          <w:p>
            <w:pPr>
              <w:spacing w:after="0" w:line="196"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E5E5E5"/>
          </w:tcPr>
          <w:p>
            <w:pPr>
              <w:jc w:val="right"/>
              <w:ind w:right="100"/>
              <w:spacing w:after="0" w:line="196" w:lineRule="exact"/>
              <w:rPr>
                <w:sz w:val="20"/>
                <w:szCs w:val="20"/>
                <w:color w:val="auto"/>
              </w:rPr>
            </w:pPr>
            <w:r>
              <w:rPr>
                <w:rFonts w:ascii="Arial" w:cs="Arial" w:eastAsia="Arial" w:hAnsi="Arial"/>
                <w:sz w:val="18"/>
                <w:szCs w:val="18"/>
                <w:color w:val="auto"/>
              </w:rPr>
              <w:t>199</w:t>
            </w:r>
          </w:p>
        </w:tc>
      </w:tr>
      <w:tr>
        <w:trPr>
          <w:trHeight w:val="214"/>
        </w:trPr>
        <w:tc>
          <w:tcPr>
            <w:tcW w:w="5860" w:type="dxa"/>
            <w:vAlign w:val="bottom"/>
          </w:tcPr>
          <w:p>
            <w:pPr>
              <w:spacing w:after="0"/>
              <w:rPr>
                <w:sz w:val="20"/>
                <w:szCs w:val="20"/>
                <w:color w:val="auto"/>
              </w:rPr>
            </w:pPr>
            <w:r>
              <w:rPr>
                <w:rFonts w:ascii="Arial" w:cs="Arial" w:eastAsia="Arial" w:hAnsi="Arial"/>
                <w:sz w:val="18"/>
                <w:szCs w:val="18"/>
                <w:color w:val="auto"/>
              </w:rPr>
              <w:t>Weighted-average remaining contractual life in years</w:t>
            </w:r>
          </w:p>
        </w:tc>
        <w:tc>
          <w:tcPr>
            <w:tcW w:w="5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4.42</w:t>
            </w:r>
          </w:p>
        </w:tc>
        <w:tc>
          <w:tcPr>
            <w:tcW w:w="4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3.46</w:t>
            </w: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relating to stock option exercises for the three years ended December 31, 2010:</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5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2010</w:t>
            </w:r>
          </w:p>
        </w:tc>
        <w:tc>
          <w:tcPr>
            <w:tcW w:w="20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2009</w:t>
            </w:r>
          </w:p>
        </w:tc>
        <w:tc>
          <w:tcPr>
            <w:tcW w:w="20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2008</w:t>
            </w:r>
          </w:p>
        </w:tc>
        <w:tc>
          <w:tcPr>
            <w:tcW w:w="100" w:type="dxa"/>
            <w:vAlign w:val="bottom"/>
          </w:tcPr>
          <w:p>
            <w:pPr>
              <w:spacing w:after="0"/>
              <w:rPr>
                <w:sz w:val="14"/>
                <w:szCs w:val="14"/>
                <w:color w:val="auto"/>
              </w:rPr>
            </w:pPr>
          </w:p>
        </w:tc>
      </w:tr>
      <w:tr>
        <w:trPr>
          <w:trHeight w:val="196"/>
        </w:trPr>
        <w:tc>
          <w:tcPr>
            <w:tcW w:w="6360" w:type="dxa"/>
            <w:vAlign w:val="bottom"/>
            <w:shd w:val="clear" w:color="auto" w:fill="E5E5E5"/>
          </w:tcPr>
          <w:p>
            <w:pPr>
              <w:spacing w:after="0" w:line="196" w:lineRule="exact"/>
              <w:rPr>
                <w:sz w:val="20"/>
                <w:szCs w:val="20"/>
                <w:color w:val="auto"/>
              </w:rPr>
            </w:pPr>
            <w:r>
              <w:rPr>
                <w:rFonts w:ascii="Arial" w:cs="Arial" w:eastAsia="Arial" w:hAnsi="Arial"/>
                <w:sz w:val="18"/>
                <w:szCs w:val="18"/>
                <w:color w:val="auto"/>
              </w:rPr>
              <w:t>Total intrinsic value of stock options</w:t>
            </w:r>
          </w:p>
        </w:tc>
        <w:tc>
          <w:tcPr>
            <w:tcW w:w="3120" w:type="dxa"/>
            <w:vAlign w:val="bottom"/>
            <w:gridSpan w:val="3"/>
            <w:shd w:val="clear" w:color="auto" w:fill="E5E5E5"/>
          </w:tcPr>
          <w:p>
            <w:pPr>
              <w:jc w:val="right"/>
              <w:ind w:right="200"/>
              <w:spacing w:after="0" w:line="196" w:lineRule="exact"/>
              <w:rPr>
                <w:sz w:val="20"/>
                <w:szCs w:val="20"/>
                <w:color w:val="auto"/>
              </w:rPr>
            </w:pPr>
            <w:r>
              <w:rPr>
                <w:rFonts w:ascii="Arial" w:cs="Arial" w:eastAsia="Arial" w:hAnsi="Arial"/>
                <w:sz w:val="18"/>
                <w:szCs w:val="18"/>
                <w:color w:val="auto"/>
              </w:rPr>
              <w:t>$ 155</w:t>
            </w:r>
          </w:p>
        </w:tc>
        <w:tc>
          <w:tcPr>
            <w:tcW w:w="600" w:type="dxa"/>
            <w:vAlign w:val="bottom"/>
            <w:gridSpan w:val="2"/>
            <w:shd w:val="clear" w:color="auto" w:fill="E5E5E5"/>
          </w:tcPr>
          <w:p>
            <w:pPr>
              <w:jc w:val="right"/>
              <w:ind w:right="200"/>
              <w:spacing w:after="0" w:line="196" w:lineRule="exact"/>
              <w:rPr>
                <w:sz w:val="20"/>
                <w:szCs w:val="20"/>
                <w:color w:val="auto"/>
              </w:rPr>
            </w:pPr>
            <w:r>
              <w:rPr>
                <w:rFonts w:ascii="Arial" w:cs="Arial" w:eastAsia="Arial" w:hAnsi="Arial"/>
                <w:sz w:val="18"/>
                <w:szCs w:val="18"/>
                <w:color w:val="auto"/>
              </w:rPr>
              <w:t>$ —</w:t>
            </w:r>
          </w:p>
        </w:tc>
        <w:tc>
          <w:tcPr>
            <w:tcW w:w="420" w:type="dxa"/>
            <w:vAlign w:val="bottom"/>
            <w:gridSpan w:val="2"/>
            <w:shd w:val="clear" w:color="auto" w:fill="E5E5E5"/>
          </w:tcPr>
          <w:p>
            <w:pPr>
              <w:jc w:val="right"/>
              <w:ind w:right="100"/>
              <w:spacing w:after="0" w:line="196" w:lineRule="exact"/>
              <w:rPr>
                <w:sz w:val="20"/>
                <w:szCs w:val="20"/>
                <w:color w:val="auto"/>
              </w:rPr>
            </w:pPr>
            <w:r>
              <w:rPr>
                <w:rFonts w:ascii="Arial" w:cs="Arial" w:eastAsia="Arial" w:hAnsi="Arial"/>
                <w:sz w:val="18"/>
                <w:szCs w:val="18"/>
                <w:color w:val="auto"/>
              </w:rPr>
              <w:t>$ 4</w:t>
            </w:r>
          </w:p>
        </w:tc>
      </w:tr>
      <w:tr>
        <w:trPr>
          <w:trHeight w:val="203"/>
        </w:trPr>
        <w:tc>
          <w:tcPr>
            <w:tcW w:w="6360" w:type="dxa"/>
            <w:vAlign w:val="bottom"/>
          </w:tcPr>
          <w:p>
            <w:pPr>
              <w:spacing w:after="0" w:line="202" w:lineRule="exact"/>
              <w:rPr>
                <w:sz w:val="20"/>
                <w:szCs w:val="20"/>
                <w:color w:val="auto"/>
              </w:rPr>
            </w:pPr>
            <w:r>
              <w:rPr>
                <w:rFonts w:ascii="Arial" w:cs="Arial" w:eastAsia="Arial" w:hAnsi="Arial"/>
                <w:sz w:val="18"/>
                <w:szCs w:val="18"/>
                <w:color w:val="auto"/>
              </w:rPr>
              <w:t>Cash received</w:t>
            </w:r>
          </w:p>
        </w:tc>
        <w:tc>
          <w:tcPr>
            <w:tcW w:w="2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183</w:t>
            </w:r>
          </w:p>
        </w:tc>
        <w:tc>
          <w:tcPr>
            <w:tcW w:w="200" w:type="dxa"/>
            <w:vAlign w:val="bottom"/>
          </w:tcPr>
          <w:p>
            <w:pPr>
              <w:spacing w:after="0"/>
              <w:rPr>
                <w:sz w:val="17"/>
                <w:szCs w:val="17"/>
                <w:color w:val="auto"/>
              </w:rPr>
            </w:pPr>
          </w:p>
        </w:tc>
        <w:tc>
          <w:tcPr>
            <w:tcW w:w="6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w:t>
            </w:r>
          </w:p>
        </w:tc>
        <w:tc>
          <w:tcPr>
            <w:tcW w:w="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w:t>
            </w:r>
          </w:p>
        </w:tc>
      </w:tr>
      <w:tr>
        <w:trPr>
          <w:trHeight w:val="203"/>
        </w:trPr>
        <w:tc>
          <w:tcPr>
            <w:tcW w:w="63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Tax benefit realized for stock option tax deductions</w:t>
            </w:r>
          </w:p>
        </w:tc>
        <w:tc>
          <w:tcPr>
            <w:tcW w:w="3120" w:type="dxa"/>
            <w:vAlign w:val="bottom"/>
            <w:gridSpan w:val="3"/>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56</w:t>
            </w:r>
          </w:p>
        </w:tc>
        <w:tc>
          <w:tcPr>
            <w:tcW w:w="60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4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w:t>
            </w:r>
          </w:p>
        </w:tc>
      </w:tr>
    </w:tbl>
    <w:p>
      <w:pPr>
        <w:spacing w:after="0" w:line="148" w:lineRule="exact"/>
        <w:rPr>
          <w:sz w:val="20"/>
          <w:szCs w:val="20"/>
          <w:color w:val="auto"/>
        </w:rPr>
      </w:pPr>
    </w:p>
    <w:p>
      <w:pPr>
        <w:ind w:left="9520"/>
        <w:spacing w:after="0"/>
        <w:rPr>
          <w:sz w:val="20"/>
          <w:szCs w:val="20"/>
          <w:color w:val="auto"/>
        </w:rPr>
      </w:pPr>
      <w:r>
        <w:rPr>
          <w:rFonts w:ascii="Arial" w:cs="Arial" w:eastAsia="Arial" w:hAnsi="Arial"/>
          <w:sz w:val="12"/>
          <w:szCs w:val="12"/>
          <w:color w:val="4C9F40"/>
        </w:rPr>
        <w:t>Xerox 2010 Annual Report 101</w:t>
      </w:r>
    </w:p>
    <w:p>
      <w:pPr>
        <w:sectPr>
          <w:pgSz w:w="11900" w:h="16838" w:orient="portrait"/>
          <w:cols w:equalWidth="0" w:num="1">
            <w:col w:w="11420"/>
          </w:cols>
          <w:pgMar w:left="240" w:top="341" w:right="239" w:bottom="1440" w:gutter="0" w:footer="0" w:header="0"/>
        </w:sectPr>
      </w:pPr>
    </w:p>
    <w:bookmarkStart w:id="178" w:name="page179"/>
    <w:bookmarkEnd w:id="178"/>
    <w:p>
      <w:pPr>
        <w:spacing w:after="0"/>
        <w:rPr>
          <w:sz w:val="20"/>
          <w:szCs w:val="20"/>
          <w:color w:val="auto"/>
        </w:rPr>
      </w:pPr>
      <w:r>
        <w:rPr>
          <w:rFonts w:ascii="Arial" w:cs="Arial" w:eastAsia="Arial" w:hAnsi="Arial"/>
          <w:sz w:val="22"/>
          <w:szCs w:val="22"/>
          <w:b w:val="1"/>
          <w:bCs w:val="1"/>
          <w:color w:val="4C9F40"/>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20 – Earnings per Share</w:t>
      </w:r>
    </w:p>
    <w:p>
      <w:pPr>
        <w:spacing w:after="0" w:line="188"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The following table sets forth the computation of basic and diluted earnings per share of common stock for the three years ended December 31, 2010 (shares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color w:val="auto"/>
              </w:rPr>
              <w:t>2010</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2008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60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Basic Earnings per Share:</w:t>
            </w:r>
          </w:p>
        </w:tc>
        <w:tc>
          <w:tcPr>
            <w:tcW w:w="18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78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4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gridSpan w:val="2"/>
          </w:tcPr>
          <w:p>
            <w:pPr>
              <w:spacing w:after="0" w:line="202" w:lineRule="exact"/>
              <w:rPr>
                <w:sz w:val="20"/>
                <w:szCs w:val="20"/>
                <w:color w:val="auto"/>
              </w:rPr>
            </w:pPr>
            <w:r>
              <w:rPr>
                <w:rFonts w:ascii="Arial" w:cs="Arial" w:eastAsia="Arial" w:hAnsi="Arial"/>
                <w:sz w:val="18"/>
                <w:szCs w:val="18"/>
                <w:color w:val="auto"/>
              </w:rPr>
              <w:t>Net income attributable to Xerox</w:t>
            </w:r>
          </w:p>
        </w:tc>
        <w:tc>
          <w:tcPr>
            <w:tcW w:w="1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606</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485</w:t>
            </w:r>
          </w:p>
        </w:tc>
        <w:tc>
          <w:tcPr>
            <w:tcW w:w="100" w:type="dxa"/>
            <w:vAlign w:val="bottom"/>
          </w:tcPr>
          <w:p>
            <w:pPr>
              <w:spacing w:after="0"/>
              <w:rPr>
                <w:sz w:val="17"/>
                <w:szCs w:val="17"/>
                <w:color w:val="auto"/>
              </w:rPr>
            </w:pPr>
          </w:p>
        </w:tc>
        <w:tc>
          <w:tcPr>
            <w:tcW w:w="2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Accrued dividends on preferred stock</w:t>
            </w:r>
          </w:p>
        </w:tc>
        <w:tc>
          <w:tcPr>
            <w:tcW w:w="18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(21)</w:t>
            </w:r>
          </w:p>
        </w:tc>
        <w:tc>
          <w:tcPr>
            <w:tcW w:w="120" w:type="dxa"/>
            <w:vAlign w:val="bottom"/>
            <w:shd w:val="clear" w:color="auto" w:fill="E5E5E5"/>
          </w:tcPr>
          <w:p>
            <w:pPr>
              <w:spacing w:after="0"/>
              <w:rPr>
                <w:sz w:val="17"/>
                <w:szCs w:val="17"/>
                <w:color w:val="auto"/>
              </w:rPr>
            </w:pPr>
          </w:p>
        </w:tc>
        <w:tc>
          <w:tcPr>
            <w:tcW w:w="7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78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Adjusted Net Income Available to Common Shareholders</w:t>
            </w:r>
          </w:p>
        </w:tc>
        <w:tc>
          <w:tcPr>
            <w:tcW w:w="1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20" w:type="dxa"/>
            <w:vAlign w:val="bottom"/>
            <w:gridSpan w:val="2"/>
            <w:vMerge w:val="continue"/>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585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600" w:type="dxa"/>
            <w:vAlign w:val="bottom"/>
            <w:shd w:val="clear" w:color="auto" w:fill="E5E5E5"/>
          </w:tcPr>
          <w:p>
            <w:pPr>
              <w:spacing w:after="0" w:line="196" w:lineRule="exact"/>
              <w:rPr>
                <w:sz w:val="20"/>
                <w:szCs w:val="20"/>
                <w:color w:val="auto"/>
              </w:rPr>
            </w:pPr>
            <w:r>
              <w:rPr>
                <w:rFonts w:ascii="Arial" w:cs="Arial" w:eastAsia="Arial" w:hAnsi="Arial"/>
                <w:sz w:val="18"/>
                <w:szCs w:val="18"/>
                <w:color w:val="auto"/>
              </w:rPr>
              <w:t>Weighted average common shares outstanding</w:t>
            </w:r>
          </w:p>
        </w:tc>
        <w:tc>
          <w:tcPr>
            <w:tcW w:w="18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200"/>
              <w:spacing w:after="0" w:line="196" w:lineRule="exact"/>
              <w:rPr>
                <w:sz w:val="20"/>
                <w:szCs w:val="20"/>
                <w:color w:val="auto"/>
              </w:rPr>
            </w:pPr>
            <w:r>
              <w:rPr>
                <w:rFonts w:ascii="Arial" w:cs="Arial" w:eastAsia="Arial" w:hAnsi="Arial"/>
                <w:sz w:val="18"/>
                <w:szCs w:val="18"/>
                <w:color w:val="auto"/>
                <w:w w:val="94"/>
              </w:rPr>
              <w:t>1,323,431</w:t>
            </w:r>
          </w:p>
        </w:tc>
        <w:tc>
          <w:tcPr>
            <w:tcW w:w="120" w:type="dxa"/>
            <w:vAlign w:val="bottom"/>
            <w:shd w:val="clear" w:color="auto" w:fill="E5E5E5"/>
          </w:tcPr>
          <w:p>
            <w:pPr>
              <w:spacing w:after="0"/>
              <w:rPr>
                <w:sz w:val="17"/>
                <w:szCs w:val="17"/>
                <w:color w:val="auto"/>
              </w:rPr>
            </w:pPr>
          </w:p>
        </w:tc>
        <w:tc>
          <w:tcPr>
            <w:tcW w:w="64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w w:val="95"/>
              </w:rPr>
              <w:t>869,979</w:t>
            </w:r>
          </w:p>
        </w:tc>
        <w:tc>
          <w:tcPr>
            <w:tcW w:w="1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780" w:type="dxa"/>
            <w:vAlign w:val="bottom"/>
            <w:gridSpan w:val="2"/>
            <w:shd w:val="clear" w:color="auto" w:fill="E5E5E5"/>
          </w:tcPr>
          <w:p>
            <w:pPr>
              <w:jc w:val="right"/>
              <w:ind w:right="140"/>
              <w:spacing w:after="0" w:line="196" w:lineRule="exact"/>
              <w:rPr>
                <w:sz w:val="20"/>
                <w:szCs w:val="20"/>
                <w:color w:val="auto"/>
              </w:rPr>
            </w:pPr>
            <w:r>
              <w:rPr>
                <w:rFonts w:ascii="Arial" w:cs="Arial" w:eastAsia="Arial" w:hAnsi="Arial"/>
                <w:sz w:val="18"/>
                <w:szCs w:val="18"/>
                <w:color w:val="auto"/>
                <w:w w:val="95"/>
              </w:rPr>
              <w:t>885,471</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600" w:type="dxa"/>
            <w:vAlign w:val="bottom"/>
          </w:tcPr>
          <w:p>
            <w:pPr>
              <w:spacing w:after="0"/>
              <w:rPr>
                <w:sz w:val="20"/>
                <w:szCs w:val="20"/>
                <w:color w:val="auto"/>
              </w:rPr>
            </w:pPr>
            <w:r>
              <w:rPr>
                <w:rFonts w:ascii="Arial" w:cs="Arial" w:eastAsia="Arial" w:hAnsi="Arial"/>
                <w:sz w:val="18"/>
                <w:szCs w:val="18"/>
                <w:b w:val="1"/>
                <w:bCs w:val="1"/>
                <w:color w:val="auto"/>
              </w:rPr>
              <w:t>Basic Earnings per Share</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0.44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0.56</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78"/>
        </w:trPr>
        <w:tc>
          <w:tcPr>
            <w:tcW w:w="20" w:type="dxa"/>
            <w:vAlign w:val="bottom"/>
            <w:vMerge w:val="restart"/>
          </w:tcPr>
          <w:p>
            <w:pPr>
              <w:spacing w:after="0"/>
              <w:rPr>
                <w:sz w:val="6"/>
                <w:szCs w:val="6"/>
                <w:color w:val="auto"/>
              </w:rPr>
            </w:pPr>
          </w:p>
        </w:tc>
        <w:tc>
          <w:tcPr>
            <w:tcW w:w="660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60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Diluted Earnings per Share:</w:t>
            </w:r>
          </w:p>
        </w:tc>
        <w:tc>
          <w:tcPr>
            <w:tcW w:w="18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78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4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gridSpan w:val="2"/>
          </w:tcPr>
          <w:p>
            <w:pPr>
              <w:spacing w:after="0" w:line="202" w:lineRule="exact"/>
              <w:rPr>
                <w:sz w:val="20"/>
                <w:szCs w:val="20"/>
                <w:color w:val="auto"/>
              </w:rPr>
            </w:pPr>
            <w:r>
              <w:rPr>
                <w:rFonts w:ascii="Arial" w:cs="Arial" w:eastAsia="Arial" w:hAnsi="Arial"/>
                <w:sz w:val="18"/>
                <w:szCs w:val="18"/>
                <w:color w:val="auto"/>
              </w:rPr>
              <w:t>Net income attributable to Xerox</w:t>
            </w:r>
          </w:p>
        </w:tc>
        <w:tc>
          <w:tcPr>
            <w:tcW w:w="1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606</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485</w:t>
            </w:r>
          </w:p>
        </w:tc>
        <w:tc>
          <w:tcPr>
            <w:tcW w:w="100" w:type="dxa"/>
            <w:vAlign w:val="bottom"/>
          </w:tcPr>
          <w:p>
            <w:pPr>
              <w:spacing w:after="0"/>
              <w:rPr>
                <w:sz w:val="17"/>
                <w:szCs w:val="17"/>
                <w:color w:val="auto"/>
              </w:rPr>
            </w:pPr>
          </w:p>
        </w:tc>
        <w:tc>
          <w:tcPr>
            <w:tcW w:w="2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Accrued dividends on Preferred stock</w:t>
            </w:r>
          </w:p>
        </w:tc>
        <w:tc>
          <w:tcPr>
            <w:tcW w:w="18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(21)</w:t>
            </w:r>
          </w:p>
        </w:tc>
        <w:tc>
          <w:tcPr>
            <w:tcW w:w="120" w:type="dxa"/>
            <w:vAlign w:val="bottom"/>
            <w:shd w:val="clear" w:color="auto" w:fill="E5E5E5"/>
          </w:tcPr>
          <w:p>
            <w:pPr>
              <w:spacing w:after="0"/>
              <w:rPr>
                <w:sz w:val="17"/>
                <w:szCs w:val="17"/>
                <w:color w:val="auto"/>
              </w:rPr>
            </w:pPr>
          </w:p>
        </w:tc>
        <w:tc>
          <w:tcPr>
            <w:tcW w:w="7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78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620" w:type="dxa"/>
            <w:vAlign w:val="bottom"/>
            <w:gridSpan w:val="2"/>
          </w:tcPr>
          <w:p>
            <w:pPr>
              <w:spacing w:after="0" w:line="202" w:lineRule="exact"/>
              <w:rPr>
                <w:sz w:val="20"/>
                <w:szCs w:val="20"/>
                <w:color w:val="auto"/>
              </w:rPr>
            </w:pPr>
            <w:r>
              <w:rPr>
                <w:rFonts w:ascii="Arial" w:cs="Arial" w:eastAsia="Arial" w:hAnsi="Arial"/>
                <w:sz w:val="18"/>
                <w:szCs w:val="18"/>
                <w:color w:val="auto"/>
              </w:rPr>
              <w:t>Interest on Convertible securities, net</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60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Adjusted Net Income Available to Common Shareholders</w:t>
            </w:r>
          </w:p>
        </w:tc>
        <w:tc>
          <w:tcPr>
            <w:tcW w:w="196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585</w:t>
            </w:r>
          </w:p>
        </w:tc>
        <w:tc>
          <w:tcPr>
            <w:tcW w:w="1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486</w:t>
            </w:r>
          </w:p>
        </w:tc>
        <w:tc>
          <w:tcPr>
            <w:tcW w:w="100" w:type="dxa"/>
            <w:vAlign w:val="bottom"/>
            <w:shd w:val="clear" w:color="auto" w:fill="E5E5E5"/>
          </w:tcPr>
          <w:p>
            <w:pPr>
              <w:spacing w:after="0"/>
              <w:rPr>
                <w:sz w:val="17"/>
                <w:szCs w:val="17"/>
                <w:color w:val="auto"/>
              </w:rPr>
            </w:pPr>
          </w:p>
        </w:tc>
        <w:tc>
          <w:tcPr>
            <w:tcW w:w="22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0"/>
        </w:trPr>
        <w:tc>
          <w:tcPr>
            <w:tcW w:w="662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6620" w:type="dxa"/>
            <w:vAlign w:val="bottom"/>
            <w:gridSpan w:val="2"/>
          </w:tcPr>
          <w:p>
            <w:pPr>
              <w:spacing w:after="0"/>
              <w:rPr>
                <w:sz w:val="20"/>
                <w:szCs w:val="20"/>
                <w:color w:val="auto"/>
              </w:rPr>
            </w:pPr>
            <w:r>
              <w:rPr>
                <w:rFonts w:ascii="Arial" w:cs="Arial" w:eastAsia="Arial" w:hAnsi="Arial"/>
                <w:sz w:val="18"/>
                <w:szCs w:val="18"/>
                <w:color w:val="auto"/>
              </w:rPr>
              <w:t>Weighted-average common shares outstanding</w:t>
            </w: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1,323,431</w:t>
            </w: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869,979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885,471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Common shares issuable with respect to:</w:t>
            </w:r>
          </w:p>
        </w:tc>
        <w:tc>
          <w:tcPr>
            <w:tcW w:w="18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78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4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tcPr>
          <w:p>
            <w:pPr>
              <w:ind w:left="420"/>
              <w:spacing w:after="0" w:line="202" w:lineRule="exact"/>
              <w:rPr>
                <w:sz w:val="20"/>
                <w:szCs w:val="20"/>
                <w:color w:val="auto"/>
              </w:rPr>
            </w:pPr>
            <w:r>
              <w:rPr>
                <w:rFonts w:ascii="Arial" w:cs="Arial" w:eastAsia="Arial" w:hAnsi="Arial"/>
                <w:sz w:val="18"/>
                <w:szCs w:val="18"/>
                <w:color w:val="auto"/>
              </w:rPr>
              <w:t>Stock options</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13,497</w:t>
            </w: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462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3,885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shd w:val="clear" w:color="auto" w:fill="E5E5E5"/>
          </w:tcPr>
          <w:p>
            <w:pPr>
              <w:ind w:left="420"/>
              <w:spacing w:after="0" w:line="202" w:lineRule="exact"/>
              <w:rPr>
                <w:sz w:val="20"/>
                <w:szCs w:val="20"/>
                <w:color w:val="auto"/>
              </w:rPr>
            </w:pPr>
            <w:r>
              <w:rPr>
                <w:rFonts w:ascii="Arial" w:cs="Arial" w:eastAsia="Arial" w:hAnsi="Arial"/>
                <w:sz w:val="18"/>
                <w:szCs w:val="18"/>
                <w:color w:val="auto"/>
              </w:rPr>
              <w:t>Restricted stock and performance shares</w:t>
            </w:r>
          </w:p>
        </w:tc>
        <w:tc>
          <w:tcPr>
            <w:tcW w:w="18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13,800</w:t>
            </w:r>
          </w:p>
        </w:tc>
        <w:tc>
          <w:tcPr>
            <w:tcW w:w="120" w:type="dxa"/>
            <w:vAlign w:val="bottom"/>
            <w:shd w:val="clear" w:color="auto" w:fill="E5E5E5"/>
          </w:tcPr>
          <w:p>
            <w:pPr>
              <w:spacing w:after="0"/>
              <w:rPr>
                <w:sz w:val="17"/>
                <w:szCs w:val="17"/>
                <w:color w:val="auto"/>
              </w:rPr>
            </w:pPr>
          </w:p>
        </w:tc>
        <w:tc>
          <w:tcPr>
            <w:tcW w:w="6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7,087</w:t>
            </w:r>
          </w:p>
        </w:tc>
        <w:tc>
          <w:tcPr>
            <w:tcW w:w="1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78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6,186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tcPr>
          <w:p>
            <w:pPr>
              <w:ind w:left="420"/>
              <w:spacing w:after="0" w:line="202" w:lineRule="exact"/>
              <w:rPr>
                <w:sz w:val="20"/>
                <w:szCs w:val="20"/>
                <w:color w:val="auto"/>
              </w:rPr>
            </w:pPr>
            <w:r>
              <w:rPr>
                <w:rFonts w:ascii="Arial" w:cs="Arial" w:eastAsia="Arial" w:hAnsi="Arial"/>
                <w:sz w:val="18"/>
                <w:szCs w:val="18"/>
                <w:color w:val="auto"/>
              </w:rPr>
              <w:t>Convertible securities</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1,992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60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Adjusted Weighted Average Shares Outstanding</w:t>
            </w:r>
          </w:p>
        </w:tc>
        <w:tc>
          <w:tcPr>
            <w:tcW w:w="18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w w:val="94"/>
              </w:rPr>
              <w:t>1,350,728</w:t>
            </w:r>
          </w:p>
        </w:tc>
        <w:tc>
          <w:tcPr>
            <w:tcW w:w="120" w:type="dxa"/>
            <w:vAlign w:val="bottom"/>
            <w:shd w:val="clear" w:color="auto" w:fill="E5E5E5"/>
          </w:tcPr>
          <w:p>
            <w:pPr>
              <w:spacing w:after="0"/>
              <w:rPr>
                <w:sz w:val="17"/>
                <w:szCs w:val="17"/>
                <w:color w:val="auto"/>
              </w:rPr>
            </w:pPr>
          </w:p>
        </w:tc>
        <w:tc>
          <w:tcPr>
            <w:tcW w:w="6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95"/>
              </w:rPr>
              <w:t>879,520</w:t>
            </w:r>
          </w:p>
        </w:tc>
        <w:tc>
          <w:tcPr>
            <w:tcW w:w="1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78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w w:val="95"/>
              </w:rPr>
              <w:t>895,542</w:t>
            </w: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Diluted Earnings per Share</w:t>
            </w:r>
          </w:p>
        </w:tc>
        <w:tc>
          <w:tcPr>
            <w:tcW w:w="1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620" w:type="dxa"/>
            <w:vAlign w:val="bottom"/>
            <w:gridSpan w:val="2"/>
            <w:vMerge w:val="continue"/>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0.43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0.55</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460"/>
        <w:spacing w:after="0" w:line="239" w:lineRule="auto"/>
        <w:rPr>
          <w:sz w:val="20"/>
          <w:szCs w:val="20"/>
          <w:color w:val="auto"/>
        </w:rPr>
      </w:pPr>
      <w:r>
        <w:rPr>
          <w:rFonts w:ascii="Arial" w:cs="Arial" w:eastAsia="Arial" w:hAnsi="Arial"/>
          <w:sz w:val="18"/>
          <w:szCs w:val="18"/>
          <w:color w:val="auto"/>
        </w:rPr>
        <w:t>The following represents shares not included in the computation of diluted earnings per-share because to do so would have been anti-dilutive (shares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60" w:type="dxa"/>
            <w:vAlign w:val="bottom"/>
            <w:shd w:val="clear" w:color="auto" w:fill="E5E5E5"/>
          </w:tcPr>
          <w:p>
            <w:pPr>
              <w:ind w:left="440"/>
              <w:spacing w:after="0"/>
              <w:rPr>
                <w:sz w:val="20"/>
                <w:szCs w:val="20"/>
                <w:color w:val="auto"/>
              </w:rPr>
            </w:pPr>
            <w:r>
              <w:rPr>
                <w:rFonts w:ascii="Arial" w:cs="Arial" w:eastAsia="Arial" w:hAnsi="Arial"/>
                <w:sz w:val="18"/>
                <w:szCs w:val="18"/>
                <w:color w:val="auto"/>
              </w:rPr>
              <w:t>Stock options</w:t>
            </w:r>
          </w:p>
        </w:tc>
        <w:tc>
          <w:tcPr>
            <w:tcW w:w="242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900" w:type="dxa"/>
            <w:vAlign w:val="bottom"/>
            <w:gridSpan w:val="2"/>
            <w:shd w:val="clear" w:color="auto" w:fill="E5E5E5"/>
          </w:tcPr>
          <w:p>
            <w:pPr>
              <w:jc w:val="right"/>
              <w:ind w:right="200"/>
              <w:spacing w:after="0"/>
              <w:rPr>
                <w:sz w:val="20"/>
                <w:szCs w:val="20"/>
                <w:color w:val="auto"/>
              </w:rPr>
            </w:pPr>
            <w:r>
              <w:rPr>
                <w:rFonts w:ascii="Arial" w:cs="Arial" w:eastAsia="Arial" w:hAnsi="Arial"/>
                <w:sz w:val="18"/>
                <w:szCs w:val="18"/>
                <w:color w:val="auto"/>
              </w:rPr>
              <w:t>57,541</w:t>
            </w:r>
          </w:p>
        </w:tc>
        <w:tc>
          <w:tcPr>
            <w:tcW w:w="160" w:type="dxa"/>
            <w:vAlign w:val="bottom"/>
            <w:shd w:val="clear" w:color="auto" w:fill="E5E5E5"/>
          </w:tcPr>
          <w:p>
            <w:pPr>
              <w:spacing w:after="0"/>
              <w:rPr>
                <w:sz w:val="18"/>
                <w:szCs w:val="18"/>
                <w:color w:val="auto"/>
              </w:rPr>
            </w:pPr>
          </w:p>
        </w:tc>
        <w:tc>
          <w:tcPr>
            <w:tcW w:w="70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27,901</w:t>
            </w:r>
          </w:p>
        </w:tc>
        <w:tc>
          <w:tcPr>
            <w:tcW w:w="10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74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color w:val="auto"/>
              </w:rPr>
              <w:t>41,300</w:t>
            </w:r>
          </w:p>
        </w:tc>
        <w:tc>
          <w:tcPr>
            <w:tcW w:w="0" w:type="dxa"/>
            <w:vAlign w:val="bottom"/>
          </w:tcPr>
          <w:p>
            <w:pPr>
              <w:spacing w:after="0"/>
              <w:rPr>
                <w:sz w:val="1"/>
                <w:szCs w:val="1"/>
                <w:color w:val="auto"/>
              </w:rPr>
            </w:pPr>
          </w:p>
        </w:tc>
      </w:tr>
      <w:tr>
        <w:trPr>
          <w:trHeight w:val="203"/>
        </w:trPr>
        <w:tc>
          <w:tcPr>
            <w:tcW w:w="6060" w:type="dxa"/>
            <w:vAlign w:val="bottom"/>
          </w:tcPr>
          <w:p>
            <w:pPr>
              <w:ind w:left="440"/>
              <w:spacing w:after="0" w:line="202" w:lineRule="exact"/>
              <w:rPr>
                <w:sz w:val="20"/>
                <w:szCs w:val="20"/>
                <w:color w:val="auto"/>
              </w:rPr>
            </w:pPr>
            <w:r>
              <w:rPr>
                <w:rFonts w:ascii="Arial" w:cs="Arial" w:eastAsia="Arial" w:hAnsi="Arial"/>
                <w:sz w:val="18"/>
                <w:szCs w:val="18"/>
                <w:color w:val="auto"/>
              </w:rPr>
              <w:t>Restricted stock and performance shares</w:t>
            </w:r>
          </w:p>
        </w:tc>
        <w:tc>
          <w:tcPr>
            <w:tcW w:w="2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25,983</w:t>
            </w:r>
          </w:p>
        </w:tc>
        <w:tc>
          <w:tcPr>
            <w:tcW w:w="160" w:type="dxa"/>
            <w:vAlign w:val="bottom"/>
          </w:tcPr>
          <w:p>
            <w:pPr>
              <w:spacing w:after="0"/>
              <w:rPr>
                <w:sz w:val="17"/>
                <w:szCs w:val="17"/>
                <w:color w:val="auto"/>
              </w:rPr>
            </w:pPr>
          </w:p>
        </w:tc>
        <w:tc>
          <w:tcPr>
            <w:tcW w:w="7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22,574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14,969</w:t>
            </w:r>
          </w:p>
        </w:tc>
        <w:tc>
          <w:tcPr>
            <w:tcW w:w="0" w:type="dxa"/>
            <w:vAlign w:val="bottom"/>
          </w:tcPr>
          <w:p>
            <w:pPr>
              <w:spacing w:after="0"/>
              <w:rPr>
                <w:sz w:val="1"/>
                <w:szCs w:val="1"/>
                <w:color w:val="auto"/>
              </w:rPr>
            </w:pPr>
          </w:p>
        </w:tc>
      </w:tr>
      <w:tr>
        <w:trPr>
          <w:trHeight w:val="203"/>
        </w:trPr>
        <w:tc>
          <w:tcPr>
            <w:tcW w:w="6060" w:type="dxa"/>
            <w:vAlign w:val="bottom"/>
            <w:shd w:val="clear" w:color="auto" w:fill="E5E5E5"/>
          </w:tcPr>
          <w:p>
            <w:pPr>
              <w:ind w:left="440"/>
              <w:spacing w:after="0" w:line="202" w:lineRule="exact"/>
              <w:rPr>
                <w:sz w:val="20"/>
                <w:szCs w:val="20"/>
                <w:color w:val="auto"/>
              </w:rPr>
            </w:pPr>
            <w:r>
              <w:rPr>
                <w:rFonts w:ascii="Arial" w:cs="Arial" w:eastAsia="Arial" w:hAnsi="Arial"/>
                <w:sz w:val="18"/>
                <w:szCs w:val="18"/>
                <w:color w:val="auto"/>
              </w:rPr>
              <w:t>Convertible preferred stock</w:t>
            </w:r>
          </w:p>
        </w:tc>
        <w:tc>
          <w:tcPr>
            <w:tcW w:w="242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90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26,966</w:t>
            </w:r>
          </w:p>
        </w:tc>
        <w:tc>
          <w:tcPr>
            <w:tcW w:w="160" w:type="dxa"/>
            <w:vAlign w:val="bottom"/>
            <w:shd w:val="clear" w:color="auto" w:fill="E5E5E5"/>
          </w:tcPr>
          <w:p>
            <w:pPr>
              <w:spacing w:after="0"/>
              <w:rPr>
                <w:sz w:val="17"/>
                <w:szCs w:val="17"/>
                <w:color w:val="auto"/>
              </w:rPr>
            </w:pPr>
          </w:p>
        </w:tc>
        <w:tc>
          <w:tcPr>
            <w:tcW w:w="7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74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060" w:type="dxa"/>
            <w:vAlign w:val="bottom"/>
          </w:tcPr>
          <w:p>
            <w:pPr>
              <w:ind w:left="440"/>
              <w:spacing w:after="0" w:line="202" w:lineRule="exact"/>
              <w:rPr>
                <w:sz w:val="20"/>
                <w:szCs w:val="20"/>
                <w:color w:val="auto"/>
              </w:rPr>
            </w:pPr>
            <w:r>
              <w:rPr>
                <w:rFonts w:ascii="Arial" w:cs="Arial" w:eastAsia="Arial" w:hAnsi="Arial"/>
                <w:sz w:val="18"/>
                <w:szCs w:val="18"/>
                <w:color w:val="auto"/>
              </w:rPr>
              <w:t>Convertible securities</w:t>
            </w:r>
          </w:p>
        </w:tc>
        <w:tc>
          <w:tcPr>
            <w:tcW w:w="24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1,992</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1,992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60" w:type="dxa"/>
            <w:vAlign w:val="bottom"/>
            <w:shd w:val="clear" w:color="auto" w:fill="E5E5E5"/>
          </w:tcPr>
          <w:p>
            <w:pPr>
              <w:spacing w:after="0"/>
              <w:rPr>
                <w:sz w:val="17"/>
                <w:szCs w:val="17"/>
                <w:color w:val="auto"/>
              </w:rPr>
            </w:pPr>
          </w:p>
        </w:tc>
        <w:tc>
          <w:tcPr>
            <w:tcW w:w="242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90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112,482</w:t>
            </w:r>
          </w:p>
        </w:tc>
        <w:tc>
          <w:tcPr>
            <w:tcW w:w="160" w:type="dxa"/>
            <w:vAlign w:val="bottom"/>
            <w:shd w:val="clear" w:color="auto" w:fill="E5E5E5"/>
          </w:tcPr>
          <w:p>
            <w:pPr>
              <w:spacing w:after="0"/>
              <w:rPr>
                <w:sz w:val="17"/>
                <w:szCs w:val="17"/>
                <w:color w:val="auto"/>
              </w:rPr>
            </w:pPr>
          </w:p>
        </w:tc>
        <w:tc>
          <w:tcPr>
            <w:tcW w:w="7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50,475</w:t>
            </w:r>
          </w:p>
        </w:tc>
        <w:tc>
          <w:tcPr>
            <w:tcW w:w="1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74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58,261</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8"/>
                <w:szCs w:val="18"/>
                <w:b w:val="1"/>
                <w:bCs w:val="1"/>
                <w:color w:val="auto"/>
              </w:rPr>
              <w:t>Dividends Declared per Common Share</w:t>
            </w:r>
          </w:p>
        </w:tc>
        <w:tc>
          <w:tcPr>
            <w:tcW w:w="2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6060" w:type="dxa"/>
            <w:vAlign w:val="bottom"/>
            <w:vMerge w:val="continue"/>
          </w:tcPr>
          <w:p>
            <w:pPr>
              <w:spacing w:after="0"/>
              <w:rPr>
                <w:sz w:val="24"/>
                <w:szCs w:val="24"/>
                <w:color w:val="auto"/>
              </w:rPr>
            </w:pPr>
          </w:p>
        </w:tc>
        <w:tc>
          <w:tcPr>
            <w:tcW w:w="26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0.17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0.17</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9520"/>
        <w:spacing w:after="0"/>
        <w:rPr>
          <w:sz w:val="20"/>
          <w:szCs w:val="20"/>
          <w:color w:val="auto"/>
        </w:rPr>
      </w:pPr>
      <w:r>
        <w:rPr>
          <w:rFonts w:ascii="Arial" w:cs="Arial" w:eastAsia="Arial" w:hAnsi="Arial"/>
          <w:sz w:val="12"/>
          <w:szCs w:val="12"/>
          <w:color w:val="4C9F40"/>
        </w:rPr>
        <w:t>Xerox 2010 Annual Report 102</w:t>
      </w:r>
    </w:p>
    <w:p>
      <w:pPr>
        <w:sectPr>
          <w:pgSz w:w="11900" w:h="16838" w:orient="portrait"/>
          <w:cols w:equalWidth="0" w:num="1">
            <w:col w:w="11420"/>
          </w:cols>
          <w:pgMar w:left="240" w:top="391" w:right="239" w:bottom="1440" w:gutter="0" w:footer="0" w:header="0"/>
        </w:sectPr>
      </w:pPr>
    </w:p>
    <w:bookmarkStart w:id="179" w:name="page180"/>
    <w:bookmarkEnd w:id="179"/>
    <w:p>
      <w:pPr>
        <w:spacing w:after="0"/>
        <w:rPr>
          <w:sz w:val="20"/>
          <w:szCs w:val="20"/>
          <w:color w:val="auto"/>
        </w:rPr>
      </w:pPr>
      <w:r>
        <w:rPr>
          <w:rFonts w:ascii="Arial" w:cs="Arial" w:eastAsia="Arial" w:hAnsi="Arial"/>
          <w:sz w:val="18"/>
          <w:szCs w:val="18"/>
          <w:b w:val="1"/>
          <w:bCs w:val="1"/>
          <w:color w:val="4C9F40"/>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REPORTS OF MANAGEMENT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C9F40"/>
        </w:rPr>
        <w:t>Management’s Responsibility for Financial Statements</w:t>
      </w:r>
    </w:p>
    <w:p>
      <w:pPr>
        <w:spacing w:after="0" w:line="178"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Our management is responsible for the integrity and objectivity of all information presented in this annual report. The consolidated financial statements were prepared in conformity with accounting principles generally accepted in the United States of America and include amounts based on management’s best estimates and judgments. Management believes the consolidated financial statements fairly reflect the form and substance of transactions and that the financial statements fairly represent the Company’s financial position and results of operations.</w:t>
      </w:r>
    </w:p>
    <w:p>
      <w:pPr>
        <w:spacing w:after="0" w:line="155"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The Audit Committee of the Board of Directors, which is composed solely of independent directors, meets regularly with the independent auditors, PricewaterhouseCoopers LLP, the internal auditors and representatives of management to review accounting, financial reporting, internal control and audit matters, as well as the nature and extent of the audit effort. The Audit Committee is responsible for the engagement of the independent auditors. The independent auditors and internal auditors have free access to the Audit Committee.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C9F40"/>
        </w:rPr>
        <w:t>Management’s Report on Internal Control Over Financial Reporting</w:t>
      </w:r>
    </w:p>
    <w:p>
      <w:pPr>
        <w:spacing w:after="0" w:line="178"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 xml:space="preserve">Our management is responsible for establishing and maintaining adequate internal control over financial reporting, as such term is defined in the rules promulgated under the Securities Exchange Act of 1934. Under the supervision and with the participation of our management, including our principal executive, financial and accounting officers, we have conducted an evaluation of the effectiveness of our internal control over financial reporting based on the framework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w:t>
      </w:r>
    </w:p>
    <w:p>
      <w:pPr>
        <w:spacing w:after="0" w:line="157"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Based on the above evaluation, management has concluded that our internal control over financial reporting was effective as of December 31, 2010.</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U</w:t>
            </w:r>
            <w:r>
              <w:rPr>
                <w:rFonts w:ascii="Arial" w:cs="Arial" w:eastAsia="Arial" w:hAnsi="Arial"/>
                <w:sz w:val="14"/>
                <w:szCs w:val="14"/>
                <w:color w:val="auto"/>
              </w:rPr>
              <w:t>RSULA</w:t>
            </w:r>
            <w:r>
              <w:rPr>
                <w:rFonts w:ascii="Arial" w:cs="Arial" w:eastAsia="Arial" w:hAnsi="Arial"/>
                <w:sz w:val="18"/>
                <w:szCs w:val="18"/>
                <w:color w:val="auto"/>
              </w:rPr>
              <w:t xml:space="preserve"> M. B</w:t>
            </w:r>
            <w:r>
              <w:rPr>
                <w:rFonts w:ascii="Arial" w:cs="Arial" w:eastAsia="Arial" w:hAnsi="Arial"/>
                <w:sz w:val="14"/>
                <w:szCs w:val="14"/>
                <w:color w:val="auto"/>
              </w:rPr>
              <w:t>URNS</w:t>
            </w:r>
          </w:p>
        </w:tc>
        <w:tc>
          <w:tcPr>
            <w:tcW w:w="120" w:type="dxa"/>
            <w:vAlign w:val="bottom"/>
          </w:tcPr>
          <w:p>
            <w:pPr>
              <w:spacing w:after="0"/>
              <w:rPr>
                <w:sz w:val="17"/>
                <w:szCs w:val="17"/>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L</w:t>
            </w:r>
            <w:r>
              <w:rPr>
                <w:rFonts w:ascii="Arial" w:cs="Arial" w:eastAsia="Arial" w:hAnsi="Arial"/>
                <w:sz w:val="14"/>
                <w:szCs w:val="14"/>
                <w:color w:val="auto"/>
              </w:rPr>
              <w:t>UCA</w:t>
            </w:r>
            <w:r>
              <w:rPr>
                <w:rFonts w:ascii="Arial" w:cs="Arial" w:eastAsia="Arial" w:hAnsi="Arial"/>
                <w:sz w:val="18"/>
                <w:szCs w:val="18"/>
                <w:color w:val="auto"/>
              </w:rPr>
              <w:t xml:space="preserve"> M</w:t>
            </w:r>
            <w:r>
              <w:rPr>
                <w:rFonts w:ascii="Arial" w:cs="Arial" w:eastAsia="Arial" w:hAnsi="Arial"/>
                <w:sz w:val="14"/>
                <w:szCs w:val="14"/>
                <w:color w:val="auto"/>
              </w:rPr>
              <w:t>AESTRI</w:t>
            </w:r>
          </w:p>
        </w:tc>
        <w:tc>
          <w:tcPr>
            <w:tcW w:w="120" w:type="dxa"/>
            <w:vAlign w:val="bottom"/>
          </w:tcPr>
          <w:p>
            <w:pPr>
              <w:spacing w:after="0"/>
              <w:rPr>
                <w:sz w:val="17"/>
                <w:szCs w:val="17"/>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G</w:t>
            </w:r>
            <w:r>
              <w:rPr>
                <w:rFonts w:ascii="Arial" w:cs="Arial" w:eastAsia="Arial" w:hAnsi="Arial"/>
                <w:sz w:val="14"/>
                <w:szCs w:val="14"/>
                <w:color w:val="auto"/>
              </w:rPr>
              <w:t>ARY</w:t>
            </w:r>
            <w:r>
              <w:rPr>
                <w:rFonts w:ascii="Arial" w:cs="Arial" w:eastAsia="Arial" w:hAnsi="Arial"/>
                <w:sz w:val="18"/>
                <w:szCs w:val="18"/>
                <w:color w:val="auto"/>
              </w:rPr>
              <w:t xml:space="preserve"> R. K</w:t>
            </w:r>
            <w:r>
              <w:rPr>
                <w:rFonts w:ascii="Arial" w:cs="Arial" w:eastAsia="Arial" w:hAnsi="Arial"/>
                <w:sz w:val="14"/>
                <w:szCs w:val="14"/>
                <w:color w:val="auto"/>
              </w:rPr>
              <w:t>ABURECK</w:t>
            </w:r>
          </w:p>
        </w:tc>
      </w:tr>
      <w:tr>
        <w:trPr>
          <w:trHeight w:val="172"/>
        </w:trPr>
        <w:tc>
          <w:tcPr>
            <w:tcW w:w="3900" w:type="dxa"/>
            <w:vAlign w:val="bottom"/>
          </w:tcPr>
          <w:p>
            <w:pPr>
              <w:jc w:val="center"/>
              <w:spacing w:after="0"/>
              <w:rPr>
                <w:sz w:val="20"/>
                <w:szCs w:val="20"/>
                <w:color w:val="auto"/>
              </w:rPr>
            </w:pPr>
            <w:r>
              <w:rPr>
                <w:rFonts w:ascii="Arial" w:cs="Arial" w:eastAsia="Arial" w:hAnsi="Arial"/>
                <w:sz w:val="14"/>
                <w:szCs w:val="14"/>
                <w:b w:val="1"/>
                <w:bCs w:val="1"/>
                <w:color w:val="auto"/>
                <w:w w:val="96"/>
              </w:rPr>
              <w:t>Chief Executive Officer</w:t>
            </w:r>
          </w:p>
        </w:tc>
        <w:tc>
          <w:tcPr>
            <w:tcW w:w="120" w:type="dxa"/>
            <w:vAlign w:val="bottom"/>
          </w:tcPr>
          <w:p>
            <w:pPr>
              <w:spacing w:after="0"/>
              <w:rPr>
                <w:sz w:val="14"/>
                <w:szCs w:val="14"/>
                <w:color w:val="auto"/>
              </w:rPr>
            </w:pPr>
          </w:p>
        </w:tc>
        <w:tc>
          <w:tcPr>
            <w:tcW w:w="3640" w:type="dxa"/>
            <w:vAlign w:val="bottom"/>
          </w:tcPr>
          <w:p>
            <w:pPr>
              <w:jc w:val="center"/>
              <w:spacing w:after="0"/>
              <w:rPr>
                <w:sz w:val="20"/>
                <w:szCs w:val="20"/>
                <w:color w:val="auto"/>
              </w:rPr>
            </w:pPr>
            <w:r>
              <w:rPr>
                <w:rFonts w:ascii="Arial" w:cs="Arial" w:eastAsia="Arial" w:hAnsi="Arial"/>
                <w:sz w:val="14"/>
                <w:szCs w:val="14"/>
                <w:b w:val="1"/>
                <w:bCs w:val="1"/>
                <w:color w:val="auto"/>
                <w:w w:val="96"/>
              </w:rPr>
              <w:t>Chief Financial Officer</w:t>
            </w:r>
          </w:p>
        </w:tc>
        <w:tc>
          <w:tcPr>
            <w:tcW w:w="120" w:type="dxa"/>
            <w:vAlign w:val="bottom"/>
          </w:tcPr>
          <w:p>
            <w:pPr>
              <w:spacing w:after="0"/>
              <w:rPr>
                <w:sz w:val="14"/>
                <w:szCs w:val="14"/>
                <w:color w:val="auto"/>
              </w:rPr>
            </w:pPr>
          </w:p>
        </w:tc>
        <w:tc>
          <w:tcPr>
            <w:tcW w:w="3640" w:type="dxa"/>
            <w:vAlign w:val="bottom"/>
          </w:tcPr>
          <w:p>
            <w:pPr>
              <w:jc w:val="center"/>
              <w:spacing w:after="0"/>
              <w:rPr>
                <w:sz w:val="20"/>
                <w:szCs w:val="20"/>
                <w:color w:val="auto"/>
              </w:rPr>
            </w:pPr>
            <w:r>
              <w:rPr>
                <w:rFonts w:ascii="Arial" w:cs="Arial" w:eastAsia="Arial" w:hAnsi="Arial"/>
                <w:sz w:val="14"/>
                <w:szCs w:val="14"/>
                <w:b w:val="1"/>
                <w:bCs w:val="1"/>
                <w:color w:val="auto"/>
                <w:w w:val="96"/>
              </w:rPr>
              <w:t>Chief Accounting Officer</w:t>
            </w:r>
          </w:p>
        </w:tc>
      </w:tr>
      <w:tr>
        <w:trPr>
          <w:trHeight w:val="294"/>
        </w:trPr>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40" w:type="dxa"/>
            <w:vAlign w:val="bottom"/>
          </w:tcPr>
          <w:p>
            <w:pPr>
              <w:ind w:left="1740"/>
              <w:spacing w:after="0"/>
              <w:rPr>
                <w:sz w:val="20"/>
                <w:szCs w:val="20"/>
                <w:color w:val="auto"/>
              </w:rPr>
            </w:pPr>
            <w:r>
              <w:rPr>
                <w:rFonts w:ascii="Arial" w:cs="Arial" w:eastAsia="Arial" w:hAnsi="Arial"/>
                <w:sz w:val="14"/>
                <w:szCs w:val="14"/>
                <w:color w:val="4C9F40"/>
                <w:w w:val="97"/>
              </w:rPr>
              <w:t>Xerox 2010 Annual Report 103</w:t>
            </w:r>
          </w:p>
        </w:tc>
      </w:tr>
    </w:tbl>
    <w:p>
      <w:pPr>
        <w:sectPr>
          <w:pgSz w:w="11900" w:h="16838" w:orient="portrait"/>
          <w:cols w:equalWidth="0" w:num="1">
            <w:col w:w="11420"/>
          </w:cols>
          <w:pgMar w:left="240" w:top="405" w:right="239" w:bottom="1440" w:gutter="0" w:footer="0" w:header="0"/>
        </w:sectPr>
      </w:pPr>
    </w:p>
    <w:bookmarkStart w:id="180" w:name="page181"/>
    <w:bookmarkEnd w:id="180"/>
    <w:p>
      <w:pPr>
        <w:spacing w:after="0"/>
        <w:rPr>
          <w:sz w:val="20"/>
          <w:szCs w:val="20"/>
          <w:color w:val="auto"/>
        </w:rPr>
      </w:pPr>
      <w:r>
        <w:rPr>
          <w:rFonts w:ascii="Arial" w:cs="Arial" w:eastAsia="Arial" w:hAnsi="Arial"/>
          <w:sz w:val="18"/>
          <w:szCs w:val="18"/>
          <w:b w:val="1"/>
          <w:bCs w:val="1"/>
          <w:color w:val="4C9F40"/>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REPORT OF INDEPENDENT REGISTERED PUBLIC ACCOUNTING FIRM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Xerox Corporation:</w:t>
      </w:r>
    </w:p>
    <w:p>
      <w:pPr>
        <w:spacing w:after="0" w:line="15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 xml:space="preserve">In our opinion, the accompanying consolidated balance sheets and the related consolidated statements of income, cash flows and shareholders’ equity present fairly, in all material respects, the financial position of Xerox Corporation and its subsidiaries at December 31, 2010 and 2009, and the results of their operations and their cash flows for each of the three years in the period ended December 31, 2010 in conformity with accounting principles generally accepted in the United States of America. Also in our opinion, the Company maintained, in all material respects, effective internal control over financial reporting as of December 31, 2010,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(COSO). 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0"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54"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u w:val="single" w:color="auto"/>
          <w:color w:val="auto"/>
        </w:rPr>
        <w:t>/s/</w:t>
        <w:tab/>
        <w:t>P</w:t>
      </w:r>
      <w:r>
        <w:rPr>
          <w:rFonts w:ascii="Arial" w:cs="Arial" w:eastAsia="Arial" w:hAnsi="Arial"/>
          <w:sz w:val="14"/>
          <w:szCs w:val="14"/>
          <w:u w:val="single" w:color="auto"/>
          <w:color w:val="auto"/>
        </w:rPr>
        <w:t>RICEWATERHOUSE</w:t>
      </w:r>
      <w:r>
        <w:rPr>
          <w:rFonts w:ascii="Arial" w:cs="Arial" w:eastAsia="Arial" w:hAnsi="Arial"/>
          <w:sz w:val="18"/>
          <w:szCs w:val="18"/>
          <w:u w:val="single" w:color="auto"/>
          <w:color w:val="auto"/>
        </w:rPr>
        <w:t>C</w:t>
      </w:r>
      <w:r>
        <w:rPr>
          <w:rFonts w:ascii="Arial" w:cs="Arial" w:eastAsia="Arial" w:hAnsi="Arial"/>
          <w:sz w:val="14"/>
          <w:szCs w:val="14"/>
          <w:u w:val="single" w:color="auto"/>
          <w:color w:val="auto"/>
        </w:rPr>
        <w:t>OOPERS</w:t>
      </w:r>
      <w:r>
        <w:rPr>
          <w:rFonts w:ascii="Arial" w:cs="Arial" w:eastAsia="Arial" w:hAnsi="Arial"/>
          <w:sz w:val="18"/>
          <w:szCs w:val="18"/>
          <w:u w:val="single" w:color="auto"/>
          <w:color w:val="auto"/>
        </w:rPr>
        <w:t xml:space="preserve"> LLP</w:t>
      </w:r>
    </w:p>
    <w:p>
      <w:pPr>
        <w:spacing w:after="0" w:line="234" w:lineRule="auto"/>
        <w:rPr>
          <w:sz w:val="20"/>
          <w:szCs w:val="20"/>
          <w:color w:val="auto"/>
        </w:rPr>
      </w:pPr>
      <w:r>
        <w:rPr>
          <w:rFonts w:ascii="Arial" w:cs="Arial" w:eastAsia="Arial" w:hAnsi="Arial"/>
          <w:sz w:val="18"/>
          <w:szCs w:val="18"/>
          <w:b w:val="1"/>
          <w:bCs w:val="1"/>
          <w:color w:val="auto"/>
        </w:rPr>
        <w:t>PricewaterhouseCoopers LLP</w:t>
      </w:r>
    </w:p>
    <w:p>
      <w:pPr>
        <w:spacing w:after="0" w:line="235" w:lineRule="auto"/>
        <w:rPr>
          <w:sz w:val="20"/>
          <w:szCs w:val="20"/>
          <w:color w:val="auto"/>
        </w:rPr>
      </w:pPr>
      <w:r>
        <w:rPr>
          <w:rFonts w:ascii="Arial" w:cs="Arial" w:eastAsia="Arial" w:hAnsi="Arial"/>
          <w:sz w:val="18"/>
          <w:szCs w:val="18"/>
          <w:color w:val="auto"/>
        </w:rPr>
        <w:t>Stamford, Connecticut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2011</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4"/>
          <w:szCs w:val="14"/>
          <w:color w:val="4C9F40"/>
        </w:rPr>
        <w:t>Xerox 2010 Annual Report 104</w:t>
      </w:r>
    </w:p>
    <w:p>
      <w:pPr>
        <w:sectPr>
          <w:pgSz w:w="11900" w:h="16838" w:orient="portrait"/>
          <w:cols w:equalWidth="0" w:num="1">
            <w:col w:w="11420"/>
          </w:cols>
          <w:pgMar w:left="240" w:top="404" w:right="239" w:bottom="1440" w:gutter="0" w:footer="0" w:header="0"/>
        </w:sectPr>
      </w:pPr>
    </w:p>
    <w:bookmarkStart w:id="181" w:name="page182"/>
    <w:bookmarkEnd w:id="181"/>
    <w:p>
      <w:pPr>
        <w:spacing w:after="0"/>
        <w:rPr>
          <w:sz w:val="20"/>
          <w:szCs w:val="20"/>
          <w:color w:val="auto"/>
        </w:rPr>
      </w:pPr>
      <w:r>
        <w:rPr>
          <w:rFonts w:ascii="Arial" w:cs="Arial" w:eastAsia="Arial" w:hAnsi="Arial"/>
          <w:sz w:val="18"/>
          <w:szCs w:val="18"/>
          <w:b w:val="1"/>
          <w:bCs w:val="1"/>
          <w:color w:val="4C9F40"/>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46620" cy="8890"/>
                    </a:xfrm>
                    <a:prstGeom prst="rect">
                      <a:avLst/>
                    </a:prstGeom>
                    <a:noFill/>
                  </pic:spPr>
                </pic:pic>
              </a:graphicData>
            </a:graphic>
          </wp:anchor>
        </w:drawing>
        <w:t>QUARTERLY RESULTS OF OPERATIONS (Unaudited)</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b w:val="1"/>
          <w:bCs w:val="1"/>
          <w:color w:val="4C9F40"/>
        </w:rPr>
        <w:t>(in millions, except per-share data)</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4"/>
                <w:szCs w:val="14"/>
                <w:color w:val="auto"/>
              </w:rPr>
              <w:t>First</w:t>
            </w:r>
          </w:p>
        </w:tc>
        <w:tc>
          <w:tcPr>
            <w:tcW w:w="760" w:type="dxa"/>
            <w:vAlign w:val="bottom"/>
            <w:gridSpan w:val="3"/>
          </w:tcPr>
          <w:p>
            <w:pPr>
              <w:jc w:val="right"/>
              <w:ind w:right="220"/>
              <w:spacing w:after="0"/>
              <w:rPr>
                <w:sz w:val="20"/>
                <w:szCs w:val="20"/>
                <w:color w:val="auto"/>
              </w:rPr>
            </w:pPr>
            <w:r>
              <w:rPr>
                <w:rFonts w:ascii="Arial" w:cs="Arial" w:eastAsia="Arial" w:hAnsi="Arial"/>
                <w:sz w:val="14"/>
                <w:szCs w:val="14"/>
                <w:color w:val="auto"/>
              </w:rPr>
              <w:t>Second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4"/>
                <w:szCs w:val="14"/>
                <w:color w:val="auto"/>
              </w:rPr>
              <w:t>Third</w:t>
            </w:r>
          </w:p>
        </w:tc>
        <w:tc>
          <w:tcPr>
            <w:tcW w:w="120" w:type="dxa"/>
            <w:vAlign w:val="bottom"/>
          </w:tcPr>
          <w:p>
            <w:pPr>
              <w:spacing w:after="0"/>
              <w:rPr>
                <w:sz w:val="14"/>
                <w:szCs w:val="14"/>
                <w:color w:val="auto"/>
              </w:rPr>
            </w:pPr>
          </w:p>
        </w:tc>
        <w:tc>
          <w:tcPr>
            <w:tcW w:w="740" w:type="dxa"/>
            <w:vAlign w:val="bottom"/>
            <w:gridSpan w:val="2"/>
          </w:tcPr>
          <w:p>
            <w:pPr>
              <w:jc w:val="center"/>
              <w:ind w:right="320"/>
              <w:spacing w:after="0"/>
              <w:rPr>
                <w:sz w:val="20"/>
                <w:szCs w:val="20"/>
                <w:color w:val="auto"/>
              </w:rPr>
            </w:pPr>
            <w:r>
              <w:rPr>
                <w:rFonts w:ascii="Arial" w:cs="Arial" w:eastAsia="Arial" w:hAnsi="Arial"/>
                <w:sz w:val="14"/>
                <w:szCs w:val="14"/>
                <w:color w:val="auto"/>
                <w:w w:val="93"/>
              </w:rPr>
              <w:t>Fourth</w:t>
            </w:r>
          </w:p>
        </w:tc>
        <w:tc>
          <w:tcPr>
            <w:tcW w:w="160" w:type="dxa"/>
            <w:vAlign w:val="bottom"/>
          </w:tcPr>
          <w:p>
            <w:pPr>
              <w:spacing w:after="0"/>
              <w:rPr>
                <w:sz w:val="14"/>
                <w:szCs w:val="14"/>
                <w:color w:val="auto"/>
              </w:rPr>
            </w:pPr>
          </w:p>
        </w:tc>
        <w:tc>
          <w:tcPr>
            <w:tcW w:w="700" w:type="dxa"/>
            <w:vAlign w:val="bottom"/>
            <w:gridSpan w:val="2"/>
          </w:tcPr>
          <w:p>
            <w:pPr>
              <w:jc w:val="center"/>
              <w:ind w:right="260"/>
              <w:spacing w:after="0"/>
              <w:rPr>
                <w:sz w:val="20"/>
                <w:szCs w:val="20"/>
                <w:color w:val="auto"/>
              </w:rPr>
            </w:pPr>
            <w:r>
              <w:rPr>
                <w:rFonts w:ascii="Arial" w:cs="Arial" w:eastAsia="Arial" w:hAnsi="Arial"/>
                <w:sz w:val="14"/>
                <w:szCs w:val="14"/>
                <w:color w:val="auto"/>
                <w:w w:val="88"/>
              </w:rPr>
              <w:t>Full</w:t>
            </w:r>
          </w:p>
        </w:tc>
      </w:tr>
      <w:tr>
        <w:trPr>
          <w:trHeight w:val="149"/>
        </w:trPr>
        <w:tc>
          <w:tcPr>
            <w:tcW w:w="59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6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Quarter</w:t>
            </w:r>
          </w:p>
        </w:tc>
        <w:tc>
          <w:tcPr>
            <w:tcW w:w="76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Quarter</w:t>
            </w:r>
          </w:p>
        </w:tc>
        <w:tc>
          <w:tcPr>
            <w:tcW w:w="100" w:type="dxa"/>
            <w:vAlign w:val="bottom"/>
          </w:tcPr>
          <w:p>
            <w:pPr>
              <w:spacing w:after="0"/>
              <w:rPr>
                <w:sz w:val="12"/>
                <w:szCs w:val="12"/>
                <w:color w:val="auto"/>
              </w:rPr>
            </w:pPr>
          </w:p>
        </w:tc>
        <w:tc>
          <w:tcPr>
            <w:tcW w:w="86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Quarter</w:t>
            </w:r>
          </w:p>
        </w:tc>
        <w:tc>
          <w:tcPr>
            <w:tcW w:w="86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6"/>
              </w:rPr>
              <w:t>Quarter</w:t>
            </w:r>
          </w:p>
        </w:tc>
        <w:tc>
          <w:tcPr>
            <w:tcW w:w="160" w:type="dxa"/>
            <w:vAlign w:val="bottom"/>
          </w:tcPr>
          <w:p>
            <w:pPr>
              <w:spacing w:after="0"/>
              <w:rPr>
                <w:sz w:val="12"/>
                <w:szCs w:val="12"/>
                <w:color w:val="auto"/>
              </w:rPr>
            </w:pPr>
          </w:p>
        </w:tc>
        <w:tc>
          <w:tcPr>
            <w:tcW w:w="7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4"/>
              </w:rPr>
              <w:t>Year</w:t>
            </w:r>
          </w:p>
        </w:tc>
      </w:tr>
      <w:tr>
        <w:trPr>
          <w:trHeight w:val="196"/>
        </w:trPr>
        <w:tc>
          <w:tcPr>
            <w:tcW w:w="5960" w:type="dxa"/>
            <w:vAlign w:val="bottom"/>
            <w:shd w:val="clear" w:color="auto" w:fill="E5E5E5"/>
          </w:tcPr>
          <w:p>
            <w:pPr>
              <w:spacing w:after="0" w:line="196" w:lineRule="exact"/>
              <w:rPr>
                <w:sz w:val="20"/>
                <w:szCs w:val="20"/>
                <w:color w:val="auto"/>
              </w:rPr>
            </w:pPr>
            <w:r>
              <w:rPr>
                <w:rFonts w:ascii="Arial" w:cs="Arial" w:eastAsia="Arial" w:hAnsi="Arial"/>
                <w:sz w:val="18"/>
                <w:szCs w:val="18"/>
                <w:b w:val="1"/>
                <w:bCs w:val="1"/>
                <w:color w:val="auto"/>
              </w:rPr>
              <w:t>2010</w:t>
            </w:r>
          </w:p>
        </w:tc>
        <w:tc>
          <w:tcPr>
            <w:tcW w:w="1160" w:type="dxa"/>
            <w:vAlign w:val="bottom"/>
            <w:shd w:val="clear" w:color="auto" w:fill="E5E5E5"/>
          </w:tcPr>
          <w:p>
            <w:pPr>
              <w:spacing w:after="0"/>
              <w:rPr>
                <w:sz w:val="17"/>
                <w:szCs w:val="17"/>
                <w:color w:val="auto"/>
              </w:rPr>
            </w:pPr>
          </w:p>
        </w:tc>
        <w:tc>
          <w:tcPr>
            <w:tcW w:w="160" w:type="dxa"/>
            <w:vAlign w:val="bottom"/>
            <w:tcBorders>
              <w:top w:val="single" w:sz="8" w:color="auto"/>
            </w:tcBorders>
            <w:shd w:val="clear" w:color="auto" w:fill="E5E5E5"/>
          </w:tcPr>
          <w:p>
            <w:pPr>
              <w:spacing w:after="0"/>
              <w:rPr>
                <w:sz w:val="17"/>
                <w:szCs w:val="17"/>
                <w:color w:val="auto"/>
              </w:rPr>
            </w:pPr>
          </w:p>
        </w:tc>
        <w:tc>
          <w:tcPr>
            <w:tcW w:w="500" w:type="dxa"/>
            <w:vAlign w:val="bottom"/>
            <w:tcBorders>
              <w:top w:val="single" w:sz="8" w:color="auto"/>
            </w:tcBorders>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40" w:type="dxa"/>
            <w:vAlign w:val="bottom"/>
            <w:tcBorders>
              <w:top w:val="single" w:sz="8" w:color="auto"/>
            </w:tcBorders>
            <w:shd w:val="clear" w:color="auto" w:fill="E5E5E5"/>
          </w:tcPr>
          <w:p>
            <w:pPr>
              <w:spacing w:after="0"/>
              <w:rPr>
                <w:sz w:val="17"/>
                <w:szCs w:val="17"/>
                <w:color w:val="auto"/>
              </w:rPr>
            </w:pPr>
          </w:p>
        </w:tc>
        <w:tc>
          <w:tcPr>
            <w:tcW w:w="500" w:type="dxa"/>
            <w:vAlign w:val="bottom"/>
            <w:tcBorders>
              <w:top w:val="single" w:sz="8" w:color="auto"/>
            </w:tcBorders>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40" w:type="dxa"/>
            <w:vAlign w:val="bottom"/>
            <w:tcBorders>
              <w:top w:val="single" w:sz="8" w:color="auto"/>
            </w:tcBorders>
            <w:shd w:val="clear" w:color="auto" w:fill="E5E5E5"/>
          </w:tcPr>
          <w:p>
            <w:pPr>
              <w:spacing w:after="0"/>
              <w:rPr>
                <w:sz w:val="17"/>
                <w:szCs w:val="17"/>
                <w:color w:val="auto"/>
              </w:rPr>
            </w:pPr>
          </w:p>
        </w:tc>
        <w:tc>
          <w:tcPr>
            <w:tcW w:w="500" w:type="dxa"/>
            <w:vAlign w:val="bottom"/>
            <w:tcBorders>
              <w:top w:val="single" w:sz="8" w:color="auto"/>
            </w:tcBorders>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20" w:type="dxa"/>
            <w:vAlign w:val="bottom"/>
            <w:tcBorders>
              <w:top w:val="single" w:sz="8" w:color="auto"/>
            </w:tcBorders>
            <w:shd w:val="clear" w:color="auto" w:fill="E5E5E5"/>
          </w:tcPr>
          <w:p>
            <w:pPr>
              <w:spacing w:after="0"/>
              <w:rPr>
                <w:sz w:val="17"/>
                <w:szCs w:val="17"/>
                <w:color w:val="auto"/>
              </w:rPr>
            </w:pPr>
          </w:p>
        </w:tc>
        <w:tc>
          <w:tcPr>
            <w:tcW w:w="540" w:type="dxa"/>
            <w:vAlign w:val="bottom"/>
            <w:tcBorders>
              <w:top w:val="single" w:sz="8" w:color="auto"/>
            </w:tcBorders>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60" w:type="dxa"/>
            <w:vAlign w:val="bottom"/>
            <w:tcBorders>
              <w:top w:val="single" w:sz="8" w:color="auto"/>
            </w:tcBorders>
            <w:shd w:val="clear" w:color="auto" w:fill="E5E5E5"/>
          </w:tcPr>
          <w:p>
            <w:pPr>
              <w:spacing w:after="0"/>
              <w:rPr>
                <w:sz w:val="17"/>
                <w:szCs w:val="17"/>
                <w:color w:val="auto"/>
              </w:rPr>
            </w:pPr>
          </w:p>
        </w:tc>
        <w:tc>
          <w:tcPr>
            <w:tcW w:w="600" w:type="dxa"/>
            <w:vAlign w:val="bottom"/>
            <w:tcBorders>
              <w:top w:val="single" w:sz="8" w:color="auto"/>
            </w:tcBorders>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r>
      <w:tr>
        <w:trPr>
          <w:trHeight w:val="203"/>
        </w:trPr>
        <w:tc>
          <w:tcPr>
            <w:tcW w:w="5960" w:type="dxa"/>
            <w:vAlign w:val="bottom"/>
          </w:tcPr>
          <w:p>
            <w:pPr>
              <w:spacing w:after="0" w:line="202" w:lineRule="exact"/>
              <w:rPr>
                <w:sz w:val="20"/>
                <w:szCs w:val="20"/>
                <w:color w:val="auto"/>
              </w:rPr>
            </w:pPr>
            <w:r>
              <w:rPr>
                <w:rFonts w:ascii="Arial" w:cs="Arial" w:eastAsia="Arial" w:hAnsi="Arial"/>
                <w:sz w:val="18"/>
                <w:szCs w:val="18"/>
                <w:color w:val="auto"/>
              </w:rPr>
              <w:t>Revenues</w:t>
            </w: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4,721</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5,508</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5,428</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5,976</w:t>
            </w:r>
          </w:p>
        </w:tc>
        <w:tc>
          <w:tcPr>
            <w:tcW w:w="20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21,633</w:t>
            </w:r>
          </w:p>
        </w:tc>
        <w:tc>
          <w:tcPr>
            <w:tcW w:w="100" w:type="dxa"/>
            <w:vAlign w:val="bottom"/>
          </w:tcPr>
          <w:p>
            <w:pPr>
              <w:spacing w:after="0"/>
              <w:rPr>
                <w:sz w:val="17"/>
                <w:szCs w:val="17"/>
                <w:color w:val="auto"/>
              </w:rPr>
            </w:pPr>
          </w:p>
        </w:tc>
      </w:tr>
      <w:tr>
        <w:trPr>
          <w:trHeight w:val="203"/>
        </w:trPr>
        <w:tc>
          <w:tcPr>
            <w:tcW w:w="59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 xml:space="preserve">Costs and Expenses </w:t>
            </w:r>
            <w:r>
              <w:rPr>
                <w:rFonts w:ascii="Arial" w:cs="Arial" w:eastAsia="Arial" w:hAnsi="Arial"/>
                <w:sz w:val="11"/>
                <w:szCs w:val="11"/>
                <w:color w:val="auto"/>
              </w:rPr>
              <w:t>(1)</w:t>
            </w:r>
          </w:p>
        </w:tc>
        <w:tc>
          <w:tcPr>
            <w:tcW w:w="11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5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4,731</w:t>
            </w:r>
          </w:p>
        </w:tc>
        <w:tc>
          <w:tcPr>
            <w:tcW w:w="20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6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5,188</w:t>
            </w:r>
          </w:p>
        </w:tc>
        <w:tc>
          <w:tcPr>
            <w:tcW w:w="10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5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5,100</w:t>
            </w:r>
          </w:p>
        </w:tc>
        <w:tc>
          <w:tcPr>
            <w:tcW w:w="2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5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5,799</w:t>
            </w:r>
          </w:p>
        </w:tc>
        <w:tc>
          <w:tcPr>
            <w:tcW w:w="2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7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20,818</w:t>
            </w:r>
          </w:p>
        </w:tc>
      </w:tr>
      <w:tr>
        <w:trPr>
          <w:trHeight w:val="20"/>
        </w:trPr>
        <w:tc>
          <w:tcPr>
            <w:tcW w:w="5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60" w:type="dxa"/>
            <w:vAlign w:val="bottom"/>
          </w:tcPr>
          <w:p>
            <w:pPr>
              <w:spacing w:after="0"/>
              <w:rPr>
                <w:sz w:val="20"/>
                <w:szCs w:val="20"/>
                <w:color w:val="auto"/>
              </w:rPr>
            </w:pPr>
            <w:r>
              <w:rPr>
                <w:rFonts w:ascii="Arial" w:cs="Arial" w:eastAsia="Arial" w:hAnsi="Arial"/>
                <w:sz w:val="18"/>
                <w:szCs w:val="18"/>
                <w:color w:val="auto"/>
              </w:rPr>
              <w:t>(Loss) Income before Income Taxes and Equity Income</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815</w:t>
            </w:r>
          </w:p>
        </w:tc>
        <w:tc>
          <w:tcPr>
            <w:tcW w:w="100" w:type="dxa"/>
            <w:vAlign w:val="bottom"/>
          </w:tcPr>
          <w:p>
            <w:pPr>
              <w:spacing w:after="0"/>
              <w:rPr>
                <w:sz w:val="18"/>
                <w:szCs w:val="18"/>
                <w:color w:val="auto"/>
              </w:rPr>
            </w:pPr>
          </w:p>
        </w:tc>
      </w:tr>
      <w:tr>
        <w:trPr>
          <w:trHeight w:val="203"/>
        </w:trPr>
        <w:tc>
          <w:tcPr>
            <w:tcW w:w="5960" w:type="dxa"/>
            <w:vAlign w:val="bottom"/>
            <w:shd w:val="clear" w:color="auto" w:fill="E5E5E5"/>
          </w:tcPr>
          <w:p>
            <w:pPr>
              <w:ind w:left="440"/>
              <w:spacing w:after="0" w:line="202" w:lineRule="exact"/>
              <w:rPr>
                <w:sz w:val="20"/>
                <w:szCs w:val="20"/>
                <w:color w:val="auto"/>
              </w:rPr>
            </w:pPr>
            <w:r>
              <w:rPr>
                <w:rFonts w:ascii="Arial" w:cs="Arial" w:eastAsia="Arial" w:hAnsi="Arial"/>
                <w:sz w:val="18"/>
                <w:szCs w:val="18"/>
                <w:color w:val="auto"/>
              </w:rPr>
              <w:t xml:space="preserve">Income tax expenses </w:t>
            </w:r>
            <w:r>
              <w:rPr>
                <w:rFonts w:ascii="Arial" w:cs="Arial" w:eastAsia="Arial" w:hAnsi="Arial"/>
                <w:sz w:val="11"/>
                <w:szCs w:val="11"/>
                <w:color w:val="auto"/>
              </w:rPr>
              <w:t>(2)</w:t>
            </w:r>
          </w:p>
        </w:tc>
        <w:tc>
          <w:tcPr>
            <w:tcW w:w="11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70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22</w:t>
            </w:r>
          </w:p>
        </w:tc>
        <w:tc>
          <w:tcPr>
            <w:tcW w:w="140" w:type="dxa"/>
            <w:vAlign w:val="bottom"/>
            <w:shd w:val="clear" w:color="auto" w:fill="E5E5E5"/>
          </w:tcPr>
          <w:p>
            <w:pPr>
              <w:spacing w:after="0"/>
              <w:rPr>
                <w:sz w:val="17"/>
                <w:szCs w:val="17"/>
                <w:color w:val="auto"/>
              </w:rPr>
            </w:pPr>
          </w:p>
        </w:tc>
        <w:tc>
          <w:tcPr>
            <w:tcW w:w="6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112</w:t>
            </w:r>
          </w:p>
        </w:tc>
        <w:tc>
          <w:tcPr>
            <w:tcW w:w="10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72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98</w:t>
            </w:r>
          </w:p>
        </w:tc>
        <w:tc>
          <w:tcPr>
            <w:tcW w:w="120" w:type="dxa"/>
            <w:vAlign w:val="bottom"/>
            <w:shd w:val="clear" w:color="auto" w:fill="E5E5E5"/>
          </w:tcPr>
          <w:p>
            <w:pPr>
              <w:spacing w:after="0"/>
              <w:rPr>
                <w:sz w:val="17"/>
                <w:szCs w:val="17"/>
                <w:color w:val="auto"/>
              </w:rPr>
            </w:pPr>
          </w:p>
        </w:tc>
        <w:tc>
          <w:tcPr>
            <w:tcW w:w="5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24</w:t>
            </w:r>
          </w:p>
        </w:tc>
        <w:tc>
          <w:tcPr>
            <w:tcW w:w="2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6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256</w:t>
            </w:r>
          </w:p>
        </w:tc>
        <w:tc>
          <w:tcPr>
            <w:tcW w:w="100" w:type="dxa"/>
            <w:vAlign w:val="bottom"/>
            <w:shd w:val="clear" w:color="auto" w:fill="E5E5E5"/>
          </w:tcPr>
          <w:p>
            <w:pPr>
              <w:spacing w:after="0"/>
              <w:rPr>
                <w:sz w:val="17"/>
                <w:szCs w:val="17"/>
                <w:color w:val="auto"/>
              </w:rPr>
            </w:pPr>
          </w:p>
        </w:tc>
      </w:tr>
      <w:tr>
        <w:trPr>
          <w:trHeight w:val="203"/>
        </w:trPr>
        <w:tc>
          <w:tcPr>
            <w:tcW w:w="5960" w:type="dxa"/>
            <w:vAlign w:val="bottom"/>
          </w:tcPr>
          <w:p>
            <w:pPr>
              <w:ind w:left="440"/>
              <w:spacing w:after="0" w:line="202" w:lineRule="exact"/>
              <w:rPr>
                <w:sz w:val="20"/>
                <w:szCs w:val="20"/>
                <w:color w:val="auto"/>
              </w:rPr>
            </w:pPr>
            <w:r>
              <w:rPr>
                <w:rFonts w:ascii="Arial" w:cs="Arial" w:eastAsia="Arial" w:hAnsi="Arial"/>
                <w:sz w:val="18"/>
                <w:szCs w:val="18"/>
                <w:color w:val="auto"/>
              </w:rPr>
              <w:t xml:space="preserve">Equity in net (loss) income of unconsolidated affiliates </w:t>
            </w:r>
            <w:r>
              <w:rPr>
                <w:rFonts w:ascii="Arial" w:cs="Arial" w:eastAsia="Arial" w:hAnsi="Arial"/>
                <w:sz w:val="11"/>
                <w:szCs w:val="11"/>
                <w:color w:val="auto"/>
              </w:rPr>
              <w:t>(3)</w:t>
            </w: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w:t>
            </w:r>
          </w:p>
        </w:tc>
        <w:tc>
          <w:tcPr>
            <w:tcW w:w="140" w:type="dxa"/>
            <w:vAlign w:val="bottom"/>
          </w:tcPr>
          <w:p>
            <w:pPr>
              <w:spacing w:after="0"/>
              <w:rPr>
                <w:sz w:val="17"/>
                <w:szCs w:val="17"/>
                <w:color w:val="auto"/>
              </w:rPr>
            </w:pPr>
          </w:p>
        </w:tc>
        <w:tc>
          <w:tcPr>
            <w:tcW w:w="6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26</w:t>
            </w:r>
          </w:p>
        </w:tc>
        <w:tc>
          <w:tcPr>
            <w:tcW w:w="1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26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78</w:t>
            </w:r>
          </w:p>
        </w:tc>
      </w:tr>
      <w:tr>
        <w:trPr>
          <w:trHeight w:val="27"/>
        </w:trPr>
        <w:tc>
          <w:tcPr>
            <w:tcW w:w="59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59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Net (Loss) Income</w:t>
            </w:r>
          </w:p>
        </w:tc>
        <w:tc>
          <w:tcPr>
            <w:tcW w:w="11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70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(34)</w:t>
            </w:r>
          </w:p>
        </w:tc>
        <w:tc>
          <w:tcPr>
            <w:tcW w:w="140" w:type="dxa"/>
            <w:vAlign w:val="bottom"/>
            <w:shd w:val="clear" w:color="auto" w:fill="E5E5E5"/>
          </w:tcPr>
          <w:p>
            <w:pPr>
              <w:spacing w:after="0"/>
              <w:rPr>
                <w:sz w:val="17"/>
                <w:szCs w:val="17"/>
                <w:color w:val="auto"/>
              </w:rPr>
            </w:pPr>
          </w:p>
        </w:tc>
        <w:tc>
          <w:tcPr>
            <w:tcW w:w="6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236</w:t>
            </w:r>
          </w:p>
        </w:tc>
        <w:tc>
          <w:tcPr>
            <w:tcW w:w="10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5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256</w:t>
            </w:r>
          </w:p>
        </w:tc>
        <w:tc>
          <w:tcPr>
            <w:tcW w:w="2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5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179</w:t>
            </w:r>
          </w:p>
        </w:tc>
        <w:tc>
          <w:tcPr>
            <w:tcW w:w="2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6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637</w:t>
            </w:r>
          </w:p>
        </w:tc>
        <w:tc>
          <w:tcPr>
            <w:tcW w:w="100" w:type="dxa"/>
            <w:vAlign w:val="bottom"/>
            <w:shd w:val="clear" w:color="auto" w:fill="E5E5E5"/>
          </w:tcPr>
          <w:p>
            <w:pPr>
              <w:spacing w:after="0"/>
              <w:rPr>
                <w:sz w:val="17"/>
                <w:szCs w:val="17"/>
                <w:color w:val="auto"/>
              </w:rPr>
            </w:pPr>
          </w:p>
        </w:tc>
      </w:tr>
      <w:tr>
        <w:trPr>
          <w:trHeight w:val="203"/>
        </w:trPr>
        <w:tc>
          <w:tcPr>
            <w:tcW w:w="5960" w:type="dxa"/>
            <w:vAlign w:val="bottom"/>
          </w:tcPr>
          <w:p>
            <w:pPr>
              <w:ind w:left="440"/>
              <w:spacing w:after="0" w:line="202" w:lineRule="exact"/>
              <w:rPr>
                <w:sz w:val="20"/>
                <w:szCs w:val="20"/>
                <w:color w:val="auto"/>
              </w:rPr>
            </w:pPr>
            <w:r>
              <w:rPr>
                <w:rFonts w:ascii="Arial" w:cs="Arial" w:eastAsia="Arial" w:hAnsi="Arial"/>
                <w:sz w:val="18"/>
                <w:szCs w:val="18"/>
                <w:color w:val="auto"/>
              </w:rPr>
              <w:t>Less: Net income - noncontrolling interests</w:t>
            </w: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w:t>
            </w:r>
          </w:p>
        </w:tc>
        <w:tc>
          <w:tcPr>
            <w:tcW w:w="120" w:type="dxa"/>
            <w:vAlign w:val="bottom"/>
          </w:tcPr>
          <w:p>
            <w:pPr>
              <w:spacing w:after="0"/>
              <w:rPr>
                <w:sz w:val="17"/>
                <w:szCs w:val="17"/>
                <w:color w:val="auto"/>
              </w:rPr>
            </w:pPr>
          </w:p>
        </w:tc>
        <w:tc>
          <w:tcPr>
            <w:tcW w:w="7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8</w:t>
            </w:r>
          </w:p>
        </w:tc>
        <w:tc>
          <w:tcPr>
            <w:tcW w:w="160" w:type="dxa"/>
            <w:vAlign w:val="bottom"/>
          </w:tcPr>
          <w:p>
            <w:pPr>
              <w:spacing w:after="0"/>
              <w:rPr>
                <w:sz w:val="17"/>
                <w:szCs w:val="17"/>
                <w:color w:val="auto"/>
              </w:rPr>
            </w:pPr>
          </w:p>
        </w:tc>
        <w:tc>
          <w:tcPr>
            <w:tcW w:w="7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31</w:t>
            </w:r>
          </w:p>
        </w:tc>
      </w:tr>
      <w:tr>
        <w:trPr>
          <w:trHeight w:val="27"/>
        </w:trPr>
        <w:tc>
          <w:tcPr>
            <w:tcW w:w="59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59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Net (Loss) Income Attributable to Xerox</w:t>
            </w:r>
          </w:p>
        </w:tc>
        <w:tc>
          <w:tcPr>
            <w:tcW w:w="1160" w:type="dxa"/>
            <w:vAlign w:val="bottom"/>
            <w:shd w:val="clear" w:color="auto" w:fill="E5E5E5"/>
          </w:tcPr>
          <w:p>
            <w:pPr>
              <w:spacing w:after="0"/>
              <w:rPr>
                <w:sz w:val="17"/>
                <w:szCs w:val="17"/>
                <w:color w:val="auto"/>
              </w:rPr>
            </w:pPr>
          </w:p>
        </w:tc>
        <w:tc>
          <w:tcPr>
            <w:tcW w:w="1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(42)</w:t>
            </w:r>
          </w:p>
        </w:tc>
        <w:tc>
          <w:tcPr>
            <w:tcW w:w="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227</w:t>
            </w:r>
          </w:p>
        </w:tc>
        <w:tc>
          <w:tcPr>
            <w:tcW w:w="24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250</w:t>
            </w:r>
          </w:p>
        </w:tc>
        <w:tc>
          <w:tcPr>
            <w:tcW w:w="220" w:type="dxa"/>
            <w:vAlign w:val="bottom"/>
            <w:shd w:val="clear" w:color="auto" w:fill="E5E5E5"/>
          </w:tcPr>
          <w:p>
            <w:pPr>
              <w:spacing w:after="0"/>
              <w:rPr>
                <w:sz w:val="17"/>
                <w:szCs w:val="17"/>
                <w:color w:val="auto"/>
              </w:rPr>
            </w:pPr>
          </w:p>
        </w:tc>
        <w:tc>
          <w:tcPr>
            <w:tcW w:w="1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171</w:t>
            </w:r>
          </w:p>
        </w:tc>
        <w:tc>
          <w:tcPr>
            <w:tcW w:w="200" w:type="dxa"/>
            <w:vAlign w:val="bottom"/>
            <w:shd w:val="clear" w:color="auto" w:fill="E5E5E5"/>
          </w:tcPr>
          <w:p>
            <w:pPr>
              <w:spacing w:after="0"/>
              <w:rPr>
                <w:sz w:val="17"/>
                <w:szCs w:val="17"/>
                <w:color w:val="auto"/>
              </w:rPr>
            </w:pPr>
          </w:p>
        </w:tc>
        <w:tc>
          <w:tcPr>
            <w:tcW w:w="1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606</w:t>
            </w:r>
          </w:p>
        </w:tc>
        <w:tc>
          <w:tcPr>
            <w:tcW w:w="100" w:type="dxa"/>
            <w:vAlign w:val="bottom"/>
            <w:shd w:val="clear" w:color="auto" w:fill="E5E5E5"/>
          </w:tcPr>
          <w:p>
            <w:pPr>
              <w:spacing w:after="0"/>
              <w:rPr>
                <w:sz w:val="17"/>
                <w:szCs w:val="17"/>
                <w:color w:val="auto"/>
              </w:rPr>
            </w:pPr>
          </w:p>
        </w:tc>
      </w:tr>
      <w:tr>
        <w:trPr>
          <w:trHeight w:val="20"/>
        </w:trPr>
        <w:tc>
          <w:tcPr>
            <w:tcW w:w="5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5960" w:type="dxa"/>
            <w:vAlign w:val="bottom"/>
          </w:tcPr>
          <w:p>
            <w:pPr>
              <w:spacing w:after="0"/>
              <w:rPr>
                <w:sz w:val="20"/>
                <w:szCs w:val="20"/>
                <w:color w:val="auto"/>
              </w:rPr>
            </w:pPr>
            <w:r>
              <w:rPr>
                <w:rFonts w:ascii="Arial" w:cs="Arial" w:eastAsia="Arial" w:hAnsi="Arial"/>
                <w:sz w:val="18"/>
                <w:szCs w:val="18"/>
                <w:color w:val="auto"/>
              </w:rPr>
              <w:t xml:space="preserve">Basic Earnings per Share </w:t>
            </w:r>
            <w:r>
              <w:rPr>
                <w:rFonts w:ascii="Arial" w:cs="Arial" w:eastAsia="Arial" w:hAnsi="Arial"/>
                <w:sz w:val="11"/>
                <w:szCs w:val="11"/>
                <w:color w:val="auto"/>
              </w:rPr>
              <w:t>(4)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(0.04)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0.16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0.18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0.12</w:t>
            </w:r>
          </w:p>
        </w:tc>
        <w:tc>
          <w:tcPr>
            <w:tcW w:w="2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0.44</w:t>
            </w:r>
          </w:p>
        </w:tc>
      </w:tr>
      <w:tr>
        <w:trPr>
          <w:trHeight w:val="203"/>
        </w:trPr>
        <w:tc>
          <w:tcPr>
            <w:tcW w:w="59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 xml:space="preserve">Diluted Earnings per Share </w:t>
            </w:r>
            <w:r>
              <w:rPr>
                <w:rFonts w:ascii="Arial" w:cs="Arial" w:eastAsia="Arial" w:hAnsi="Arial"/>
                <w:sz w:val="11"/>
                <w:szCs w:val="11"/>
                <w:color w:val="auto"/>
              </w:rPr>
              <w:t>(4)</w:t>
            </w:r>
          </w:p>
        </w:tc>
        <w:tc>
          <w:tcPr>
            <w:tcW w:w="11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70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(0.04)</w:t>
            </w:r>
          </w:p>
        </w:tc>
        <w:tc>
          <w:tcPr>
            <w:tcW w:w="140" w:type="dxa"/>
            <w:vAlign w:val="bottom"/>
            <w:shd w:val="clear" w:color="auto" w:fill="E5E5E5"/>
          </w:tcPr>
          <w:p>
            <w:pPr>
              <w:spacing w:after="0"/>
              <w:rPr>
                <w:sz w:val="17"/>
                <w:szCs w:val="17"/>
                <w:color w:val="auto"/>
              </w:rPr>
            </w:pPr>
          </w:p>
        </w:tc>
        <w:tc>
          <w:tcPr>
            <w:tcW w:w="6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0.16</w:t>
            </w:r>
          </w:p>
        </w:tc>
        <w:tc>
          <w:tcPr>
            <w:tcW w:w="10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72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0.17</w:t>
            </w:r>
          </w:p>
        </w:tc>
        <w:tc>
          <w:tcPr>
            <w:tcW w:w="120" w:type="dxa"/>
            <w:vAlign w:val="bottom"/>
            <w:shd w:val="clear" w:color="auto" w:fill="E5E5E5"/>
          </w:tcPr>
          <w:p>
            <w:pPr>
              <w:spacing w:after="0"/>
              <w:rPr>
                <w:sz w:val="17"/>
                <w:szCs w:val="17"/>
                <w:color w:val="auto"/>
              </w:rPr>
            </w:pPr>
          </w:p>
        </w:tc>
        <w:tc>
          <w:tcPr>
            <w:tcW w:w="5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0.12</w:t>
            </w:r>
          </w:p>
        </w:tc>
        <w:tc>
          <w:tcPr>
            <w:tcW w:w="2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7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0.43</w:t>
            </w:r>
          </w:p>
        </w:tc>
      </w:tr>
      <w:tr>
        <w:trPr>
          <w:trHeight w:val="419"/>
        </w:trPr>
        <w:tc>
          <w:tcPr>
            <w:tcW w:w="5960" w:type="dxa"/>
            <w:vAlign w:val="bottom"/>
          </w:tcPr>
          <w:p>
            <w:pPr>
              <w:spacing w:after="0"/>
              <w:rPr>
                <w:sz w:val="20"/>
                <w:szCs w:val="20"/>
                <w:color w:val="auto"/>
              </w:rPr>
            </w:pPr>
            <w:r>
              <w:rPr>
                <w:rFonts w:ascii="Arial" w:cs="Arial" w:eastAsia="Arial" w:hAnsi="Arial"/>
                <w:sz w:val="18"/>
                <w:szCs w:val="18"/>
                <w:b w:val="1"/>
                <w:bCs w:val="1"/>
                <w:color w:val="auto"/>
              </w:rPr>
              <w:t>2009</w:t>
            </w: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59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Revenues</w:t>
            </w:r>
          </w:p>
        </w:tc>
        <w:tc>
          <w:tcPr>
            <w:tcW w:w="132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3,554</w:t>
            </w:r>
          </w:p>
        </w:tc>
        <w:tc>
          <w:tcPr>
            <w:tcW w:w="200" w:type="dxa"/>
            <w:vAlign w:val="bottom"/>
            <w:shd w:val="clear" w:color="auto" w:fill="E5E5E5"/>
          </w:tcPr>
          <w:p>
            <w:pPr>
              <w:spacing w:after="0"/>
              <w:rPr>
                <w:sz w:val="17"/>
                <w:szCs w:val="17"/>
                <w:color w:val="auto"/>
              </w:rPr>
            </w:pPr>
          </w:p>
        </w:tc>
        <w:tc>
          <w:tcPr>
            <w:tcW w:w="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3,731</w:t>
            </w:r>
          </w:p>
        </w:tc>
        <w:tc>
          <w:tcPr>
            <w:tcW w:w="24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3,675</w:t>
            </w:r>
          </w:p>
        </w:tc>
        <w:tc>
          <w:tcPr>
            <w:tcW w:w="220" w:type="dxa"/>
            <w:vAlign w:val="bottom"/>
            <w:shd w:val="clear" w:color="auto" w:fill="E5E5E5"/>
          </w:tcPr>
          <w:p>
            <w:pPr>
              <w:spacing w:after="0"/>
              <w:rPr>
                <w:sz w:val="17"/>
                <w:szCs w:val="17"/>
                <w:color w:val="auto"/>
              </w:rPr>
            </w:pPr>
          </w:p>
        </w:tc>
        <w:tc>
          <w:tcPr>
            <w:tcW w:w="1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4,219</w:t>
            </w:r>
          </w:p>
        </w:tc>
        <w:tc>
          <w:tcPr>
            <w:tcW w:w="200" w:type="dxa"/>
            <w:vAlign w:val="bottom"/>
            <w:shd w:val="clear" w:color="auto" w:fill="E5E5E5"/>
          </w:tcPr>
          <w:p>
            <w:pPr>
              <w:spacing w:after="0"/>
              <w:rPr>
                <w:sz w:val="17"/>
                <w:szCs w:val="17"/>
                <w:color w:val="auto"/>
              </w:rPr>
            </w:pPr>
          </w:p>
        </w:tc>
        <w:tc>
          <w:tcPr>
            <w:tcW w:w="1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15,179</w:t>
            </w:r>
          </w:p>
        </w:tc>
      </w:tr>
      <w:tr>
        <w:trPr>
          <w:trHeight w:val="203"/>
        </w:trPr>
        <w:tc>
          <w:tcPr>
            <w:tcW w:w="5960" w:type="dxa"/>
            <w:vAlign w:val="bottom"/>
          </w:tcPr>
          <w:p>
            <w:pPr>
              <w:spacing w:after="0" w:line="202" w:lineRule="exact"/>
              <w:rPr>
                <w:sz w:val="20"/>
                <w:szCs w:val="20"/>
                <w:color w:val="auto"/>
              </w:rPr>
            </w:pPr>
            <w:r>
              <w:rPr>
                <w:rFonts w:ascii="Arial" w:cs="Arial" w:eastAsia="Arial" w:hAnsi="Arial"/>
                <w:sz w:val="18"/>
                <w:szCs w:val="18"/>
                <w:color w:val="auto"/>
              </w:rPr>
              <w:t xml:space="preserve">Costs and Expenses </w:t>
            </w:r>
            <w:r>
              <w:rPr>
                <w:rFonts w:ascii="Arial" w:cs="Arial" w:eastAsia="Arial" w:hAnsi="Arial"/>
                <w:sz w:val="11"/>
                <w:szCs w:val="11"/>
                <w:color w:val="auto"/>
              </w:rPr>
              <w:t>(1)</w:t>
            </w: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3,476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3,534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3,517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4,025</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14,552</w:t>
            </w:r>
          </w:p>
        </w:tc>
      </w:tr>
      <w:tr>
        <w:trPr>
          <w:trHeight w:val="27"/>
        </w:trPr>
        <w:tc>
          <w:tcPr>
            <w:tcW w:w="59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59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Income before Income Taxes and Equity Income</w:t>
            </w:r>
          </w:p>
        </w:tc>
        <w:tc>
          <w:tcPr>
            <w:tcW w:w="11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5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78</w:t>
            </w:r>
          </w:p>
        </w:tc>
        <w:tc>
          <w:tcPr>
            <w:tcW w:w="20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6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197</w:t>
            </w:r>
          </w:p>
        </w:tc>
        <w:tc>
          <w:tcPr>
            <w:tcW w:w="10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5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158</w:t>
            </w:r>
          </w:p>
        </w:tc>
        <w:tc>
          <w:tcPr>
            <w:tcW w:w="2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5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194</w:t>
            </w:r>
          </w:p>
        </w:tc>
        <w:tc>
          <w:tcPr>
            <w:tcW w:w="2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6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627</w:t>
            </w:r>
          </w:p>
        </w:tc>
        <w:tc>
          <w:tcPr>
            <w:tcW w:w="100" w:type="dxa"/>
            <w:vAlign w:val="bottom"/>
            <w:shd w:val="clear" w:color="auto" w:fill="E5E5E5"/>
          </w:tcPr>
          <w:p>
            <w:pPr>
              <w:spacing w:after="0"/>
              <w:rPr>
                <w:sz w:val="17"/>
                <w:szCs w:val="17"/>
                <w:color w:val="auto"/>
              </w:rPr>
            </w:pPr>
          </w:p>
        </w:tc>
      </w:tr>
      <w:tr>
        <w:trPr>
          <w:trHeight w:val="203"/>
        </w:trPr>
        <w:tc>
          <w:tcPr>
            <w:tcW w:w="5960" w:type="dxa"/>
            <w:vAlign w:val="bottom"/>
          </w:tcPr>
          <w:p>
            <w:pPr>
              <w:spacing w:after="0" w:line="202" w:lineRule="exact"/>
              <w:rPr>
                <w:sz w:val="20"/>
                <w:szCs w:val="20"/>
                <w:color w:val="auto"/>
              </w:rPr>
            </w:pPr>
            <w:r>
              <w:rPr>
                <w:rFonts w:ascii="Arial" w:cs="Arial" w:eastAsia="Arial" w:hAnsi="Arial"/>
                <w:sz w:val="18"/>
                <w:szCs w:val="18"/>
                <w:color w:val="auto"/>
              </w:rPr>
              <w:t xml:space="preserve">Income tax expenses </w:t>
            </w:r>
            <w:r>
              <w:rPr>
                <w:rFonts w:ascii="Arial" w:cs="Arial" w:eastAsia="Arial" w:hAnsi="Arial"/>
                <w:sz w:val="11"/>
                <w:szCs w:val="11"/>
                <w:color w:val="auto"/>
              </w:rPr>
              <w:t>(2)</w:t>
            </w: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19</w:t>
            </w:r>
          </w:p>
        </w:tc>
        <w:tc>
          <w:tcPr>
            <w:tcW w:w="140" w:type="dxa"/>
            <w:vAlign w:val="bottom"/>
          </w:tcPr>
          <w:p>
            <w:pPr>
              <w:spacing w:after="0"/>
              <w:rPr>
                <w:sz w:val="17"/>
                <w:szCs w:val="17"/>
                <w:color w:val="auto"/>
              </w:rPr>
            </w:pPr>
          </w:p>
        </w:tc>
        <w:tc>
          <w:tcPr>
            <w:tcW w:w="6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44</w:t>
            </w:r>
          </w:p>
        </w:tc>
        <w:tc>
          <w:tcPr>
            <w:tcW w:w="1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30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152</w:t>
            </w:r>
          </w:p>
        </w:tc>
        <w:tc>
          <w:tcPr>
            <w:tcW w:w="100" w:type="dxa"/>
            <w:vAlign w:val="bottom"/>
          </w:tcPr>
          <w:p>
            <w:pPr>
              <w:spacing w:after="0"/>
              <w:rPr>
                <w:sz w:val="17"/>
                <w:szCs w:val="17"/>
                <w:color w:val="auto"/>
              </w:rPr>
            </w:pPr>
          </w:p>
        </w:tc>
      </w:tr>
      <w:tr>
        <w:trPr>
          <w:trHeight w:val="203"/>
        </w:trPr>
        <w:tc>
          <w:tcPr>
            <w:tcW w:w="59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 xml:space="preserve">Equity in net (loss) income of unconsolidated affiliates </w:t>
            </w:r>
            <w:r>
              <w:rPr>
                <w:rFonts w:ascii="Arial" w:cs="Arial" w:eastAsia="Arial" w:hAnsi="Arial"/>
                <w:sz w:val="11"/>
                <w:szCs w:val="11"/>
                <w:color w:val="auto"/>
              </w:rPr>
              <w:t>(3)</w:t>
            </w:r>
          </w:p>
        </w:tc>
        <w:tc>
          <w:tcPr>
            <w:tcW w:w="11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70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(10)</w:t>
            </w:r>
          </w:p>
        </w:tc>
        <w:tc>
          <w:tcPr>
            <w:tcW w:w="140" w:type="dxa"/>
            <w:vAlign w:val="bottom"/>
            <w:shd w:val="clear" w:color="auto" w:fill="E5E5E5"/>
          </w:tcPr>
          <w:p>
            <w:pPr>
              <w:spacing w:after="0"/>
              <w:rPr>
                <w:sz w:val="17"/>
                <w:szCs w:val="17"/>
                <w:color w:val="auto"/>
              </w:rPr>
            </w:pPr>
          </w:p>
        </w:tc>
        <w:tc>
          <w:tcPr>
            <w:tcW w:w="6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9</w:t>
            </w:r>
          </w:p>
        </w:tc>
        <w:tc>
          <w:tcPr>
            <w:tcW w:w="10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72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15</w:t>
            </w:r>
          </w:p>
        </w:tc>
        <w:tc>
          <w:tcPr>
            <w:tcW w:w="120" w:type="dxa"/>
            <w:vAlign w:val="bottom"/>
            <w:shd w:val="clear" w:color="auto" w:fill="E5E5E5"/>
          </w:tcPr>
          <w:p>
            <w:pPr>
              <w:spacing w:after="0"/>
              <w:rPr>
                <w:sz w:val="17"/>
                <w:szCs w:val="17"/>
                <w:color w:val="auto"/>
              </w:rPr>
            </w:pPr>
          </w:p>
        </w:tc>
        <w:tc>
          <w:tcPr>
            <w:tcW w:w="5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27</w:t>
            </w:r>
          </w:p>
        </w:tc>
        <w:tc>
          <w:tcPr>
            <w:tcW w:w="2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7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41</w:t>
            </w:r>
          </w:p>
        </w:tc>
      </w:tr>
      <w:tr>
        <w:trPr>
          <w:trHeight w:val="20"/>
        </w:trPr>
        <w:tc>
          <w:tcPr>
            <w:tcW w:w="5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60" w:type="dxa"/>
            <w:vAlign w:val="bottom"/>
          </w:tcPr>
          <w:p>
            <w:pPr>
              <w:spacing w:after="0"/>
              <w:rPr>
                <w:sz w:val="20"/>
                <w:szCs w:val="20"/>
                <w:color w:val="auto"/>
              </w:rPr>
            </w:pPr>
            <w:r>
              <w:rPr>
                <w:rFonts w:ascii="Arial" w:cs="Arial" w:eastAsia="Arial" w:hAnsi="Arial"/>
                <w:sz w:val="18"/>
                <w:szCs w:val="18"/>
                <w:color w:val="auto"/>
              </w:rPr>
              <w:t>Net Income</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18"/>
                <w:szCs w:val="18"/>
                <w:color w:val="auto"/>
              </w:rPr>
            </w:pPr>
          </w:p>
        </w:tc>
      </w:tr>
      <w:tr>
        <w:trPr>
          <w:trHeight w:val="203"/>
        </w:trPr>
        <w:tc>
          <w:tcPr>
            <w:tcW w:w="59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Less: Net income - noncontrolling interests</w:t>
            </w:r>
          </w:p>
        </w:tc>
        <w:tc>
          <w:tcPr>
            <w:tcW w:w="11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5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7</w:t>
            </w:r>
          </w:p>
        </w:tc>
        <w:tc>
          <w:tcPr>
            <w:tcW w:w="20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6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7</w:t>
            </w:r>
          </w:p>
        </w:tc>
        <w:tc>
          <w:tcPr>
            <w:tcW w:w="10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72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6</w:t>
            </w:r>
          </w:p>
        </w:tc>
        <w:tc>
          <w:tcPr>
            <w:tcW w:w="120" w:type="dxa"/>
            <w:vAlign w:val="bottom"/>
            <w:shd w:val="clear" w:color="auto" w:fill="E5E5E5"/>
          </w:tcPr>
          <w:p>
            <w:pPr>
              <w:spacing w:after="0"/>
              <w:rPr>
                <w:sz w:val="17"/>
                <w:szCs w:val="17"/>
                <w:color w:val="auto"/>
              </w:rPr>
            </w:pPr>
          </w:p>
        </w:tc>
        <w:tc>
          <w:tcPr>
            <w:tcW w:w="5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11</w:t>
            </w:r>
          </w:p>
        </w:tc>
        <w:tc>
          <w:tcPr>
            <w:tcW w:w="2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7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31</w:t>
            </w:r>
          </w:p>
        </w:tc>
      </w:tr>
      <w:tr>
        <w:trPr>
          <w:trHeight w:val="20"/>
        </w:trPr>
        <w:tc>
          <w:tcPr>
            <w:tcW w:w="5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60" w:type="dxa"/>
            <w:vAlign w:val="bottom"/>
          </w:tcPr>
          <w:p>
            <w:pPr>
              <w:spacing w:after="0"/>
              <w:rPr>
                <w:sz w:val="20"/>
                <w:szCs w:val="20"/>
                <w:color w:val="auto"/>
              </w:rPr>
            </w:pPr>
            <w:r>
              <w:rPr>
                <w:rFonts w:ascii="Arial" w:cs="Arial" w:eastAsia="Arial" w:hAnsi="Arial"/>
                <w:sz w:val="18"/>
                <w:szCs w:val="18"/>
                <w:color w:val="auto"/>
              </w:rPr>
              <w:t>Net Income Attributable to Xerox</w:t>
            </w:r>
          </w:p>
        </w:tc>
        <w:tc>
          <w:tcPr>
            <w:tcW w:w="1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140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123</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180</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18"/>
                <w:szCs w:val="18"/>
                <w:color w:val="auto"/>
              </w:rPr>
            </w:pPr>
          </w:p>
        </w:tc>
      </w:tr>
      <w:tr>
        <w:trPr>
          <w:trHeight w:val="20"/>
        </w:trPr>
        <w:tc>
          <w:tcPr>
            <w:tcW w:w="5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59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 xml:space="preserve">Basic Earnings per Share </w:t>
            </w:r>
            <w:r>
              <w:rPr>
                <w:rFonts w:ascii="Arial" w:cs="Arial" w:eastAsia="Arial" w:hAnsi="Arial"/>
                <w:sz w:val="11"/>
                <w:szCs w:val="11"/>
                <w:color w:val="auto"/>
              </w:rPr>
              <w:t>(4)</w:t>
            </w:r>
          </w:p>
        </w:tc>
        <w:tc>
          <w:tcPr>
            <w:tcW w:w="132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0.05</w:t>
            </w:r>
          </w:p>
        </w:tc>
        <w:tc>
          <w:tcPr>
            <w:tcW w:w="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0.16</w:t>
            </w:r>
          </w:p>
        </w:tc>
        <w:tc>
          <w:tcPr>
            <w:tcW w:w="24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0.14</w:t>
            </w:r>
          </w:p>
        </w:tc>
        <w:tc>
          <w:tcPr>
            <w:tcW w:w="1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0.21</w:t>
            </w:r>
          </w:p>
        </w:tc>
        <w:tc>
          <w:tcPr>
            <w:tcW w:w="200" w:type="dxa"/>
            <w:vAlign w:val="bottom"/>
            <w:shd w:val="clear" w:color="auto" w:fill="E5E5E5"/>
          </w:tcPr>
          <w:p>
            <w:pPr>
              <w:spacing w:after="0"/>
              <w:rPr>
                <w:sz w:val="17"/>
                <w:szCs w:val="17"/>
                <w:color w:val="auto"/>
              </w:rPr>
            </w:pPr>
          </w:p>
        </w:tc>
        <w:tc>
          <w:tcPr>
            <w:tcW w:w="1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0.56</w:t>
            </w:r>
          </w:p>
        </w:tc>
      </w:tr>
      <w:tr>
        <w:trPr>
          <w:trHeight w:val="214"/>
        </w:trPr>
        <w:tc>
          <w:tcPr>
            <w:tcW w:w="5960" w:type="dxa"/>
            <w:vAlign w:val="bottom"/>
          </w:tcPr>
          <w:p>
            <w:pPr>
              <w:spacing w:after="0"/>
              <w:rPr>
                <w:sz w:val="20"/>
                <w:szCs w:val="20"/>
                <w:color w:val="auto"/>
              </w:rPr>
            </w:pPr>
            <w:r>
              <w:rPr>
                <w:rFonts w:ascii="Arial" w:cs="Arial" w:eastAsia="Arial" w:hAnsi="Arial"/>
                <w:sz w:val="18"/>
                <w:szCs w:val="18"/>
                <w:color w:val="auto"/>
              </w:rPr>
              <w:t xml:space="preserve">Diluted Earnings per Share </w:t>
            </w:r>
            <w:r>
              <w:rPr>
                <w:rFonts w:ascii="Arial" w:cs="Arial" w:eastAsia="Arial" w:hAnsi="Arial"/>
                <w:sz w:val="11"/>
                <w:szCs w:val="11"/>
                <w:color w:val="auto"/>
              </w:rPr>
              <w:t>(4)</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0.05</w:t>
            </w:r>
          </w:p>
        </w:tc>
        <w:tc>
          <w:tcPr>
            <w:tcW w:w="1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0.14</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0.20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0.55</w:t>
            </w:r>
          </w:p>
        </w:tc>
      </w:tr>
    </w:tbl>
    <w:p>
      <w:pPr>
        <w:spacing w:after="0" w:line="125" w:lineRule="exact"/>
        <w:rPr>
          <w:sz w:val="20"/>
          <w:szCs w:val="20"/>
          <w:color w:val="auto"/>
        </w:rPr>
      </w:pPr>
    </w:p>
    <w:p>
      <w:pPr>
        <w:ind w:left="340" w:hanging="332"/>
        <w:spacing w:after="0"/>
        <w:tabs>
          <w:tab w:leader="none" w:pos="340" w:val="left"/>
        </w:tabs>
        <w:numPr>
          <w:ilvl w:val="0"/>
          <w:numId w:val="177"/>
        </w:numPr>
        <w:rPr>
          <w:rFonts w:ascii="Arial" w:cs="Arial" w:eastAsia="Arial" w:hAnsi="Arial"/>
          <w:sz w:val="21"/>
          <w:szCs w:val="21"/>
          <w:color w:val="auto"/>
          <w:vertAlign w:val="superscript"/>
        </w:rPr>
      </w:pPr>
      <w:r>
        <w:rPr>
          <w:rFonts w:ascii="Arial" w:cs="Arial" w:eastAsia="Arial" w:hAnsi="Arial"/>
          <w:sz w:val="13"/>
          <w:szCs w:val="13"/>
          <w:color w:val="auto"/>
        </w:rPr>
        <w:t>Costs and expenses for 2010 include: restructuring charges of $195, $11, $4 and $273; acquisition-related costs of $48, $15, $5 and $9, and amortization of intangible assets of $57,</w:t>
      </w:r>
    </w:p>
    <w:p>
      <w:pPr>
        <w:ind w:left="340" w:right="20"/>
        <w:spacing w:after="0" w:line="221" w:lineRule="auto"/>
        <w:rPr>
          <w:rFonts w:ascii="Arial" w:cs="Arial" w:eastAsia="Arial" w:hAnsi="Arial"/>
          <w:sz w:val="21"/>
          <w:szCs w:val="21"/>
          <w:color w:val="auto"/>
          <w:vertAlign w:val="superscript"/>
        </w:rPr>
      </w:pPr>
      <w:r>
        <w:rPr>
          <w:rFonts w:ascii="Arial" w:cs="Arial" w:eastAsia="Arial" w:hAnsi="Arial"/>
          <w:sz w:val="14"/>
          <w:szCs w:val="14"/>
          <w:color w:val="auto"/>
        </w:rPr>
        <w:t>$85, $85 and $85, respectively, in the first, second, third and fourth quarters of 2010, currency losses associated with the Venezuelan devaluation of $21 in the first quarter of 2010, costs associated with the ACS shareholders litigation of $36 in the second quarter and the loss on early extinguishment of debt of $15 in the fourth quarter. Costs and expenses for 2009 include: restructuring credits of $2, $1, $2 and $3: amortization of intangible assets of $14, $15, $15 and $16, respectively, for the first, second, third and fourth quarters, as well as acquisition-related costs of $9 and $63, respectively, for the third and fourth quarters.</w:t>
      </w:r>
    </w:p>
    <w:p>
      <w:pPr>
        <w:spacing w:after="0" w:line="1" w:lineRule="exact"/>
        <w:rPr>
          <w:rFonts w:ascii="Arial" w:cs="Arial" w:eastAsia="Arial" w:hAnsi="Arial"/>
          <w:sz w:val="21"/>
          <w:szCs w:val="21"/>
          <w:color w:val="auto"/>
          <w:vertAlign w:val="superscript"/>
        </w:rPr>
      </w:pPr>
    </w:p>
    <w:p>
      <w:pPr>
        <w:ind w:left="340" w:right="20" w:hanging="332"/>
        <w:spacing w:after="0" w:line="198" w:lineRule="auto"/>
        <w:tabs>
          <w:tab w:leader="none" w:pos="340" w:val="left"/>
        </w:tabs>
        <w:numPr>
          <w:ilvl w:val="0"/>
          <w:numId w:val="177"/>
        </w:numPr>
        <w:rPr>
          <w:rFonts w:ascii="Arial" w:cs="Arial" w:eastAsia="Arial" w:hAnsi="Arial"/>
          <w:sz w:val="22"/>
          <w:szCs w:val="22"/>
          <w:color w:val="auto"/>
          <w:vertAlign w:val="superscript"/>
        </w:rPr>
      </w:pPr>
      <w:r>
        <w:rPr>
          <w:rFonts w:ascii="Arial" w:cs="Arial" w:eastAsia="Arial" w:hAnsi="Arial"/>
          <w:sz w:val="14"/>
          <w:szCs w:val="14"/>
          <w:color w:val="auto"/>
        </w:rPr>
        <w:t>Income tax expense for 2010 includes tax benefits for restructuring charges of $60, $4, $2 and $100; acquisition-related costs of $12, $1, $2 and $4 and amortization of intangible assets of $22, $32, $32 and $32, respectively, for the first, second, third and fourth quarters and for loss on early extinguishment of debt of $5 in the fourth quarter. Additional tax expense of $16 was incurred in the first quarter of 2010 due to the Medicare subsidy tax law change. The 2009 income tax expense includes tax benefits for amortization of intangible assets of $5, $6, $5 and $6, respectively, for the first, second, third and fourth quarters, as well as acquisition-related costs of $1 and $22, respectively, for the third and fourth quarters. Additional tax expense on restructuring of $1 was incurred in each of the first, third and fourth quarters of 2009.</w:t>
      </w:r>
    </w:p>
    <w:p>
      <w:pPr>
        <w:spacing w:after="0" w:line="2" w:lineRule="exact"/>
        <w:rPr>
          <w:rFonts w:ascii="Arial" w:cs="Arial" w:eastAsia="Arial" w:hAnsi="Arial"/>
          <w:sz w:val="22"/>
          <w:szCs w:val="22"/>
          <w:color w:val="auto"/>
          <w:vertAlign w:val="superscript"/>
        </w:rPr>
      </w:pPr>
    </w:p>
    <w:p>
      <w:pPr>
        <w:ind w:left="340" w:right="380" w:hanging="332"/>
        <w:spacing w:after="0" w:line="182" w:lineRule="auto"/>
        <w:tabs>
          <w:tab w:leader="none" w:pos="340" w:val="left"/>
        </w:tabs>
        <w:numPr>
          <w:ilvl w:val="0"/>
          <w:numId w:val="177"/>
        </w:numPr>
        <w:rPr>
          <w:rFonts w:ascii="Arial" w:cs="Arial" w:eastAsia="Arial" w:hAnsi="Arial"/>
          <w:sz w:val="21"/>
          <w:szCs w:val="21"/>
          <w:color w:val="auto"/>
          <w:vertAlign w:val="superscript"/>
        </w:rPr>
      </w:pPr>
      <w:r>
        <w:rPr>
          <w:rFonts w:ascii="Arial" w:cs="Arial" w:eastAsia="Arial" w:hAnsi="Arial"/>
          <w:sz w:val="13"/>
          <w:szCs w:val="13"/>
          <w:color w:val="auto"/>
        </w:rPr>
        <w:t>The first, second, third and fourth quarters of 2010 include $22, $5, $6 and $5 of charges, respectively, for our share of Fuji Xerox restructuring charges. The first, second, third and fourth quarters of 2009 include $22, $9, $9 and $6 of charges, respectively, for our share of Fuji Xerox restructuring charges.</w:t>
      </w:r>
    </w:p>
    <w:p>
      <w:pPr>
        <w:ind w:left="340" w:right="280" w:hanging="332"/>
        <w:spacing w:after="0" w:line="180" w:lineRule="auto"/>
        <w:tabs>
          <w:tab w:leader="none" w:pos="340" w:val="left"/>
        </w:tabs>
        <w:numPr>
          <w:ilvl w:val="0"/>
          <w:numId w:val="177"/>
        </w:numPr>
        <w:rPr>
          <w:rFonts w:ascii="Arial" w:cs="Arial" w:eastAsia="Arial" w:hAnsi="Arial"/>
          <w:sz w:val="22"/>
          <w:szCs w:val="22"/>
          <w:color w:val="auto"/>
          <w:vertAlign w:val="superscript"/>
        </w:rPr>
      </w:pPr>
      <w:r>
        <w:rPr>
          <w:rFonts w:ascii="Arial" w:cs="Arial" w:eastAsia="Arial" w:hAnsi="Arial"/>
          <w:sz w:val="14"/>
          <w:szCs w:val="14"/>
          <w:color w:val="auto"/>
        </w:rPr>
        <w:t>The sum of quarterly earnings per share may differ from the full-year amounts due to rounding, or in the case of diluted earnings per share, because securities that are anti-dilutive in certain quarters may not be anti-dilutive on a full-year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-1353820</wp:posOffset>
            </wp:positionV>
            <wp:extent cx="7289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5" w:lineRule="exact"/>
        <w:rPr>
          <w:sz w:val="20"/>
          <w:szCs w:val="20"/>
          <w:color w:val="auto"/>
        </w:rPr>
      </w:pPr>
    </w:p>
    <w:p>
      <w:pPr>
        <w:ind w:left="9520"/>
        <w:spacing w:after="0"/>
        <w:rPr>
          <w:sz w:val="20"/>
          <w:szCs w:val="20"/>
          <w:color w:val="auto"/>
        </w:rPr>
      </w:pPr>
      <w:r>
        <w:rPr>
          <w:rFonts w:ascii="Arial" w:cs="Arial" w:eastAsia="Arial" w:hAnsi="Arial"/>
          <w:sz w:val="12"/>
          <w:szCs w:val="12"/>
          <w:color w:val="4C9F40"/>
        </w:rPr>
        <w:t>Xerox 2010 Annual Report 105</w:t>
      </w:r>
    </w:p>
    <w:p>
      <w:pPr>
        <w:sectPr>
          <w:pgSz w:w="11900" w:h="16838" w:orient="portrait"/>
          <w:cols w:equalWidth="0" w:num="1">
            <w:col w:w="11420"/>
          </w:cols>
          <w:pgMar w:left="240" w:top="377" w:right="239" w:bottom="1440" w:gutter="0" w:footer="0" w:header="0"/>
        </w:sectPr>
      </w:pPr>
    </w:p>
    <w:bookmarkStart w:id="182" w:name="page183"/>
    <w:bookmarkEnd w:id="182"/>
    <w:p>
      <w:pPr>
        <w:spacing w:after="0"/>
        <w:rPr>
          <w:sz w:val="20"/>
          <w:szCs w:val="20"/>
          <w:color w:val="auto"/>
        </w:rPr>
      </w:pPr>
      <w:r>
        <w:rPr>
          <w:rFonts w:ascii="Arial" w:cs="Arial" w:eastAsia="Arial" w:hAnsi="Arial"/>
          <w:sz w:val="18"/>
          <w:szCs w:val="18"/>
          <w:b w:val="1"/>
          <w:bCs w:val="1"/>
          <w:color w:val="4C9F40"/>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46620" cy="8890"/>
                    </a:xfrm>
                    <a:prstGeom prst="rect">
                      <a:avLst/>
                    </a:prstGeom>
                    <a:noFill/>
                  </pic:spPr>
                </pic:pic>
              </a:graphicData>
            </a:graphic>
          </wp:anchor>
        </w:drawing>
        <w:t>FIVE YEARS IN REVIEW</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b w:val="1"/>
          <w:bCs w:val="1"/>
          <w:color w:val="4C9F40"/>
        </w:rPr>
        <w:t>(in millions, except per-share data)</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48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w w:val="97"/>
              </w:rPr>
              <w:t>2010</w:t>
            </w:r>
            <w:r>
              <w:rPr>
                <w:rFonts w:ascii="Arial" w:cs="Arial" w:eastAsia="Arial" w:hAnsi="Arial"/>
                <w:sz w:val="22"/>
                <w:szCs w:val="22"/>
                <w:color w:val="auto"/>
                <w:w w:val="97"/>
                <w:vertAlign w:val="superscript"/>
              </w:rPr>
              <w:t>(1)</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2009</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2008</w:t>
            </w:r>
          </w:p>
        </w:tc>
        <w:tc>
          <w:tcPr>
            <w:tcW w:w="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w w:val="93"/>
              </w:rPr>
              <w:t>2007</w:t>
            </w:r>
            <w:r>
              <w:rPr>
                <w:rFonts w:ascii="Arial" w:cs="Arial" w:eastAsia="Arial" w:hAnsi="Arial"/>
                <w:sz w:val="22"/>
                <w:szCs w:val="22"/>
                <w:color w:val="auto"/>
                <w:w w:val="93"/>
                <w:vertAlign w:val="superscript"/>
              </w:rPr>
              <w:t>(2)</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2006</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6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Per-Share Data</w:t>
            </w:r>
          </w:p>
        </w:tc>
        <w:tc>
          <w:tcPr>
            <w:tcW w:w="14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64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80" w:type="dxa"/>
            <w:vAlign w:val="bottom"/>
            <w:gridSpan w:val="2"/>
          </w:tcPr>
          <w:p>
            <w:pPr>
              <w:spacing w:after="0" w:line="202" w:lineRule="exact"/>
              <w:rPr>
                <w:sz w:val="20"/>
                <w:szCs w:val="20"/>
                <w:color w:val="auto"/>
              </w:rPr>
            </w:pPr>
            <w:r>
              <w:rPr>
                <w:rFonts w:ascii="Arial" w:cs="Arial" w:eastAsia="Arial" w:hAnsi="Arial"/>
                <w:sz w:val="18"/>
                <w:szCs w:val="18"/>
                <w:color w:val="auto"/>
              </w:rPr>
              <w:t>Income from continuing operations</w:t>
            </w: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shd w:val="clear" w:color="auto" w:fill="E5E5E5"/>
          </w:tcPr>
          <w:p>
            <w:pPr>
              <w:ind w:left="420"/>
              <w:spacing w:after="0" w:line="202" w:lineRule="exact"/>
              <w:rPr>
                <w:sz w:val="20"/>
                <w:szCs w:val="20"/>
                <w:color w:val="auto"/>
              </w:rPr>
            </w:pPr>
            <w:r>
              <w:rPr>
                <w:rFonts w:ascii="Arial" w:cs="Arial" w:eastAsia="Arial" w:hAnsi="Arial"/>
                <w:sz w:val="18"/>
                <w:szCs w:val="18"/>
                <w:color w:val="auto"/>
              </w:rPr>
              <w:t>Basic</w:t>
            </w:r>
          </w:p>
        </w:tc>
        <w:tc>
          <w:tcPr>
            <w:tcW w:w="152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0.44</w:t>
            </w:r>
          </w:p>
        </w:tc>
        <w:tc>
          <w:tcPr>
            <w:tcW w:w="300" w:type="dxa"/>
            <w:vAlign w:val="bottom"/>
            <w:shd w:val="clear" w:color="auto" w:fill="E5E5E5"/>
          </w:tcPr>
          <w:p>
            <w:pPr>
              <w:spacing w:after="0"/>
              <w:rPr>
                <w:sz w:val="17"/>
                <w:szCs w:val="17"/>
                <w:color w:val="auto"/>
              </w:rPr>
            </w:pPr>
          </w:p>
        </w:tc>
        <w:tc>
          <w:tcPr>
            <w:tcW w:w="1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color w:val="auto"/>
              </w:rPr>
              <w:t>0.56</w:t>
            </w:r>
          </w:p>
        </w:tc>
        <w:tc>
          <w:tcPr>
            <w:tcW w:w="22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0.26</w:t>
            </w:r>
          </w:p>
        </w:tc>
        <w:tc>
          <w:tcPr>
            <w:tcW w:w="300" w:type="dxa"/>
            <w:vAlign w:val="bottom"/>
            <w:shd w:val="clear" w:color="auto" w:fill="E5E5E5"/>
          </w:tcPr>
          <w:p>
            <w:pPr>
              <w:spacing w:after="0"/>
              <w:rPr>
                <w:sz w:val="17"/>
                <w:szCs w:val="17"/>
                <w:color w:val="auto"/>
              </w:rPr>
            </w:pPr>
          </w:p>
        </w:tc>
        <w:tc>
          <w:tcPr>
            <w:tcW w:w="1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color w:val="auto"/>
              </w:rPr>
              <w:t>1.21</w:t>
            </w:r>
          </w:p>
        </w:tc>
        <w:tc>
          <w:tcPr>
            <w:tcW w:w="22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1.25</w:t>
            </w:r>
          </w:p>
        </w:tc>
        <w:tc>
          <w:tcPr>
            <w:tcW w:w="22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tcPr>
          <w:p>
            <w:pPr>
              <w:ind w:left="420"/>
              <w:spacing w:after="0" w:line="202" w:lineRule="exact"/>
              <w:rPr>
                <w:sz w:val="20"/>
                <w:szCs w:val="20"/>
                <w:color w:val="auto"/>
              </w:rPr>
            </w:pPr>
            <w:r>
              <w:rPr>
                <w:rFonts w:ascii="Arial" w:cs="Arial" w:eastAsia="Arial" w:hAnsi="Arial"/>
                <w:sz w:val="18"/>
                <w:szCs w:val="18"/>
                <w:color w:val="auto"/>
              </w:rPr>
              <w:t>Diluted</w:t>
            </w: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0.43</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0.55</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0.26</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1.19</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1.22</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Earnings</w:t>
            </w:r>
          </w:p>
        </w:tc>
        <w:tc>
          <w:tcPr>
            <w:tcW w:w="14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64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tcPr>
          <w:p>
            <w:pPr>
              <w:ind w:left="420"/>
              <w:spacing w:after="0" w:line="202" w:lineRule="exact"/>
              <w:rPr>
                <w:sz w:val="20"/>
                <w:szCs w:val="20"/>
                <w:color w:val="auto"/>
              </w:rPr>
            </w:pPr>
            <w:r>
              <w:rPr>
                <w:rFonts w:ascii="Arial" w:cs="Arial" w:eastAsia="Arial" w:hAnsi="Arial"/>
                <w:sz w:val="18"/>
                <w:szCs w:val="18"/>
                <w:color w:val="auto"/>
              </w:rPr>
              <w:t>Basic</w:t>
            </w: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0.44</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0.56</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0.26</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1.21</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1.25</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shd w:val="clear" w:color="auto" w:fill="E5E5E5"/>
          </w:tcPr>
          <w:p>
            <w:pPr>
              <w:ind w:left="420"/>
              <w:spacing w:after="0" w:line="202" w:lineRule="exact"/>
              <w:rPr>
                <w:sz w:val="20"/>
                <w:szCs w:val="20"/>
                <w:color w:val="auto"/>
              </w:rPr>
            </w:pPr>
            <w:r>
              <w:rPr>
                <w:rFonts w:ascii="Arial" w:cs="Arial" w:eastAsia="Arial" w:hAnsi="Arial"/>
                <w:sz w:val="18"/>
                <w:szCs w:val="18"/>
                <w:color w:val="auto"/>
              </w:rPr>
              <w:t>Diluted</w:t>
            </w:r>
          </w:p>
        </w:tc>
        <w:tc>
          <w:tcPr>
            <w:tcW w:w="14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6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0.43</w:t>
            </w:r>
          </w:p>
        </w:tc>
        <w:tc>
          <w:tcPr>
            <w:tcW w:w="3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2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color w:val="auto"/>
              </w:rPr>
              <w:t>0.55</w:t>
            </w:r>
          </w:p>
        </w:tc>
        <w:tc>
          <w:tcPr>
            <w:tcW w:w="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5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0.26</w:t>
            </w:r>
          </w:p>
        </w:tc>
        <w:tc>
          <w:tcPr>
            <w:tcW w:w="3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color w:val="auto"/>
              </w:rPr>
              <w:t>1.19</w:t>
            </w:r>
          </w:p>
        </w:tc>
        <w:tc>
          <w:tcPr>
            <w:tcW w:w="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5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1.22</w:t>
            </w:r>
          </w:p>
        </w:tc>
        <w:tc>
          <w:tcPr>
            <w:tcW w:w="22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880" w:type="dxa"/>
            <w:vAlign w:val="bottom"/>
            <w:gridSpan w:val="2"/>
          </w:tcPr>
          <w:p>
            <w:pPr>
              <w:spacing w:after="0"/>
              <w:rPr>
                <w:sz w:val="20"/>
                <w:szCs w:val="20"/>
                <w:color w:val="auto"/>
              </w:rPr>
            </w:pPr>
            <w:r>
              <w:rPr>
                <w:rFonts w:ascii="Arial" w:cs="Arial" w:eastAsia="Arial" w:hAnsi="Arial"/>
                <w:sz w:val="18"/>
                <w:szCs w:val="18"/>
                <w:color w:val="auto"/>
              </w:rPr>
              <w:t>Common stock dividends declared</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0.17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0.17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0.17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0.0425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8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6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Operations</w:t>
            </w:r>
          </w:p>
        </w:tc>
        <w:tc>
          <w:tcPr>
            <w:tcW w:w="14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64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80" w:type="dxa"/>
            <w:vAlign w:val="bottom"/>
            <w:gridSpan w:val="2"/>
          </w:tcPr>
          <w:p>
            <w:pPr>
              <w:spacing w:after="0" w:line="202" w:lineRule="exact"/>
              <w:rPr>
                <w:sz w:val="20"/>
                <w:szCs w:val="20"/>
                <w:color w:val="auto"/>
              </w:rPr>
            </w:pPr>
            <w:r>
              <w:rPr>
                <w:rFonts w:ascii="Arial" w:cs="Arial" w:eastAsia="Arial" w:hAnsi="Arial"/>
                <w:sz w:val="18"/>
                <w:szCs w:val="18"/>
                <w:color w:val="auto"/>
              </w:rPr>
              <w:t>Revenues</w:t>
            </w:r>
          </w:p>
        </w:tc>
        <w:tc>
          <w:tcPr>
            <w:tcW w:w="1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21,633</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15,179</w:t>
            </w:r>
          </w:p>
        </w:tc>
        <w:tc>
          <w:tcPr>
            <w:tcW w:w="2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17,608</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17,228</w:t>
            </w:r>
          </w:p>
        </w:tc>
        <w:tc>
          <w:tcPr>
            <w:tcW w:w="2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15,895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shd w:val="clear" w:color="auto" w:fill="E5E5E5"/>
          </w:tcPr>
          <w:p>
            <w:pPr>
              <w:ind w:left="420"/>
              <w:spacing w:after="0" w:line="202" w:lineRule="exact"/>
              <w:rPr>
                <w:sz w:val="20"/>
                <w:szCs w:val="20"/>
                <w:color w:val="auto"/>
              </w:rPr>
            </w:pPr>
            <w:r>
              <w:rPr>
                <w:rFonts w:ascii="Arial" w:cs="Arial" w:eastAsia="Arial" w:hAnsi="Arial"/>
                <w:sz w:val="18"/>
                <w:szCs w:val="18"/>
                <w:color w:val="auto"/>
              </w:rPr>
              <w:t>Sales</w:t>
            </w:r>
          </w:p>
        </w:tc>
        <w:tc>
          <w:tcPr>
            <w:tcW w:w="14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6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7,234</w:t>
            </w:r>
          </w:p>
        </w:tc>
        <w:tc>
          <w:tcPr>
            <w:tcW w:w="3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5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6,646</w:t>
            </w:r>
          </w:p>
        </w:tc>
        <w:tc>
          <w:tcPr>
            <w:tcW w:w="24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5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8,325</w:t>
            </w:r>
          </w:p>
        </w:tc>
        <w:tc>
          <w:tcPr>
            <w:tcW w:w="3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color w:val="auto"/>
              </w:rPr>
              <w:t>8,192</w:t>
            </w:r>
          </w:p>
        </w:tc>
        <w:tc>
          <w:tcPr>
            <w:tcW w:w="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5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7,464</w:t>
            </w:r>
          </w:p>
        </w:tc>
        <w:tc>
          <w:tcPr>
            <w:tcW w:w="22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tcPr>
          <w:p>
            <w:pPr>
              <w:ind w:left="420"/>
              <w:spacing w:after="0" w:line="202" w:lineRule="exact"/>
              <w:rPr>
                <w:sz w:val="20"/>
                <w:szCs w:val="20"/>
                <w:color w:val="auto"/>
              </w:rPr>
            </w:pPr>
            <w:r>
              <w:rPr>
                <w:rFonts w:ascii="Arial" w:cs="Arial" w:eastAsia="Arial" w:hAnsi="Arial"/>
                <w:sz w:val="18"/>
                <w:szCs w:val="18"/>
                <w:color w:val="auto"/>
              </w:rPr>
              <w:t>Service, outsourcing and rentals</w:t>
            </w: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13,739</w:t>
            </w:r>
          </w:p>
        </w:tc>
        <w:tc>
          <w:tcPr>
            <w:tcW w:w="1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7,820</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8,485</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8,214</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7,591</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shd w:val="clear" w:color="auto" w:fill="E5E5E5"/>
          </w:tcPr>
          <w:p>
            <w:pPr>
              <w:ind w:left="420"/>
              <w:spacing w:after="0" w:line="202" w:lineRule="exact"/>
              <w:rPr>
                <w:sz w:val="20"/>
                <w:szCs w:val="20"/>
                <w:color w:val="auto"/>
              </w:rPr>
            </w:pPr>
            <w:r>
              <w:rPr>
                <w:rFonts w:ascii="Arial" w:cs="Arial" w:eastAsia="Arial" w:hAnsi="Arial"/>
                <w:sz w:val="18"/>
                <w:szCs w:val="18"/>
                <w:color w:val="auto"/>
              </w:rPr>
              <w:t>Finance income</w:t>
            </w:r>
          </w:p>
        </w:tc>
        <w:tc>
          <w:tcPr>
            <w:tcW w:w="14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6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660</w:t>
            </w:r>
          </w:p>
        </w:tc>
        <w:tc>
          <w:tcPr>
            <w:tcW w:w="3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2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color w:val="auto"/>
              </w:rPr>
              <w:t>713</w:t>
            </w:r>
          </w:p>
        </w:tc>
        <w:tc>
          <w:tcPr>
            <w:tcW w:w="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5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798</w:t>
            </w:r>
          </w:p>
        </w:tc>
        <w:tc>
          <w:tcPr>
            <w:tcW w:w="3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color w:val="auto"/>
              </w:rPr>
              <w:t>822</w:t>
            </w:r>
          </w:p>
        </w:tc>
        <w:tc>
          <w:tcPr>
            <w:tcW w:w="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5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840</w:t>
            </w:r>
          </w:p>
        </w:tc>
        <w:tc>
          <w:tcPr>
            <w:tcW w:w="22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80" w:type="dxa"/>
            <w:vAlign w:val="bottom"/>
            <w:gridSpan w:val="2"/>
          </w:tcPr>
          <w:p>
            <w:pPr>
              <w:spacing w:after="0" w:line="202" w:lineRule="exact"/>
              <w:rPr>
                <w:sz w:val="20"/>
                <w:szCs w:val="20"/>
                <w:color w:val="auto"/>
              </w:rPr>
            </w:pPr>
            <w:r>
              <w:rPr>
                <w:rFonts w:ascii="Arial" w:cs="Arial" w:eastAsia="Arial" w:hAnsi="Arial"/>
                <w:sz w:val="18"/>
                <w:szCs w:val="18"/>
                <w:color w:val="auto"/>
              </w:rPr>
              <w:t>Income from continuing operations</w:t>
            </w: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637</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516</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265</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1,165</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1,232</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Income from continuing operations – Xerox</w:t>
            </w:r>
          </w:p>
        </w:tc>
        <w:tc>
          <w:tcPr>
            <w:tcW w:w="14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6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606</w:t>
            </w:r>
          </w:p>
        </w:tc>
        <w:tc>
          <w:tcPr>
            <w:tcW w:w="3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2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color w:val="auto"/>
              </w:rPr>
              <w:t>485</w:t>
            </w:r>
          </w:p>
        </w:tc>
        <w:tc>
          <w:tcPr>
            <w:tcW w:w="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5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230</w:t>
            </w:r>
          </w:p>
        </w:tc>
        <w:tc>
          <w:tcPr>
            <w:tcW w:w="3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color w:val="auto"/>
              </w:rPr>
              <w:t>1,135</w:t>
            </w:r>
          </w:p>
        </w:tc>
        <w:tc>
          <w:tcPr>
            <w:tcW w:w="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5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1,210</w:t>
            </w:r>
          </w:p>
        </w:tc>
        <w:tc>
          <w:tcPr>
            <w:tcW w:w="22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80" w:type="dxa"/>
            <w:vAlign w:val="bottom"/>
            <w:gridSpan w:val="2"/>
          </w:tcPr>
          <w:p>
            <w:pPr>
              <w:spacing w:after="0" w:line="202" w:lineRule="exact"/>
              <w:rPr>
                <w:sz w:val="20"/>
                <w:szCs w:val="20"/>
                <w:color w:val="auto"/>
              </w:rPr>
            </w:pPr>
            <w:r>
              <w:rPr>
                <w:rFonts w:ascii="Arial" w:cs="Arial" w:eastAsia="Arial" w:hAnsi="Arial"/>
                <w:sz w:val="18"/>
                <w:szCs w:val="18"/>
                <w:color w:val="auto"/>
              </w:rPr>
              <w:t>Net income</w:t>
            </w: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637</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516</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265</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1,165</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1,232</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Net income - Xerox</w:t>
            </w:r>
          </w:p>
        </w:tc>
        <w:tc>
          <w:tcPr>
            <w:tcW w:w="14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6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606</w:t>
            </w:r>
          </w:p>
        </w:tc>
        <w:tc>
          <w:tcPr>
            <w:tcW w:w="3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2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color w:val="auto"/>
              </w:rPr>
              <w:t>485</w:t>
            </w:r>
          </w:p>
        </w:tc>
        <w:tc>
          <w:tcPr>
            <w:tcW w:w="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5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230</w:t>
            </w:r>
          </w:p>
        </w:tc>
        <w:tc>
          <w:tcPr>
            <w:tcW w:w="3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color w:val="auto"/>
              </w:rPr>
              <w:t>1,135</w:t>
            </w:r>
          </w:p>
        </w:tc>
        <w:tc>
          <w:tcPr>
            <w:tcW w:w="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5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1,210</w:t>
            </w:r>
          </w:p>
        </w:tc>
        <w:tc>
          <w:tcPr>
            <w:tcW w:w="22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419"/>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Financial Position</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Working capital</w:t>
            </w:r>
          </w:p>
        </w:tc>
        <w:tc>
          <w:tcPr>
            <w:tcW w:w="152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2,222</w:t>
            </w:r>
          </w:p>
        </w:tc>
        <w:tc>
          <w:tcPr>
            <w:tcW w:w="300" w:type="dxa"/>
            <w:vAlign w:val="bottom"/>
            <w:shd w:val="clear" w:color="auto" w:fill="E5E5E5"/>
          </w:tcPr>
          <w:p>
            <w:pPr>
              <w:spacing w:after="0"/>
              <w:rPr>
                <w:sz w:val="17"/>
                <w:szCs w:val="17"/>
                <w:color w:val="auto"/>
              </w:rPr>
            </w:pPr>
          </w:p>
        </w:tc>
        <w:tc>
          <w:tcPr>
            <w:tcW w:w="1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5,270</w:t>
            </w:r>
          </w:p>
        </w:tc>
        <w:tc>
          <w:tcPr>
            <w:tcW w:w="240" w:type="dxa"/>
            <w:vAlign w:val="bottom"/>
            <w:shd w:val="clear" w:color="auto" w:fill="E5E5E5"/>
          </w:tcPr>
          <w:p>
            <w:pPr>
              <w:spacing w:after="0"/>
              <w:rPr>
                <w:sz w:val="17"/>
                <w:szCs w:val="17"/>
                <w:color w:val="auto"/>
              </w:rPr>
            </w:pPr>
          </w:p>
        </w:tc>
        <w:tc>
          <w:tcPr>
            <w:tcW w:w="22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2,700</w:t>
            </w:r>
          </w:p>
        </w:tc>
        <w:tc>
          <w:tcPr>
            <w:tcW w:w="300" w:type="dxa"/>
            <w:vAlign w:val="bottom"/>
            <w:shd w:val="clear" w:color="auto" w:fill="E5E5E5"/>
          </w:tcPr>
          <w:p>
            <w:pPr>
              <w:spacing w:after="0"/>
              <w:rPr>
                <w:sz w:val="17"/>
                <w:szCs w:val="17"/>
                <w:color w:val="auto"/>
              </w:rPr>
            </w:pPr>
          </w:p>
        </w:tc>
        <w:tc>
          <w:tcPr>
            <w:tcW w:w="1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color w:val="auto"/>
              </w:rPr>
              <w:t>4,463</w:t>
            </w:r>
          </w:p>
        </w:tc>
        <w:tc>
          <w:tcPr>
            <w:tcW w:w="22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4,056</w:t>
            </w:r>
          </w:p>
        </w:tc>
        <w:tc>
          <w:tcPr>
            <w:tcW w:w="22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8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30,600</w:t>
            </w:r>
          </w:p>
        </w:tc>
        <w:tc>
          <w:tcPr>
            <w:tcW w:w="1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24,032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22,447</w:t>
            </w: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23,543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21,709</w:t>
            </w: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6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Consolidated Capitalization</w:t>
            </w:r>
          </w:p>
        </w:tc>
        <w:tc>
          <w:tcPr>
            <w:tcW w:w="14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64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880" w:type="dxa"/>
            <w:vAlign w:val="bottom"/>
            <w:gridSpan w:val="2"/>
          </w:tcPr>
          <w:p>
            <w:pPr>
              <w:spacing w:after="0" w:line="206" w:lineRule="exact"/>
              <w:rPr>
                <w:sz w:val="20"/>
                <w:szCs w:val="20"/>
                <w:color w:val="auto"/>
              </w:rPr>
            </w:pPr>
            <w:r>
              <w:rPr>
                <w:rFonts w:ascii="Arial" w:cs="Arial" w:eastAsia="Arial" w:hAnsi="Arial"/>
                <w:sz w:val="18"/>
                <w:szCs w:val="18"/>
                <w:color w:val="auto"/>
              </w:rPr>
              <w:t>Short-term debt and current portion of long-</w:t>
            </w: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860" w:type="dxa"/>
            <w:vAlign w:val="bottom"/>
          </w:tcPr>
          <w:p>
            <w:pPr>
              <w:ind w:left="200"/>
              <w:spacing w:after="0" w:line="200" w:lineRule="exact"/>
              <w:rPr>
                <w:sz w:val="20"/>
                <w:szCs w:val="20"/>
                <w:color w:val="auto"/>
              </w:rPr>
            </w:pPr>
            <w:r>
              <w:rPr>
                <w:rFonts w:ascii="Arial" w:cs="Arial" w:eastAsia="Arial" w:hAnsi="Arial"/>
                <w:sz w:val="18"/>
                <w:szCs w:val="18"/>
                <w:color w:val="auto"/>
              </w:rPr>
              <w:t>term debt</w:t>
            </w: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0" w:lineRule="exact"/>
              <w:rPr>
                <w:sz w:val="20"/>
                <w:szCs w:val="20"/>
                <w:color w:val="auto"/>
              </w:rPr>
            </w:pPr>
            <w:r>
              <w:rPr>
                <w:rFonts w:ascii="Arial" w:cs="Arial" w:eastAsia="Arial" w:hAnsi="Arial"/>
                <w:sz w:val="18"/>
                <w:szCs w:val="18"/>
                <w:color w:val="auto"/>
              </w:rPr>
              <w:t>1,370</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240"/>
              <w:spacing w:after="0" w:line="200" w:lineRule="exact"/>
              <w:rPr>
                <w:sz w:val="20"/>
                <w:szCs w:val="20"/>
                <w:color w:val="auto"/>
              </w:rPr>
            </w:pPr>
            <w:r>
              <w:rPr>
                <w:rFonts w:ascii="Arial" w:cs="Arial" w:eastAsia="Arial" w:hAnsi="Arial"/>
                <w:sz w:val="18"/>
                <w:szCs w:val="18"/>
                <w:color w:val="auto"/>
              </w:rPr>
              <w:t>988</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line="200" w:lineRule="exact"/>
              <w:rPr>
                <w:sz w:val="20"/>
                <w:szCs w:val="20"/>
                <w:color w:val="auto"/>
              </w:rPr>
            </w:pPr>
            <w:r>
              <w:rPr>
                <w:rFonts w:ascii="Arial" w:cs="Arial" w:eastAsia="Arial" w:hAnsi="Arial"/>
                <w:sz w:val="18"/>
                <w:szCs w:val="18"/>
                <w:color w:val="auto"/>
              </w:rPr>
              <w:t>1,610</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40"/>
              <w:spacing w:after="0" w:line="200" w:lineRule="exact"/>
              <w:rPr>
                <w:sz w:val="20"/>
                <w:szCs w:val="20"/>
                <w:color w:val="auto"/>
              </w:rPr>
            </w:pPr>
            <w:r>
              <w:rPr>
                <w:rFonts w:ascii="Arial" w:cs="Arial" w:eastAsia="Arial" w:hAnsi="Arial"/>
                <w:sz w:val="18"/>
                <w:szCs w:val="18"/>
                <w:color w:val="auto"/>
              </w:rPr>
              <w:t>525</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line="200" w:lineRule="exact"/>
              <w:rPr>
                <w:sz w:val="20"/>
                <w:szCs w:val="20"/>
                <w:color w:val="auto"/>
              </w:rPr>
            </w:pPr>
            <w:r>
              <w:rPr>
                <w:rFonts w:ascii="Arial" w:cs="Arial" w:eastAsia="Arial" w:hAnsi="Arial"/>
                <w:sz w:val="18"/>
                <w:szCs w:val="18"/>
                <w:color w:val="auto"/>
              </w:rPr>
              <w:t>1,485</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Long-term debt</w:t>
            </w:r>
          </w:p>
        </w:tc>
        <w:tc>
          <w:tcPr>
            <w:tcW w:w="14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6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7,237</w:t>
            </w:r>
          </w:p>
        </w:tc>
        <w:tc>
          <w:tcPr>
            <w:tcW w:w="3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5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8,276</w:t>
            </w:r>
          </w:p>
        </w:tc>
        <w:tc>
          <w:tcPr>
            <w:tcW w:w="24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5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6,774</w:t>
            </w:r>
          </w:p>
        </w:tc>
        <w:tc>
          <w:tcPr>
            <w:tcW w:w="3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color w:val="auto"/>
              </w:rPr>
              <w:t>6,939</w:t>
            </w:r>
          </w:p>
        </w:tc>
        <w:tc>
          <w:tcPr>
            <w:tcW w:w="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5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5,660</w:t>
            </w:r>
          </w:p>
        </w:tc>
        <w:tc>
          <w:tcPr>
            <w:tcW w:w="22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tcPr>
          <w:p>
            <w:pPr>
              <w:ind w:left="860"/>
              <w:spacing w:after="0"/>
              <w:rPr>
                <w:sz w:val="20"/>
                <w:szCs w:val="20"/>
                <w:color w:val="auto"/>
              </w:rPr>
            </w:pPr>
            <w:r>
              <w:rPr>
                <w:rFonts w:ascii="Arial" w:cs="Arial" w:eastAsia="Arial" w:hAnsi="Arial"/>
                <w:sz w:val="18"/>
                <w:szCs w:val="18"/>
                <w:color w:val="auto"/>
              </w:rPr>
              <w:t>Total Debt</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8,607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9,264</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8,384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7,464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7,145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860" w:type="dxa"/>
            <w:vAlign w:val="bottom"/>
            <w:shd w:val="clear" w:color="auto" w:fill="E5E5E5"/>
          </w:tcPr>
          <w:p>
            <w:pPr>
              <w:spacing w:after="0" w:line="206" w:lineRule="exact"/>
              <w:rPr>
                <w:sz w:val="20"/>
                <w:szCs w:val="20"/>
                <w:color w:val="auto"/>
              </w:rPr>
            </w:pPr>
            <w:r>
              <w:rPr>
                <w:rFonts w:ascii="Arial" w:cs="Arial" w:eastAsia="Arial" w:hAnsi="Arial"/>
                <w:sz w:val="18"/>
                <w:szCs w:val="18"/>
                <w:color w:val="auto"/>
              </w:rPr>
              <w:t>Liability to subsidiary trust issuing preferred</w:t>
            </w:r>
          </w:p>
        </w:tc>
        <w:tc>
          <w:tcPr>
            <w:tcW w:w="14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64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860" w:type="dxa"/>
            <w:vAlign w:val="bottom"/>
            <w:shd w:val="clear" w:color="auto" w:fill="E5E5E5"/>
          </w:tcPr>
          <w:p>
            <w:pPr>
              <w:ind w:left="200"/>
              <w:spacing w:after="0" w:line="200" w:lineRule="exact"/>
              <w:rPr>
                <w:sz w:val="20"/>
                <w:szCs w:val="20"/>
                <w:color w:val="auto"/>
              </w:rPr>
            </w:pPr>
            <w:r>
              <w:rPr>
                <w:rFonts w:ascii="Arial" w:cs="Arial" w:eastAsia="Arial" w:hAnsi="Arial"/>
                <w:sz w:val="18"/>
                <w:szCs w:val="18"/>
                <w:color w:val="auto"/>
              </w:rPr>
              <w:t>securities</w:t>
            </w:r>
          </w:p>
        </w:tc>
        <w:tc>
          <w:tcPr>
            <w:tcW w:w="14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640" w:type="dxa"/>
            <w:vAlign w:val="bottom"/>
            <w:shd w:val="clear" w:color="auto" w:fill="E5E5E5"/>
          </w:tcPr>
          <w:p>
            <w:pPr>
              <w:jc w:val="right"/>
              <w:spacing w:after="0" w:line="200" w:lineRule="exact"/>
              <w:rPr>
                <w:sz w:val="20"/>
                <w:szCs w:val="20"/>
                <w:color w:val="auto"/>
              </w:rPr>
            </w:pPr>
            <w:r>
              <w:rPr>
                <w:rFonts w:ascii="Arial" w:cs="Arial" w:eastAsia="Arial" w:hAnsi="Arial"/>
                <w:sz w:val="18"/>
                <w:szCs w:val="18"/>
                <w:color w:val="auto"/>
              </w:rPr>
              <w:t>650</w:t>
            </w:r>
          </w:p>
        </w:tc>
        <w:tc>
          <w:tcPr>
            <w:tcW w:w="3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20" w:type="dxa"/>
            <w:vAlign w:val="bottom"/>
            <w:gridSpan w:val="2"/>
            <w:shd w:val="clear" w:color="auto" w:fill="E5E5E5"/>
          </w:tcPr>
          <w:p>
            <w:pPr>
              <w:jc w:val="right"/>
              <w:ind w:right="240"/>
              <w:spacing w:after="0" w:line="200" w:lineRule="exact"/>
              <w:rPr>
                <w:sz w:val="20"/>
                <w:szCs w:val="20"/>
                <w:color w:val="auto"/>
              </w:rPr>
            </w:pPr>
            <w:r>
              <w:rPr>
                <w:rFonts w:ascii="Arial" w:cs="Arial" w:eastAsia="Arial" w:hAnsi="Arial"/>
                <w:sz w:val="18"/>
                <w:szCs w:val="18"/>
                <w:color w:val="auto"/>
              </w:rPr>
              <w:t>649</w:t>
            </w:r>
          </w:p>
        </w:tc>
        <w:tc>
          <w:tcPr>
            <w:tcW w:w="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580" w:type="dxa"/>
            <w:vAlign w:val="bottom"/>
            <w:shd w:val="clear" w:color="auto" w:fill="E5E5E5"/>
          </w:tcPr>
          <w:p>
            <w:pPr>
              <w:jc w:val="right"/>
              <w:spacing w:after="0" w:line="200" w:lineRule="exact"/>
              <w:rPr>
                <w:sz w:val="20"/>
                <w:szCs w:val="20"/>
                <w:color w:val="auto"/>
              </w:rPr>
            </w:pPr>
            <w:r>
              <w:rPr>
                <w:rFonts w:ascii="Arial" w:cs="Arial" w:eastAsia="Arial" w:hAnsi="Arial"/>
                <w:sz w:val="18"/>
                <w:szCs w:val="18"/>
                <w:color w:val="auto"/>
              </w:rPr>
              <w:t>648</w:t>
            </w:r>
          </w:p>
        </w:tc>
        <w:tc>
          <w:tcPr>
            <w:tcW w:w="3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240"/>
              <w:spacing w:after="0" w:line="200" w:lineRule="exact"/>
              <w:rPr>
                <w:sz w:val="20"/>
                <w:szCs w:val="20"/>
                <w:color w:val="auto"/>
              </w:rPr>
            </w:pPr>
            <w:r>
              <w:rPr>
                <w:rFonts w:ascii="Arial" w:cs="Arial" w:eastAsia="Arial" w:hAnsi="Arial"/>
                <w:sz w:val="18"/>
                <w:szCs w:val="18"/>
                <w:color w:val="auto"/>
              </w:rPr>
              <w:t>632</w:t>
            </w:r>
          </w:p>
        </w:tc>
        <w:tc>
          <w:tcPr>
            <w:tcW w:w="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580" w:type="dxa"/>
            <w:vAlign w:val="bottom"/>
            <w:shd w:val="clear" w:color="auto" w:fill="E5E5E5"/>
          </w:tcPr>
          <w:p>
            <w:pPr>
              <w:jc w:val="right"/>
              <w:spacing w:after="0" w:line="200" w:lineRule="exact"/>
              <w:rPr>
                <w:sz w:val="20"/>
                <w:szCs w:val="20"/>
                <w:color w:val="auto"/>
              </w:rPr>
            </w:pPr>
            <w:r>
              <w:rPr>
                <w:rFonts w:ascii="Arial" w:cs="Arial" w:eastAsia="Arial" w:hAnsi="Arial"/>
                <w:sz w:val="18"/>
                <w:szCs w:val="18"/>
                <w:color w:val="auto"/>
              </w:rPr>
              <w:t>624</w:t>
            </w:r>
          </w:p>
        </w:tc>
        <w:tc>
          <w:tcPr>
            <w:tcW w:w="22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80" w:type="dxa"/>
            <w:vAlign w:val="bottom"/>
            <w:gridSpan w:val="2"/>
          </w:tcPr>
          <w:p>
            <w:pPr>
              <w:spacing w:after="0" w:line="202" w:lineRule="exact"/>
              <w:rPr>
                <w:sz w:val="20"/>
                <w:szCs w:val="20"/>
                <w:color w:val="auto"/>
              </w:rPr>
            </w:pPr>
            <w:r>
              <w:rPr>
                <w:rFonts w:ascii="Arial" w:cs="Arial" w:eastAsia="Arial" w:hAnsi="Arial"/>
                <w:sz w:val="18"/>
                <w:szCs w:val="18"/>
                <w:color w:val="auto"/>
              </w:rPr>
              <w:t>Series A convertible preferred stock</w:t>
            </w: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349</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Xerox shareholders’ equity</w:t>
            </w:r>
          </w:p>
        </w:tc>
        <w:tc>
          <w:tcPr>
            <w:tcW w:w="14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300"/>
              <w:spacing w:after="0" w:line="202" w:lineRule="exact"/>
              <w:rPr>
                <w:sz w:val="20"/>
                <w:szCs w:val="20"/>
                <w:color w:val="auto"/>
              </w:rPr>
            </w:pPr>
            <w:r>
              <w:rPr>
                <w:rFonts w:ascii="Arial" w:cs="Arial" w:eastAsia="Arial" w:hAnsi="Arial"/>
                <w:sz w:val="18"/>
                <w:szCs w:val="18"/>
                <w:color w:val="auto"/>
              </w:rPr>
              <w:t>12,006</w:t>
            </w:r>
          </w:p>
        </w:tc>
        <w:tc>
          <w:tcPr>
            <w:tcW w:w="160" w:type="dxa"/>
            <w:vAlign w:val="bottom"/>
            <w:shd w:val="clear" w:color="auto" w:fill="E5E5E5"/>
          </w:tcPr>
          <w:p>
            <w:pPr>
              <w:spacing w:after="0"/>
              <w:rPr>
                <w:sz w:val="17"/>
                <w:szCs w:val="17"/>
                <w:color w:val="auto"/>
              </w:rPr>
            </w:pPr>
          </w:p>
        </w:tc>
        <w:tc>
          <w:tcPr>
            <w:tcW w:w="5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7,050</w:t>
            </w:r>
          </w:p>
        </w:tc>
        <w:tc>
          <w:tcPr>
            <w:tcW w:w="24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5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6,238</w:t>
            </w:r>
          </w:p>
        </w:tc>
        <w:tc>
          <w:tcPr>
            <w:tcW w:w="3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color w:val="auto"/>
              </w:rPr>
              <w:t>8,588</w:t>
            </w:r>
          </w:p>
        </w:tc>
        <w:tc>
          <w:tcPr>
            <w:tcW w:w="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5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7,080</w:t>
            </w:r>
          </w:p>
        </w:tc>
        <w:tc>
          <w:tcPr>
            <w:tcW w:w="22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80" w:type="dxa"/>
            <w:vAlign w:val="bottom"/>
            <w:gridSpan w:val="2"/>
          </w:tcPr>
          <w:p>
            <w:pPr>
              <w:spacing w:after="0" w:line="202" w:lineRule="exact"/>
              <w:rPr>
                <w:sz w:val="20"/>
                <w:szCs w:val="20"/>
                <w:color w:val="auto"/>
              </w:rPr>
            </w:pPr>
            <w:r>
              <w:rPr>
                <w:rFonts w:ascii="Arial" w:cs="Arial" w:eastAsia="Arial" w:hAnsi="Arial"/>
                <w:sz w:val="18"/>
                <w:szCs w:val="18"/>
                <w:color w:val="auto"/>
              </w:rPr>
              <w:t>Noncontrolling interests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153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141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120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103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108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860" w:type="dxa"/>
            <w:vAlign w:val="bottom"/>
            <w:shd w:val="clear" w:color="auto" w:fill="E5E5E5"/>
          </w:tcPr>
          <w:p>
            <w:pPr>
              <w:ind w:left="860"/>
              <w:spacing w:after="0" w:line="184" w:lineRule="exact"/>
              <w:rPr>
                <w:sz w:val="20"/>
                <w:szCs w:val="20"/>
                <w:color w:val="auto"/>
              </w:rPr>
            </w:pPr>
            <w:r>
              <w:rPr>
                <w:rFonts w:ascii="Arial" w:cs="Arial" w:eastAsia="Arial" w:hAnsi="Arial"/>
                <w:sz w:val="18"/>
                <w:szCs w:val="18"/>
                <w:b w:val="1"/>
                <w:bCs w:val="1"/>
                <w:color w:val="auto"/>
              </w:rPr>
              <w:t>Total Consolidated</w:t>
            </w:r>
          </w:p>
        </w:tc>
        <w:tc>
          <w:tcPr>
            <w:tcW w:w="1420" w:type="dxa"/>
            <w:vAlign w:val="bottom"/>
            <w:shd w:val="clear" w:color="auto" w:fill="E5E5E5"/>
          </w:tcPr>
          <w:p>
            <w:pPr>
              <w:spacing w:after="0"/>
              <w:rPr>
                <w:sz w:val="15"/>
                <w:szCs w:val="15"/>
                <w:color w:val="auto"/>
              </w:rPr>
            </w:pPr>
          </w:p>
        </w:tc>
        <w:tc>
          <w:tcPr>
            <w:tcW w:w="100" w:type="dxa"/>
            <w:vAlign w:val="bottom"/>
            <w:tcBorders>
              <w:top w:val="single" w:sz="8" w:color="auto"/>
            </w:tcBorders>
            <w:shd w:val="clear" w:color="auto" w:fill="E5E5E5"/>
          </w:tcPr>
          <w:p>
            <w:pPr>
              <w:spacing w:after="0"/>
              <w:rPr>
                <w:sz w:val="15"/>
                <w:szCs w:val="15"/>
                <w:color w:val="auto"/>
              </w:rPr>
            </w:pPr>
          </w:p>
        </w:tc>
        <w:tc>
          <w:tcPr>
            <w:tcW w:w="640" w:type="dxa"/>
            <w:vAlign w:val="bottom"/>
            <w:tcBorders>
              <w:top w:val="single" w:sz="8" w:color="auto"/>
            </w:tcBorders>
            <w:shd w:val="clear" w:color="auto" w:fill="E5E5E5"/>
          </w:tcPr>
          <w:p>
            <w:pPr>
              <w:spacing w:after="0"/>
              <w:rPr>
                <w:sz w:val="15"/>
                <w:szCs w:val="15"/>
                <w:color w:val="auto"/>
              </w:rPr>
            </w:pPr>
          </w:p>
        </w:tc>
        <w:tc>
          <w:tcPr>
            <w:tcW w:w="300" w:type="dxa"/>
            <w:vAlign w:val="bottom"/>
            <w:shd w:val="clear" w:color="auto" w:fill="E5E5E5"/>
          </w:tcPr>
          <w:p>
            <w:pPr>
              <w:spacing w:after="0"/>
              <w:rPr>
                <w:sz w:val="15"/>
                <w:szCs w:val="15"/>
                <w:color w:val="auto"/>
              </w:rPr>
            </w:pPr>
          </w:p>
        </w:tc>
        <w:tc>
          <w:tcPr>
            <w:tcW w:w="160" w:type="dxa"/>
            <w:vAlign w:val="bottom"/>
            <w:tcBorders>
              <w:top w:val="single" w:sz="8" w:color="auto"/>
            </w:tcBorders>
            <w:shd w:val="clear" w:color="auto" w:fill="E5E5E5"/>
          </w:tcPr>
          <w:p>
            <w:pPr>
              <w:spacing w:after="0"/>
              <w:rPr>
                <w:sz w:val="15"/>
                <w:szCs w:val="15"/>
                <w:color w:val="auto"/>
              </w:rPr>
            </w:pPr>
          </w:p>
        </w:tc>
        <w:tc>
          <w:tcPr>
            <w:tcW w:w="580" w:type="dxa"/>
            <w:vAlign w:val="bottom"/>
            <w:tcBorders>
              <w:top w:val="single" w:sz="8" w:color="auto"/>
            </w:tcBorders>
            <w:shd w:val="clear" w:color="auto" w:fill="E5E5E5"/>
          </w:tcPr>
          <w:p>
            <w:pPr>
              <w:spacing w:after="0"/>
              <w:rPr>
                <w:sz w:val="15"/>
                <w:szCs w:val="15"/>
                <w:color w:val="auto"/>
              </w:rPr>
            </w:pPr>
          </w:p>
        </w:tc>
        <w:tc>
          <w:tcPr>
            <w:tcW w:w="240" w:type="dxa"/>
            <w:vAlign w:val="bottom"/>
            <w:shd w:val="clear" w:color="auto" w:fill="E5E5E5"/>
          </w:tcPr>
          <w:p>
            <w:pPr>
              <w:spacing w:after="0"/>
              <w:rPr>
                <w:sz w:val="15"/>
                <w:szCs w:val="15"/>
                <w:color w:val="auto"/>
              </w:rPr>
            </w:pPr>
          </w:p>
        </w:tc>
        <w:tc>
          <w:tcPr>
            <w:tcW w:w="60" w:type="dxa"/>
            <w:vAlign w:val="bottom"/>
            <w:shd w:val="clear" w:color="auto" w:fill="E5E5E5"/>
          </w:tcPr>
          <w:p>
            <w:pPr>
              <w:spacing w:after="0"/>
              <w:rPr>
                <w:sz w:val="15"/>
                <w:szCs w:val="15"/>
                <w:color w:val="auto"/>
              </w:rPr>
            </w:pPr>
          </w:p>
        </w:tc>
        <w:tc>
          <w:tcPr>
            <w:tcW w:w="160" w:type="dxa"/>
            <w:vAlign w:val="bottom"/>
            <w:tcBorders>
              <w:top w:val="single" w:sz="8" w:color="auto"/>
            </w:tcBorders>
            <w:shd w:val="clear" w:color="auto" w:fill="E5E5E5"/>
          </w:tcPr>
          <w:p>
            <w:pPr>
              <w:spacing w:after="0"/>
              <w:rPr>
                <w:sz w:val="15"/>
                <w:szCs w:val="15"/>
                <w:color w:val="auto"/>
              </w:rPr>
            </w:pPr>
          </w:p>
        </w:tc>
        <w:tc>
          <w:tcPr>
            <w:tcW w:w="580" w:type="dxa"/>
            <w:vAlign w:val="bottom"/>
            <w:tcBorders>
              <w:top w:val="single" w:sz="8" w:color="auto"/>
            </w:tcBorders>
            <w:shd w:val="clear" w:color="auto" w:fill="E5E5E5"/>
          </w:tcPr>
          <w:p>
            <w:pPr>
              <w:spacing w:after="0"/>
              <w:rPr>
                <w:sz w:val="15"/>
                <w:szCs w:val="15"/>
                <w:color w:val="auto"/>
              </w:rPr>
            </w:pPr>
          </w:p>
        </w:tc>
        <w:tc>
          <w:tcPr>
            <w:tcW w:w="300" w:type="dxa"/>
            <w:vAlign w:val="bottom"/>
            <w:shd w:val="clear" w:color="auto" w:fill="E5E5E5"/>
          </w:tcPr>
          <w:p>
            <w:pPr>
              <w:spacing w:after="0"/>
              <w:rPr>
                <w:sz w:val="15"/>
                <w:szCs w:val="15"/>
                <w:color w:val="auto"/>
              </w:rPr>
            </w:pPr>
          </w:p>
        </w:tc>
        <w:tc>
          <w:tcPr>
            <w:tcW w:w="120" w:type="dxa"/>
            <w:vAlign w:val="bottom"/>
            <w:tcBorders>
              <w:top w:val="single" w:sz="8" w:color="auto"/>
            </w:tcBorders>
            <w:shd w:val="clear" w:color="auto" w:fill="E5E5E5"/>
          </w:tcPr>
          <w:p>
            <w:pPr>
              <w:spacing w:after="0"/>
              <w:rPr>
                <w:sz w:val="15"/>
                <w:szCs w:val="15"/>
                <w:color w:val="auto"/>
              </w:rPr>
            </w:pPr>
          </w:p>
        </w:tc>
        <w:tc>
          <w:tcPr>
            <w:tcW w:w="620" w:type="dxa"/>
            <w:vAlign w:val="bottom"/>
            <w:tcBorders>
              <w:top w:val="single" w:sz="8" w:color="auto"/>
            </w:tcBorders>
            <w:shd w:val="clear" w:color="auto" w:fill="E5E5E5"/>
          </w:tcPr>
          <w:p>
            <w:pPr>
              <w:spacing w:after="0"/>
              <w:rPr>
                <w:sz w:val="15"/>
                <w:szCs w:val="15"/>
                <w:color w:val="auto"/>
              </w:rPr>
            </w:pPr>
          </w:p>
        </w:tc>
        <w:tc>
          <w:tcPr>
            <w:tcW w:w="240" w:type="dxa"/>
            <w:vAlign w:val="bottom"/>
            <w:shd w:val="clear" w:color="auto" w:fill="E5E5E5"/>
          </w:tcPr>
          <w:p>
            <w:pPr>
              <w:spacing w:after="0"/>
              <w:rPr>
                <w:sz w:val="15"/>
                <w:szCs w:val="15"/>
                <w:color w:val="auto"/>
              </w:rPr>
            </w:pPr>
          </w:p>
        </w:tc>
        <w:tc>
          <w:tcPr>
            <w:tcW w:w="60" w:type="dxa"/>
            <w:vAlign w:val="bottom"/>
            <w:shd w:val="clear" w:color="auto" w:fill="E5E5E5"/>
          </w:tcPr>
          <w:p>
            <w:pPr>
              <w:spacing w:after="0"/>
              <w:rPr>
                <w:sz w:val="15"/>
                <w:szCs w:val="15"/>
                <w:color w:val="auto"/>
              </w:rPr>
            </w:pPr>
          </w:p>
        </w:tc>
        <w:tc>
          <w:tcPr>
            <w:tcW w:w="160" w:type="dxa"/>
            <w:vAlign w:val="bottom"/>
            <w:tcBorders>
              <w:top w:val="single" w:sz="8" w:color="auto"/>
            </w:tcBorders>
            <w:shd w:val="clear" w:color="auto" w:fill="E5E5E5"/>
          </w:tcPr>
          <w:p>
            <w:pPr>
              <w:spacing w:after="0"/>
              <w:rPr>
                <w:sz w:val="15"/>
                <w:szCs w:val="15"/>
                <w:color w:val="auto"/>
              </w:rPr>
            </w:pPr>
          </w:p>
        </w:tc>
        <w:tc>
          <w:tcPr>
            <w:tcW w:w="580" w:type="dxa"/>
            <w:vAlign w:val="bottom"/>
            <w:tcBorders>
              <w:top w:val="single" w:sz="8" w:color="auto"/>
            </w:tcBorders>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860" w:type="dxa"/>
            <w:vAlign w:val="bottom"/>
            <w:shd w:val="clear" w:color="auto" w:fill="E5E5E5"/>
          </w:tcPr>
          <w:p>
            <w:pPr>
              <w:ind w:left="1060"/>
              <w:spacing w:after="0"/>
              <w:rPr>
                <w:sz w:val="20"/>
                <w:szCs w:val="20"/>
                <w:color w:val="auto"/>
              </w:rPr>
            </w:pPr>
            <w:r>
              <w:rPr>
                <w:rFonts w:ascii="Arial" w:cs="Arial" w:eastAsia="Arial" w:hAnsi="Arial"/>
                <w:sz w:val="18"/>
                <w:szCs w:val="18"/>
                <w:b w:val="1"/>
                <w:bCs w:val="1"/>
                <w:color w:val="auto"/>
              </w:rPr>
              <w:t>Capitalization</w:t>
            </w:r>
          </w:p>
        </w:tc>
        <w:tc>
          <w:tcPr>
            <w:tcW w:w="152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5E5E5"/>
          </w:tcPr>
          <w:p>
            <w:pPr>
              <w:jc w:val="right"/>
              <w:ind w:right="300"/>
              <w:spacing w:after="0"/>
              <w:rPr>
                <w:sz w:val="20"/>
                <w:szCs w:val="20"/>
                <w:color w:val="auto"/>
              </w:rPr>
            </w:pPr>
            <w:r>
              <w:rPr>
                <w:rFonts w:ascii="Arial" w:cs="Arial" w:eastAsia="Arial" w:hAnsi="Arial"/>
                <w:sz w:val="18"/>
                <w:szCs w:val="18"/>
                <w:color w:val="auto"/>
              </w:rPr>
              <w:t>21,765</w:t>
            </w:r>
          </w:p>
        </w:tc>
        <w:tc>
          <w:tcPr>
            <w:tcW w:w="160" w:type="dxa"/>
            <w:vAlign w:val="bottom"/>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E5E5E5"/>
          </w:tcPr>
          <w:p>
            <w:pPr>
              <w:jc w:val="right"/>
              <w:ind w:right="240"/>
              <w:spacing w:after="0"/>
              <w:rPr>
                <w:sz w:val="20"/>
                <w:szCs w:val="20"/>
                <w:color w:val="auto"/>
              </w:rPr>
            </w:pPr>
            <w:r>
              <w:rPr>
                <w:rFonts w:ascii="Arial" w:cs="Arial" w:eastAsia="Arial" w:hAnsi="Arial"/>
                <w:sz w:val="18"/>
                <w:szCs w:val="18"/>
                <w:color w:val="auto"/>
              </w:rPr>
              <w:t>17,104</w:t>
            </w:r>
          </w:p>
        </w:tc>
        <w:tc>
          <w:tcPr>
            <w:tcW w:w="22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15,390</w:t>
            </w:r>
          </w:p>
        </w:tc>
        <w:tc>
          <w:tcPr>
            <w:tcW w:w="300" w:type="dxa"/>
            <w:vAlign w:val="bottom"/>
            <w:shd w:val="clear" w:color="auto" w:fill="E5E5E5"/>
          </w:tcPr>
          <w:p>
            <w:pPr>
              <w:spacing w:after="0"/>
              <w:rPr>
                <w:sz w:val="19"/>
                <w:szCs w:val="19"/>
                <w:color w:val="auto"/>
              </w:rPr>
            </w:pPr>
          </w:p>
        </w:tc>
        <w:tc>
          <w:tcPr>
            <w:tcW w:w="120" w:type="dxa"/>
            <w:vAlign w:val="bottom"/>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E5E5E5"/>
          </w:tcPr>
          <w:p>
            <w:pPr>
              <w:jc w:val="right"/>
              <w:ind w:right="240"/>
              <w:spacing w:after="0"/>
              <w:rPr>
                <w:sz w:val="20"/>
                <w:szCs w:val="20"/>
                <w:color w:val="auto"/>
              </w:rPr>
            </w:pPr>
            <w:r>
              <w:rPr>
                <w:rFonts w:ascii="Arial" w:cs="Arial" w:eastAsia="Arial" w:hAnsi="Arial"/>
                <w:sz w:val="18"/>
                <w:szCs w:val="18"/>
                <w:color w:val="auto"/>
              </w:rPr>
              <w:t>16,787</w:t>
            </w:r>
          </w:p>
        </w:tc>
        <w:tc>
          <w:tcPr>
            <w:tcW w:w="22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14,957</w:t>
            </w:r>
          </w:p>
        </w:tc>
        <w:tc>
          <w:tcPr>
            <w:tcW w:w="22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Selected Data and Ratios</w:t>
            </w:r>
          </w:p>
        </w:tc>
        <w:tc>
          <w:tcPr>
            <w:tcW w:w="1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880" w:type="dxa"/>
            <w:vAlign w:val="bottom"/>
            <w:gridSpan w:val="2"/>
            <w:vMerge w:val="continue"/>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Common shareholders of record at year-end</w:t>
            </w:r>
          </w:p>
        </w:tc>
        <w:tc>
          <w:tcPr>
            <w:tcW w:w="14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300"/>
              <w:spacing w:after="0" w:line="202" w:lineRule="exact"/>
              <w:rPr>
                <w:sz w:val="20"/>
                <w:szCs w:val="20"/>
                <w:color w:val="auto"/>
              </w:rPr>
            </w:pPr>
            <w:r>
              <w:rPr>
                <w:rFonts w:ascii="Arial" w:cs="Arial" w:eastAsia="Arial" w:hAnsi="Arial"/>
                <w:sz w:val="18"/>
                <w:szCs w:val="18"/>
                <w:color w:val="auto"/>
              </w:rPr>
              <w:t>43,383</w:t>
            </w:r>
          </w:p>
        </w:tc>
        <w:tc>
          <w:tcPr>
            <w:tcW w:w="160" w:type="dxa"/>
            <w:vAlign w:val="bottom"/>
            <w:shd w:val="clear" w:color="auto" w:fill="E5E5E5"/>
          </w:tcPr>
          <w:p>
            <w:pPr>
              <w:spacing w:after="0"/>
              <w:rPr>
                <w:sz w:val="17"/>
                <w:szCs w:val="17"/>
                <w:color w:val="auto"/>
              </w:rPr>
            </w:pPr>
          </w:p>
        </w:tc>
        <w:tc>
          <w:tcPr>
            <w:tcW w:w="82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color w:val="auto"/>
              </w:rPr>
              <w:t>44,792</w:t>
            </w:r>
          </w:p>
        </w:tc>
        <w:tc>
          <w:tcPr>
            <w:tcW w:w="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300"/>
              <w:spacing w:after="0" w:line="202" w:lineRule="exact"/>
              <w:rPr>
                <w:sz w:val="20"/>
                <w:szCs w:val="20"/>
                <w:color w:val="auto"/>
              </w:rPr>
            </w:pPr>
            <w:r>
              <w:rPr>
                <w:rFonts w:ascii="Arial" w:cs="Arial" w:eastAsia="Arial" w:hAnsi="Arial"/>
                <w:sz w:val="18"/>
                <w:szCs w:val="18"/>
                <w:color w:val="auto"/>
              </w:rPr>
              <w:t>46,541</w:t>
            </w:r>
          </w:p>
        </w:tc>
        <w:tc>
          <w:tcPr>
            <w:tcW w:w="12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color w:val="auto"/>
              </w:rPr>
              <w:t>48,261</w:t>
            </w:r>
          </w:p>
        </w:tc>
        <w:tc>
          <w:tcPr>
            <w:tcW w:w="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0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40,372</w:t>
            </w:r>
          </w:p>
        </w:tc>
        <w:tc>
          <w:tcPr>
            <w:tcW w:w="0" w:type="dxa"/>
            <w:vAlign w:val="bottom"/>
          </w:tcPr>
          <w:p>
            <w:pPr>
              <w:spacing w:after="0"/>
              <w:rPr>
                <w:sz w:val="1"/>
                <w:szCs w:val="1"/>
                <w:color w:val="auto"/>
              </w:rPr>
            </w:pPr>
          </w:p>
        </w:tc>
      </w:tr>
      <w:tr>
        <w:trPr>
          <w:trHeight w:val="203"/>
        </w:trPr>
        <w:tc>
          <w:tcPr>
            <w:tcW w:w="4880" w:type="dxa"/>
            <w:vAlign w:val="bottom"/>
            <w:gridSpan w:val="2"/>
          </w:tcPr>
          <w:p>
            <w:pPr>
              <w:spacing w:after="0" w:line="202" w:lineRule="exact"/>
              <w:rPr>
                <w:sz w:val="20"/>
                <w:szCs w:val="20"/>
                <w:color w:val="auto"/>
              </w:rPr>
            </w:pPr>
            <w:r>
              <w:rPr>
                <w:rFonts w:ascii="Arial" w:cs="Arial" w:eastAsia="Arial" w:hAnsi="Arial"/>
                <w:sz w:val="18"/>
                <w:szCs w:val="18"/>
                <w:color w:val="auto"/>
              </w:rPr>
              <w:t>Book value per common share</w:t>
            </w:r>
          </w:p>
        </w:tc>
        <w:tc>
          <w:tcPr>
            <w:tcW w:w="1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8.59</w:t>
            </w:r>
          </w:p>
        </w:tc>
        <w:tc>
          <w:tcPr>
            <w:tcW w:w="30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8.11</w:t>
            </w:r>
          </w:p>
        </w:tc>
        <w:tc>
          <w:tcPr>
            <w:tcW w:w="2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7.21</w:t>
            </w:r>
          </w:p>
        </w:tc>
        <w:tc>
          <w:tcPr>
            <w:tcW w:w="30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9.36</w:t>
            </w:r>
          </w:p>
        </w:tc>
        <w:tc>
          <w:tcPr>
            <w:tcW w:w="2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7.48</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Year-end common stock market price</w:t>
            </w:r>
          </w:p>
        </w:tc>
        <w:tc>
          <w:tcPr>
            <w:tcW w:w="152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11.52</w:t>
            </w:r>
          </w:p>
        </w:tc>
        <w:tc>
          <w:tcPr>
            <w:tcW w:w="300" w:type="dxa"/>
            <w:vAlign w:val="bottom"/>
            <w:shd w:val="clear" w:color="auto" w:fill="E5E5E5"/>
          </w:tcPr>
          <w:p>
            <w:pPr>
              <w:spacing w:after="0"/>
              <w:rPr>
                <w:sz w:val="17"/>
                <w:szCs w:val="17"/>
                <w:color w:val="auto"/>
              </w:rPr>
            </w:pPr>
          </w:p>
        </w:tc>
        <w:tc>
          <w:tcPr>
            <w:tcW w:w="1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color w:val="auto"/>
              </w:rPr>
              <w:t>8.46</w:t>
            </w:r>
          </w:p>
        </w:tc>
        <w:tc>
          <w:tcPr>
            <w:tcW w:w="22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7.97</w:t>
            </w:r>
          </w:p>
        </w:tc>
        <w:tc>
          <w:tcPr>
            <w:tcW w:w="300" w:type="dxa"/>
            <w:vAlign w:val="bottom"/>
            <w:shd w:val="clear" w:color="auto" w:fill="E5E5E5"/>
          </w:tcPr>
          <w:p>
            <w:pPr>
              <w:spacing w:after="0"/>
              <w:rPr>
                <w:sz w:val="17"/>
                <w:szCs w:val="17"/>
                <w:color w:val="auto"/>
              </w:rPr>
            </w:pPr>
          </w:p>
        </w:tc>
        <w:tc>
          <w:tcPr>
            <w:tcW w:w="1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color w:val="auto"/>
              </w:rPr>
              <w:t>16.19</w:t>
            </w:r>
          </w:p>
        </w:tc>
        <w:tc>
          <w:tcPr>
            <w:tcW w:w="22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16.95</w:t>
            </w:r>
          </w:p>
        </w:tc>
        <w:tc>
          <w:tcPr>
            <w:tcW w:w="22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80" w:type="dxa"/>
            <w:vAlign w:val="bottom"/>
            <w:gridSpan w:val="2"/>
          </w:tcPr>
          <w:p>
            <w:pPr>
              <w:spacing w:after="0" w:line="202" w:lineRule="exact"/>
              <w:rPr>
                <w:sz w:val="20"/>
                <w:szCs w:val="20"/>
                <w:color w:val="auto"/>
              </w:rPr>
            </w:pPr>
            <w:r>
              <w:rPr>
                <w:rFonts w:ascii="Arial" w:cs="Arial" w:eastAsia="Arial" w:hAnsi="Arial"/>
                <w:sz w:val="18"/>
                <w:szCs w:val="18"/>
                <w:color w:val="auto"/>
              </w:rPr>
              <w:t>Employees at year-end</w:t>
            </w: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5"/>
              </w:rPr>
              <w:t>136,500</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53,600</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57,100</w:t>
            </w:r>
          </w:p>
        </w:tc>
        <w:tc>
          <w:tcPr>
            <w:tcW w:w="120" w:type="dxa"/>
            <w:vAlign w:val="bottom"/>
          </w:tcPr>
          <w:p>
            <w:pPr>
              <w:spacing w:after="0"/>
              <w:rPr>
                <w:sz w:val="17"/>
                <w:szCs w:val="17"/>
                <w:color w:val="auto"/>
              </w:rPr>
            </w:pPr>
          </w:p>
        </w:tc>
        <w:tc>
          <w:tcPr>
            <w:tcW w:w="8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57,400</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53,700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Gross margin</w:t>
            </w:r>
          </w:p>
        </w:tc>
        <w:tc>
          <w:tcPr>
            <w:tcW w:w="14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34.4%</w:t>
            </w:r>
          </w:p>
        </w:tc>
        <w:tc>
          <w:tcPr>
            <w:tcW w:w="160" w:type="dxa"/>
            <w:vAlign w:val="bottom"/>
            <w:shd w:val="clear" w:color="auto" w:fill="E5E5E5"/>
          </w:tcPr>
          <w:p>
            <w:pPr>
              <w:spacing w:after="0"/>
              <w:rPr>
                <w:sz w:val="17"/>
                <w:szCs w:val="17"/>
                <w:color w:val="auto"/>
              </w:rPr>
            </w:pPr>
          </w:p>
        </w:tc>
        <w:tc>
          <w:tcPr>
            <w:tcW w:w="82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39.7%</w:t>
            </w:r>
          </w:p>
        </w:tc>
        <w:tc>
          <w:tcPr>
            <w:tcW w:w="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38.9%</w:t>
            </w:r>
          </w:p>
        </w:tc>
        <w:tc>
          <w:tcPr>
            <w:tcW w:w="12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40.3%</w:t>
            </w:r>
          </w:p>
        </w:tc>
        <w:tc>
          <w:tcPr>
            <w:tcW w:w="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0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tcPr>
          <w:p>
            <w:pPr>
              <w:ind w:left="420"/>
              <w:spacing w:after="0" w:line="202" w:lineRule="exact"/>
              <w:rPr>
                <w:sz w:val="20"/>
                <w:szCs w:val="20"/>
                <w:color w:val="auto"/>
              </w:rPr>
            </w:pPr>
            <w:r>
              <w:rPr>
                <w:rFonts w:ascii="Arial" w:cs="Arial" w:eastAsia="Arial" w:hAnsi="Arial"/>
                <w:sz w:val="18"/>
                <w:szCs w:val="18"/>
                <w:color w:val="auto"/>
              </w:rPr>
              <w:t>Sales gross margin</w:t>
            </w: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34.5%</w:t>
            </w:r>
          </w:p>
        </w:tc>
        <w:tc>
          <w:tcPr>
            <w:tcW w:w="16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33.9%</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33.7%</w:t>
            </w:r>
          </w:p>
        </w:tc>
        <w:tc>
          <w:tcPr>
            <w:tcW w:w="120" w:type="dxa"/>
            <w:vAlign w:val="bottom"/>
          </w:tcPr>
          <w:p>
            <w:pPr>
              <w:spacing w:after="0"/>
              <w:rPr>
                <w:sz w:val="17"/>
                <w:szCs w:val="17"/>
                <w:color w:val="auto"/>
              </w:rPr>
            </w:pPr>
          </w:p>
        </w:tc>
        <w:tc>
          <w:tcPr>
            <w:tcW w:w="8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35.9%</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860" w:type="dxa"/>
            <w:vAlign w:val="bottom"/>
            <w:shd w:val="clear" w:color="auto" w:fill="E5E5E5"/>
          </w:tcPr>
          <w:p>
            <w:pPr>
              <w:ind w:left="420"/>
              <w:spacing w:after="0" w:line="206" w:lineRule="exact"/>
              <w:rPr>
                <w:sz w:val="20"/>
                <w:szCs w:val="20"/>
                <w:color w:val="auto"/>
              </w:rPr>
            </w:pPr>
            <w:r>
              <w:rPr>
                <w:rFonts w:ascii="Arial" w:cs="Arial" w:eastAsia="Arial" w:hAnsi="Arial"/>
                <w:sz w:val="18"/>
                <w:szCs w:val="18"/>
                <w:color w:val="auto"/>
              </w:rPr>
              <w:t>Service, outsourcing and rentals gross</w:t>
            </w:r>
          </w:p>
        </w:tc>
        <w:tc>
          <w:tcPr>
            <w:tcW w:w="14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64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860" w:type="dxa"/>
            <w:vAlign w:val="bottom"/>
            <w:shd w:val="clear" w:color="auto" w:fill="E5E5E5"/>
          </w:tcPr>
          <w:p>
            <w:pPr>
              <w:ind w:left="640"/>
              <w:spacing w:after="0" w:line="200" w:lineRule="exact"/>
              <w:rPr>
                <w:sz w:val="20"/>
                <w:szCs w:val="20"/>
                <w:color w:val="auto"/>
              </w:rPr>
            </w:pPr>
            <w:r>
              <w:rPr>
                <w:rFonts w:ascii="Arial" w:cs="Arial" w:eastAsia="Arial" w:hAnsi="Arial"/>
                <w:sz w:val="18"/>
                <w:szCs w:val="18"/>
                <w:color w:val="auto"/>
              </w:rPr>
              <w:t>margin</w:t>
            </w:r>
          </w:p>
        </w:tc>
        <w:tc>
          <w:tcPr>
            <w:tcW w:w="14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140"/>
              <w:spacing w:after="0" w:line="200" w:lineRule="exact"/>
              <w:rPr>
                <w:sz w:val="20"/>
                <w:szCs w:val="20"/>
                <w:color w:val="auto"/>
              </w:rPr>
            </w:pPr>
            <w:r>
              <w:rPr>
                <w:rFonts w:ascii="Arial" w:cs="Arial" w:eastAsia="Arial" w:hAnsi="Arial"/>
                <w:sz w:val="18"/>
                <w:szCs w:val="18"/>
                <w:color w:val="auto"/>
              </w:rPr>
              <w:t>33.1%</w:t>
            </w:r>
          </w:p>
        </w:tc>
        <w:tc>
          <w:tcPr>
            <w:tcW w:w="160" w:type="dxa"/>
            <w:vAlign w:val="bottom"/>
            <w:shd w:val="clear" w:color="auto" w:fill="E5E5E5"/>
          </w:tcPr>
          <w:p>
            <w:pPr>
              <w:spacing w:after="0"/>
              <w:rPr>
                <w:sz w:val="17"/>
                <w:szCs w:val="17"/>
                <w:color w:val="auto"/>
              </w:rPr>
            </w:pPr>
          </w:p>
        </w:tc>
        <w:tc>
          <w:tcPr>
            <w:tcW w:w="820" w:type="dxa"/>
            <w:vAlign w:val="bottom"/>
            <w:gridSpan w:val="2"/>
            <w:shd w:val="clear" w:color="auto" w:fill="E5E5E5"/>
          </w:tcPr>
          <w:p>
            <w:pPr>
              <w:jc w:val="right"/>
              <w:ind w:right="80"/>
              <w:spacing w:after="0" w:line="200" w:lineRule="exact"/>
              <w:rPr>
                <w:sz w:val="20"/>
                <w:szCs w:val="20"/>
                <w:color w:val="auto"/>
              </w:rPr>
            </w:pPr>
            <w:r>
              <w:rPr>
                <w:rFonts w:ascii="Arial" w:cs="Arial" w:eastAsia="Arial" w:hAnsi="Arial"/>
                <w:sz w:val="18"/>
                <w:szCs w:val="18"/>
                <w:color w:val="auto"/>
              </w:rPr>
              <w:t>42.6%</w:t>
            </w:r>
          </w:p>
        </w:tc>
        <w:tc>
          <w:tcPr>
            <w:tcW w:w="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140"/>
              <w:spacing w:after="0" w:line="200" w:lineRule="exact"/>
              <w:rPr>
                <w:sz w:val="20"/>
                <w:szCs w:val="20"/>
                <w:color w:val="auto"/>
              </w:rPr>
            </w:pPr>
            <w:r>
              <w:rPr>
                <w:rFonts w:ascii="Arial" w:cs="Arial" w:eastAsia="Arial" w:hAnsi="Arial"/>
                <w:sz w:val="18"/>
                <w:szCs w:val="18"/>
                <w:color w:val="auto"/>
              </w:rPr>
              <w:t>41.9%</w:t>
            </w:r>
          </w:p>
        </w:tc>
        <w:tc>
          <w:tcPr>
            <w:tcW w:w="12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80"/>
              <w:spacing w:after="0" w:line="200" w:lineRule="exact"/>
              <w:rPr>
                <w:sz w:val="20"/>
                <w:szCs w:val="20"/>
                <w:color w:val="auto"/>
              </w:rPr>
            </w:pPr>
            <w:r>
              <w:rPr>
                <w:rFonts w:ascii="Arial" w:cs="Arial" w:eastAsia="Arial" w:hAnsi="Arial"/>
                <w:sz w:val="18"/>
                <w:szCs w:val="18"/>
                <w:color w:val="auto"/>
              </w:rPr>
              <w:t>42.7%</w:t>
            </w:r>
          </w:p>
        </w:tc>
        <w:tc>
          <w:tcPr>
            <w:tcW w:w="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00" w:type="dxa"/>
            <w:vAlign w:val="bottom"/>
            <w:gridSpan w:val="2"/>
            <w:shd w:val="clear" w:color="auto" w:fill="E5E5E5"/>
          </w:tcPr>
          <w:p>
            <w:pPr>
              <w:jc w:val="right"/>
              <w:ind w:right="60"/>
              <w:spacing w:after="0" w:line="200" w:lineRule="exact"/>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Finance gross margin</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62.7%</w:t>
            </w:r>
          </w:p>
        </w:tc>
        <w:tc>
          <w:tcPr>
            <w:tcW w:w="1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62.0%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61.8%</w:t>
            </w:r>
          </w:p>
        </w:tc>
        <w:tc>
          <w:tcPr>
            <w:tcW w:w="1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61.6%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898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85" w:lineRule="exact"/>
        <w:rPr>
          <w:sz w:val="20"/>
          <w:szCs w:val="20"/>
          <w:color w:val="auto"/>
        </w:rPr>
      </w:pPr>
    </w:p>
    <w:p>
      <w:pPr>
        <w:ind w:left="340" w:hanging="332"/>
        <w:spacing w:after="0"/>
        <w:tabs>
          <w:tab w:leader="none" w:pos="340" w:val="left"/>
        </w:tabs>
        <w:numPr>
          <w:ilvl w:val="0"/>
          <w:numId w:val="178"/>
        </w:numPr>
        <w:rPr>
          <w:rFonts w:ascii="Arial" w:cs="Arial" w:eastAsia="Arial" w:hAnsi="Arial"/>
          <w:sz w:val="14"/>
          <w:szCs w:val="14"/>
          <w:color w:val="auto"/>
        </w:rPr>
      </w:pPr>
      <w:r>
        <w:rPr>
          <w:rFonts w:ascii="Arial" w:cs="Arial" w:eastAsia="Arial" w:hAnsi="Arial"/>
          <w:sz w:val="14"/>
          <w:szCs w:val="14"/>
          <w:color w:val="auto"/>
        </w:rPr>
        <w:t>2010 results include the acquisition of ACS</w:t>
      </w:r>
    </w:p>
    <w:p>
      <w:pPr>
        <w:ind w:left="340" w:hanging="332"/>
        <w:spacing w:after="0"/>
        <w:tabs>
          <w:tab w:leader="none" w:pos="340" w:val="left"/>
        </w:tabs>
        <w:numPr>
          <w:ilvl w:val="0"/>
          <w:numId w:val="178"/>
        </w:numPr>
        <w:rPr>
          <w:rFonts w:ascii="Arial" w:cs="Arial" w:eastAsia="Arial" w:hAnsi="Arial"/>
          <w:sz w:val="14"/>
          <w:szCs w:val="14"/>
          <w:color w:val="auto"/>
        </w:rPr>
      </w:pPr>
      <w:r>
        <w:rPr>
          <w:rFonts w:ascii="Arial" w:cs="Arial" w:eastAsia="Arial" w:hAnsi="Arial"/>
          <w:sz w:val="14"/>
          <w:szCs w:val="14"/>
          <w:color w:val="auto"/>
        </w:rPr>
        <w:t>2007 results include the acquisition of GIS.</w:t>
      </w:r>
    </w:p>
    <w:p>
      <w:pPr>
        <w:spacing w:after="0" w:line="136" w:lineRule="exact"/>
        <w:rPr>
          <w:sz w:val="20"/>
          <w:szCs w:val="20"/>
          <w:color w:val="auto"/>
        </w:rPr>
      </w:pPr>
    </w:p>
    <w:p>
      <w:pPr>
        <w:ind w:left="9520"/>
        <w:spacing w:after="0"/>
        <w:rPr>
          <w:sz w:val="20"/>
          <w:szCs w:val="20"/>
          <w:color w:val="auto"/>
        </w:rPr>
      </w:pPr>
      <w:r>
        <w:rPr>
          <w:rFonts w:ascii="Arial" w:cs="Arial" w:eastAsia="Arial" w:hAnsi="Arial"/>
          <w:sz w:val="12"/>
          <w:szCs w:val="12"/>
          <w:color w:val="4C9F40"/>
        </w:rPr>
        <w:t>Xerox 2010 Annual Report 106</w:t>
      </w:r>
    </w:p>
    <w:p>
      <w:pPr>
        <w:sectPr>
          <w:pgSz w:w="11900" w:h="16838" w:orient="portrait"/>
          <w:cols w:equalWidth="0" w:num="1">
            <w:col w:w="11420"/>
          </w:cols>
          <w:pgMar w:left="240" w:top="378" w:right="239" w:bottom="1440" w:gutter="0" w:footer="0" w:header="0"/>
        </w:sectPr>
      </w:pPr>
    </w:p>
    <w:bookmarkStart w:id="183" w:name="page184"/>
    <w:bookmarkEnd w:id="183"/>
    <w:p>
      <w:pPr>
        <w:spacing w:after="0"/>
        <w:rPr>
          <w:sz w:val="20"/>
          <w:szCs w:val="20"/>
          <w:color w:val="auto"/>
        </w:rPr>
      </w:pPr>
      <w:r>
        <w:rPr>
          <w:rFonts w:ascii="Arial" w:cs="Arial" w:eastAsia="Arial" w:hAnsi="Arial"/>
          <w:sz w:val="18"/>
          <w:szCs w:val="18"/>
          <w:b w:val="1"/>
          <w:bCs w:val="1"/>
          <w:color w:val="4C9F40"/>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1617345</wp:posOffset>
            </wp:positionH>
            <wp:positionV relativeFrom="paragraph">
              <wp:posOffset>112395</wp:posOffset>
            </wp:positionV>
            <wp:extent cx="4030345" cy="239268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030345" cy="2392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Total Return To Shareholders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Year Ended December 31,</w:t>
            </w:r>
          </w:p>
        </w:tc>
        <w:tc>
          <w:tcPr>
            <w:tcW w:w="8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42"/>
        </w:trPr>
        <w:tc>
          <w:tcPr>
            <w:tcW w:w="5900" w:type="dxa"/>
            <w:vAlign w:val="bottom"/>
            <w:tcBorders>
              <w:bottom w:val="single" w:sz="8" w:color="auto"/>
            </w:tcBorders>
            <w:gridSpan w:val="2"/>
          </w:tcPr>
          <w:p>
            <w:pPr>
              <w:ind w:left="80"/>
              <w:spacing w:after="0" w:line="142" w:lineRule="exact"/>
              <w:rPr>
                <w:sz w:val="20"/>
                <w:szCs w:val="20"/>
                <w:color w:val="auto"/>
              </w:rPr>
            </w:pPr>
            <w:r>
              <w:rPr>
                <w:rFonts w:ascii="Arial" w:cs="Arial" w:eastAsia="Arial" w:hAnsi="Arial"/>
                <w:sz w:val="14"/>
                <w:szCs w:val="14"/>
                <w:color w:val="auto"/>
              </w:rPr>
              <w:t>(Includes reinvestment of dividends)</w:t>
            </w:r>
          </w:p>
        </w:tc>
        <w:tc>
          <w:tcPr>
            <w:tcW w:w="640" w:type="dxa"/>
            <w:vAlign w:val="bottom"/>
            <w:tcBorders>
              <w:bottom w:val="single" w:sz="8" w:color="auto"/>
            </w:tcBorders>
          </w:tcPr>
          <w:p>
            <w:pPr>
              <w:jc w:val="right"/>
              <w:ind w:right="157"/>
              <w:spacing w:after="0" w:line="142" w:lineRule="exact"/>
              <w:rPr>
                <w:sz w:val="20"/>
                <w:szCs w:val="20"/>
                <w:color w:val="auto"/>
              </w:rPr>
            </w:pPr>
            <w:r>
              <w:rPr>
                <w:rFonts w:ascii="Arial" w:cs="Arial" w:eastAsia="Arial" w:hAnsi="Arial"/>
                <w:sz w:val="14"/>
                <w:szCs w:val="14"/>
                <w:color w:val="auto"/>
              </w:rPr>
              <w:t>2005</w:t>
            </w:r>
          </w:p>
        </w:tc>
        <w:tc>
          <w:tcPr>
            <w:tcW w:w="96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4"/>
                <w:szCs w:val="14"/>
                <w:color w:val="auto"/>
              </w:rPr>
              <w:t>2006</w:t>
            </w:r>
          </w:p>
        </w:tc>
        <w:tc>
          <w:tcPr>
            <w:tcW w:w="1120" w:type="dxa"/>
            <w:vAlign w:val="bottom"/>
            <w:tcBorders>
              <w:bottom w:val="single" w:sz="8" w:color="auto"/>
            </w:tcBorders>
          </w:tcPr>
          <w:p>
            <w:pPr>
              <w:jc w:val="right"/>
              <w:ind w:right="276"/>
              <w:spacing w:after="0" w:line="142" w:lineRule="exact"/>
              <w:rPr>
                <w:sz w:val="20"/>
                <w:szCs w:val="20"/>
                <w:color w:val="auto"/>
              </w:rPr>
            </w:pPr>
            <w:r>
              <w:rPr>
                <w:rFonts w:ascii="Arial" w:cs="Arial" w:eastAsia="Arial" w:hAnsi="Arial"/>
                <w:sz w:val="14"/>
                <w:szCs w:val="14"/>
                <w:color w:val="auto"/>
              </w:rPr>
              <w:t>2007</w:t>
            </w:r>
          </w:p>
        </w:tc>
        <w:tc>
          <w:tcPr>
            <w:tcW w:w="1060" w:type="dxa"/>
            <w:vAlign w:val="bottom"/>
            <w:tcBorders>
              <w:bottom w:val="single" w:sz="8" w:color="auto"/>
            </w:tcBorders>
          </w:tcPr>
          <w:p>
            <w:pPr>
              <w:jc w:val="right"/>
              <w:ind w:right="357"/>
              <w:spacing w:after="0" w:line="142" w:lineRule="exact"/>
              <w:rPr>
                <w:sz w:val="20"/>
                <w:szCs w:val="20"/>
                <w:color w:val="auto"/>
              </w:rPr>
            </w:pPr>
            <w:r>
              <w:rPr>
                <w:rFonts w:ascii="Arial" w:cs="Arial" w:eastAsia="Arial" w:hAnsi="Arial"/>
                <w:sz w:val="14"/>
                <w:szCs w:val="14"/>
                <w:color w:val="auto"/>
              </w:rPr>
              <w:t>2008</w:t>
            </w:r>
          </w:p>
        </w:tc>
        <w:tc>
          <w:tcPr>
            <w:tcW w:w="840" w:type="dxa"/>
            <w:vAlign w:val="bottom"/>
            <w:tcBorders>
              <w:bottom w:val="single" w:sz="8" w:color="auto"/>
            </w:tcBorders>
          </w:tcPr>
          <w:p>
            <w:pPr>
              <w:jc w:val="right"/>
              <w:ind w:right="237"/>
              <w:spacing w:after="0" w:line="142" w:lineRule="exact"/>
              <w:rPr>
                <w:sz w:val="20"/>
                <w:szCs w:val="20"/>
                <w:color w:val="auto"/>
              </w:rPr>
            </w:pPr>
            <w:r>
              <w:rPr>
                <w:rFonts w:ascii="Arial" w:cs="Arial" w:eastAsia="Arial" w:hAnsi="Arial"/>
                <w:sz w:val="14"/>
                <w:szCs w:val="14"/>
                <w:color w:val="auto"/>
              </w:rPr>
              <w:t>2009</w:t>
            </w:r>
          </w:p>
        </w:tc>
        <w:tc>
          <w:tcPr>
            <w:tcW w:w="80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color w:val="auto"/>
              </w:rPr>
              <w:t>2010</w:t>
            </w:r>
          </w:p>
        </w:tc>
        <w:tc>
          <w:tcPr>
            <w:tcW w:w="100" w:type="dxa"/>
            <w:vAlign w:val="bottom"/>
            <w:tcBorders>
              <w:bottom w:val="single" w:sz="8" w:color="auto"/>
            </w:tcBorders>
          </w:tcPr>
          <w:p>
            <w:pPr>
              <w:spacing w:after="0"/>
              <w:rPr>
                <w:sz w:val="12"/>
                <w:szCs w:val="12"/>
                <w:color w:val="auto"/>
              </w:rPr>
            </w:pPr>
          </w:p>
        </w:tc>
      </w:tr>
      <w:tr>
        <w:trPr>
          <w:trHeight w:val="196"/>
        </w:trPr>
        <w:tc>
          <w:tcPr>
            <w:tcW w:w="5900" w:type="dxa"/>
            <w:vAlign w:val="bottom"/>
            <w:gridSpan w:val="2"/>
            <w:shd w:val="clear" w:color="auto" w:fill="E5E5E5"/>
          </w:tcPr>
          <w:p>
            <w:pPr>
              <w:ind w:left="100"/>
              <w:spacing w:after="0" w:line="196" w:lineRule="exact"/>
              <w:rPr>
                <w:sz w:val="20"/>
                <w:szCs w:val="20"/>
                <w:color w:val="auto"/>
              </w:rPr>
            </w:pPr>
            <w:r>
              <w:rPr>
                <w:rFonts w:ascii="Arial" w:cs="Arial" w:eastAsia="Arial" w:hAnsi="Arial"/>
                <w:sz w:val="18"/>
                <w:szCs w:val="18"/>
                <w:color w:val="auto"/>
              </w:rPr>
              <w:t>Xerox Corporation</w:t>
            </w:r>
          </w:p>
        </w:tc>
        <w:tc>
          <w:tcPr>
            <w:tcW w:w="640" w:type="dxa"/>
            <w:vAlign w:val="bottom"/>
            <w:shd w:val="clear" w:color="auto" w:fill="E5E5E5"/>
          </w:tcPr>
          <w:p>
            <w:pPr>
              <w:jc w:val="right"/>
              <w:ind w:right="57"/>
              <w:spacing w:after="0" w:line="196" w:lineRule="exact"/>
              <w:rPr>
                <w:sz w:val="20"/>
                <w:szCs w:val="20"/>
                <w:color w:val="auto"/>
              </w:rPr>
            </w:pPr>
            <w:r>
              <w:rPr>
                <w:rFonts w:ascii="Arial" w:cs="Arial" w:eastAsia="Arial" w:hAnsi="Arial"/>
                <w:sz w:val="18"/>
                <w:szCs w:val="18"/>
                <w:b w:val="1"/>
                <w:bCs w:val="1"/>
                <w:color w:val="auto"/>
              </w:rPr>
              <w:t>$ 100</w:t>
            </w:r>
          </w:p>
        </w:tc>
        <w:tc>
          <w:tcPr>
            <w:tcW w:w="96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rPr>
              <w:t>$ 115.70</w:t>
            </w:r>
          </w:p>
        </w:tc>
        <w:tc>
          <w:tcPr>
            <w:tcW w:w="1120" w:type="dxa"/>
            <w:vAlign w:val="bottom"/>
            <w:shd w:val="clear" w:color="auto" w:fill="E5E5E5"/>
          </w:tcPr>
          <w:p>
            <w:pPr>
              <w:jc w:val="right"/>
              <w:ind w:right="56"/>
              <w:spacing w:after="0" w:line="196" w:lineRule="exact"/>
              <w:rPr>
                <w:sz w:val="20"/>
                <w:szCs w:val="20"/>
                <w:color w:val="auto"/>
              </w:rPr>
            </w:pPr>
            <w:r>
              <w:rPr>
                <w:rFonts w:ascii="Arial" w:cs="Arial" w:eastAsia="Arial" w:hAnsi="Arial"/>
                <w:sz w:val="18"/>
                <w:szCs w:val="18"/>
                <w:color w:val="auto"/>
              </w:rPr>
              <w:t>$ 110.80</w:t>
            </w:r>
          </w:p>
        </w:tc>
        <w:tc>
          <w:tcPr>
            <w:tcW w:w="1060" w:type="dxa"/>
            <w:vAlign w:val="bottom"/>
            <w:shd w:val="clear" w:color="auto" w:fill="E5E5E5"/>
          </w:tcPr>
          <w:p>
            <w:pPr>
              <w:jc w:val="right"/>
              <w:ind w:right="177"/>
              <w:spacing w:after="0" w:line="196" w:lineRule="exact"/>
              <w:rPr>
                <w:sz w:val="20"/>
                <w:szCs w:val="20"/>
                <w:color w:val="auto"/>
              </w:rPr>
            </w:pPr>
            <w:r>
              <w:rPr>
                <w:rFonts w:ascii="Arial" w:cs="Arial" w:eastAsia="Arial" w:hAnsi="Arial"/>
                <w:sz w:val="18"/>
                <w:szCs w:val="18"/>
                <w:color w:val="auto"/>
              </w:rPr>
              <w:t>$ 55.37</w:t>
            </w:r>
          </w:p>
        </w:tc>
        <w:tc>
          <w:tcPr>
            <w:tcW w:w="840" w:type="dxa"/>
            <w:vAlign w:val="bottom"/>
            <w:shd w:val="clear" w:color="auto" w:fill="E5E5E5"/>
          </w:tcPr>
          <w:p>
            <w:pPr>
              <w:jc w:val="right"/>
              <w:ind w:right="77"/>
              <w:spacing w:after="0" w:line="196" w:lineRule="exact"/>
              <w:rPr>
                <w:sz w:val="20"/>
                <w:szCs w:val="20"/>
                <w:color w:val="auto"/>
              </w:rPr>
            </w:pPr>
            <w:r>
              <w:rPr>
                <w:rFonts w:ascii="Arial" w:cs="Arial" w:eastAsia="Arial" w:hAnsi="Arial"/>
                <w:sz w:val="18"/>
                <w:szCs w:val="18"/>
                <w:color w:val="auto"/>
              </w:rPr>
              <w:t>$ 60.34</w:t>
            </w:r>
          </w:p>
        </w:tc>
        <w:tc>
          <w:tcPr>
            <w:tcW w:w="80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rPr>
              <w:t>$ 83.61</w:t>
            </w:r>
          </w:p>
        </w:tc>
        <w:tc>
          <w:tcPr>
            <w:tcW w:w="100" w:type="dxa"/>
            <w:vAlign w:val="bottom"/>
            <w:shd w:val="clear" w:color="auto" w:fill="E5E5E5"/>
          </w:tcPr>
          <w:p>
            <w:pPr>
              <w:spacing w:after="0"/>
              <w:rPr>
                <w:sz w:val="17"/>
                <w:szCs w:val="17"/>
                <w:color w:val="auto"/>
              </w:rPr>
            </w:pPr>
          </w:p>
        </w:tc>
      </w:tr>
      <w:tr>
        <w:trPr>
          <w:trHeight w:val="203"/>
        </w:trPr>
        <w:tc>
          <w:tcPr>
            <w:tcW w:w="820" w:type="dxa"/>
            <w:vAlign w:val="bottom"/>
          </w:tcPr>
          <w:p>
            <w:pPr>
              <w:ind w:left="100"/>
              <w:spacing w:after="0" w:line="202" w:lineRule="exact"/>
              <w:rPr>
                <w:sz w:val="20"/>
                <w:szCs w:val="20"/>
                <w:color w:val="auto"/>
              </w:rPr>
            </w:pPr>
            <w:r>
              <w:rPr>
                <w:rFonts w:ascii="Arial" w:cs="Arial" w:eastAsia="Arial" w:hAnsi="Arial"/>
                <w:sz w:val="18"/>
                <w:szCs w:val="18"/>
                <w:color w:val="auto"/>
                <w:w w:val="98"/>
              </w:rPr>
              <w:t>S&amp;P 500</w:t>
            </w:r>
          </w:p>
        </w:tc>
        <w:tc>
          <w:tcPr>
            <w:tcW w:w="5080" w:type="dxa"/>
            <w:vAlign w:val="bottom"/>
          </w:tcPr>
          <w:p>
            <w:pPr>
              <w:ind w:left="20"/>
              <w:spacing w:after="0" w:line="202" w:lineRule="exact"/>
              <w:rPr>
                <w:sz w:val="20"/>
                <w:szCs w:val="20"/>
                <w:color w:val="auto"/>
              </w:rPr>
            </w:pPr>
            <w:r>
              <w:rPr>
                <w:rFonts w:ascii="Arial" w:cs="Arial" w:eastAsia="Arial" w:hAnsi="Arial"/>
                <w:sz w:val="18"/>
                <w:szCs w:val="18"/>
                <w:color w:val="auto"/>
              </w:rPr>
              <w:t>Index</w:t>
            </w:r>
          </w:p>
        </w:tc>
        <w:tc>
          <w:tcPr>
            <w:tcW w:w="640" w:type="dxa"/>
            <w:vAlign w:val="bottom"/>
          </w:tcPr>
          <w:p>
            <w:pPr>
              <w:jc w:val="right"/>
              <w:ind w:right="57"/>
              <w:spacing w:after="0" w:line="202" w:lineRule="exact"/>
              <w:rPr>
                <w:sz w:val="20"/>
                <w:szCs w:val="20"/>
                <w:color w:val="auto"/>
              </w:rPr>
            </w:pPr>
            <w:r>
              <w:rPr>
                <w:rFonts w:ascii="Arial" w:cs="Arial" w:eastAsia="Arial" w:hAnsi="Arial"/>
                <w:sz w:val="18"/>
                <w:szCs w:val="18"/>
                <w:b w:val="1"/>
                <w:bCs w:val="1"/>
                <w:color w:val="auto"/>
              </w:rPr>
              <w:t>100</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115.79</w:t>
            </w:r>
          </w:p>
        </w:tc>
        <w:tc>
          <w:tcPr>
            <w:tcW w:w="1120" w:type="dxa"/>
            <w:vAlign w:val="bottom"/>
          </w:tcPr>
          <w:p>
            <w:pPr>
              <w:jc w:val="right"/>
              <w:ind w:right="56"/>
              <w:spacing w:after="0" w:line="202" w:lineRule="exact"/>
              <w:rPr>
                <w:sz w:val="20"/>
                <w:szCs w:val="20"/>
                <w:color w:val="auto"/>
              </w:rPr>
            </w:pPr>
            <w:r>
              <w:rPr>
                <w:rFonts w:ascii="Arial" w:cs="Arial" w:eastAsia="Arial" w:hAnsi="Arial"/>
                <w:sz w:val="18"/>
                <w:szCs w:val="18"/>
                <w:color w:val="auto"/>
              </w:rPr>
              <w:t>122.16</w:t>
            </w:r>
          </w:p>
        </w:tc>
        <w:tc>
          <w:tcPr>
            <w:tcW w:w="1060" w:type="dxa"/>
            <w:vAlign w:val="bottom"/>
          </w:tcPr>
          <w:p>
            <w:pPr>
              <w:jc w:val="right"/>
              <w:ind w:right="177"/>
              <w:spacing w:after="0" w:line="202" w:lineRule="exact"/>
              <w:rPr>
                <w:sz w:val="20"/>
                <w:szCs w:val="20"/>
                <w:color w:val="auto"/>
              </w:rPr>
            </w:pPr>
            <w:r>
              <w:rPr>
                <w:rFonts w:ascii="Arial" w:cs="Arial" w:eastAsia="Arial" w:hAnsi="Arial"/>
                <w:sz w:val="18"/>
                <w:szCs w:val="18"/>
                <w:color w:val="auto"/>
              </w:rPr>
              <w:t>76.96</w:t>
            </w:r>
          </w:p>
        </w:tc>
        <w:tc>
          <w:tcPr>
            <w:tcW w:w="840" w:type="dxa"/>
            <w:vAlign w:val="bottom"/>
          </w:tcPr>
          <w:p>
            <w:pPr>
              <w:jc w:val="right"/>
              <w:ind w:right="77"/>
              <w:spacing w:after="0" w:line="202" w:lineRule="exact"/>
              <w:rPr>
                <w:sz w:val="20"/>
                <w:szCs w:val="20"/>
                <w:color w:val="auto"/>
              </w:rPr>
            </w:pPr>
            <w:r>
              <w:rPr>
                <w:rFonts w:ascii="Arial" w:cs="Arial" w:eastAsia="Arial" w:hAnsi="Arial"/>
                <w:sz w:val="18"/>
                <w:szCs w:val="18"/>
                <w:color w:val="auto"/>
              </w:rPr>
              <w:t>97.33</w:t>
            </w: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111.99</w:t>
            </w:r>
          </w:p>
        </w:tc>
      </w:tr>
      <w:tr>
        <w:trPr>
          <w:trHeight w:val="203"/>
        </w:trPr>
        <w:tc>
          <w:tcPr>
            <w:tcW w:w="820" w:type="dxa"/>
            <w:vAlign w:val="bottom"/>
            <w:shd w:val="clear" w:color="auto" w:fill="E5E5E5"/>
          </w:tcPr>
          <w:p>
            <w:pPr>
              <w:ind w:left="100"/>
              <w:spacing w:after="0" w:line="202" w:lineRule="exact"/>
              <w:rPr>
                <w:sz w:val="20"/>
                <w:szCs w:val="20"/>
                <w:color w:val="auto"/>
              </w:rPr>
            </w:pPr>
            <w:r>
              <w:rPr>
                <w:rFonts w:ascii="Arial" w:cs="Arial" w:eastAsia="Arial" w:hAnsi="Arial"/>
                <w:sz w:val="18"/>
                <w:szCs w:val="18"/>
                <w:color w:val="auto"/>
                <w:w w:val="98"/>
              </w:rPr>
              <w:t>S&amp;P 500</w:t>
            </w:r>
          </w:p>
        </w:tc>
        <w:tc>
          <w:tcPr>
            <w:tcW w:w="508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rPr>
              <w:t>Information Technology Index</w:t>
            </w:r>
          </w:p>
        </w:tc>
        <w:tc>
          <w:tcPr>
            <w:tcW w:w="640" w:type="dxa"/>
            <w:vAlign w:val="bottom"/>
            <w:shd w:val="clear" w:color="auto" w:fill="E5E5E5"/>
          </w:tcPr>
          <w:p>
            <w:pPr>
              <w:jc w:val="right"/>
              <w:ind w:right="57"/>
              <w:spacing w:after="0" w:line="202" w:lineRule="exact"/>
              <w:rPr>
                <w:sz w:val="20"/>
                <w:szCs w:val="20"/>
                <w:color w:val="auto"/>
              </w:rPr>
            </w:pPr>
            <w:r>
              <w:rPr>
                <w:rFonts w:ascii="Arial" w:cs="Arial" w:eastAsia="Arial" w:hAnsi="Arial"/>
                <w:sz w:val="18"/>
                <w:szCs w:val="18"/>
                <w:b w:val="1"/>
                <w:bCs w:val="1"/>
                <w:color w:val="auto"/>
              </w:rPr>
              <w:t>100</w:t>
            </w:r>
          </w:p>
        </w:tc>
        <w:tc>
          <w:tcPr>
            <w:tcW w:w="9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108.42</w:t>
            </w:r>
          </w:p>
        </w:tc>
        <w:tc>
          <w:tcPr>
            <w:tcW w:w="1120" w:type="dxa"/>
            <w:vAlign w:val="bottom"/>
            <w:shd w:val="clear" w:color="auto" w:fill="E5E5E5"/>
          </w:tcPr>
          <w:p>
            <w:pPr>
              <w:jc w:val="right"/>
              <w:ind w:right="56"/>
              <w:spacing w:after="0" w:line="202" w:lineRule="exact"/>
              <w:rPr>
                <w:sz w:val="20"/>
                <w:szCs w:val="20"/>
                <w:color w:val="auto"/>
              </w:rPr>
            </w:pPr>
            <w:r>
              <w:rPr>
                <w:rFonts w:ascii="Arial" w:cs="Arial" w:eastAsia="Arial" w:hAnsi="Arial"/>
                <w:sz w:val="18"/>
                <w:szCs w:val="18"/>
                <w:color w:val="auto"/>
              </w:rPr>
              <w:t>126.10</w:t>
            </w:r>
          </w:p>
        </w:tc>
        <w:tc>
          <w:tcPr>
            <w:tcW w:w="1060" w:type="dxa"/>
            <w:vAlign w:val="bottom"/>
            <w:shd w:val="clear" w:color="auto" w:fill="E5E5E5"/>
          </w:tcPr>
          <w:p>
            <w:pPr>
              <w:jc w:val="right"/>
              <w:ind w:right="177"/>
              <w:spacing w:after="0" w:line="202" w:lineRule="exact"/>
              <w:rPr>
                <w:sz w:val="20"/>
                <w:szCs w:val="20"/>
                <w:color w:val="auto"/>
              </w:rPr>
            </w:pPr>
            <w:r>
              <w:rPr>
                <w:rFonts w:ascii="Arial" w:cs="Arial" w:eastAsia="Arial" w:hAnsi="Arial"/>
                <w:sz w:val="18"/>
                <w:szCs w:val="18"/>
                <w:color w:val="auto"/>
              </w:rPr>
              <w:t>71.70</w:t>
            </w:r>
          </w:p>
        </w:tc>
        <w:tc>
          <w:tcPr>
            <w:tcW w:w="840" w:type="dxa"/>
            <w:vAlign w:val="bottom"/>
            <w:shd w:val="clear" w:color="auto" w:fill="E5E5E5"/>
          </w:tcPr>
          <w:p>
            <w:pPr>
              <w:jc w:val="right"/>
              <w:ind w:right="77"/>
              <w:spacing w:after="0" w:line="202" w:lineRule="exact"/>
              <w:rPr>
                <w:sz w:val="20"/>
                <w:szCs w:val="20"/>
                <w:color w:val="auto"/>
              </w:rPr>
            </w:pPr>
            <w:r>
              <w:rPr>
                <w:rFonts w:ascii="Arial" w:cs="Arial" w:eastAsia="Arial" w:hAnsi="Arial"/>
                <w:sz w:val="18"/>
                <w:szCs w:val="18"/>
                <w:color w:val="auto"/>
              </w:rPr>
              <w:t>115.95</w:t>
            </w:r>
          </w:p>
        </w:tc>
        <w:tc>
          <w:tcPr>
            <w:tcW w:w="9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127.77</w:t>
            </w:r>
          </w:p>
        </w:tc>
      </w:tr>
    </w:tbl>
    <w:p>
      <w:pPr>
        <w:spacing w:after="0" w:line="20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Source:</w:t>
        <w:tab/>
        <w:t>Standard &amp; Poor’s Investment Services</w:t>
      </w:r>
    </w:p>
    <w:p>
      <w:pPr>
        <w:ind w:left="600" w:right="2480" w:hanging="585"/>
        <w:spacing w:after="0" w:line="239" w:lineRule="auto"/>
        <w:rPr>
          <w:sz w:val="20"/>
          <w:szCs w:val="20"/>
          <w:color w:val="auto"/>
        </w:rPr>
      </w:pPr>
      <w:r>
        <w:rPr>
          <w:rFonts w:ascii="Arial" w:cs="Arial" w:eastAsia="Arial" w:hAnsi="Arial"/>
          <w:sz w:val="18"/>
          <w:szCs w:val="18"/>
          <w:color w:val="auto"/>
        </w:rPr>
        <w:t>Notes: Graph assumes $100 invested on December 31, 2005 in Xerox Corp., the S&amp;P 500 Index and the S&amp;P 500 Information Technology Index, respectively, and assumes dividends are reinvested.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CORPORATE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Stock Exchange Information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Xerox common stock (XRX) is listed on the New York Stock Exchange and the Chicago Stock Exchange.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4C9F40"/>
        </w:rPr>
        <w:t>Xerox Common Stock Prices and Dividends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New York Stock Exchange composite prices *</w:t>
            </w:r>
          </w:p>
        </w:tc>
        <w:tc>
          <w:tcPr>
            <w:tcW w:w="100" w:type="dxa"/>
            <w:vAlign w:val="bottom"/>
          </w:tcPr>
          <w:p>
            <w:pPr>
              <w:spacing w:after="0"/>
              <w:rPr>
                <w:sz w:val="14"/>
                <w:szCs w:val="14"/>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4"/>
                <w:szCs w:val="14"/>
                <w:color w:val="auto"/>
              </w:rPr>
              <w:t>First</w:t>
            </w:r>
          </w:p>
        </w:tc>
        <w:tc>
          <w:tcPr>
            <w:tcW w:w="240" w:type="dxa"/>
            <w:vAlign w:val="bottom"/>
          </w:tcPr>
          <w:p>
            <w:pPr>
              <w:spacing w:after="0"/>
              <w:rPr>
                <w:sz w:val="14"/>
                <w:szCs w:val="14"/>
                <w:color w:val="auto"/>
              </w:rPr>
            </w:pPr>
          </w:p>
        </w:tc>
        <w:tc>
          <w:tcPr>
            <w:tcW w:w="860" w:type="dxa"/>
            <w:vAlign w:val="bottom"/>
            <w:gridSpan w:val="3"/>
          </w:tcPr>
          <w:p>
            <w:pPr>
              <w:ind w:left="80"/>
              <w:spacing w:after="0"/>
              <w:rPr>
                <w:sz w:val="20"/>
                <w:szCs w:val="20"/>
                <w:color w:val="auto"/>
              </w:rPr>
            </w:pPr>
            <w:r>
              <w:rPr>
                <w:rFonts w:ascii="Arial" w:cs="Arial" w:eastAsia="Arial" w:hAnsi="Arial"/>
                <w:sz w:val="14"/>
                <w:szCs w:val="14"/>
                <w:color w:val="auto"/>
              </w:rPr>
              <w:t>Second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620"/>
              <w:spacing w:after="0"/>
              <w:rPr>
                <w:sz w:val="20"/>
                <w:szCs w:val="20"/>
                <w:color w:val="auto"/>
              </w:rPr>
            </w:pPr>
            <w:r>
              <w:rPr>
                <w:rFonts w:ascii="Arial" w:cs="Arial" w:eastAsia="Arial" w:hAnsi="Arial"/>
                <w:sz w:val="14"/>
                <w:szCs w:val="14"/>
                <w:color w:val="auto"/>
              </w:rPr>
              <w:t>Third</w:t>
            </w:r>
          </w:p>
        </w:tc>
        <w:tc>
          <w:tcPr>
            <w:tcW w:w="100" w:type="dxa"/>
            <w:vAlign w:val="bottom"/>
          </w:tcPr>
          <w:p>
            <w:pPr>
              <w:spacing w:after="0"/>
              <w:rPr>
                <w:sz w:val="14"/>
                <w:szCs w:val="14"/>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Fourth</w:t>
            </w:r>
          </w:p>
        </w:tc>
        <w:tc>
          <w:tcPr>
            <w:tcW w:w="0" w:type="dxa"/>
            <w:vAlign w:val="bottom"/>
          </w:tcPr>
          <w:p>
            <w:pPr>
              <w:spacing w:after="0"/>
              <w:rPr>
                <w:sz w:val="1"/>
                <w:szCs w:val="1"/>
                <w:color w:val="auto"/>
              </w:rPr>
            </w:pPr>
          </w:p>
        </w:tc>
      </w:tr>
      <w:tr>
        <w:trPr>
          <w:trHeight w:val="149"/>
        </w:trPr>
        <w:tc>
          <w:tcPr>
            <w:tcW w:w="6440" w:type="dxa"/>
            <w:vAlign w:val="bottom"/>
            <w:gridSpan w:val="2"/>
            <w:vMerge w:val="continue"/>
          </w:tcPr>
          <w:p>
            <w:pPr>
              <w:spacing w:after="0"/>
              <w:rPr>
                <w:sz w:val="12"/>
                <w:szCs w:val="12"/>
                <w:color w:val="auto"/>
              </w:rPr>
            </w:pPr>
          </w:p>
        </w:tc>
        <w:tc>
          <w:tcPr>
            <w:tcW w:w="86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Quarter</w:t>
            </w:r>
          </w:p>
        </w:tc>
        <w:tc>
          <w:tcPr>
            <w:tcW w:w="240" w:type="dxa"/>
            <w:vAlign w:val="bottom"/>
          </w:tcPr>
          <w:p>
            <w:pPr>
              <w:spacing w:after="0"/>
              <w:rPr>
                <w:sz w:val="12"/>
                <w:szCs w:val="12"/>
                <w:color w:val="auto"/>
              </w:rPr>
            </w:pPr>
          </w:p>
        </w:tc>
        <w:tc>
          <w:tcPr>
            <w:tcW w:w="86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Quarter</w:t>
            </w:r>
          </w:p>
        </w:tc>
        <w:tc>
          <w:tcPr>
            <w:tcW w:w="240" w:type="dxa"/>
            <w:vAlign w:val="bottom"/>
          </w:tcPr>
          <w:p>
            <w:pPr>
              <w:spacing w:after="0"/>
              <w:rPr>
                <w:sz w:val="12"/>
                <w:szCs w:val="12"/>
                <w:color w:val="auto"/>
              </w:rPr>
            </w:pPr>
          </w:p>
        </w:tc>
        <w:tc>
          <w:tcPr>
            <w:tcW w:w="11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Quarter</w:t>
            </w:r>
          </w:p>
        </w:tc>
        <w:tc>
          <w:tcPr>
            <w:tcW w:w="76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6"/>
              </w:rPr>
              <w:t>Quarter</w:t>
            </w:r>
          </w:p>
        </w:tc>
        <w:tc>
          <w:tcPr>
            <w:tcW w:w="0" w:type="dxa"/>
            <w:vAlign w:val="bottom"/>
          </w:tcPr>
          <w:p>
            <w:pPr>
              <w:spacing w:after="0"/>
              <w:rPr>
                <w:sz w:val="1"/>
                <w:szCs w:val="1"/>
                <w:color w:val="auto"/>
              </w:rPr>
            </w:pPr>
          </w:p>
        </w:tc>
      </w:tr>
      <w:tr>
        <w:trPr>
          <w:trHeight w:val="196"/>
        </w:trPr>
        <w:tc>
          <w:tcPr>
            <w:tcW w:w="2640" w:type="dxa"/>
            <w:vAlign w:val="bottom"/>
            <w:tcBorders>
              <w:top w:val="single" w:sz="8" w:color="auto"/>
            </w:tcBorders>
            <w:shd w:val="clear" w:color="auto" w:fill="E5E5E5"/>
          </w:tcPr>
          <w:p>
            <w:pPr>
              <w:spacing w:after="0" w:line="196" w:lineRule="exact"/>
              <w:rPr>
                <w:sz w:val="20"/>
                <w:szCs w:val="20"/>
                <w:color w:val="auto"/>
              </w:rPr>
            </w:pPr>
            <w:r>
              <w:rPr>
                <w:rFonts w:ascii="Arial" w:cs="Arial" w:eastAsia="Arial" w:hAnsi="Arial"/>
                <w:sz w:val="18"/>
                <w:szCs w:val="18"/>
                <w:color w:val="auto"/>
              </w:rPr>
              <w:t>2010</w:t>
            </w:r>
          </w:p>
        </w:tc>
        <w:tc>
          <w:tcPr>
            <w:tcW w:w="3800" w:type="dxa"/>
            <w:vAlign w:val="bottom"/>
            <w:shd w:val="clear" w:color="auto" w:fill="E5E5E5"/>
          </w:tcPr>
          <w:p>
            <w:pPr>
              <w:spacing w:after="0"/>
              <w:rPr>
                <w:sz w:val="17"/>
                <w:szCs w:val="17"/>
                <w:color w:val="auto"/>
              </w:rPr>
            </w:pPr>
          </w:p>
        </w:tc>
        <w:tc>
          <w:tcPr>
            <w:tcW w:w="100" w:type="dxa"/>
            <w:vAlign w:val="bottom"/>
            <w:tcBorders>
              <w:top w:val="single" w:sz="8" w:color="auto"/>
            </w:tcBorders>
            <w:shd w:val="clear" w:color="auto" w:fill="E5E5E5"/>
          </w:tcPr>
          <w:p>
            <w:pPr>
              <w:spacing w:after="0"/>
              <w:rPr>
                <w:sz w:val="17"/>
                <w:szCs w:val="17"/>
                <w:color w:val="auto"/>
              </w:rPr>
            </w:pPr>
          </w:p>
        </w:tc>
        <w:tc>
          <w:tcPr>
            <w:tcW w:w="540" w:type="dxa"/>
            <w:vAlign w:val="bottom"/>
            <w:tcBorders>
              <w:top w:val="single" w:sz="8" w:color="auto"/>
            </w:tcBorders>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00" w:type="dxa"/>
            <w:vAlign w:val="bottom"/>
            <w:tcBorders>
              <w:top w:val="single" w:sz="8" w:color="auto"/>
            </w:tcBorders>
            <w:shd w:val="clear" w:color="auto" w:fill="E5E5E5"/>
          </w:tcPr>
          <w:p>
            <w:pPr>
              <w:spacing w:after="0"/>
              <w:rPr>
                <w:sz w:val="17"/>
                <w:szCs w:val="17"/>
                <w:color w:val="auto"/>
              </w:rPr>
            </w:pPr>
          </w:p>
        </w:tc>
        <w:tc>
          <w:tcPr>
            <w:tcW w:w="540" w:type="dxa"/>
            <w:vAlign w:val="bottom"/>
            <w:tcBorders>
              <w:top w:val="single" w:sz="8" w:color="auto"/>
            </w:tcBorders>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00" w:type="dxa"/>
            <w:vAlign w:val="bottom"/>
            <w:tcBorders>
              <w:top w:val="single" w:sz="8" w:color="auto"/>
            </w:tcBorders>
            <w:shd w:val="clear" w:color="auto" w:fill="E5E5E5"/>
          </w:tcPr>
          <w:p>
            <w:pPr>
              <w:spacing w:after="0"/>
              <w:rPr>
                <w:sz w:val="17"/>
                <w:szCs w:val="17"/>
                <w:color w:val="auto"/>
              </w:rPr>
            </w:pPr>
          </w:p>
        </w:tc>
        <w:tc>
          <w:tcPr>
            <w:tcW w:w="540" w:type="dxa"/>
            <w:vAlign w:val="bottom"/>
            <w:tcBorders>
              <w:top w:val="single" w:sz="8" w:color="auto"/>
            </w:tcBorders>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00" w:type="dxa"/>
            <w:vAlign w:val="bottom"/>
            <w:tcBorders>
              <w:top w:val="single" w:sz="8" w:color="auto"/>
            </w:tcBorders>
            <w:shd w:val="clear" w:color="auto" w:fill="E5E5E5"/>
          </w:tcPr>
          <w:p>
            <w:pPr>
              <w:spacing w:after="0"/>
              <w:rPr>
                <w:sz w:val="17"/>
                <w:szCs w:val="17"/>
                <w:color w:val="auto"/>
              </w:rPr>
            </w:pPr>
          </w:p>
        </w:tc>
        <w:tc>
          <w:tcPr>
            <w:tcW w:w="560" w:type="dxa"/>
            <w:vAlign w:val="bottom"/>
            <w:tcBorders>
              <w:top w:val="single" w:sz="8" w:color="auto"/>
            </w:tcBorders>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High</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10.11</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11.35</w:t>
            </w:r>
          </w:p>
        </w:tc>
        <w:tc>
          <w:tcPr>
            <w:tcW w:w="220" w:type="dxa"/>
            <w:vAlign w:val="bottom"/>
          </w:tcPr>
          <w:p>
            <w:pPr>
              <w:spacing w:after="0"/>
              <w:rPr>
                <w:sz w:val="17"/>
                <w:szCs w:val="17"/>
                <w:color w:val="auto"/>
              </w:rPr>
            </w:pP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10.55</w:t>
            </w:r>
          </w:p>
        </w:tc>
        <w:tc>
          <w:tcPr>
            <w:tcW w:w="46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12.01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gridSpan w:val="2"/>
            <w:shd w:val="clear" w:color="auto" w:fill="E5E5E5"/>
          </w:tcPr>
          <w:p>
            <w:pPr>
              <w:ind w:left="440"/>
              <w:spacing w:after="0" w:line="202" w:lineRule="exact"/>
              <w:rPr>
                <w:sz w:val="20"/>
                <w:szCs w:val="20"/>
                <w:color w:val="auto"/>
              </w:rPr>
            </w:pPr>
            <w:r>
              <w:rPr>
                <w:rFonts w:ascii="Arial" w:cs="Arial" w:eastAsia="Arial" w:hAnsi="Arial"/>
                <w:sz w:val="18"/>
                <w:szCs w:val="18"/>
                <w:color w:val="auto"/>
              </w:rPr>
              <w:t>Low</w:t>
            </w:r>
          </w:p>
        </w:tc>
        <w:tc>
          <w:tcPr>
            <w:tcW w:w="100" w:type="dxa"/>
            <w:vAlign w:val="bottom"/>
            <w:shd w:val="clear" w:color="auto" w:fill="E5E5E5"/>
          </w:tcPr>
          <w:p>
            <w:pPr>
              <w:spacing w:after="0"/>
              <w:rPr>
                <w:sz w:val="17"/>
                <w:szCs w:val="17"/>
                <w:color w:val="auto"/>
              </w:rPr>
            </w:pPr>
          </w:p>
        </w:tc>
        <w:tc>
          <w:tcPr>
            <w:tcW w:w="76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8.38</w:t>
            </w:r>
          </w:p>
        </w:tc>
        <w:tc>
          <w:tcPr>
            <w:tcW w:w="2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76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8.04</w:t>
            </w:r>
          </w:p>
        </w:tc>
        <w:tc>
          <w:tcPr>
            <w:tcW w:w="2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460"/>
              <w:spacing w:after="0" w:line="202" w:lineRule="exact"/>
              <w:rPr>
                <w:sz w:val="20"/>
                <w:szCs w:val="20"/>
                <w:color w:val="auto"/>
              </w:rPr>
            </w:pPr>
            <w:r>
              <w:rPr>
                <w:rFonts w:ascii="Arial" w:cs="Arial" w:eastAsia="Arial" w:hAnsi="Arial"/>
                <w:sz w:val="18"/>
                <w:szCs w:val="18"/>
                <w:color w:val="auto"/>
              </w:rPr>
              <w:t>7.91</w:t>
            </w:r>
          </w:p>
        </w:tc>
        <w:tc>
          <w:tcPr>
            <w:tcW w:w="100" w:type="dxa"/>
            <w:vAlign w:val="bottom"/>
            <w:shd w:val="clear" w:color="auto" w:fill="E5E5E5"/>
          </w:tcPr>
          <w:p>
            <w:pPr>
              <w:spacing w:after="0"/>
              <w:rPr>
                <w:sz w:val="17"/>
                <w:szCs w:val="17"/>
                <w:color w:val="auto"/>
              </w:rPr>
            </w:pPr>
          </w:p>
        </w:tc>
        <w:tc>
          <w:tcPr>
            <w:tcW w:w="5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10.44</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Dividends Paid per Share</w:t>
            </w:r>
          </w:p>
        </w:tc>
        <w:tc>
          <w:tcPr>
            <w:tcW w:w="100" w:type="dxa"/>
            <w:vAlign w:val="bottom"/>
          </w:tcPr>
          <w:p>
            <w:pPr>
              <w:spacing w:after="0"/>
              <w:rPr>
                <w:sz w:val="17"/>
                <w:szCs w:val="17"/>
                <w:color w:val="auto"/>
              </w:rPr>
            </w:pPr>
          </w:p>
        </w:tc>
        <w:tc>
          <w:tcPr>
            <w:tcW w:w="7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w w:val="94"/>
              </w:rPr>
              <w:t>0.0425</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w w:val="94"/>
              </w:rPr>
              <w:t>0.0425</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w w:val="94"/>
              </w:rPr>
              <w:t>0.0425</w:t>
            </w:r>
          </w:p>
        </w:tc>
        <w:tc>
          <w:tcPr>
            <w:tcW w:w="100" w:type="dxa"/>
            <w:vAlign w:val="bottom"/>
          </w:tcPr>
          <w:p>
            <w:pPr>
              <w:spacing w:after="0"/>
              <w:rPr>
                <w:sz w:val="17"/>
                <w:szCs w:val="17"/>
                <w:color w:val="auto"/>
              </w:rPr>
            </w:pP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98"/>
              </w:rPr>
              <w:t>0.0425</w:t>
            </w:r>
          </w:p>
        </w:tc>
        <w:tc>
          <w:tcPr>
            <w:tcW w:w="0" w:type="dxa"/>
            <w:vAlign w:val="bottom"/>
          </w:tcPr>
          <w:p>
            <w:pPr>
              <w:spacing w:after="0"/>
              <w:rPr>
                <w:sz w:val="1"/>
                <w:szCs w:val="1"/>
                <w:color w:val="auto"/>
              </w:rPr>
            </w:pPr>
          </w:p>
        </w:tc>
      </w:tr>
      <w:tr>
        <w:trPr>
          <w:trHeight w:val="203"/>
        </w:trPr>
        <w:tc>
          <w:tcPr>
            <w:tcW w:w="26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2009</w:t>
            </w:r>
          </w:p>
        </w:tc>
        <w:tc>
          <w:tcPr>
            <w:tcW w:w="38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54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54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54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5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High</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9.10</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7.25</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9.57</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03"/>
        </w:trPr>
        <w:tc>
          <w:tcPr>
            <w:tcW w:w="6440" w:type="dxa"/>
            <w:vAlign w:val="bottom"/>
            <w:gridSpan w:val="2"/>
            <w:shd w:val="clear" w:color="auto" w:fill="E5E5E5"/>
          </w:tcPr>
          <w:p>
            <w:pPr>
              <w:ind w:left="440"/>
              <w:spacing w:after="0" w:line="202" w:lineRule="exact"/>
              <w:rPr>
                <w:sz w:val="20"/>
                <w:szCs w:val="20"/>
                <w:color w:val="auto"/>
              </w:rPr>
            </w:pPr>
            <w:r>
              <w:rPr>
                <w:rFonts w:ascii="Arial" w:cs="Arial" w:eastAsia="Arial" w:hAnsi="Arial"/>
                <w:sz w:val="18"/>
                <w:szCs w:val="18"/>
                <w:color w:val="auto"/>
              </w:rPr>
              <w:t>Low</w:t>
            </w:r>
          </w:p>
        </w:tc>
        <w:tc>
          <w:tcPr>
            <w:tcW w:w="100" w:type="dxa"/>
            <w:vAlign w:val="bottom"/>
            <w:shd w:val="clear" w:color="auto" w:fill="E5E5E5"/>
          </w:tcPr>
          <w:p>
            <w:pPr>
              <w:spacing w:after="0"/>
              <w:rPr>
                <w:sz w:val="17"/>
                <w:szCs w:val="17"/>
                <w:color w:val="auto"/>
              </w:rPr>
            </w:pPr>
          </w:p>
        </w:tc>
        <w:tc>
          <w:tcPr>
            <w:tcW w:w="76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4.17</w:t>
            </w:r>
          </w:p>
        </w:tc>
        <w:tc>
          <w:tcPr>
            <w:tcW w:w="2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76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4.70</w:t>
            </w:r>
          </w:p>
        </w:tc>
        <w:tc>
          <w:tcPr>
            <w:tcW w:w="2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460"/>
              <w:spacing w:after="0" w:line="202" w:lineRule="exact"/>
              <w:rPr>
                <w:sz w:val="20"/>
                <w:szCs w:val="20"/>
                <w:color w:val="auto"/>
              </w:rPr>
            </w:pPr>
            <w:r>
              <w:rPr>
                <w:rFonts w:ascii="Arial" w:cs="Arial" w:eastAsia="Arial" w:hAnsi="Arial"/>
                <w:sz w:val="18"/>
                <w:szCs w:val="18"/>
                <w:color w:val="auto"/>
              </w:rPr>
              <w:t>6.05</w:t>
            </w:r>
          </w:p>
        </w:tc>
        <w:tc>
          <w:tcPr>
            <w:tcW w:w="100" w:type="dxa"/>
            <w:vAlign w:val="bottom"/>
            <w:shd w:val="clear" w:color="auto" w:fill="E5E5E5"/>
          </w:tcPr>
          <w:p>
            <w:pPr>
              <w:spacing w:after="0"/>
              <w:rPr>
                <w:sz w:val="17"/>
                <w:szCs w:val="17"/>
                <w:color w:val="auto"/>
              </w:rPr>
            </w:pPr>
          </w:p>
        </w:tc>
        <w:tc>
          <w:tcPr>
            <w:tcW w:w="6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14"/>
        </w:trPr>
        <w:tc>
          <w:tcPr>
            <w:tcW w:w="6440" w:type="dxa"/>
            <w:vAlign w:val="bottom"/>
            <w:gridSpan w:val="2"/>
          </w:tcPr>
          <w:p>
            <w:pPr>
              <w:ind w:left="440"/>
              <w:spacing w:after="0"/>
              <w:rPr>
                <w:sz w:val="20"/>
                <w:szCs w:val="20"/>
                <w:color w:val="auto"/>
              </w:rPr>
            </w:pPr>
            <w:r>
              <w:rPr>
                <w:rFonts w:ascii="Arial" w:cs="Arial" w:eastAsia="Arial" w:hAnsi="Arial"/>
                <w:sz w:val="18"/>
                <w:szCs w:val="18"/>
                <w:color w:val="auto"/>
              </w:rPr>
              <w:t>Dividends Paid per Share</w:t>
            </w: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0.0425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0.0425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w w:val="94"/>
              </w:rPr>
              <w:t>0.0425</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0.0425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898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 Prices as of close of business</w:t>
      </w:r>
    </w:p>
    <w:p>
      <w:pPr>
        <w:spacing w:after="0" w:line="136" w:lineRule="exact"/>
        <w:rPr>
          <w:sz w:val="20"/>
          <w:szCs w:val="20"/>
          <w:color w:val="auto"/>
        </w:rPr>
      </w:pPr>
    </w:p>
    <w:p>
      <w:pPr>
        <w:jc w:val="right"/>
        <w:spacing w:after="0"/>
        <w:rPr>
          <w:sz w:val="20"/>
          <w:szCs w:val="20"/>
          <w:color w:val="auto"/>
        </w:rPr>
      </w:pPr>
      <w:r>
        <w:rPr>
          <w:rFonts w:ascii="Arial" w:cs="Arial" w:eastAsia="Arial" w:hAnsi="Arial"/>
          <w:sz w:val="14"/>
          <w:szCs w:val="14"/>
          <w:color w:val="4C9F40"/>
        </w:rPr>
        <w:t>Xerox 2010 Annual Report 107</w:t>
      </w:r>
    </w:p>
    <w:p>
      <w:pPr>
        <w:sectPr>
          <w:pgSz w:w="11900" w:h="16838" w:orient="portrait"/>
          <w:cols w:equalWidth="0" w:num="1">
            <w:col w:w="11420"/>
          </w:cols>
          <w:pgMar w:left="240" w:top="404" w:right="239" w:bottom="1440" w:gutter="0" w:footer="0" w:header="0"/>
        </w:sectPr>
      </w:pPr>
    </w:p>
    <w:bookmarkStart w:id="184" w:name="page185"/>
    <w:bookmarkEnd w:id="184"/>
    <w:p>
      <w:pPr>
        <w:jc w:val="right"/>
        <w:spacing w:after="0"/>
        <w:rPr>
          <w:sz w:val="20"/>
          <w:szCs w:val="20"/>
          <w:color w:val="auto"/>
        </w:rPr>
      </w:pPr>
      <w:r>
        <w:rPr>
          <w:rFonts w:ascii="Arial" w:cs="Arial" w:eastAsia="Arial" w:hAnsi="Arial"/>
          <w:sz w:val="22"/>
          <w:szCs w:val="22"/>
          <w:b w:val="1"/>
          <w:bCs w:val="1"/>
          <w:color w:val="6DAF3D"/>
        </w:rPr>
        <w:t>EXHIBIT 21</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6DAF3D"/>
        </w:rPr>
        <w:t>SUBSIDIARIES OF XEROX CORPORATION</w:t>
      </w:r>
    </w:p>
    <w:p>
      <w:pPr>
        <w:spacing w:after="0" w:line="188"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The following companies are subsidiaries of Xerox Corporation as of December 31, 2010. Unless otherwise noted, a subsidiary is a company in which Xerox Corporation or a subsidiary of Xerox Corporation holds 50% or more of the voting stock. The names of other subsidiaries have been omitted as they would not, if considered in the aggregate as a single subsidiary, constitute a significant subsidiary:</w:t>
      </w:r>
    </w:p>
    <w:p>
      <w:pPr>
        <w:sectPr>
          <w:pgSz w:w="11900" w:h="16838" w:orient="portrait"/>
          <w:cols w:equalWidth="0" w:num="1">
            <w:col w:w="11420"/>
          </w:cols>
          <w:pgMar w:left="240" w:top="106" w:right="239" w:bottom="1440" w:gutter="0" w:footer="0" w:header="0"/>
        </w:sectPr>
      </w:pP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Name of Subsidiary/Affiliate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Jurisdiction of Incorporation</w:t>
      </w:r>
    </w:p>
    <w:p>
      <w:pPr>
        <w:spacing w:after="0" w:line="50" w:lineRule="exact"/>
        <w:rPr>
          <w:sz w:val="20"/>
          <w:szCs w:val="20"/>
          <w:color w:val="auto"/>
        </w:rPr>
      </w:pPr>
    </w:p>
    <w:p>
      <w:pPr>
        <w:sectPr>
          <w:pgSz w:w="11900" w:h="16838" w:orient="portrait"/>
          <w:cols w:equalWidth="0" w:num="2">
            <w:col w:w="6360" w:space="720"/>
            <w:col w:w="4340"/>
          </w:cols>
          <w:pgMar w:left="240" w:top="106" w:right="239" w:bottom="1440" w:gutter="0" w:footer="0" w:header="0"/>
          <w:type w:val="continuous"/>
        </w:sectPr>
      </w:pPr>
    </w:p>
    <w:p>
      <w:pPr>
        <w:spacing w:after="0"/>
        <w:rPr>
          <w:sz w:val="20"/>
          <w:szCs w:val="20"/>
          <w:color w:val="auto"/>
        </w:rPr>
      </w:pPr>
      <w:r>
        <w:rPr>
          <w:rFonts w:ascii="Arial" w:cs="Arial" w:eastAsia="Arial" w:hAnsi="Arial"/>
          <w:sz w:val="18"/>
          <w:szCs w:val="18"/>
          <w:color w:val="auto"/>
        </w:rPr>
        <w:t>ACS@Xerox LLC</w:t>
      </w:r>
    </w:p>
    <w:p>
      <w:pPr>
        <w:spacing w:after="0" w:line="234" w:lineRule="auto"/>
        <w:rPr>
          <w:sz w:val="20"/>
          <w:szCs w:val="20"/>
          <w:color w:val="auto"/>
        </w:rPr>
      </w:pPr>
      <w:r>
        <w:rPr>
          <w:rFonts w:ascii="Arial" w:cs="Arial" w:eastAsia="Arial" w:hAnsi="Arial"/>
          <w:sz w:val="18"/>
          <w:szCs w:val="18"/>
          <w:color w:val="auto"/>
        </w:rPr>
        <w:t>ACS Holdings (UK) LLP</w:t>
      </w:r>
    </w:p>
    <w:p>
      <w:pPr>
        <w:spacing w:after="0" w:line="235" w:lineRule="auto"/>
        <w:rPr>
          <w:sz w:val="20"/>
          <w:szCs w:val="20"/>
          <w:color w:val="auto"/>
        </w:rPr>
      </w:pPr>
      <w:r>
        <w:rPr>
          <w:rFonts w:ascii="Arial" w:cs="Arial" w:eastAsia="Arial" w:hAnsi="Arial"/>
          <w:sz w:val="18"/>
          <w:szCs w:val="18"/>
          <w:color w:val="auto"/>
        </w:rPr>
        <w:t>Affiliated Computer Services, Inc.</w:t>
      </w:r>
    </w:p>
    <w:p>
      <w:pPr>
        <w:spacing w:after="0" w:line="235" w:lineRule="auto"/>
        <w:rPr>
          <w:sz w:val="20"/>
          <w:szCs w:val="20"/>
          <w:color w:val="auto"/>
        </w:rPr>
      </w:pPr>
      <w:r>
        <w:rPr>
          <w:rFonts w:ascii="Arial" w:cs="Arial" w:eastAsia="Arial" w:hAnsi="Arial"/>
          <w:sz w:val="18"/>
          <w:szCs w:val="18"/>
          <w:color w:val="auto"/>
        </w:rPr>
        <w:t>ACS Application Management Services, Inc.</w:t>
      </w:r>
    </w:p>
    <w:p>
      <w:pPr>
        <w:spacing w:after="0" w:line="235" w:lineRule="auto"/>
        <w:rPr>
          <w:sz w:val="20"/>
          <w:szCs w:val="20"/>
          <w:color w:val="auto"/>
        </w:rPr>
      </w:pPr>
      <w:r>
        <w:rPr>
          <w:rFonts w:ascii="Arial" w:cs="Arial" w:eastAsia="Arial" w:hAnsi="Arial"/>
          <w:sz w:val="18"/>
          <w:szCs w:val="18"/>
          <w:color w:val="auto"/>
        </w:rPr>
        <w:t>Agilera, Inc.</w:t>
      </w:r>
    </w:p>
    <w:p>
      <w:pPr>
        <w:spacing w:after="0" w:line="235" w:lineRule="auto"/>
        <w:rPr>
          <w:sz w:val="20"/>
          <w:szCs w:val="20"/>
          <w:color w:val="auto"/>
        </w:rPr>
      </w:pPr>
      <w:r>
        <w:rPr>
          <w:rFonts w:ascii="Arial" w:cs="Arial" w:eastAsia="Arial" w:hAnsi="Arial"/>
          <w:sz w:val="18"/>
          <w:szCs w:val="18"/>
          <w:color w:val="auto"/>
        </w:rPr>
        <w:t>Agilera Messaging, Inc.</w:t>
      </w:r>
    </w:p>
    <w:p>
      <w:pPr>
        <w:spacing w:after="0" w:line="235" w:lineRule="auto"/>
        <w:rPr>
          <w:sz w:val="20"/>
          <w:szCs w:val="20"/>
          <w:color w:val="auto"/>
        </w:rPr>
      </w:pPr>
      <w:r>
        <w:rPr>
          <w:rFonts w:ascii="Arial" w:cs="Arial" w:eastAsia="Arial" w:hAnsi="Arial"/>
          <w:sz w:val="18"/>
          <w:szCs w:val="18"/>
          <w:color w:val="auto"/>
        </w:rPr>
        <w:t>ACS BRC Holdings, Inc.</w:t>
      </w:r>
    </w:p>
    <w:p>
      <w:pPr>
        <w:spacing w:after="0" w:line="235" w:lineRule="auto"/>
        <w:rPr>
          <w:sz w:val="20"/>
          <w:szCs w:val="20"/>
          <w:color w:val="auto"/>
        </w:rPr>
      </w:pPr>
      <w:r>
        <w:rPr>
          <w:rFonts w:ascii="Arial" w:cs="Arial" w:eastAsia="Arial" w:hAnsi="Arial"/>
          <w:sz w:val="18"/>
          <w:szCs w:val="18"/>
          <w:color w:val="auto"/>
        </w:rPr>
        <w:t>ACS Enterprise Solutions, Inc.</w:t>
      </w:r>
    </w:p>
    <w:p>
      <w:pPr>
        <w:spacing w:after="0" w:line="235" w:lineRule="auto"/>
        <w:rPr>
          <w:sz w:val="20"/>
          <w:szCs w:val="20"/>
          <w:color w:val="auto"/>
        </w:rPr>
      </w:pPr>
      <w:r>
        <w:rPr>
          <w:rFonts w:ascii="Arial" w:cs="Arial" w:eastAsia="Arial" w:hAnsi="Arial"/>
          <w:sz w:val="18"/>
          <w:szCs w:val="18"/>
          <w:color w:val="auto"/>
        </w:rPr>
        <w:t>ACS Audit &amp; Compliance Solutions, Inc.</w:t>
      </w:r>
    </w:p>
    <w:p>
      <w:pPr>
        <w:spacing w:after="0" w:line="235" w:lineRule="auto"/>
        <w:rPr>
          <w:sz w:val="20"/>
          <w:szCs w:val="20"/>
          <w:color w:val="auto"/>
        </w:rPr>
      </w:pPr>
      <w:r>
        <w:rPr>
          <w:rFonts w:ascii="Arial" w:cs="Arial" w:eastAsia="Arial" w:hAnsi="Arial"/>
          <w:sz w:val="18"/>
          <w:szCs w:val="18"/>
          <w:color w:val="auto"/>
        </w:rPr>
        <w:t>ACS BPO Services, Inc.</w:t>
      </w:r>
    </w:p>
    <w:p>
      <w:pPr>
        <w:spacing w:after="0" w:line="234" w:lineRule="auto"/>
        <w:rPr>
          <w:sz w:val="20"/>
          <w:szCs w:val="20"/>
          <w:color w:val="auto"/>
        </w:rPr>
      </w:pPr>
      <w:r>
        <w:rPr>
          <w:rFonts w:ascii="Arial" w:cs="Arial" w:eastAsia="Arial" w:hAnsi="Arial"/>
          <w:sz w:val="18"/>
          <w:szCs w:val="18"/>
          <w:color w:val="auto"/>
        </w:rPr>
        <w:t>Government Records Services, Inc.</w:t>
      </w:r>
    </w:p>
    <w:p>
      <w:pPr>
        <w:spacing w:after="0" w:line="235" w:lineRule="auto"/>
        <w:rPr>
          <w:sz w:val="20"/>
          <w:szCs w:val="20"/>
          <w:color w:val="auto"/>
        </w:rPr>
      </w:pPr>
      <w:r>
        <w:rPr>
          <w:rFonts w:ascii="Arial" w:cs="Arial" w:eastAsia="Arial" w:hAnsi="Arial"/>
          <w:sz w:val="18"/>
          <w:szCs w:val="18"/>
          <w:color w:val="auto"/>
        </w:rPr>
        <w:t>Title Records Corporation</w:t>
      </w:r>
    </w:p>
    <w:p>
      <w:pPr>
        <w:spacing w:after="0" w:line="235" w:lineRule="auto"/>
        <w:rPr>
          <w:sz w:val="20"/>
          <w:szCs w:val="20"/>
          <w:color w:val="auto"/>
        </w:rPr>
      </w:pPr>
      <w:r>
        <w:rPr>
          <w:rFonts w:ascii="Arial" w:cs="Arial" w:eastAsia="Arial" w:hAnsi="Arial"/>
          <w:sz w:val="18"/>
          <w:szCs w:val="18"/>
          <w:color w:val="auto"/>
        </w:rPr>
        <w:t>ACS Government Systems, Inc.</w:t>
      </w:r>
    </w:p>
    <w:p>
      <w:pPr>
        <w:spacing w:after="0" w:line="235" w:lineRule="auto"/>
        <w:rPr>
          <w:sz w:val="20"/>
          <w:szCs w:val="20"/>
          <w:color w:val="auto"/>
        </w:rPr>
      </w:pPr>
      <w:r>
        <w:rPr>
          <w:rFonts w:ascii="Arial" w:cs="Arial" w:eastAsia="Arial" w:hAnsi="Arial"/>
          <w:sz w:val="18"/>
          <w:szCs w:val="18"/>
          <w:color w:val="auto"/>
        </w:rPr>
        <w:t>ACS Heritage, Inc.</w:t>
      </w:r>
    </w:p>
    <w:p>
      <w:pPr>
        <w:spacing w:after="0" w:line="235" w:lineRule="auto"/>
        <w:rPr>
          <w:sz w:val="20"/>
          <w:szCs w:val="20"/>
          <w:color w:val="auto"/>
        </w:rPr>
      </w:pPr>
      <w:r>
        <w:rPr>
          <w:rFonts w:ascii="Arial" w:cs="Arial" w:eastAsia="Arial" w:hAnsi="Arial"/>
          <w:sz w:val="18"/>
          <w:szCs w:val="18"/>
          <w:color w:val="auto"/>
        </w:rPr>
        <w:t>ACS State Healthcare, LLC</w:t>
      </w:r>
    </w:p>
    <w:p>
      <w:pPr>
        <w:spacing w:after="0" w:line="235" w:lineRule="auto"/>
        <w:rPr>
          <w:sz w:val="20"/>
          <w:szCs w:val="20"/>
          <w:color w:val="auto"/>
        </w:rPr>
      </w:pPr>
      <w:r>
        <w:rPr>
          <w:rFonts w:ascii="Arial" w:cs="Arial" w:eastAsia="Arial" w:hAnsi="Arial"/>
          <w:sz w:val="18"/>
          <w:szCs w:val="18"/>
          <w:color w:val="auto"/>
        </w:rPr>
        <w:t>ACS EDI Gateway, Inc.</w:t>
      </w:r>
    </w:p>
    <w:p>
      <w:pPr>
        <w:spacing w:after="0" w:line="235" w:lineRule="auto"/>
        <w:rPr>
          <w:sz w:val="20"/>
          <w:szCs w:val="20"/>
          <w:color w:val="auto"/>
        </w:rPr>
      </w:pPr>
      <w:r>
        <w:rPr>
          <w:rFonts w:ascii="Arial" w:cs="Arial" w:eastAsia="Arial" w:hAnsi="Arial"/>
          <w:sz w:val="18"/>
          <w:szCs w:val="18"/>
          <w:color w:val="auto"/>
        </w:rPr>
        <w:t>ACS Federal Solutions LLC</w:t>
      </w:r>
    </w:p>
    <w:p>
      <w:pPr>
        <w:spacing w:after="0" w:line="235" w:lineRule="auto"/>
        <w:rPr>
          <w:sz w:val="20"/>
          <w:szCs w:val="20"/>
          <w:color w:val="auto"/>
        </w:rPr>
      </w:pPr>
      <w:r>
        <w:rPr>
          <w:rFonts w:ascii="Arial" w:cs="Arial" w:eastAsia="Arial" w:hAnsi="Arial"/>
          <w:sz w:val="18"/>
          <w:szCs w:val="18"/>
          <w:color w:val="auto"/>
        </w:rPr>
        <w:t>Consultec IPA, Inc.</w:t>
      </w:r>
    </w:p>
    <w:p>
      <w:pPr>
        <w:spacing w:after="0" w:line="235" w:lineRule="auto"/>
        <w:rPr>
          <w:sz w:val="20"/>
          <w:szCs w:val="20"/>
          <w:color w:val="auto"/>
        </w:rPr>
      </w:pPr>
      <w:r>
        <w:rPr>
          <w:rFonts w:ascii="Arial" w:cs="Arial" w:eastAsia="Arial" w:hAnsi="Arial"/>
          <w:sz w:val="18"/>
          <w:szCs w:val="18"/>
          <w:color w:val="auto"/>
        </w:rPr>
        <w:t>ACS TMC, Inc.</w:t>
      </w:r>
    </w:p>
    <w:p>
      <w:pPr>
        <w:spacing w:after="0" w:line="234" w:lineRule="auto"/>
        <w:rPr>
          <w:sz w:val="20"/>
          <w:szCs w:val="20"/>
          <w:color w:val="auto"/>
        </w:rPr>
      </w:pPr>
      <w:r>
        <w:rPr>
          <w:rFonts w:ascii="Arial" w:cs="Arial" w:eastAsia="Arial" w:hAnsi="Arial"/>
          <w:sz w:val="18"/>
          <w:szCs w:val="18"/>
          <w:color w:val="auto"/>
        </w:rPr>
        <w:t>Digital Information Systems Company, L.L.C.</w:t>
      </w:r>
    </w:p>
    <w:p>
      <w:pPr>
        <w:spacing w:after="0" w:line="235" w:lineRule="auto"/>
        <w:rPr>
          <w:sz w:val="20"/>
          <w:szCs w:val="20"/>
          <w:color w:val="auto"/>
        </w:rPr>
      </w:pPr>
      <w:r>
        <w:rPr>
          <w:rFonts w:ascii="Arial" w:cs="Arial" w:eastAsia="Arial" w:hAnsi="Arial"/>
          <w:sz w:val="18"/>
          <w:szCs w:val="18"/>
          <w:color w:val="auto"/>
        </w:rPr>
        <w:t>ACS Health Care, Inc.</w:t>
      </w:r>
    </w:p>
    <w:p>
      <w:pPr>
        <w:spacing w:after="0" w:line="235" w:lineRule="auto"/>
        <w:rPr>
          <w:sz w:val="20"/>
          <w:szCs w:val="20"/>
          <w:color w:val="auto"/>
        </w:rPr>
      </w:pPr>
      <w:r>
        <w:rPr>
          <w:rFonts w:ascii="Arial" w:cs="Arial" w:eastAsia="Arial" w:hAnsi="Arial"/>
          <w:sz w:val="18"/>
          <w:szCs w:val="18"/>
          <w:color w:val="auto"/>
        </w:rPr>
        <w:t>MidasPlus, Inc.</w:t>
      </w:r>
    </w:p>
    <w:p>
      <w:pPr>
        <w:spacing w:after="0" w:line="235" w:lineRule="auto"/>
        <w:rPr>
          <w:sz w:val="20"/>
          <w:szCs w:val="20"/>
          <w:color w:val="auto"/>
        </w:rPr>
      </w:pPr>
      <w:r>
        <w:rPr>
          <w:rFonts w:ascii="Arial" w:cs="Arial" w:eastAsia="Arial" w:hAnsi="Arial"/>
          <w:sz w:val="18"/>
          <w:szCs w:val="18"/>
          <w:color w:val="auto"/>
        </w:rPr>
        <w:t>Statit Software, Inc.</w:t>
      </w:r>
    </w:p>
    <w:p>
      <w:pPr>
        <w:spacing w:after="0" w:line="235" w:lineRule="auto"/>
        <w:rPr>
          <w:sz w:val="20"/>
          <w:szCs w:val="20"/>
          <w:color w:val="auto"/>
        </w:rPr>
      </w:pPr>
      <w:r>
        <w:rPr>
          <w:rFonts w:ascii="Arial" w:cs="Arial" w:eastAsia="Arial" w:hAnsi="Arial"/>
          <w:sz w:val="18"/>
          <w:szCs w:val="18"/>
          <w:color w:val="auto"/>
        </w:rPr>
        <w:t>ACS Care and Quality Solutions, Inc.</w:t>
      </w:r>
    </w:p>
    <w:p>
      <w:pPr>
        <w:spacing w:after="0" w:line="235" w:lineRule="auto"/>
        <w:rPr>
          <w:sz w:val="20"/>
          <w:szCs w:val="20"/>
          <w:color w:val="auto"/>
        </w:rPr>
      </w:pPr>
      <w:r>
        <w:rPr>
          <w:rFonts w:ascii="Arial" w:cs="Arial" w:eastAsia="Arial" w:hAnsi="Arial"/>
          <w:sz w:val="18"/>
          <w:szCs w:val="18"/>
          <w:color w:val="auto"/>
        </w:rPr>
        <w:t>ACS Commercial Solutions, Inc.</w:t>
      </w:r>
    </w:p>
    <w:p>
      <w:pPr>
        <w:spacing w:after="0" w:line="235" w:lineRule="auto"/>
        <w:rPr>
          <w:sz w:val="20"/>
          <w:szCs w:val="20"/>
          <w:color w:val="auto"/>
        </w:rPr>
      </w:pPr>
      <w:r>
        <w:rPr>
          <w:rFonts w:ascii="Arial" w:cs="Arial" w:eastAsia="Arial" w:hAnsi="Arial"/>
          <w:sz w:val="18"/>
          <w:szCs w:val="18"/>
          <w:color w:val="auto"/>
        </w:rPr>
        <w:t>ACS Global, Inc.</w:t>
      </w:r>
    </w:p>
    <w:p>
      <w:pPr>
        <w:spacing w:after="0"/>
        <w:rPr>
          <w:sz w:val="20"/>
          <w:szCs w:val="20"/>
          <w:color w:val="auto"/>
        </w:rPr>
      </w:pPr>
      <w:r>
        <w:rPr>
          <w:rFonts w:ascii="Arial" w:cs="Arial" w:eastAsia="Arial" w:hAnsi="Arial"/>
          <w:sz w:val="16"/>
          <w:szCs w:val="16"/>
          <w:color w:val="auto"/>
        </w:rPr>
        <w:t>Affiliated Computer Services (Australia) Pty. Ltd.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Market Line Colombia S.A.</w:t>
      </w:r>
    </w:p>
    <w:p>
      <w:pPr>
        <w:spacing w:after="0" w:line="234" w:lineRule="auto"/>
        <w:rPr>
          <w:sz w:val="20"/>
          <w:szCs w:val="20"/>
          <w:color w:val="auto"/>
        </w:rPr>
      </w:pPr>
      <w:r>
        <w:rPr>
          <w:rFonts w:ascii="Arial" w:cs="Arial" w:eastAsia="Arial" w:hAnsi="Arial"/>
          <w:sz w:val="18"/>
          <w:szCs w:val="18"/>
          <w:color w:val="auto"/>
        </w:rPr>
        <w:t>Market Line Peru S.A.C.</w:t>
      </w:r>
    </w:p>
    <w:p>
      <w:pPr>
        <w:spacing w:after="0" w:line="235" w:lineRule="auto"/>
        <w:rPr>
          <w:sz w:val="20"/>
          <w:szCs w:val="20"/>
          <w:color w:val="auto"/>
        </w:rPr>
      </w:pPr>
      <w:r>
        <w:rPr>
          <w:rFonts w:ascii="Arial" w:cs="Arial" w:eastAsia="Arial" w:hAnsi="Arial"/>
          <w:sz w:val="18"/>
          <w:szCs w:val="18"/>
          <w:color w:val="auto"/>
        </w:rPr>
        <w:t>Market Line S.A.</w:t>
      </w:r>
    </w:p>
    <w:p>
      <w:pPr>
        <w:spacing w:after="0" w:line="235" w:lineRule="auto"/>
        <w:rPr>
          <w:sz w:val="20"/>
          <w:szCs w:val="20"/>
          <w:color w:val="auto"/>
        </w:rPr>
      </w:pPr>
      <w:r>
        <w:rPr>
          <w:rFonts w:ascii="Arial" w:cs="Arial" w:eastAsia="Arial" w:hAnsi="Arial"/>
          <w:sz w:val="18"/>
          <w:szCs w:val="18"/>
          <w:color w:val="auto"/>
        </w:rPr>
        <w:t>Market Line Chile S.A.</w:t>
      </w:r>
    </w:p>
    <w:p>
      <w:pPr>
        <w:spacing w:after="0" w:line="235" w:lineRule="auto"/>
        <w:rPr>
          <w:sz w:val="20"/>
          <w:szCs w:val="20"/>
          <w:color w:val="auto"/>
        </w:rPr>
      </w:pPr>
      <w:r>
        <w:rPr>
          <w:rFonts w:ascii="Arial" w:cs="Arial" w:eastAsia="Arial" w:hAnsi="Arial"/>
          <w:sz w:val="18"/>
          <w:szCs w:val="18"/>
          <w:color w:val="auto"/>
        </w:rPr>
        <w:t>CDR Associates, L.L.C.</w:t>
      </w:r>
    </w:p>
    <w:p>
      <w:pPr>
        <w:spacing w:after="0" w:line="235" w:lineRule="auto"/>
        <w:rPr>
          <w:sz w:val="20"/>
          <w:szCs w:val="20"/>
          <w:color w:val="auto"/>
        </w:rPr>
      </w:pPr>
      <w:r>
        <w:rPr>
          <w:rFonts w:ascii="Arial" w:cs="Arial" w:eastAsia="Arial" w:hAnsi="Arial"/>
          <w:sz w:val="18"/>
          <w:szCs w:val="18"/>
          <w:color w:val="auto"/>
        </w:rPr>
        <w:t>TMS Health, LLC</w:t>
      </w:r>
    </w:p>
    <w:p>
      <w:pPr>
        <w:spacing w:after="0" w:line="235" w:lineRule="auto"/>
        <w:rPr>
          <w:sz w:val="20"/>
          <w:szCs w:val="20"/>
          <w:color w:val="auto"/>
        </w:rPr>
      </w:pPr>
      <w:r>
        <w:rPr>
          <w:rFonts w:ascii="Arial" w:cs="Arial" w:eastAsia="Arial" w:hAnsi="Arial"/>
          <w:sz w:val="18"/>
          <w:szCs w:val="18"/>
          <w:color w:val="auto"/>
        </w:rPr>
        <w:t>Truckload Management Services, Inc.</w:t>
      </w:r>
    </w:p>
    <w:p>
      <w:pPr>
        <w:spacing w:after="0" w:line="235" w:lineRule="auto"/>
        <w:rPr>
          <w:sz w:val="20"/>
          <w:szCs w:val="20"/>
          <w:color w:val="auto"/>
        </w:rPr>
      </w:pPr>
      <w:r>
        <w:rPr>
          <w:rFonts w:ascii="Arial" w:cs="Arial" w:eastAsia="Arial" w:hAnsi="Arial"/>
          <w:sz w:val="18"/>
          <w:szCs w:val="18"/>
          <w:color w:val="auto"/>
        </w:rPr>
        <w:t>ACS CompIQ Corporation</w:t>
      </w:r>
    </w:p>
    <w:p>
      <w:pPr>
        <w:spacing w:after="0" w:line="235" w:lineRule="auto"/>
        <w:rPr>
          <w:sz w:val="20"/>
          <w:szCs w:val="20"/>
          <w:color w:val="auto"/>
        </w:rPr>
      </w:pPr>
      <w:r>
        <w:rPr>
          <w:rFonts w:ascii="Arial" w:cs="Arial" w:eastAsia="Arial" w:hAnsi="Arial"/>
          <w:sz w:val="18"/>
          <w:szCs w:val="18"/>
          <w:color w:val="auto"/>
        </w:rPr>
        <w:t>ACS Consultant Holdings Corporation</w:t>
      </w:r>
    </w:p>
    <w:p>
      <w:pPr>
        <w:spacing w:after="0" w:line="235" w:lineRule="auto"/>
        <w:rPr>
          <w:sz w:val="20"/>
          <w:szCs w:val="20"/>
          <w:color w:val="auto"/>
        </w:rPr>
      </w:pPr>
      <w:r>
        <w:rPr>
          <w:rFonts w:ascii="Arial" w:cs="Arial" w:eastAsia="Arial" w:hAnsi="Arial"/>
          <w:sz w:val="18"/>
          <w:szCs w:val="18"/>
          <w:color w:val="auto"/>
        </w:rPr>
        <w:t>ACS Consultant Company, Inc.</w:t>
      </w:r>
    </w:p>
    <w:p>
      <w:pPr>
        <w:spacing w:after="0" w:line="234" w:lineRule="auto"/>
        <w:rPr>
          <w:sz w:val="20"/>
          <w:szCs w:val="20"/>
          <w:color w:val="auto"/>
        </w:rPr>
      </w:pPr>
      <w:r>
        <w:rPr>
          <w:rFonts w:ascii="Arial" w:cs="Arial" w:eastAsia="Arial" w:hAnsi="Arial"/>
          <w:sz w:val="18"/>
          <w:szCs w:val="18"/>
          <w:color w:val="auto"/>
        </w:rPr>
        <w:t>Superior Venture Partner, Inc.</w:t>
      </w:r>
    </w:p>
    <w:p>
      <w:pPr>
        <w:spacing w:after="0" w:line="235" w:lineRule="auto"/>
        <w:rPr>
          <w:sz w:val="20"/>
          <w:szCs w:val="20"/>
          <w:color w:val="auto"/>
        </w:rPr>
      </w:pPr>
      <w:r>
        <w:rPr>
          <w:rFonts w:ascii="Arial" w:cs="Arial" w:eastAsia="Arial" w:hAnsi="Arial"/>
          <w:sz w:val="18"/>
          <w:szCs w:val="18"/>
          <w:color w:val="auto"/>
        </w:rPr>
        <w:t>ACS e-Services, LLC</w:t>
      </w:r>
    </w:p>
    <w:p>
      <w:pPr>
        <w:spacing w:after="0" w:line="235" w:lineRule="auto"/>
        <w:rPr>
          <w:sz w:val="20"/>
          <w:szCs w:val="20"/>
          <w:color w:val="auto"/>
        </w:rPr>
      </w:pPr>
      <w:r>
        <w:rPr>
          <w:rFonts w:ascii="Arial" w:cs="Arial" w:eastAsia="Arial" w:hAnsi="Arial"/>
          <w:sz w:val="18"/>
          <w:szCs w:val="18"/>
          <w:color w:val="auto"/>
        </w:rPr>
        <w:t>e-Services Group (St. Lucia) Limited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e-Services Group International (Jamaica) Limited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ACS Education Services, Inc.</w:t>
      </w:r>
    </w:p>
    <w:p>
      <w:pPr>
        <w:spacing w:after="0" w:line="234" w:lineRule="auto"/>
        <w:rPr>
          <w:sz w:val="20"/>
          <w:szCs w:val="20"/>
          <w:color w:val="auto"/>
        </w:rPr>
      </w:pPr>
      <w:r>
        <w:rPr>
          <w:rFonts w:ascii="Arial" w:cs="Arial" w:eastAsia="Arial" w:hAnsi="Arial"/>
          <w:sz w:val="18"/>
          <w:szCs w:val="18"/>
          <w:color w:val="auto"/>
        </w:rPr>
        <w:t>ACS Asset Management Group, Inc.</w:t>
      </w:r>
    </w:p>
    <w:p>
      <w:pPr>
        <w:spacing w:after="0" w:line="235" w:lineRule="auto"/>
        <w:rPr>
          <w:sz w:val="20"/>
          <w:szCs w:val="20"/>
          <w:color w:val="auto"/>
        </w:rPr>
      </w:pPr>
      <w:r>
        <w:rPr>
          <w:rFonts w:ascii="Arial" w:cs="Arial" w:eastAsia="Arial" w:hAnsi="Arial"/>
          <w:sz w:val="18"/>
          <w:szCs w:val="18"/>
          <w:color w:val="auto"/>
        </w:rPr>
        <w:t>Education Services Company</w:t>
      </w:r>
    </w:p>
    <w:p>
      <w:pPr>
        <w:spacing w:after="0" w:line="235" w:lineRule="auto"/>
        <w:rPr>
          <w:sz w:val="20"/>
          <w:szCs w:val="20"/>
          <w:color w:val="auto"/>
        </w:rPr>
      </w:pPr>
      <w:r>
        <w:rPr>
          <w:rFonts w:ascii="Arial" w:cs="Arial" w:eastAsia="Arial" w:hAnsi="Arial"/>
          <w:sz w:val="18"/>
          <w:szCs w:val="18"/>
          <w:color w:val="auto"/>
        </w:rPr>
        <w:t>ACS Education Loan Services LLC</w:t>
      </w:r>
    </w:p>
    <w:p>
      <w:pPr>
        <w:spacing w:after="0" w:line="235" w:lineRule="auto"/>
        <w:rPr>
          <w:sz w:val="20"/>
          <w:szCs w:val="20"/>
          <w:color w:val="auto"/>
        </w:rPr>
      </w:pPr>
      <w:r>
        <w:rPr>
          <w:rFonts w:ascii="Arial" w:cs="Arial" w:eastAsia="Arial" w:hAnsi="Arial"/>
          <w:sz w:val="18"/>
          <w:szCs w:val="18"/>
          <w:color w:val="auto"/>
        </w:rPr>
        <w:t>ACS Education Solutions, LLC</w:t>
      </w:r>
    </w:p>
    <w:p>
      <w:pPr>
        <w:spacing w:after="0" w:line="235" w:lineRule="auto"/>
        <w:rPr>
          <w:sz w:val="20"/>
          <w:szCs w:val="20"/>
          <w:color w:val="auto"/>
        </w:rPr>
      </w:pPr>
      <w:r>
        <w:rPr>
          <w:rFonts w:ascii="Arial" w:cs="Arial" w:eastAsia="Arial" w:hAnsi="Arial"/>
          <w:sz w:val="18"/>
          <w:szCs w:val="18"/>
          <w:color w:val="auto"/>
        </w:rPr>
        <w:t>ACS Health Administration, Inc.</w:t>
      </w:r>
    </w:p>
    <w:p>
      <w:pPr>
        <w:spacing w:after="0" w:line="235" w:lineRule="auto"/>
        <w:rPr>
          <w:sz w:val="20"/>
          <w:szCs w:val="20"/>
          <w:color w:val="auto"/>
        </w:rPr>
      </w:pPr>
      <w:r>
        <w:rPr>
          <w:rFonts w:ascii="Arial" w:cs="Arial" w:eastAsia="Arial" w:hAnsi="Arial"/>
          <w:sz w:val="18"/>
          <w:szCs w:val="18"/>
          <w:color w:val="auto"/>
        </w:rPr>
        <w:t>ACS Healthcare Analytics, Inc.</w:t>
      </w:r>
    </w:p>
    <w:p>
      <w:pPr>
        <w:spacing w:after="0" w:line="235" w:lineRule="auto"/>
        <w:rPr>
          <w:sz w:val="20"/>
          <w:szCs w:val="20"/>
          <w:color w:val="auto"/>
        </w:rPr>
      </w:pPr>
      <w:r>
        <w:rPr>
          <w:rFonts w:ascii="Arial" w:cs="Arial" w:eastAsia="Arial" w:hAnsi="Arial"/>
          <w:sz w:val="18"/>
          <w:szCs w:val="18"/>
          <w:color w:val="auto"/>
        </w:rPr>
        <w:t>ACS Human Resources Solutions, Inc.</w:t>
      </w:r>
    </w:p>
    <w:p>
      <w:pPr>
        <w:spacing w:after="0"/>
        <w:rPr>
          <w:sz w:val="20"/>
          <w:szCs w:val="20"/>
          <w:color w:val="auto"/>
        </w:rPr>
      </w:pPr>
      <w:r>
        <w:rPr>
          <w:rFonts w:ascii="Arial" w:cs="Arial" w:eastAsia="Arial" w:hAnsi="Arial"/>
          <w:sz w:val="18"/>
          <w:szCs w:val="18"/>
          <w:color w:val="auto"/>
        </w:rPr>
        <w:t>ACS HR Solutions,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Delaware</w:t>
      </w:r>
    </w:p>
    <w:p>
      <w:pPr>
        <w:spacing w:after="0"/>
        <w:rPr>
          <w:sz w:val="20"/>
          <w:szCs w:val="20"/>
          <w:color w:val="auto"/>
        </w:rPr>
      </w:pPr>
      <w:r>
        <w:rPr>
          <w:rFonts w:ascii="Arial" w:cs="Arial" w:eastAsia="Arial" w:hAnsi="Arial"/>
          <w:sz w:val="16"/>
          <w:szCs w:val="16"/>
          <w:color w:val="auto"/>
        </w:rPr>
        <w:t>United Kingdom (48)</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4" w:lineRule="auto"/>
        <w:rPr>
          <w:sz w:val="20"/>
          <w:szCs w:val="20"/>
          <w:color w:val="auto"/>
        </w:rPr>
      </w:pPr>
      <w:r>
        <w:rPr>
          <w:rFonts w:ascii="Arial" w:cs="Arial" w:eastAsia="Arial" w:hAnsi="Arial"/>
          <w:sz w:val="18"/>
          <w:szCs w:val="18"/>
          <w:color w:val="auto"/>
        </w:rPr>
        <w:t>California</w:t>
      </w:r>
    </w:p>
    <w:p>
      <w:pPr>
        <w:spacing w:after="0" w:line="235" w:lineRule="auto"/>
        <w:rPr>
          <w:sz w:val="20"/>
          <w:szCs w:val="20"/>
          <w:color w:val="auto"/>
        </w:rPr>
      </w:pPr>
      <w:r>
        <w:rPr>
          <w:rFonts w:ascii="Arial" w:cs="Arial" w:eastAsia="Arial" w:hAnsi="Arial"/>
          <w:sz w:val="18"/>
          <w:szCs w:val="18"/>
          <w:color w:val="auto"/>
        </w:rPr>
        <w:t>Delaware</w:t>
      </w:r>
    </w:p>
    <w:p>
      <w:pPr>
        <w:spacing w:after="0" w:line="235" w:lineRule="auto"/>
        <w:rPr>
          <w:sz w:val="20"/>
          <w:szCs w:val="20"/>
          <w:color w:val="auto"/>
        </w:rPr>
      </w:pPr>
      <w:r>
        <w:rPr>
          <w:rFonts w:ascii="Arial" w:cs="Arial" w:eastAsia="Arial" w:hAnsi="Arial"/>
          <w:sz w:val="18"/>
          <w:szCs w:val="18"/>
          <w:color w:val="auto"/>
        </w:rPr>
        <w:t>Delaware</w:t>
      </w:r>
    </w:p>
    <w:p>
      <w:pPr>
        <w:spacing w:after="0" w:line="235" w:lineRule="auto"/>
        <w:rPr>
          <w:sz w:val="20"/>
          <w:szCs w:val="20"/>
          <w:color w:val="auto"/>
        </w:rPr>
      </w:pPr>
      <w:r>
        <w:rPr>
          <w:rFonts w:ascii="Arial" w:cs="Arial" w:eastAsia="Arial" w:hAnsi="Arial"/>
          <w:sz w:val="18"/>
          <w:szCs w:val="18"/>
          <w:color w:val="auto"/>
        </w:rPr>
        <w:t>Delaware</w:t>
      </w:r>
    </w:p>
    <w:p>
      <w:pPr>
        <w:spacing w:after="0" w:line="235" w:lineRule="auto"/>
        <w:rPr>
          <w:sz w:val="20"/>
          <w:szCs w:val="20"/>
          <w:color w:val="auto"/>
        </w:rPr>
      </w:pPr>
      <w:r>
        <w:rPr>
          <w:rFonts w:ascii="Arial" w:cs="Arial" w:eastAsia="Arial" w:hAnsi="Arial"/>
          <w:sz w:val="18"/>
          <w:szCs w:val="18"/>
          <w:color w:val="auto"/>
        </w:rPr>
        <w:t>Delaware</w:t>
      </w:r>
    </w:p>
    <w:p>
      <w:pPr>
        <w:spacing w:after="0" w:line="235" w:lineRule="auto"/>
        <w:rPr>
          <w:sz w:val="20"/>
          <w:szCs w:val="20"/>
          <w:color w:val="auto"/>
        </w:rPr>
      </w:pPr>
      <w:r>
        <w:rPr>
          <w:rFonts w:ascii="Arial" w:cs="Arial" w:eastAsia="Arial" w:hAnsi="Arial"/>
          <w:sz w:val="18"/>
          <w:szCs w:val="18"/>
          <w:color w:val="auto"/>
        </w:rPr>
        <w:t>Delaware</w:t>
      </w:r>
    </w:p>
    <w:p>
      <w:pPr>
        <w:spacing w:after="0" w:line="235" w:lineRule="auto"/>
        <w:rPr>
          <w:sz w:val="20"/>
          <w:szCs w:val="20"/>
          <w:color w:val="auto"/>
        </w:rPr>
      </w:pPr>
      <w:r>
        <w:rPr>
          <w:rFonts w:ascii="Arial" w:cs="Arial" w:eastAsia="Arial" w:hAnsi="Arial"/>
          <w:sz w:val="18"/>
          <w:szCs w:val="18"/>
          <w:color w:val="auto"/>
        </w:rPr>
        <w:t>Delaware</w:t>
      </w:r>
    </w:p>
    <w:p>
      <w:pPr>
        <w:spacing w:after="0" w:line="235" w:lineRule="auto"/>
        <w:rPr>
          <w:sz w:val="20"/>
          <w:szCs w:val="20"/>
          <w:color w:val="auto"/>
        </w:rPr>
      </w:pPr>
      <w:r>
        <w:rPr>
          <w:rFonts w:ascii="Arial" w:cs="Arial" w:eastAsia="Arial" w:hAnsi="Arial"/>
          <w:sz w:val="18"/>
          <w:szCs w:val="18"/>
          <w:color w:val="auto"/>
        </w:rPr>
        <w:t>Delaware</w:t>
      </w:r>
    </w:p>
    <w:p>
      <w:pPr>
        <w:spacing w:after="0" w:line="235" w:lineRule="auto"/>
        <w:rPr>
          <w:sz w:val="20"/>
          <w:szCs w:val="20"/>
          <w:color w:val="auto"/>
        </w:rPr>
      </w:pPr>
      <w:r>
        <w:rPr>
          <w:rFonts w:ascii="Arial" w:cs="Arial" w:eastAsia="Arial" w:hAnsi="Arial"/>
          <w:sz w:val="18"/>
          <w:szCs w:val="18"/>
          <w:color w:val="auto"/>
        </w:rPr>
        <w:t>Delaware</w:t>
      </w:r>
    </w:p>
    <w:p>
      <w:pPr>
        <w:spacing w:after="0" w:line="234" w:lineRule="auto"/>
        <w:rPr>
          <w:sz w:val="20"/>
          <w:szCs w:val="20"/>
          <w:color w:val="auto"/>
        </w:rPr>
      </w:pPr>
      <w:r>
        <w:rPr>
          <w:rFonts w:ascii="Arial" w:cs="Arial" w:eastAsia="Arial" w:hAnsi="Arial"/>
          <w:sz w:val="18"/>
          <w:szCs w:val="18"/>
          <w:color w:val="auto"/>
        </w:rPr>
        <w:t>Delaware</w:t>
      </w:r>
    </w:p>
    <w:p>
      <w:pPr>
        <w:spacing w:after="0" w:line="235" w:lineRule="auto"/>
        <w:rPr>
          <w:sz w:val="20"/>
          <w:szCs w:val="20"/>
          <w:color w:val="auto"/>
        </w:rPr>
      </w:pPr>
      <w:r>
        <w:rPr>
          <w:rFonts w:ascii="Arial" w:cs="Arial" w:eastAsia="Arial" w:hAnsi="Arial"/>
          <w:sz w:val="18"/>
          <w:szCs w:val="18"/>
          <w:color w:val="auto"/>
        </w:rPr>
        <w:t>Virginia</w:t>
      </w:r>
    </w:p>
    <w:p>
      <w:pPr>
        <w:spacing w:after="0" w:line="235" w:lineRule="auto"/>
        <w:rPr>
          <w:sz w:val="20"/>
          <w:szCs w:val="20"/>
          <w:color w:val="auto"/>
        </w:rPr>
      </w:pPr>
      <w:r>
        <w:rPr>
          <w:rFonts w:ascii="Arial" w:cs="Arial" w:eastAsia="Arial" w:hAnsi="Arial"/>
          <w:sz w:val="18"/>
          <w:szCs w:val="18"/>
          <w:color w:val="auto"/>
        </w:rPr>
        <w:t>Delaware</w:t>
      </w:r>
    </w:p>
    <w:p>
      <w:pPr>
        <w:spacing w:after="0" w:line="235" w:lineRule="auto"/>
        <w:rPr>
          <w:sz w:val="20"/>
          <w:szCs w:val="20"/>
          <w:color w:val="auto"/>
        </w:rPr>
      </w:pPr>
      <w:r>
        <w:rPr>
          <w:rFonts w:ascii="Arial" w:cs="Arial" w:eastAsia="Arial" w:hAnsi="Arial"/>
          <w:sz w:val="18"/>
          <w:szCs w:val="18"/>
          <w:color w:val="auto"/>
        </w:rPr>
        <w:t>Delaware</w:t>
      </w:r>
    </w:p>
    <w:p>
      <w:pPr>
        <w:spacing w:after="0" w:line="235" w:lineRule="auto"/>
        <w:rPr>
          <w:sz w:val="20"/>
          <w:szCs w:val="20"/>
          <w:color w:val="auto"/>
        </w:rPr>
      </w:pPr>
      <w:r>
        <w:rPr>
          <w:rFonts w:ascii="Arial" w:cs="Arial" w:eastAsia="Arial" w:hAnsi="Arial"/>
          <w:sz w:val="18"/>
          <w:szCs w:val="18"/>
          <w:color w:val="auto"/>
        </w:rPr>
        <w:t>Delaware</w:t>
      </w:r>
    </w:p>
    <w:p>
      <w:pPr>
        <w:spacing w:after="0" w:line="235" w:lineRule="auto"/>
        <w:rPr>
          <w:sz w:val="20"/>
          <w:szCs w:val="20"/>
          <w:color w:val="auto"/>
        </w:rPr>
      </w:pPr>
      <w:r>
        <w:rPr>
          <w:rFonts w:ascii="Arial" w:cs="Arial" w:eastAsia="Arial" w:hAnsi="Arial"/>
          <w:sz w:val="18"/>
          <w:szCs w:val="18"/>
          <w:color w:val="auto"/>
        </w:rPr>
        <w:t>New York</w:t>
      </w:r>
    </w:p>
    <w:p>
      <w:pPr>
        <w:spacing w:after="0" w:line="235" w:lineRule="auto"/>
        <w:rPr>
          <w:sz w:val="20"/>
          <w:szCs w:val="20"/>
          <w:color w:val="auto"/>
        </w:rPr>
      </w:pPr>
      <w:r>
        <w:rPr>
          <w:rFonts w:ascii="Arial" w:cs="Arial" w:eastAsia="Arial" w:hAnsi="Arial"/>
          <w:sz w:val="18"/>
          <w:szCs w:val="18"/>
          <w:color w:val="auto"/>
        </w:rPr>
        <w:t>Delaware</w:t>
      </w:r>
    </w:p>
    <w:p>
      <w:pPr>
        <w:spacing w:after="0" w:line="235" w:lineRule="auto"/>
        <w:rPr>
          <w:sz w:val="20"/>
          <w:szCs w:val="20"/>
          <w:color w:val="auto"/>
        </w:rPr>
      </w:pPr>
      <w:r>
        <w:rPr>
          <w:rFonts w:ascii="Arial" w:cs="Arial" w:eastAsia="Arial" w:hAnsi="Arial"/>
          <w:sz w:val="18"/>
          <w:szCs w:val="18"/>
          <w:color w:val="auto"/>
        </w:rPr>
        <w:t>Georgia</w:t>
      </w:r>
    </w:p>
    <w:p>
      <w:pPr>
        <w:spacing w:after="0" w:line="235" w:lineRule="auto"/>
        <w:rPr>
          <w:sz w:val="20"/>
          <w:szCs w:val="20"/>
          <w:color w:val="auto"/>
        </w:rPr>
      </w:pPr>
      <w:r>
        <w:rPr>
          <w:rFonts w:ascii="Arial" w:cs="Arial" w:eastAsia="Arial" w:hAnsi="Arial"/>
          <w:sz w:val="18"/>
          <w:szCs w:val="18"/>
          <w:color w:val="auto"/>
        </w:rPr>
        <w:t>Oregon</w:t>
      </w:r>
    </w:p>
    <w:p>
      <w:pPr>
        <w:spacing w:after="0" w:line="234" w:lineRule="auto"/>
        <w:rPr>
          <w:sz w:val="20"/>
          <w:szCs w:val="20"/>
          <w:color w:val="auto"/>
        </w:rPr>
      </w:pPr>
      <w:r>
        <w:rPr>
          <w:rFonts w:ascii="Arial" w:cs="Arial" w:eastAsia="Arial" w:hAnsi="Arial"/>
          <w:sz w:val="18"/>
          <w:szCs w:val="18"/>
          <w:color w:val="auto"/>
        </w:rPr>
        <w:t>Arizona</w:t>
      </w:r>
    </w:p>
    <w:p>
      <w:pPr>
        <w:spacing w:after="0" w:line="235" w:lineRule="auto"/>
        <w:rPr>
          <w:sz w:val="20"/>
          <w:szCs w:val="20"/>
          <w:color w:val="auto"/>
        </w:rPr>
      </w:pPr>
      <w:r>
        <w:rPr>
          <w:rFonts w:ascii="Arial" w:cs="Arial" w:eastAsia="Arial" w:hAnsi="Arial"/>
          <w:sz w:val="18"/>
          <w:szCs w:val="18"/>
          <w:color w:val="auto"/>
        </w:rPr>
        <w:t>Oregon</w:t>
      </w:r>
    </w:p>
    <w:p>
      <w:pPr>
        <w:spacing w:after="0" w:line="235" w:lineRule="auto"/>
        <w:rPr>
          <w:sz w:val="20"/>
          <w:szCs w:val="20"/>
          <w:color w:val="auto"/>
        </w:rPr>
      </w:pPr>
      <w:r>
        <w:rPr>
          <w:rFonts w:ascii="Arial" w:cs="Arial" w:eastAsia="Arial" w:hAnsi="Arial"/>
          <w:sz w:val="18"/>
          <w:szCs w:val="18"/>
          <w:color w:val="auto"/>
        </w:rPr>
        <w:t>Wisconsin</w:t>
      </w:r>
    </w:p>
    <w:p>
      <w:pPr>
        <w:spacing w:after="0" w:line="235" w:lineRule="auto"/>
        <w:rPr>
          <w:sz w:val="20"/>
          <w:szCs w:val="20"/>
          <w:color w:val="auto"/>
        </w:rPr>
      </w:pPr>
      <w:r>
        <w:rPr>
          <w:rFonts w:ascii="Arial" w:cs="Arial" w:eastAsia="Arial" w:hAnsi="Arial"/>
          <w:sz w:val="18"/>
          <w:szCs w:val="18"/>
          <w:color w:val="auto"/>
        </w:rPr>
        <w:t>Nevada</w:t>
      </w:r>
    </w:p>
    <w:p>
      <w:pPr>
        <w:spacing w:after="0" w:line="235" w:lineRule="auto"/>
        <w:rPr>
          <w:sz w:val="20"/>
          <w:szCs w:val="20"/>
          <w:color w:val="auto"/>
        </w:rPr>
      </w:pPr>
      <w:r>
        <w:rPr>
          <w:rFonts w:ascii="Arial" w:cs="Arial" w:eastAsia="Arial" w:hAnsi="Arial"/>
          <w:sz w:val="18"/>
          <w:szCs w:val="18"/>
          <w:color w:val="auto"/>
        </w:rPr>
        <w:t>Delaware</w:t>
      </w:r>
    </w:p>
    <w:p>
      <w:pPr>
        <w:spacing w:after="0" w:line="235" w:lineRule="auto"/>
        <w:rPr>
          <w:sz w:val="20"/>
          <w:szCs w:val="20"/>
          <w:color w:val="auto"/>
        </w:rPr>
      </w:pPr>
      <w:r>
        <w:rPr>
          <w:rFonts w:ascii="Arial" w:cs="Arial" w:eastAsia="Arial" w:hAnsi="Arial"/>
          <w:sz w:val="18"/>
          <w:szCs w:val="18"/>
          <w:color w:val="auto"/>
        </w:rPr>
        <w:t>Australia</w:t>
      </w:r>
    </w:p>
    <w:p>
      <w:pPr>
        <w:spacing w:after="0" w:line="235" w:lineRule="auto"/>
        <w:rPr>
          <w:sz w:val="20"/>
          <w:szCs w:val="20"/>
          <w:color w:val="auto"/>
        </w:rPr>
      </w:pPr>
      <w:r>
        <w:rPr>
          <w:rFonts w:ascii="Arial" w:cs="Arial" w:eastAsia="Arial" w:hAnsi="Arial"/>
          <w:sz w:val="18"/>
          <w:szCs w:val="18"/>
          <w:color w:val="auto"/>
        </w:rPr>
        <w:t>Colombia (51)</w:t>
      </w:r>
    </w:p>
    <w:p>
      <w:pPr>
        <w:spacing w:after="0" w:line="235" w:lineRule="auto"/>
        <w:rPr>
          <w:sz w:val="20"/>
          <w:szCs w:val="20"/>
          <w:color w:val="auto"/>
        </w:rPr>
      </w:pPr>
      <w:r>
        <w:rPr>
          <w:rFonts w:ascii="Arial" w:cs="Arial" w:eastAsia="Arial" w:hAnsi="Arial"/>
          <w:sz w:val="18"/>
          <w:szCs w:val="18"/>
          <w:color w:val="auto"/>
        </w:rPr>
        <w:t>Peru (52)</w:t>
      </w:r>
    </w:p>
    <w:p>
      <w:pPr>
        <w:spacing w:after="0" w:line="235" w:lineRule="auto"/>
        <w:rPr>
          <w:sz w:val="20"/>
          <w:szCs w:val="20"/>
          <w:color w:val="auto"/>
        </w:rPr>
      </w:pPr>
      <w:r>
        <w:rPr>
          <w:rFonts w:ascii="Arial" w:cs="Arial" w:eastAsia="Arial" w:hAnsi="Arial"/>
          <w:sz w:val="18"/>
          <w:szCs w:val="18"/>
          <w:color w:val="auto"/>
        </w:rPr>
        <w:t>Argentina (49)</w:t>
      </w:r>
    </w:p>
    <w:p>
      <w:pPr>
        <w:spacing w:after="0" w:line="234" w:lineRule="auto"/>
        <w:rPr>
          <w:sz w:val="20"/>
          <w:szCs w:val="20"/>
          <w:color w:val="auto"/>
        </w:rPr>
      </w:pPr>
      <w:r>
        <w:rPr>
          <w:rFonts w:ascii="Arial" w:cs="Arial" w:eastAsia="Arial" w:hAnsi="Arial"/>
          <w:sz w:val="18"/>
          <w:szCs w:val="18"/>
          <w:color w:val="auto"/>
        </w:rPr>
        <w:t>Chile (50)</w:t>
      </w:r>
    </w:p>
    <w:p>
      <w:pPr>
        <w:spacing w:after="0" w:line="235" w:lineRule="auto"/>
        <w:rPr>
          <w:sz w:val="20"/>
          <w:szCs w:val="20"/>
          <w:color w:val="auto"/>
        </w:rPr>
      </w:pPr>
      <w:r>
        <w:rPr>
          <w:rFonts w:ascii="Arial" w:cs="Arial" w:eastAsia="Arial" w:hAnsi="Arial"/>
          <w:sz w:val="18"/>
          <w:szCs w:val="18"/>
          <w:color w:val="auto"/>
        </w:rPr>
        <w:t>Delaware</w:t>
      </w:r>
    </w:p>
    <w:p>
      <w:pPr>
        <w:spacing w:after="0" w:line="235" w:lineRule="auto"/>
        <w:rPr>
          <w:sz w:val="20"/>
          <w:szCs w:val="20"/>
          <w:color w:val="auto"/>
        </w:rPr>
      </w:pPr>
      <w:r>
        <w:rPr>
          <w:rFonts w:ascii="Arial" w:cs="Arial" w:eastAsia="Arial" w:hAnsi="Arial"/>
          <w:sz w:val="18"/>
          <w:szCs w:val="18"/>
          <w:color w:val="auto"/>
        </w:rPr>
        <w:t>Delaware</w:t>
      </w:r>
    </w:p>
    <w:p>
      <w:pPr>
        <w:spacing w:after="0" w:line="235" w:lineRule="auto"/>
        <w:rPr>
          <w:sz w:val="20"/>
          <w:szCs w:val="20"/>
          <w:color w:val="auto"/>
        </w:rPr>
      </w:pPr>
      <w:r>
        <w:rPr>
          <w:rFonts w:ascii="Arial" w:cs="Arial" w:eastAsia="Arial" w:hAnsi="Arial"/>
          <w:sz w:val="18"/>
          <w:szCs w:val="18"/>
          <w:color w:val="auto"/>
        </w:rPr>
        <w:t>Colorado</w:t>
      </w:r>
    </w:p>
    <w:p>
      <w:pPr>
        <w:spacing w:after="0" w:line="235" w:lineRule="auto"/>
        <w:rPr>
          <w:sz w:val="20"/>
          <w:szCs w:val="20"/>
          <w:color w:val="auto"/>
        </w:rPr>
      </w:pPr>
      <w:r>
        <w:rPr>
          <w:rFonts w:ascii="Arial" w:cs="Arial" w:eastAsia="Arial" w:hAnsi="Arial"/>
          <w:sz w:val="18"/>
          <w:szCs w:val="18"/>
          <w:color w:val="auto"/>
        </w:rPr>
        <w:t>Nevada</w:t>
      </w:r>
    </w:p>
    <w:p>
      <w:pPr>
        <w:spacing w:after="0" w:line="235" w:lineRule="auto"/>
        <w:rPr>
          <w:sz w:val="20"/>
          <w:szCs w:val="20"/>
          <w:color w:val="auto"/>
        </w:rPr>
      </w:pPr>
      <w:r>
        <w:rPr>
          <w:rFonts w:ascii="Arial" w:cs="Arial" w:eastAsia="Arial" w:hAnsi="Arial"/>
          <w:sz w:val="18"/>
          <w:szCs w:val="18"/>
          <w:color w:val="auto"/>
        </w:rPr>
        <w:t>Delaware</w:t>
      </w:r>
    </w:p>
    <w:p>
      <w:pPr>
        <w:spacing w:after="0" w:line="235" w:lineRule="auto"/>
        <w:rPr>
          <w:sz w:val="20"/>
          <w:szCs w:val="20"/>
          <w:color w:val="auto"/>
        </w:rPr>
      </w:pPr>
      <w:r>
        <w:rPr>
          <w:rFonts w:ascii="Arial" w:cs="Arial" w:eastAsia="Arial" w:hAnsi="Arial"/>
          <w:sz w:val="18"/>
          <w:szCs w:val="18"/>
          <w:color w:val="auto"/>
        </w:rPr>
        <w:t>Michigan</w:t>
      </w:r>
    </w:p>
    <w:p>
      <w:pPr>
        <w:spacing w:after="0" w:line="235" w:lineRule="auto"/>
        <w:rPr>
          <w:sz w:val="20"/>
          <w:szCs w:val="20"/>
          <w:color w:val="auto"/>
        </w:rPr>
      </w:pPr>
      <w:r>
        <w:rPr>
          <w:rFonts w:ascii="Arial" w:cs="Arial" w:eastAsia="Arial" w:hAnsi="Arial"/>
          <w:sz w:val="18"/>
          <w:szCs w:val="18"/>
          <w:color w:val="auto"/>
        </w:rPr>
        <w:t>Pennsylvania</w:t>
      </w:r>
    </w:p>
    <w:p>
      <w:pPr>
        <w:spacing w:after="0" w:line="235" w:lineRule="auto"/>
        <w:rPr>
          <w:sz w:val="20"/>
          <w:szCs w:val="20"/>
          <w:color w:val="auto"/>
        </w:rPr>
      </w:pPr>
      <w:r>
        <w:rPr>
          <w:rFonts w:ascii="Arial" w:cs="Arial" w:eastAsia="Arial" w:hAnsi="Arial"/>
          <w:sz w:val="18"/>
          <w:szCs w:val="18"/>
          <w:color w:val="auto"/>
        </w:rPr>
        <w:t>Delaware</w:t>
      </w:r>
    </w:p>
    <w:p>
      <w:pPr>
        <w:spacing w:after="0" w:line="234" w:lineRule="auto"/>
        <w:rPr>
          <w:sz w:val="20"/>
          <w:szCs w:val="20"/>
          <w:color w:val="auto"/>
        </w:rPr>
      </w:pPr>
      <w:r>
        <w:rPr>
          <w:rFonts w:ascii="Arial" w:cs="Arial" w:eastAsia="Arial" w:hAnsi="Arial"/>
          <w:sz w:val="18"/>
          <w:szCs w:val="18"/>
          <w:color w:val="auto"/>
        </w:rPr>
        <w:t>St. Lucia</w:t>
      </w:r>
    </w:p>
    <w:p>
      <w:pPr>
        <w:spacing w:after="0" w:line="235" w:lineRule="auto"/>
        <w:rPr>
          <w:sz w:val="20"/>
          <w:szCs w:val="20"/>
          <w:color w:val="auto"/>
        </w:rPr>
      </w:pPr>
      <w:r>
        <w:rPr>
          <w:rFonts w:ascii="Arial" w:cs="Arial" w:eastAsia="Arial" w:hAnsi="Arial"/>
          <w:sz w:val="18"/>
          <w:szCs w:val="18"/>
          <w:color w:val="auto"/>
        </w:rPr>
        <w:t>Jamaica (47)</w:t>
      </w:r>
    </w:p>
    <w:p>
      <w:pPr>
        <w:spacing w:after="0" w:line="235" w:lineRule="auto"/>
        <w:rPr>
          <w:sz w:val="20"/>
          <w:szCs w:val="20"/>
          <w:color w:val="auto"/>
        </w:rPr>
      </w:pPr>
      <w:r>
        <w:rPr>
          <w:rFonts w:ascii="Arial" w:cs="Arial" w:eastAsia="Arial" w:hAnsi="Arial"/>
          <w:sz w:val="18"/>
          <w:szCs w:val="18"/>
          <w:color w:val="auto"/>
        </w:rPr>
        <w:t>Delaware</w:t>
      </w:r>
    </w:p>
    <w:p>
      <w:pPr>
        <w:spacing w:after="0" w:line="235" w:lineRule="auto"/>
        <w:rPr>
          <w:sz w:val="20"/>
          <w:szCs w:val="20"/>
          <w:color w:val="auto"/>
        </w:rPr>
      </w:pPr>
      <w:r>
        <w:rPr>
          <w:rFonts w:ascii="Arial" w:cs="Arial" w:eastAsia="Arial" w:hAnsi="Arial"/>
          <w:sz w:val="18"/>
          <w:szCs w:val="18"/>
          <w:color w:val="auto"/>
        </w:rPr>
        <w:t>Oregon</w:t>
      </w:r>
    </w:p>
    <w:p>
      <w:pPr>
        <w:spacing w:after="0" w:line="235" w:lineRule="auto"/>
        <w:rPr>
          <w:sz w:val="20"/>
          <w:szCs w:val="20"/>
          <w:color w:val="auto"/>
        </w:rPr>
      </w:pPr>
      <w:r>
        <w:rPr>
          <w:rFonts w:ascii="Arial" w:cs="Arial" w:eastAsia="Arial" w:hAnsi="Arial"/>
          <w:sz w:val="18"/>
          <w:szCs w:val="18"/>
          <w:color w:val="auto"/>
        </w:rPr>
        <w:t>Delaware</w:t>
      </w:r>
    </w:p>
    <w:p>
      <w:pPr>
        <w:spacing w:after="0" w:line="235" w:lineRule="auto"/>
        <w:rPr>
          <w:sz w:val="20"/>
          <w:szCs w:val="20"/>
          <w:color w:val="auto"/>
        </w:rPr>
      </w:pPr>
      <w:r>
        <w:rPr>
          <w:rFonts w:ascii="Arial" w:cs="Arial" w:eastAsia="Arial" w:hAnsi="Arial"/>
          <w:sz w:val="18"/>
          <w:szCs w:val="18"/>
          <w:color w:val="auto"/>
        </w:rPr>
        <w:t>Delaware</w:t>
      </w:r>
    </w:p>
    <w:p>
      <w:pPr>
        <w:spacing w:after="0" w:line="235" w:lineRule="auto"/>
        <w:rPr>
          <w:sz w:val="20"/>
          <w:szCs w:val="20"/>
          <w:color w:val="auto"/>
        </w:rPr>
      </w:pPr>
      <w:r>
        <w:rPr>
          <w:rFonts w:ascii="Arial" w:cs="Arial" w:eastAsia="Arial" w:hAnsi="Arial"/>
          <w:sz w:val="18"/>
          <w:szCs w:val="18"/>
          <w:color w:val="auto"/>
        </w:rPr>
        <w:t>Delaware</w:t>
      </w:r>
    </w:p>
    <w:p>
      <w:pPr>
        <w:spacing w:after="0" w:line="235" w:lineRule="auto"/>
        <w:rPr>
          <w:sz w:val="20"/>
          <w:szCs w:val="20"/>
          <w:color w:val="auto"/>
        </w:rPr>
      </w:pPr>
      <w:r>
        <w:rPr>
          <w:rFonts w:ascii="Arial" w:cs="Arial" w:eastAsia="Arial" w:hAnsi="Arial"/>
          <w:sz w:val="18"/>
          <w:szCs w:val="18"/>
          <w:color w:val="auto"/>
        </w:rPr>
        <w:t>Delaware</w:t>
      </w:r>
    </w:p>
    <w:p>
      <w:pPr>
        <w:spacing w:after="0" w:line="235" w:lineRule="auto"/>
        <w:rPr>
          <w:sz w:val="20"/>
          <w:szCs w:val="20"/>
          <w:color w:val="auto"/>
        </w:rPr>
      </w:pPr>
      <w:r>
        <w:rPr>
          <w:rFonts w:ascii="Arial" w:cs="Arial" w:eastAsia="Arial" w:hAnsi="Arial"/>
          <w:sz w:val="18"/>
          <w:szCs w:val="18"/>
          <w:color w:val="auto"/>
        </w:rPr>
        <w:t>Delaware</w:t>
      </w:r>
    </w:p>
    <w:p>
      <w:pPr>
        <w:spacing w:after="0" w:line="235" w:lineRule="auto"/>
        <w:rPr>
          <w:sz w:val="20"/>
          <w:szCs w:val="20"/>
          <w:color w:val="auto"/>
        </w:rPr>
      </w:pPr>
      <w:r>
        <w:rPr>
          <w:rFonts w:ascii="Arial" w:cs="Arial" w:eastAsia="Arial" w:hAnsi="Arial"/>
          <w:sz w:val="18"/>
          <w:szCs w:val="18"/>
          <w:color w:val="auto"/>
        </w:rPr>
        <w:t>Pennsylvania</w:t>
      </w:r>
    </w:p>
    <w:p>
      <w:pPr>
        <w:spacing w:after="0"/>
        <w:rPr>
          <w:sz w:val="20"/>
          <w:szCs w:val="20"/>
          <w:color w:val="auto"/>
        </w:rPr>
      </w:pPr>
      <w:r>
        <w:rPr>
          <w:rFonts w:ascii="Arial" w:cs="Arial" w:eastAsia="Arial" w:hAnsi="Arial"/>
          <w:sz w:val="18"/>
          <w:szCs w:val="18"/>
          <w:color w:val="auto"/>
        </w:rPr>
        <w:t>Pennsylvania</w:t>
      </w:r>
    </w:p>
    <w:p>
      <w:pPr>
        <w:spacing w:after="0" w:line="134" w:lineRule="exact"/>
        <w:rPr>
          <w:sz w:val="20"/>
          <w:szCs w:val="20"/>
          <w:color w:val="auto"/>
        </w:rPr>
      </w:pPr>
    </w:p>
    <w:p>
      <w:pPr>
        <w:sectPr>
          <w:pgSz w:w="11900" w:h="16838" w:orient="portrait"/>
          <w:cols w:equalWidth="0" w:num="2">
            <w:col w:w="6460" w:space="720"/>
            <w:col w:w="4240"/>
          </w:cols>
          <w:pgMar w:left="240" w:top="106" w:right="239" w:bottom="1440" w:gutter="0" w:footer="0" w:header="0"/>
          <w:type w:val="continuous"/>
        </w:sectPr>
      </w:pPr>
    </w:p>
    <w:p>
      <w:pPr>
        <w:jc w:val="center"/>
        <w:ind w:right="-19"/>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1420"/>
          </w:cols>
          <w:pgMar w:left="240" w:top="106" w:right="239" w:bottom="1440" w:gutter="0" w:footer="0" w:header="0"/>
          <w:type w:val="continuous"/>
        </w:sectPr>
      </w:pPr>
    </w:p>
    <w:bookmarkStart w:id="185" w:name="page186"/>
    <w:bookmarkEnd w:id="18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ACS HR Solutions LLP</w:t>
      </w:r>
    </w:p>
    <w:p>
      <w:pPr>
        <w:spacing w:after="0" w:line="234" w:lineRule="auto"/>
        <w:rPr>
          <w:sz w:val="20"/>
          <w:szCs w:val="20"/>
          <w:color w:val="auto"/>
        </w:rPr>
      </w:pPr>
      <w:r>
        <w:rPr>
          <w:rFonts w:ascii="Arial" w:cs="Arial" w:eastAsia="Arial" w:hAnsi="Arial"/>
          <w:sz w:val="18"/>
          <w:szCs w:val="18"/>
          <w:color w:val="auto"/>
        </w:rPr>
        <w:t>ACS HR Solutions Share Plan Services Guernsey</w:t>
      </w:r>
    </w:p>
    <w:p>
      <w:pPr>
        <w:spacing w:after="0" w:line="235" w:lineRule="auto"/>
        <w:rPr>
          <w:sz w:val="20"/>
          <w:szCs w:val="20"/>
          <w:color w:val="auto"/>
        </w:rPr>
      </w:pPr>
      <w:r>
        <w:rPr>
          <w:rFonts w:ascii="Arial" w:cs="Arial" w:eastAsia="Arial" w:hAnsi="Arial"/>
          <w:sz w:val="18"/>
          <w:szCs w:val="18"/>
          <w:color w:val="auto"/>
        </w:rPr>
        <w:t>ACS HR Solutions UK Limited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ACS HR Solucoes Servicos de Recursos Humanos do Brasil Ltda.</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ACS Relocation &amp; Assignment Service, LLC</w:t>
      </w:r>
    </w:p>
    <w:p>
      <w:pPr>
        <w:spacing w:after="0" w:line="234" w:lineRule="auto"/>
        <w:rPr>
          <w:sz w:val="20"/>
          <w:szCs w:val="20"/>
          <w:color w:val="auto"/>
        </w:rPr>
      </w:pPr>
      <w:r>
        <w:rPr>
          <w:rFonts w:ascii="Arial" w:cs="Arial" w:eastAsia="Arial" w:hAnsi="Arial"/>
          <w:sz w:val="18"/>
          <w:szCs w:val="18"/>
          <w:color w:val="auto"/>
        </w:rPr>
        <w:t>ACS HR Solutions World Services, LLC</w:t>
      </w:r>
    </w:p>
    <w:p>
      <w:pPr>
        <w:spacing w:after="0" w:line="235" w:lineRule="auto"/>
        <w:rPr>
          <w:sz w:val="20"/>
          <w:szCs w:val="20"/>
          <w:color w:val="auto"/>
        </w:rPr>
      </w:pPr>
      <w:r>
        <w:rPr>
          <w:rFonts w:ascii="Arial" w:cs="Arial" w:eastAsia="Arial" w:hAnsi="Arial"/>
          <w:sz w:val="18"/>
          <w:szCs w:val="18"/>
          <w:color w:val="auto"/>
        </w:rPr>
        <w:t>ACS HR Solutions Canada Company</w:t>
      </w:r>
    </w:p>
    <w:p>
      <w:pPr>
        <w:spacing w:after="0" w:line="235" w:lineRule="auto"/>
        <w:rPr>
          <w:sz w:val="20"/>
          <w:szCs w:val="20"/>
          <w:color w:val="auto"/>
        </w:rPr>
      </w:pPr>
      <w:r>
        <w:rPr>
          <w:rFonts w:ascii="Arial" w:cs="Arial" w:eastAsia="Arial" w:hAnsi="Arial"/>
          <w:sz w:val="18"/>
          <w:szCs w:val="18"/>
          <w:color w:val="auto"/>
        </w:rPr>
        <w:t>ACS HR Solutions Nederland B.V.</w:t>
      </w:r>
    </w:p>
    <w:p>
      <w:pPr>
        <w:spacing w:after="0" w:line="235" w:lineRule="auto"/>
        <w:rPr>
          <w:sz w:val="20"/>
          <w:szCs w:val="20"/>
          <w:color w:val="auto"/>
        </w:rPr>
      </w:pPr>
      <w:r>
        <w:rPr>
          <w:rFonts w:ascii="Arial" w:cs="Arial" w:eastAsia="Arial" w:hAnsi="Arial"/>
          <w:sz w:val="18"/>
          <w:szCs w:val="18"/>
          <w:color w:val="auto"/>
        </w:rPr>
        <w:t>ACS HR Solutions Deutschland GmbH</w:t>
      </w:r>
    </w:p>
    <w:p>
      <w:pPr>
        <w:spacing w:after="0" w:line="235" w:lineRule="auto"/>
        <w:rPr>
          <w:sz w:val="20"/>
          <w:szCs w:val="20"/>
          <w:color w:val="auto"/>
        </w:rPr>
      </w:pPr>
      <w:r>
        <w:rPr>
          <w:rFonts w:ascii="Arial" w:cs="Arial" w:eastAsia="Arial" w:hAnsi="Arial"/>
          <w:sz w:val="18"/>
          <w:szCs w:val="18"/>
          <w:color w:val="auto"/>
        </w:rPr>
        <w:t>Buck Consultants, LLC</w:t>
      </w:r>
    </w:p>
    <w:p>
      <w:pPr>
        <w:spacing w:after="0" w:line="235" w:lineRule="auto"/>
        <w:rPr>
          <w:sz w:val="20"/>
          <w:szCs w:val="20"/>
          <w:color w:val="auto"/>
        </w:rPr>
      </w:pPr>
      <w:r>
        <w:rPr>
          <w:rFonts w:ascii="Arial" w:cs="Arial" w:eastAsia="Arial" w:hAnsi="Arial"/>
          <w:sz w:val="18"/>
          <w:szCs w:val="18"/>
          <w:color w:val="auto"/>
        </w:rPr>
        <w:t>Buck Consultants Limited/Conseilliers Buck Limitee</w:t>
      </w:r>
    </w:p>
    <w:p>
      <w:pPr>
        <w:spacing w:after="0" w:line="235" w:lineRule="auto"/>
        <w:rPr>
          <w:sz w:val="20"/>
          <w:szCs w:val="20"/>
          <w:color w:val="auto"/>
        </w:rPr>
      </w:pPr>
      <w:r>
        <w:rPr>
          <w:rFonts w:ascii="Arial" w:cs="Arial" w:eastAsia="Arial" w:hAnsi="Arial"/>
          <w:sz w:val="18"/>
          <w:szCs w:val="18"/>
          <w:color w:val="auto"/>
        </w:rPr>
        <w:t>Buck Consultants Insurance Agency Limited</w:t>
      </w:r>
    </w:p>
    <w:p>
      <w:pPr>
        <w:spacing w:after="0" w:line="235" w:lineRule="auto"/>
        <w:rPr>
          <w:sz w:val="20"/>
          <w:szCs w:val="20"/>
          <w:color w:val="auto"/>
        </w:rPr>
      </w:pPr>
      <w:r>
        <w:rPr>
          <w:rFonts w:ascii="Arial" w:cs="Arial" w:eastAsia="Arial" w:hAnsi="Arial"/>
          <w:sz w:val="18"/>
          <w:szCs w:val="18"/>
          <w:color w:val="auto"/>
        </w:rPr>
        <w:t>Buck Consultants</w:t>
      </w:r>
    </w:p>
    <w:p>
      <w:pPr>
        <w:spacing w:after="0" w:line="235" w:lineRule="auto"/>
        <w:rPr>
          <w:sz w:val="20"/>
          <w:szCs w:val="20"/>
          <w:color w:val="auto"/>
        </w:rPr>
      </w:pPr>
      <w:r>
        <w:rPr>
          <w:rFonts w:ascii="Arial" w:cs="Arial" w:eastAsia="Arial" w:hAnsi="Arial"/>
          <w:sz w:val="18"/>
          <w:szCs w:val="18"/>
          <w:color w:val="auto"/>
        </w:rPr>
        <w:t>Buck Kwasha Securities LLC</w:t>
      </w:r>
    </w:p>
    <w:p>
      <w:pPr>
        <w:spacing w:after="0" w:line="234" w:lineRule="auto"/>
        <w:rPr>
          <w:sz w:val="20"/>
          <w:szCs w:val="20"/>
          <w:color w:val="auto"/>
        </w:rPr>
      </w:pPr>
      <w:r>
        <w:rPr>
          <w:rFonts w:ascii="Arial" w:cs="Arial" w:eastAsia="Arial" w:hAnsi="Arial"/>
          <w:sz w:val="18"/>
          <w:szCs w:val="18"/>
          <w:color w:val="auto"/>
        </w:rPr>
        <w:t>LiveWire, LLC</w:t>
      </w:r>
    </w:p>
    <w:p>
      <w:pPr>
        <w:spacing w:after="0" w:line="235" w:lineRule="auto"/>
        <w:rPr>
          <w:sz w:val="20"/>
          <w:szCs w:val="20"/>
          <w:color w:val="auto"/>
        </w:rPr>
      </w:pPr>
      <w:r>
        <w:rPr>
          <w:rFonts w:ascii="Arial" w:cs="Arial" w:eastAsia="Arial" w:hAnsi="Arial"/>
          <w:sz w:val="18"/>
          <w:szCs w:val="18"/>
          <w:color w:val="auto"/>
        </w:rPr>
        <w:t>ACS Image Solutions, Inc.</w:t>
      </w:r>
    </w:p>
    <w:p>
      <w:pPr>
        <w:spacing w:after="0" w:line="235" w:lineRule="auto"/>
        <w:rPr>
          <w:sz w:val="20"/>
          <w:szCs w:val="20"/>
          <w:color w:val="auto"/>
        </w:rPr>
      </w:pPr>
      <w:r>
        <w:rPr>
          <w:rFonts w:ascii="Arial" w:cs="Arial" w:eastAsia="Arial" w:hAnsi="Arial"/>
          <w:sz w:val="18"/>
          <w:szCs w:val="18"/>
          <w:color w:val="auto"/>
        </w:rPr>
        <w:t>ACS IT Solutions, LP</w:t>
      </w:r>
    </w:p>
    <w:p>
      <w:pPr>
        <w:spacing w:after="0" w:line="235" w:lineRule="auto"/>
        <w:rPr>
          <w:sz w:val="20"/>
          <w:szCs w:val="20"/>
          <w:color w:val="auto"/>
        </w:rPr>
      </w:pPr>
      <w:r>
        <w:rPr>
          <w:rFonts w:ascii="Arial" w:cs="Arial" w:eastAsia="Arial" w:hAnsi="Arial"/>
          <w:sz w:val="18"/>
          <w:szCs w:val="18"/>
          <w:color w:val="auto"/>
        </w:rPr>
        <w:t>ACS Lending, Inc.</w:t>
      </w:r>
    </w:p>
    <w:p>
      <w:pPr>
        <w:spacing w:after="0" w:line="235" w:lineRule="auto"/>
        <w:rPr>
          <w:sz w:val="20"/>
          <w:szCs w:val="20"/>
          <w:color w:val="auto"/>
        </w:rPr>
      </w:pPr>
      <w:r>
        <w:rPr>
          <w:rFonts w:ascii="Arial" w:cs="Arial" w:eastAsia="Arial" w:hAnsi="Arial"/>
          <w:sz w:val="18"/>
          <w:szCs w:val="18"/>
          <w:color w:val="auto"/>
        </w:rPr>
        <w:t>ACS Business Services, LLC</w:t>
      </w:r>
    </w:p>
    <w:p>
      <w:pPr>
        <w:spacing w:after="0" w:line="235" w:lineRule="auto"/>
        <w:rPr>
          <w:sz w:val="20"/>
          <w:szCs w:val="20"/>
          <w:color w:val="auto"/>
        </w:rPr>
      </w:pPr>
      <w:r>
        <w:rPr>
          <w:rFonts w:ascii="Arial" w:cs="Arial" w:eastAsia="Arial" w:hAnsi="Arial"/>
          <w:sz w:val="18"/>
          <w:szCs w:val="18"/>
          <w:color w:val="auto"/>
        </w:rPr>
        <w:t>ACS/ECG Holdings, LLC</w:t>
      </w:r>
    </w:p>
    <w:p>
      <w:pPr>
        <w:spacing w:after="0" w:line="235" w:lineRule="auto"/>
        <w:rPr>
          <w:sz w:val="20"/>
          <w:szCs w:val="20"/>
          <w:color w:val="auto"/>
        </w:rPr>
      </w:pPr>
      <w:r>
        <w:rPr>
          <w:rFonts w:ascii="Arial" w:cs="Arial" w:eastAsia="Arial" w:hAnsi="Arial"/>
          <w:sz w:val="18"/>
          <w:szCs w:val="18"/>
          <w:color w:val="auto"/>
        </w:rPr>
        <w:t>ACS Defense, LLC</w:t>
      </w:r>
    </w:p>
    <w:p>
      <w:pPr>
        <w:spacing w:after="0" w:line="235" w:lineRule="auto"/>
        <w:rPr>
          <w:sz w:val="20"/>
          <w:szCs w:val="20"/>
          <w:color w:val="auto"/>
        </w:rPr>
      </w:pPr>
      <w:r>
        <w:rPr>
          <w:rFonts w:ascii="Arial" w:cs="Arial" w:eastAsia="Arial" w:hAnsi="Arial"/>
          <w:sz w:val="18"/>
          <w:szCs w:val="18"/>
          <w:color w:val="auto"/>
        </w:rPr>
        <w:t>ACS Outsourcing Solutions, Inc.</w:t>
      </w:r>
    </w:p>
    <w:p>
      <w:pPr>
        <w:spacing w:after="0" w:line="235" w:lineRule="auto"/>
        <w:rPr>
          <w:sz w:val="20"/>
          <w:szCs w:val="20"/>
          <w:color w:val="auto"/>
        </w:rPr>
      </w:pPr>
      <w:r>
        <w:rPr>
          <w:rFonts w:ascii="Arial" w:cs="Arial" w:eastAsia="Arial" w:hAnsi="Arial"/>
          <w:sz w:val="18"/>
          <w:szCs w:val="18"/>
          <w:color w:val="auto"/>
        </w:rPr>
        <w:t>ACS Print and Mail Services, Inc.</w:t>
      </w:r>
    </w:p>
    <w:p>
      <w:pPr>
        <w:spacing w:after="0" w:line="234" w:lineRule="auto"/>
        <w:rPr>
          <w:sz w:val="20"/>
          <w:szCs w:val="20"/>
          <w:color w:val="auto"/>
        </w:rPr>
      </w:pPr>
      <w:r>
        <w:rPr>
          <w:rFonts w:ascii="Arial" w:cs="Arial" w:eastAsia="Arial" w:hAnsi="Arial"/>
          <w:sz w:val="18"/>
          <w:szCs w:val="18"/>
          <w:color w:val="auto"/>
        </w:rPr>
        <w:t>ACS Properties, Inc.</w:t>
      </w:r>
    </w:p>
    <w:p>
      <w:pPr>
        <w:spacing w:after="0" w:line="235" w:lineRule="auto"/>
        <w:rPr>
          <w:sz w:val="20"/>
          <w:szCs w:val="20"/>
          <w:color w:val="auto"/>
        </w:rPr>
      </w:pPr>
      <w:r>
        <w:rPr>
          <w:rFonts w:ascii="Arial" w:cs="Arial" w:eastAsia="Arial" w:hAnsi="Arial"/>
          <w:sz w:val="18"/>
          <w:szCs w:val="18"/>
          <w:color w:val="auto"/>
        </w:rPr>
        <w:t>ACS Marketing, L.P.</w:t>
      </w:r>
    </w:p>
    <w:p>
      <w:pPr>
        <w:spacing w:after="0" w:line="235" w:lineRule="auto"/>
        <w:rPr>
          <w:sz w:val="20"/>
          <w:szCs w:val="20"/>
          <w:color w:val="auto"/>
        </w:rPr>
      </w:pPr>
      <w:r>
        <w:rPr>
          <w:rFonts w:ascii="Arial" w:cs="Arial" w:eastAsia="Arial" w:hAnsi="Arial"/>
          <w:sz w:val="18"/>
          <w:szCs w:val="18"/>
          <w:color w:val="auto"/>
        </w:rPr>
        <w:t>ACS Protection Services, Inc.</w:t>
      </w:r>
    </w:p>
    <w:p>
      <w:pPr>
        <w:spacing w:after="0" w:line="235" w:lineRule="auto"/>
        <w:rPr>
          <w:sz w:val="20"/>
          <w:szCs w:val="20"/>
          <w:color w:val="auto"/>
        </w:rPr>
      </w:pPr>
      <w:r>
        <w:rPr>
          <w:rFonts w:ascii="Arial" w:cs="Arial" w:eastAsia="Arial" w:hAnsi="Arial"/>
          <w:sz w:val="18"/>
          <w:szCs w:val="18"/>
          <w:color w:val="auto"/>
        </w:rPr>
        <w:t>ACS Puerto Rico, LLC</w:t>
      </w:r>
    </w:p>
    <w:p>
      <w:pPr>
        <w:spacing w:after="0" w:line="235" w:lineRule="auto"/>
        <w:rPr>
          <w:sz w:val="20"/>
          <w:szCs w:val="20"/>
          <w:color w:val="auto"/>
        </w:rPr>
      </w:pPr>
      <w:r>
        <w:rPr>
          <w:rFonts w:ascii="Arial" w:cs="Arial" w:eastAsia="Arial" w:hAnsi="Arial"/>
          <w:sz w:val="18"/>
          <w:szCs w:val="18"/>
          <w:color w:val="auto"/>
        </w:rPr>
        <w:t>ACS REBGM, Inc.</w:t>
      </w:r>
    </w:p>
    <w:p>
      <w:pPr>
        <w:spacing w:after="0" w:line="235" w:lineRule="auto"/>
        <w:rPr>
          <w:sz w:val="20"/>
          <w:szCs w:val="20"/>
          <w:color w:val="auto"/>
        </w:rPr>
      </w:pPr>
      <w:r>
        <w:rPr>
          <w:rFonts w:ascii="Arial" w:cs="Arial" w:eastAsia="Arial" w:hAnsi="Arial"/>
          <w:sz w:val="18"/>
          <w:szCs w:val="18"/>
          <w:color w:val="auto"/>
        </w:rPr>
        <w:t>ACS Recovery Services, Inc.</w:t>
      </w:r>
    </w:p>
    <w:p>
      <w:pPr>
        <w:spacing w:after="0" w:line="235" w:lineRule="auto"/>
        <w:rPr>
          <w:sz w:val="20"/>
          <w:szCs w:val="20"/>
          <w:color w:val="auto"/>
        </w:rPr>
      </w:pPr>
      <w:r>
        <w:rPr>
          <w:rFonts w:ascii="Arial" w:cs="Arial" w:eastAsia="Arial" w:hAnsi="Arial"/>
          <w:sz w:val="18"/>
          <w:szCs w:val="18"/>
          <w:color w:val="auto"/>
        </w:rPr>
        <w:t>ACS Solutions Poland Sp. z.o.o.</w:t>
      </w:r>
    </w:p>
    <w:p>
      <w:pPr>
        <w:spacing w:after="0" w:line="235" w:lineRule="auto"/>
        <w:rPr>
          <w:sz w:val="20"/>
          <w:szCs w:val="20"/>
          <w:color w:val="auto"/>
        </w:rPr>
      </w:pPr>
      <w:r>
        <w:rPr>
          <w:rFonts w:ascii="Arial" w:cs="Arial" w:eastAsia="Arial" w:hAnsi="Arial"/>
          <w:sz w:val="18"/>
          <w:szCs w:val="18"/>
          <w:color w:val="auto"/>
        </w:rPr>
        <w:t>ACS State &amp; Local Solutions, Inc.</w:t>
      </w:r>
    </w:p>
    <w:p>
      <w:pPr>
        <w:spacing w:after="0" w:line="235" w:lineRule="auto"/>
        <w:rPr>
          <w:sz w:val="20"/>
          <w:szCs w:val="20"/>
          <w:color w:val="auto"/>
        </w:rPr>
      </w:pPr>
      <w:r>
        <w:rPr>
          <w:rFonts w:ascii="Arial" w:cs="Arial" w:eastAsia="Arial" w:hAnsi="Arial"/>
          <w:sz w:val="18"/>
          <w:szCs w:val="18"/>
          <w:color w:val="auto"/>
        </w:rPr>
        <w:t>ACS Human Services, LLC</w:t>
      </w:r>
    </w:p>
    <w:p>
      <w:pPr>
        <w:spacing w:after="0" w:line="234" w:lineRule="auto"/>
        <w:rPr>
          <w:sz w:val="20"/>
          <w:szCs w:val="20"/>
          <w:color w:val="auto"/>
        </w:rPr>
      </w:pPr>
      <w:r>
        <w:rPr>
          <w:rFonts w:ascii="Arial" w:cs="Arial" w:eastAsia="Arial" w:hAnsi="Arial"/>
          <w:sz w:val="18"/>
          <w:szCs w:val="18"/>
          <w:color w:val="auto"/>
        </w:rPr>
        <w:t>ACS Middle East, Inc.</w:t>
      </w:r>
    </w:p>
    <w:p>
      <w:pPr>
        <w:spacing w:after="0" w:line="235" w:lineRule="auto"/>
        <w:rPr>
          <w:sz w:val="20"/>
          <w:szCs w:val="20"/>
          <w:color w:val="auto"/>
        </w:rPr>
      </w:pPr>
      <w:r>
        <w:rPr>
          <w:rFonts w:ascii="Arial" w:cs="Arial" w:eastAsia="Arial" w:hAnsi="Arial"/>
          <w:sz w:val="18"/>
          <w:szCs w:val="18"/>
          <w:color w:val="auto"/>
        </w:rPr>
        <w:t>ACS China Solutions Hong Kong Limited</w:t>
      </w:r>
    </w:p>
    <w:p>
      <w:pPr>
        <w:spacing w:after="0" w:line="235" w:lineRule="auto"/>
        <w:rPr>
          <w:sz w:val="20"/>
          <w:szCs w:val="20"/>
          <w:color w:val="auto"/>
        </w:rPr>
      </w:pPr>
      <w:r>
        <w:rPr>
          <w:rFonts w:ascii="Arial" w:cs="Arial" w:eastAsia="Arial" w:hAnsi="Arial"/>
          <w:sz w:val="18"/>
          <w:szCs w:val="18"/>
          <w:color w:val="auto"/>
        </w:rPr>
        <w:t>ACS Road Technology Services (Beijing) Co. Ltd.</w:t>
      </w:r>
    </w:p>
    <w:p>
      <w:pPr>
        <w:spacing w:after="0" w:line="235" w:lineRule="auto"/>
        <w:rPr>
          <w:sz w:val="20"/>
          <w:szCs w:val="20"/>
          <w:color w:val="auto"/>
        </w:rPr>
      </w:pPr>
      <w:r>
        <w:rPr>
          <w:rFonts w:ascii="Arial" w:cs="Arial" w:eastAsia="Arial" w:hAnsi="Arial"/>
          <w:sz w:val="18"/>
          <w:szCs w:val="18"/>
          <w:color w:val="auto"/>
        </w:rPr>
        <w:t>Parkindy LLC</w:t>
      </w:r>
    </w:p>
    <w:p>
      <w:pPr>
        <w:spacing w:after="0" w:line="235" w:lineRule="auto"/>
        <w:rPr>
          <w:sz w:val="20"/>
          <w:szCs w:val="20"/>
          <w:color w:val="auto"/>
        </w:rPr>
      </w:pPr>
      <w:r>
        <w:rPr>
          <w:rFonts w:ascii="Arial" w:cs="Arial" w:eastAsia="Arial" w:hAnsi="Arial"/>
          <w:sz w:val="18"/>
          <w:szCs w:val="18"/>
          <w:color w:val="auto"/>
        </w:rPr>
        <w:t>Transaction Processing Specialists, Inc.</w:t>
      </w:r>
    </w:p>
    <w:p>
      <w:pPr>
        <w:spacing w:after="0" w:line="235" w:lineRule="auto"/>
        <w:rPr>
          <w:sz w:val="20"/>
          <w:szCs w:val="20"/>
          <w:color w:val="auto"/>
        </w:rPr>
      </w:pPr>
      <w:r>
        <w:rPr>
          <w:rFonts w:ascii="Arial" w:cs="Arial" w:eastAsia="Arial" w:hAnsi="Arial"/>
          <w:sz w:val="18"/>
          <w:szCs w:val="18"/>
          <w:color w:val="auto"/>
        </w:rPr>
        <w:t>ACS TradeOne Marketing, Inc.</w:t>
      </w:r>
    </w:p>
    <w:p>
      <w:pPr>
        <w:spacing w:after="0" w:line="235" w:lineRule="auto"/>
        <w:rPr>
          <w:sz w:val="20"/>
          <w:szCs w:val="20"/>
          <w:color w:val="auto"/>
        </w:rPr>
      </w:pPr>
      <w:r>
        <w:rPr>
          <w:rFonts w:ascii="Arial" w:cs="Arial" w:eastAsia="Arial" w:hAnsi="Arial"/>
          <w:sz w:val="18"/>
          <w:szCs w:val="18"/>
          <w:color w:val="auto"/>
        </w:rPr>
        <w:t>ACS Securities Services, Inc.</w:t>
      </w:r>
    </w:p>
    <w:p>
      <w:pPr>
        <w:spacing w:after="0" w:line="235" w:lineRule="auto"/>
        <w:rPr>
          <w:sz w:val="20"/>
          <w:szCs w:val="20"/>
          <w:color w:val="auto"/>
        </w:rPr>
      </w:pPr>
      <w:r>
        <w:rPr>
          <w:rFonts w:ascii="Arial" w:cs="Arial" w:eastAsia="Arial" w:hAnsi="Arial"/>
          <w:sz w:val="18"/>
          <w:szCs w:val="18"/>
          <w:color w:val="auto"/>
        </w:rPr>
        <w:t>etravelexperts, LLC</w:t>
      </w:r>
    </w:p>
    <w:p>
      <w:pPr>
        <w:spacing w:after="0" w:line="235" w:lineRule="auto"/>
        <w:rPr>
          <w:sz w:val="20"/>
          <w:szCs w:val="20"/>
          <w:color w:val="auto"/>
        </w:rPr>
      </w:pPr>
      <w:r>
        <w:rPr>
          <w:rFonts w:ascii="Arial" w:cs="Arial" w:eastAsia="Arial" w:hAnsi="Arial"/>
          <w:sz w:val="18"/>
          <w:szCs w:val="18"/>
          <w:color w:val="auto"/>
        </w:rPr>
        <w:t>ACS Transport Solutions, Inc.</w:t>
      </w:r>
    </w:p>
    <w:p>
      <w:pPr>
        <w:spacing w:after="0" w:line="234" w:lineRule="auto"/>
        <w:rPr>
          <w:sz w:val="20"/>
          <w:szCs w:val="20"/>
          <w:color w:val="auto"/>
        </w:rPr>
      </w:pPr>
      <w:r>
        <w:rPr>
          <w:rFonts w:ascii="Arial" w:cs="Arial" w:eastAsia="Arial" w:hAnsi="Arial"/>
          <w:sz w:val="18"/>
          <w:szCs w:val="18"/>
          <w:color w:val="auto"/>
        </w:rPr>
        <w:t>ACB Airport Solutions, LLC</w:t>
      </w:r>
    </w:p>
    <w:p>
      <w:pPr>
        <w:spacing w:after="0" w:line="235" w:lineRule="auto"/>
        <w:rPr>
          <w:sz w:val="20"/>
          <w:szCs w:val="20"/>
          <w:color w:val="auto"/>
        </w:rPr>
      </w:pPr>
      <w:r>
        <w:rPr>
          <w:rFonts w:ascii="Arial" w:cs="Arial" w:eastAsia="Arial" w:hAnsi="Arial"/>
          <w:sz w:val="18"/>
          <w:szCs w:val="18"/>
          <w:color w:val="auto"/>
        </w:rPr>
        <w:t>ACS Solutions de Mexico S.A. de C.V.</w:t>
      </w:r>
    </w:p>
    <w:p>
      <w:pPr>
        <w:spacing w:after="0" w:line="235" w:lineRule="auto"/>
        <w:rPr>
          <w:sz w:val="20"/>
          <w:szCs w:val="20"/>
          <w:color w:val="auto"/>
        </w:rPr>
      </w:pPr>
      <w:r>
        <w:rPr>
          <w:rFonts w:ascii="Arial" w:cs="Arial" w:eastAsia="Arial" w:hAnsi="Arial"/>
          <w:sz w:val="18"/>
          <w:szCs w:val="18"/>
          <w:color w:val="auto"/>
        </w:rPr>
        <w:t>ACS Trust I</w:t>
      </w:r>
    </w:p>
    <w:p>
      <w:pPr>
        <w:spacing w:after="0" w:line="235" w:lineRule="auto"/>
        <w:rPr>
          <w:sz w:val="20"/>
          <w:szCs w:val="20"/>
          <w:color w:val="auto"/>
        </w:rPr>
      </w:pPr>
      <w:r>
        <w:rPr>
          <w:rFonts w:ascii="Arial" w:cs="Arial" w:eastAsia="Arial" w:hAnsi="Arial"/>
          <w:sz w:val="18"/>
          <w:szCs w:val="18"/>
          <w:color w:val="auto"/>
        </w:rPr>
        <w:t>ACS Trust II</w:t>
      </w:r>
    </w:p>
    <w:p>
      <w:pPr>
        <w:spacing w:after="0" w:line="235" w:lineRule="auto"/>
        <w:rPr>
          <w:sz w:val="20"/>
          <w:szCs w:val="20"/>
          <w:color w:val="auto"/>
        </w:rPr>
      </w:pPr>
      <w:r>
        <w:rPr>
          <w:rFonts w:ascii="Arial" w:cs="Arial" w:eastAsia="Arial" w:hAnsi="Arial"/>
          <w:sz w:val="18"/>
          <w:szCs w:val="18"/>
          <w:color w:val="auto"/>
        </w:rPr>
        <w:t>ACS Welfare Benefit Trust</w:t>
      </w:r>
    </w:p>
    <w:p>
      <w:pPr>
        <w:spacing w:after="0" w:line="235" w:lineRule="auto"/>
        <w:rPr>
          <w:sz w:val="20"/>
          <w:szCs w:val="20"/>
          <w:color w:val="auto"/>
        </w:rPr>
      </w:pPr>
      <w:r>
        <w:rPr>
          <w:rFonts w:ascii="Arial" w:cs="Arial" w:eastAsia="Arial" w:hAnsi="Arial"/>
          <w:sz w:val="18"/>
          <w:szCs w:val="18"/>
          <w:color w:val="auto"/>
        </w:rPr>
        <w:t>Health Technology Acquisition Company</w:t>
      </w:r>
    </w:p>
    <w:p>
      <w:pPr>
        <w:spacing w:after="0" w:line="235" w:lineRule="auto"/>
        <w:rPr>
          <w:sz w:val="20"/>
          <w:szCs w:val="20"/>
          <w:color w:val="auto"/>
        </w:rPr>
      </w:pPr>
      <w:r>
        <w:rPr>
          <w:rFonts w:ascii="Arial" w:cs="Arial" w:eastAsia="Arial" w:hAnsi="Arial"/>
          <w:sz w:val="18"/>
          <w:szCs w:val="18"/>
          <w:color w:val="auto"/>
        </w:rPr>
        <w:t>Outsourced Administrative Systems, Inc.</w:t>
      </w:r>
    </w:p>
    <w:p>
      <w:pPr>
        <w:spacing w:after="0" w:line="235" w:lineRule="auto"/>
        <w:rPr>
          <w:sz w:val="20"/>
          <w:szCs w:val="20"/>
          <w:color w:val="auto"/>
        </w:rPr>
      </w:pPr>
      <w:r>
        <w:rPr>
          <w:rFonts w:ascii="Arial" w:cs="Arial" w:eastAsia="Arial" w:hAnsi="Arial"/>
          <w:sz w:val="18"/>
          <w:szCs w:val="18"/>
          <w:color w:val="auto"/>
        </w:rPr>
        <w:t>Intellinex LLC</w:t>
      </w:r>
    </w:p>
    <w:p>
      <w:pPr>
        <w:spacing w:after="0" w:line="235" w:lineRule="auto"/>
        <w:rPr>
          <w:sz w:val="20"/>
          <w:szCs w:val="20"/>
          <w:color w:val="auto"/>
        </w:rPr>
      </w:pPr>
      <w:r>
        <w:rPr>
          <w:rFonts w:ascii="Arial" w:cs="Arial" w:eastAsia="Arial" w:hAnsi="Arial"/>
          <w:sz w:val="18"/>
          <w:szCs w:val="18"/>
          <w:color w:val="auto"/>
        </w:rPr>
        <w:t>LiveBridge, Inc.</w:t>
      </w:r>
    </w:p>
    <w:p>
      <w:pPr>
        <w:spacing w:after="0" w:line="235" w:lineRule="auto"/>
        <w:rPr>
          <w:sz w:val="20"/>
          <w:szCs w:val="20"/>
          <w:color w:val="auto"/>
        </w:rPr>
      </w:pPr>
      <w:r>
        <w:rPr>
          <w:rFonts w:ascii="Arial" w:cs="Arial" w:eastAsia="Arial" w:hAnsi="Arial"/>
          <w:sz w:val="18"/>
          <w:szCs w:val="18"/>
          <w:color w:val="auto"/>
        </w:rPr>
        <w:t>Newspaper Services Holding, Inc.</w:t>
      </w:r>
    </w:p>
    <w:p>
      <w:pPr>
        <w:spacing w:after="0" w:line="234" w:lineRule="auto"/>
        <w:rPr>
          <w:sz w:val="20"/>
          <w:szCs w:val="20"/>
          <w:color w:val="auto"/>
        </w:rPr>
      </w:pPr>
      <w:r>
        <w:rPr>
          <w:rFonts w:ascii="Arial" w:cs="Arial" w:eastAsia="Arial" w:hAnsi="Arial"/>
          <w:sz w:val="18"/>
          <w:szCs w:val="18"/>
          <w:color w:val="auto"/>
        </w:rPr>
        <w:t>ACS Contact Solutions of Canada, ULC</w:t>
      </w:r>
    </w:p>
    <w:p>
      <w:pPr>
        <w:spacing w:after="0" w:line="235" w:lineRule="auto"/>
        <w:rPr>
          <w:sz w:val="20"/>
          <w:szCs w:val="20"/>
          <w:color w:val="auto"/>
        </w:rPr>
      </w:pPr>
      <w:r>
        <w:rPr>
          <w:rFonts w:ascii="Arial" w:cs="Arial" w:eastAsia="Arial" w:hAnsi="Arial"/>
          <w:sz w:val="18"/>
          <w:szCs w:val="18"/>
          <w:color w:val="auto"/>
        </w:rPr>
        <w:t>Patient Accounting Service Center LLC</w:t>
      </w:r>
    </w:p>
    <w:p>
      <w:pPr>
        <w:spacing w:after="0" w:line="235" w:lineRule="auto"/>
        <w:rPr>
          <w:sz w:val="20"/>
          <w:szCs w:val="20"/>
          <w:color w:val="auto"/>
        </w:rPr>
      </w:pPr>
      <w:r>
        <w:rPr>
          <w:rFonts w:ascii="Arial" w:cs="Arial" w:eastAsia="Arial" w:hAnsi="Arial"/>
          <w:sz w:val="18"/>
          <w:szCs w:val="18"/>
          <w:color w:val="auto"/>
        </w:rPr>
        <w:t>Specialty I, LLC</w:t>
      </w:r>
    </w:p>
    <w:p>
      <w:pPr>
        <w:spacing w:after="0" w:line="235" w:lineRule="auto"/>
        <w:rPr>
          <w:sz w:val="20"/>
          <w:szCs w:val="20"/>
          <w:color w:val="auto"/>
        </w:rPr>
      </w:pPr>
      <w:r>
        <w:rPr>
          <w:rFonts w:ascii="Arial" w:cs="Arial" w:eastAsia="Arial" w:hAnsi="Arial"/>
          <w:sz w:val="18"/>
          <w:szCs w:val="18"/>
          <w:color w:val="auto"/>
        </w:rPr>
        <w:t>The National Abandoned Property Processing Corporation</w:t>
      </w:r>
    </w:p>
    <w:p>
      <w:pPr>
        <w:spacing w:after="0" w:line="235" w:lineRule="auto"/>
        <w:rPr>
          <w:sz w:val="20"/>
          <w:szCs w:val="20"/>
          <w:color w:val="auto"/>
        </w:rPr>
      </w:pPr>
      <w:r>
        <w:rPr>
          <w:rFonts w:ascii="Arial" w:cs="Arial" w:eastAsia="Arial" w:hAnsi="Arial"/>
          <w:sz w:val="18"/>
          <w:szCs w:val="18"/>
          <w:color w:val="auto"/>
        </w:rPr>
        <w:t>Wagers &amp; Associates, Inc.</w:t>
      </w:r>
    </w:p>
    <w:p>
      <w:pPr>
        <w:spacing w:after="0" w:line="235" w:lineRule="auto"/>
        <w:rPr>
          <w:sz w:val="20"/>
          <w:szCs w:val="20"/>
          <w:color w:val="auto"/>
        </w:rPr>
      </w:pPr>
      <w:r>
        <w:rPr>
          <w:rFonts w:ascii="Arial" w:cs="Arial" w:eastAsia="Arial" w:hAnsi="Arial"/>
          <w:sz w:val="18"/>
          <w:szCs w:val="18"/>
          <w:color w:val="auto"/>
        </w:rPr>
        <w:t>Global Imaging Systems, Inc.</w:t>
      </w:r>
    </w:p>
    <w:p>
      <w:pPr>
        <w:spacing w:after="0" w:line="235" w:lineRule="auto"/>
        <w:rPr>
          <w:sz w:val="20"/>
          <w:szCs w:val="20"/>
          <w:color w:val="auto"/>
        </w:rPr>
      </w:pPr>
      <w:r>
        <w:rPr>
          <w:rFonts w:ascii="Arial" w:cs="Arial" w:eastAsia="Arial" w:hAnsi="Arial"/>
          <w:sz w:val="18"/>
          <w:szCs w:val="18"/>
          <w:color w:val="auto"/>
        </w:rPr>
        <w:t>American Photocopy Equipment Company of Pittsburgh, LLC</w:t>
      </w:r>
    </w:p>
    <w:p>
      <w:pPr>
        <w:spacing w:after="0" w:line="235" w:lineRule="auto"/>
        <w:rPr>
          <w:sz w:val="20"/>
          <w:szCs w:val="20"/>
          <w:color w:val="auto"/>
        </w:rPr>
      </w:pPr>
      <w:r>
        <w:rPr>
          <w:rFonts w:ascii="Arial" w:cs="Arial" w:eastAsia="Arial" w:hAnsi="Arial"/>
          <w:sz w:val="18"/>
          <w:szCs w:val="18"/>
          <w:color w:val="auto"/>
        </w:rPr>
        <w:t>Arizona Office Technologies, Inc.</w:t>
      </w:r>
    </w:p>
    <w:p>
      <w:pPr>
        <w:spacing w:after="0"/>
        <w:rPr>
          <w:sz w:val="20"/>
          <w:szCs w:val="20"/>
          <w:color w:val="auto"/>
        </w:rPr>
      </w:pPr>
      <w:r>
        <w:rPr>
          <w:rFonts w:ascii="Arial" w:cs="Arial" w:eastAsia="Arial" w:hAnsi="Arial"/>
          <w:sz w:val="18"/>
          <w:szCs w:val="18"/>
          <w:color w:val="auto"/>
        </w:rPr>
        <w:t>Berney Office Solutions,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Delaware (67)</w:t>
      </w:r>
    </w:p>
    <w:p>
      <w:pPr>
        <w:spacing w:after="0" w:line="234" w:lineRule="auto"/>
        <w:rPr>
          <w:sz w:val="20"/>
          <w:szCs w:val="20"/>
          <w:color w:val="auto"/>
        </w:rPr>
      </w:pPr>
      <w:r>
        <w:rPr>
          <w:rFonts w:ascii="Arial" w:cs="Arial" w:eastAsia="Arial" w:hAnsi="Arial"/>
          <w:sz w:val="18"/>
          <w:szCs w:val="18"/>
          <w:color w:val="auto"/>
        </w:rPr>
        <w:t>Guernsey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Brazil (72)</w:t>
      </w:r>
    </w:p>
    <w:p>
      <w:pPr>
        <w:spacing w:after="0" w:line="234" w:lineRule="auto"/>
        <w:rPr>
          <w:sz w:val="20"/>
          <w:szCs w:val="20"/>
          <w:color w:val="auto"/>
        </w:rPr>
      </w:pPr>
      <w:r>
        <w:rPr>
          <w:rFonts w:ascii="Arial" w:cs="Arial" w:eastAsia="Arial" w:hAnsi="Arial"/>
          <w:sz w:val="18"/>
          <w:szCs w:val="18"/>
          <w:color w:val="auto"/>
        </w:rPr>
        <w:t>Delaware</w:t>
      </w:r>
    </w:p>
    <w:p>
      <w:pPr>
        <w:spacing w:after="0" w:line="235" w:lineRule="auto"/>
        <w:rPr>
          <w:sz w:val="20"/>
          <w:szCs w:val="20"/>
          <w:color w:val="auto"/>
        </w:rPr>
      </w:pPr>
      <w:r>
        <w:rPr>
          <w:rFonts w:ascii="Arial" w:cs="Arial" w:eastAsia="Arial" w:hAnsi="Arial"/>
          <w:sz w:val="18"/>
          <w:szCs w:val="18"/>
          <w:color w:val="auto"/>
        </w:rPr>
        <w:t>Delaware</w:t>
      </w:r>
    </w:p>
    <w:p>
      <w:pPr>
        <w:spacing w:after="0" w:line="235" w:lineRule="auto"/>
        <w:rPr>
          <w:sz w:val="20"/>
          <w:szCs w:val="20"/>
          <w:color w:val="auto"/>
        </w:rPr>
      </w:pPr>
      <w:r>
        <w:rPr>
          <w:rFonts w:ascii="Arial" w:cs="Arial" w:eastAsia="Arial" w:hAnsi="Arial"/>
          <w:sz w:val="18"/>
          <w:szCs w:val="18"/>
          <w:color w:val="auto"/>
        </w:rPr>
        <w:t>Canada</w:t>
      </w:r>
    </w:p>
    <w:p>
      <w:pPr>
        <w:spacing w:after="0" w:line="235" w:lineRule="auto"/>
        <w:rPr>
          <w:sz w:val="20"/>
          <w:szCs w:val="20"/>
          <w:color w:val="auto"/>
        </w:rPr>
      </w:pPr>
      <w:r>
        <w:rPr>
          <w:rFonts w:ascii="Arial" w:cs="Arial" w:eastAsia="Arial" w:hAnsi="Arial"/>
          <w:sz w:val="18"/>
          <w:szCs w:val="18"/>
          <w:color w:val="auto"/>
        </w:rPr>
        <w:t>Netherlands</w:t>
      </w:r>
    </w:p>
    <w:p>
      <w:pPr>
        <w:spacing w:after="0" w:line="235" w:lineRule="auto"/>
        <w:rPr>
          <w:sz w:val="20"/>
          <w:szCs w:val="20"/>
          <w:color w:val="auto"/>
        </w:rPr>
      </w:pPr>
      <w:r>
        <w:rPr>
          <w:rFonts w:ascii="Arial" w:cs="Arial" w:eastAsia="Arial" w:hAnsi="Arial"/>
          <w:sz w:val="18"/>
          <w:szCs w:val="18"/>
          <w:color w:val="auto"/>
        </w:rPr>
        <w:t>Germany</w:t>
      </w:r>
    </w:p>
    <w:p>
      <w:pPr>
        <w:spacing w:after="0" w:line="235" w:lineRule="auto"/>
        <w:rPr>
          <w:sz w:val="20"/>
          <w:szCs w:val="20"/>
          <w:color w:val="auto"/>
        </w:rPr>
      </w:pPr>
      <w:r>
        <w:rPr>
          <w:rFonts w:ascii="Arial" w:cs="Arial" w:eastAsia="Arial" w:hAnsi="Arial"/>
          <w:sz w:val="18"/>
          <w:szCs w:val="18"/>
          <w:color w:val="auto"/>
        </w:rPr>
        <w:t>Delaware</w:t>
      </w:r>
    </w:p>
    <w:p>
      <w:pPr>
        <w:spacing w:after="0" w:line="235" w:lineRule="auto"/>
        <w:rPr>
          <w:sz w:val="20"/>
          <w:szCs w:val="20"/>
          <w:color w:val="auto"/>
        </w:rPr>
      </w:pPr>
      <w:r>
        <w:rPr>
          <w:rFonts w:ascii="Arial" w:cs="Arial" w:eastAsia="Arial" w:hAnsi="Arial"/>
          <w:sz w:val="18"/>
          <w:szCs w:val="18"/>
          <w:color w:val="auto"/>
        </w:rPr>
        <w:t>Ontario</w:t>
      </w:r>
    </w:p>
    <w:p>
      <w:pPr>
        <w:spacing w:after="0" w:line="235" w:lineRule="auto"/>
        <w:rPr>
          <w:sz w:val="20"/>
          <w:szCs w:val="20"/>
          <w:color w:val="auto"/>
        </w:rPr>
      </w:pPr>
      <w:r>
        <w:rPr>
          <w:rFonts w:ascii="Arial" w:cs="Arial" w:eastAsia="Arial" w:hAnsi="Arial"/>
          <w:sz w:val="18"/>
          <w:szCs w:val="18"/>
          <w:color w:val="auto"/>
        </w:rPr>
        <w:t>Ontario</w:t>
      </w:r>
    </w:p>
    <w:p>
      <w:pPr>
        <w:spacing w:after="0" w:line="235" w:lineRule="auto"/>
        <w:rPr>
          <w:sz w:val="20"/>
          <w:szCs w:val="20"/>
          <w:color w:val="auto"/>
        </w:rPr>
      </w:pPr>
      <w:r>
        <w:rPr>
          <w:rFonts w:ascii="Arial" w:cs="Arial" w:eastAsia="Arial" w:hAnsi="Arial"/>
          <w:sz w:val="18"/>
          <w:szCs w:val="18"/>
          <w:color w:val="auto"/>
        </w:rPr>
        <w:t>Belgium (44)</w:t>
      </w:r>
    </w:p>
    <w:p>
      <w:pPr>
        <w:spacing w:after="0" w:line="234" w:lineRule="auto"/>
        <w:rPr>
          <w:sz w:val="20"/>
          <w:szCs w:val="20"/>
          <w:color w:val="auto"/>
        </w:rPr>
      </w:pPr>
      <w:r>
        <w:rPr>
          <w:rFonts w:ascii="Arial" w:cs="Arial" w:eastAsia="Arial" w:hAnsi="Arial"/>
          <w:sz w:val="18"/>
          <w:szCs w:val="18"/>
          <w:color w:val="auto"/>
        </w:rPr>
        <w:t>Delaware</w:t>
      </w:r>
    </w:p>
    <w:p>
      <w:pPr>
        <w:spacing w:after="0" w:line="235" w:lineRule="auto"/>
        <w:rPr>
          <w:sz w:val="20"/>
          <w:szCs w:val="20"/>
          <w:color w:val="auto"/>
        </w:rPr>
      </w:pPr>
      <w:r>
        <w:rPr>
          <w:rFonts w:ascii="Arial" w:cs="Arial" w:eastAsia="Arial" w:hAnsi="Arial"/>
          <w:sz w:val="18"/>
          <w:szCs w:val="18"/>
          <w:color w:val="auto"/>
        </w:rPr>
        <w:t>Missouri</w:t>
      </w:r>
    </w:p>
    <w:p>
      <w:pPr>
        <w:spacing w:after="0" w:line="235" w:lineRule="auto"/>
        <w:rPr>
          <w:sz w:val="20"/>
          <w:szCs w:val="20"/>
          <w:color w:val="auto"/>
        </w:rPr>
      </w:pPr>
      <w:r>
        <w:rPr>
          <w:rFonts w:ascii="Arial" w:cs="Arial" w:eastAsia="Arial" w:hAnsi="Arial"/>
          <w:sz w:val="18"/>
          <w:szCs w:val="18"/>
          <w:color w:val="auto"/>
        </w:rPr>
        <w:t>Louisiana</w:t>
      </w:r>
    </w:p>
    <w:p>
      <w:pPr>
        <w:spacing w:after="0" w:line="235" w:lineRule="auto"/>
        <w:rPr>
          <w:sz w:val="20"/>
          <w:szCs w:val="20"/>
          <w:color w:val="auto"/>
        </w:rPr>
      </w:pPr>
      <w:r>
        <w:rPr>
          <w:rFonts w:ascii="Arial" w:cs="Arial" w:eastAsia="Arial" w:hAnsi="Arial"/>
          <w:sz w:val="18"/>
          <w:szCs w:val="18"/>
          <w:color w:val="auto"/>
        </w:rPr>
        <w:t>Delaware (45)</w:t>
      </w:r>
    </w:p>
    <w:p>
      <w:pPr>
        <w:spacing w:after="0" w:line="235" w:lineRule="auto"/>
        <w:rPr>
          <w:sz w:val="20"/>
          <w:szCs w:val="20"/>
          <w:color w:val="auto"/>
        </w:rPr>
      </w:pPr>
      <w:r>
        <w:rPr>
          <w:rFonts w:ascii="Arial" w:cs="Arial" w:eastAsia="Arial" w:hAnsi="Arial"/>
          <w:sz w:val="18"/>
          <w:szCs w:val="18"/>
          <w:color w:val="auto"/>
        </w:rPr>
        <w:t>Delaware (41)</w:t>
      </w:r>
    </w:p>
    <w:p>
      <w:pPr>
        <w:spacing w:after="0" w:line="235" w:lineRule="auto"/>
        <w:rPr>
          <w:sz w:val="20"/>
          <w:szCs w:val="20"/>
          <w:color w:val="auto"/>
        </w:rPr>
      </w:pPr>
      <w:r>
        <w:rPr>
          <w:rFonts w:ascii="Arial" w:cs="Arial" w:eastAsia="Arial" w:hAnsi="Arial"/>
          <w:sz w:val="18"/>
          <w:szCs w:val="18"/>
          <w:color w:val="auto"/>
        </w:rPr>
        <w:t>Delaware</w:t>
      </w:r>
    </w:p>
    <w:p>
      <w:pPr>
        <w:spacing w:after="0" w:line="235" w:lineRule="auto"/>
        <w:rPr>
          <w:sz w:val="20"/>
          <w:szCs w:val="20"/>
          <w:color w:val="auto"/>
        </w:rPr>
      </w:pPr>
      <w:r>
        <w:rPr>
          <w:rFonts w:ascii="Arial" w:cs="Arial" w:eastAsia="Arial" w:hAnsi="Arial"/>
          <w:sz w:val="18"/>
          <w:szCs w:val="18"/>
          <w:color w:val="auto"/>
        </w:rPr>
        <w:t>Delaware</w:t>
      </w:r>
    </w:p>
    <w:p>
      <w:pPr>
        <w:spacing w:after="0" w:line="235" w:lineRule="auto"/>
        <w:rPr>
          <w:sz w:val="20"/>
          <w:szCs w:val="20"/>
          <w:color w:val="auto"/>
        </w:rPr>
      </w:pPr>
      <w:r>
        <w:rPr>
          <w:rFonts w:ascii="Arial" w:cs="Arial" w:eastAsia="Arial" w:hAnsi="Arial"/>
          <w:sz w:val="18"/>
          <w:szCs w:val="18"/>
          <w:color w:val="auto"/>
        </w:rPr>
        <w:t>Delaware</w:t>
      </w:r>
    </w:p>
    <w:p>
      <w:pPr>
        <w:spacing w:after="0" w:line="235" w:lineRule="auto"/>
        <w:rPr>
          <w:sz w:val="20"/>
          <w:szCs w:val="20"/>
          <w:color w:val="auto"/>
        </w:rPr>
      </w:pPr>
      <w:r>
        <w:rPr>
          <w:rFonts w:ascii="Arial" w:cs="Arial" w:eastAsia="Arial" w:hAnsi="Arial"/>
          <w:sz w:val="18"/>
          <w:szCs w:val="18"/>
          <w:color w:val="auto"/>
        </w:rPr>
        <w:t>Michigan</w:t>
      </w:r>
    </w:p>
    <w:p>
      <w:pPr>
        <w:spacing w:after="0" w:line="234" w:lineRule="auto"/>
        <w:rPr>
          <w:sz w:val="20"/>
          <w:szCs w:val="20"/>
          <w:color w:val="auto"/>
        </w:rPr>
      </w:pPr>
      <w:r>
        <w:rPr>
          <w:rFonts w:ascii="Arial" w:cs="Arial" w:eastAsia="Arial" w:hAnsi="Arial"/>
          <w:sz w:val="18"/>
          <w:szCs w:val="18"/>
          <w:color w:val="auto"/>
        </w:rPr>
        <w:t>Michigan</w:t>
      </w:r>
    </w:p>
    <w:p>
      <w:pPr>
        <w:spacing w:after="0" w:line="235" w:lineRule="auto"/>
        <w:rPr>
          <w:sz w:val="20"/>
          <w:szCs w:val="20"/>
          <w:color w:val="auto"/>
        </w:rPr>
      </w:pPr>
      <w:r>
        <w:rPr>
          <w:rFonts w:ascii="Arial" w:cs="Arial" w:eastAsia="Arial" w:hAnsi="Arial"/>
          <w:sz w:val="18"/>
          <w:szCs w:val="18"/>
          <w:color w:val="auto"/>
        </w:rPr>
        <w:t>Delaware</w:t>
      </w:r>
    </w:p>
    <w:p>
      <w:pPr>
        <w:spacing w:after="0" w:line="235" w:lineRule="auto"/>
        <w:rPr>
          <w:sz w:val="20"/>
          <w:szCs w:val="20"/>
          <w:color w:val="auto"/>
        </w:rPr>
      </w:pPr>
      <w:r>
        <w:rPr>
          <w:rFonts w:ascii="Arial" w:cs="Arial" w:eastAsia="Arial" w:hAnsi="Arial"/>
          <w:sz w:val="18"/>
          <w:szCs w:val="18"/>
          <w:color w:val="auto"/>
        </w:rPr>
        <w:t>Delaware (42)</w:t>
      </w:r>
    </w:p>
    <w:p>
      <w:pPr>
        <w:spacing w:after="0" w:line="235" w:lineRule="auto"/>
        <w:rPr>
          <w:sz w:val="20"/>
          <w:szCs w:val="20"/>
          <w:color w:val="auto"/>
        </w:rPr>
      </w:pPr>
      <w:r>
        <w:rPr>
          <w:rFonts w:ascii="Arial" w:cs="Arial" w:eastAsia="Arial" w:hAnsi="Arial"/>
          <w:sz w:val="18"/>
          <w:szCs w:val="18"/>
          <w:color w:val="auto"/>
        </w:rPr>
        <w:t>Texas</w:t>
      </w:r>
    </w:p>
    <w:p>
      <w:pPr>
        <w:spacing w:after="0" w:line="235" w:lineRule="auto"/>
        <w:rPr>
          <w:sz w:val="20"/>
          <w:szCs w:val="20"/>
          <w:color w:val="auto"/>
        </w:rPr>
      </w:pPr>
      <w:r>
        <w:rPr>
          <w:rFonts w:ascii="Arial" w:cs="Arial" w:eastAsia="Arial" w:hAnsi="Arial"/>
          <w:sz w:val="18"/>
          <w:szCs w:val="18"/>
          <w:color w:val="auto"/>
        </w:rPr>
        <w:t>Puerto Rico</w:t>
      </w:r>
    </w:p>
    <w:p>
      <w:pPr>
        <w:spacing w:after="0" w:line="235" w:lineRule="auto"/>
        <w:rPr>
          <w:sz w:val="20"/>
          <w:szCs w:val="20"/>
          <w:color w:val="auto"/>
        </w:rPr>
      </w:pPr>
      <w:r>
        <w:rPr>
          <w:rFonts w:ascii="Arial" w:cs="Arial" w:eastAsia="Arial" w:hAnsi="Arial"/>
          <w:sz w:val="18"/>
          <w:szCs w:val="18"/>
          <w:color w:val="auto"/>
        </w:rPr>
        <w:t>Illinois</w:t>
      </w:r>
    </w:p>
    <w:p>
      <w:pPr>
        <w:spacing w:after="0" w:line="235" w:lineRule="auto"/>
        <w:rPr>
          <w:sz w:val="20"/>
          <w:szCs w:val="20"/>
          <w:color w:val="auto"/>
        </w:rPr>
      </w:pPr>
      <w:r>
        <w:rPr>
          <w:rFonts w:ascii="Arial" w:cs="Arial" w:eastAsia="Arial" w:hAnsi="Arial"/>
          <w:sz w:val="18"/>
          <w:szCs w:val="18"/>
          <w:color w:val="auto"/>
        </w:rPr>
        <w:t>Delaware</w:t>
      </w:r>
    </w:p>
    <w:p>
      <w:pPr>
        <w:spacing w:after="0" w:line="235" w:lineRule="auto"/>
        <w:rPr>
          <w:sz w:val="20"/>
          <w:szCs w:val="20"/>
          <w:color w:val="auto"/>
        </w:rPr>
      </w:pPr>
      <w:r>
        <w:rPr>
          <w:rFonts w:ascii="Arial" w:cs="Arial" w:eastAsia="Arial" w:hAnsi="Arial"/>
          <w:sz w:val="18"/>
          <w:szCs w:val="18"/>
          <w:color w:val="auto"/>
        </w:rPr>
        <w:t>Poland</w:t>
      </w:r>
    </w:p>
    <w:p>
      <w:pPr>
        <w:spacing w:after="0" w:line="235" w:lineRule="auto"/>
        <w:rPr>
          <w:sz w:val="20"/>
          <w:szCs w:val="20"/>
          <w:color w:val="auto"/>
        </w:rPr>
      </w:pPr>
      <w:r>
        <w:rPr>
          <w:rFonts w:ascii="Arial" w:cs="Arial" w:eastAsia="Arial" w:hAnsi="Arial"/>
          <w:sz w:val="18"/>
          <w:szCs w:val="18"/>
          <w:color w:val="auto"/>
        </w:rPr>
        <w:t>New York</w:t>
      </w:r>
    </w:p>
    <w:p>
      <w:pPr>
        <w:spacing w:after="0" w:line="234" w:lineRule="auto"/>
        <w:rPr>
          <w:sz w:val="20"/>
          <w:szCs w:val="20"/>
          <w:color w:val="auto"/>
        </w:rPr>
      </w:pPr>
      <w:r>
        <w:rPr>
          <w:rFonts w:ascii="Arial" w:cs="Arial" w:eastAsia="Arial" w:hAnsi="Arial"/>
          <w:sz w:val="18"/>
          <w:szCs w:val="18"/>
          <w:color w:val="auto"/>
        </w:rPr>
        <w:t>Indiana</w:t>
      </w:r>
    </w:p>
    <w:p>
      <w:pPr>
        <w:spacing w:after="0" w:line="235" w:lineRule="auto"/>
        <w:rPr>
          <w:sz w:val="20"/>
          <w:szCs w:val="20"/>
          <w:color w:val="auto"/>
        </w:rPr>
      </w:pPr>
      <w:r>
        <w:rPr>
          <w:rFonts w:ascii="Arial" w:cs="Arial" w:eastAsia="Arial" w:hAnsi="Arial"/>
          <w:sz w:val="18"/>
          <w:szCs w:val="18"/>
          <w:color w:val="auto"/>
        </w:rPr>
        <w:t>Delaware</w:t>
      </w:r>
    </w:p>
    <w:p>
      <w:pPr>
        <w:spacing w:after="0" w:line="235" w:lineRule="auto"/>
        <w:rPr>
          <w:sz w:val="20"/>
          <w:szCs w:val="20"/>
          <w:color w:val="auto"/>
        </w:rPr>
      </w:pPr>
      <w:r>
        <w:rPr>
          <w:rFonts w:ascii="Arial" w:cs="Arial" w:eastAsia="Arial" w:hAnsi="Arial"/>
          <w:sz w:val="18"/>
          <w:szCs w:val="18"/>
          <w:color w:val="auto"/>
        </w:rPr>
        <w:t>Hong Kong</w:t>
      </w:r>
    </w:p>
    <w:p>
      <w:pPr>
        <w:spacing w:after="0" w:line="235" w:lineRule="auto"/>
        <w:rPr>
          <w:sz w:val="20"/>
          <w:szCs w:val="20"/>
          <w:color w:val="auto"/>
        </w:rPr>
      </w:pPr>
      <w:r>
        <w:rPr>
          <w:rFonts w:ascii="Arial" w:cs="Arial" w:eastAsia="Arial" w:hAnsi="Arial"/>
          <w:sz w:val="18"/>
          <w:szCs w:val="18"/>
          <w:color w:val="auto"/>
        </w:rPr>
        <w:t>China</w:t>
      </w:r>
    </w:p>
    <w:p>
      <w:pPr>
        <w:spacing w:after="0" w:line="235" w:lineRule="auto"/>
        <w:rPr>
          <w:sz w:val="20"/>
          <w:szCs w:val="20"/>
          <w:color w:val="auto"/>
        </w:rPr>
      </w:pPr>
      <w:r>
        <w:rPr>
          <w:rFonts w:ascii="Arial" w:cs="Arial" w:eastAsia="Arial" w:hAnsi="Arial"/>
          <w:sz w:val="18"/>
          <w:szCs w:val="18"/>
          <w:color w:val="auto"/>
        </w:rPr>
        <w:t>Delaware</w:t>
      </w:r>
    </w:p>
    <w:p>
      <w:pPr>
        <w:spacing w:after="0" w:line="235" w:lineRule="auto"/>
        <w:rPr>
          <w:sz w:val="20"/>
          <w:szCs w:val="20"/>
          <w:color w:val="auto"/>
        </w:rPr>
      </w:pPr>
      <w:r>
        <w:rPr>
          <w:rFonts w:ascii="Arial" w:cs="Arial" w:eastAsia="Arial" w:hAnsi="Arial"/>
          <w:sz w:val="18"/>
          <w:szCs w:val="18"/>
          <w:color w:val="auto"/>
        </w:rPr>
        <w:t>Texas</w:t>
      </w:r>
    </w:p>
    <w:p>
      <w:pPr>
        <w:spacing w:after="0" w:line="235" w:lineRule="auto"/>
        <w:rPr>
          <w:sz w:val="20"/>
          <w:szCs w:val="20"/>
          <w:color w:val="auto"/>
        </w:rPr>
      </w:pPr>
      <w:r>
        <w:rPr>
          <w:rFonts w:ascii="Arial" w:cs="Arial" w:eastAsia="Arial" w:hAnsi="Arial"/>
          <w:sz w:val="18"/>
          <w:szCs w:val="18"/>
          <w:color w:val="auto"/>
        </w:rPr>
        <w:t>Delaware</w:t>
      </w:r>
    </w:p>
    <w:p>
      <w:pPr>
        <w:spacing w:after="0" w:line="235" w:lineRule="auto"/>
        <w:rPr>
          <w:sz w:val="20"/>
          <w:szCs w:val="20"/>
          <w:color w:val="auto"/>
        </w:rPr>
      </w:pPr>
      <w:r>
        <w:rPr>
          <w:rFonts w:ascii="Arial" w:cs="Arial" w:eastAsia="Arial" w:hAnsi="Arial"/>
          <w:sz w:val="18"/>
          <w:szCs w:val="18"/>
          <w:color w:val="auto"/>
        </w:rPr>
        <w:t>Texas</w:t>
      </w:r>
    </w:p>
    <w:p>
      <w:pPr>
        <w:spacing w:after="0" w:line="235" w:lineRule="auto"/>
        <w:rPr>
          <w:sz w:val="20"/>
          <w:szCs w:val="20"/>
          <w:color w:val="auto"/>
        </w:rPr>
      </w:pPr>
      <w:r>
        <w:rPr>
          <w:rFonts w:ascii="Arial" w:cs="Arial" w:eastAsia="Arial" w:hAnsi="Arial"/>
          <w:sz w:val="18"/>
          <w:szCs w:val="18"/>
          <w:color w:val="auto"/>
        </w:rPr>
        <w:t>Delaware</w:t>
      </w:r>
    </w:p>
    <w:p>
      <w:pPr>
        <w:spacing w:after="0" w:line="234" w:lineRule="auto"/>
        <w:rPr>
          <w:sz w:val="20"/>
          <w:szCs w:val="20"/>
          <w:color w:val="auto"/>
        </w:rPr>
      </w:pPr>
      <w:r>
        <w:rPr>
          <w:rFonts w:ascii="Arial" w:cs="Arial" w:eastAsia="Arial" w:hAnsi="Arial"/>
          <w:sz w:val="18"/>
          <w:szCs w:val="18"/>
          <w:color w:val="auto"/>
        </w:rPr>
        <w:t>Georgia</w:t>
      </w:r>
    </w:p>
    <w:p>
      <w:pPr>
        <w:spacing w:after="0" w:line="235" w:lineRule="auto"/>
        <w:rPr>
          <w:sz w:val="20"/>
          <w:szCs w:val="20"/>
          <w:color w:val="auto"/>
        </w:rPr>
      </w:pPr>
      <w:r>
        <w:rPr>
          <w:rFonts w:ascii="Arial" w:cs="Arial" w:eastAsia="Arial" w:hAnsi="Arial"/>
          <w:sz w:val="18"/>
          <w:szCs w:val="18"/>
          <w:color w:val="auto"/>
        </w:rPr>
        <w:t>Georgia (46)</w:t>
      </w:r>
    </w:p>
    <w:p>
      <w:pPr>
        <w:spacing w:after="0" w:line="235" w:lineRule="auto"/>
        <w:rPr>
          <w:sz w:val="20"/>
          <w:szCs w:val="20"/>
          <w:color w:val="auto"/>
        </w:rPr>
      </w:pPr>
      <w:r>
        <w:rPr>
          <w:rFonts w:ascii="Arial" w:cs="Arial" w:eastAsia="Arial" w:hAnsi="Arial"/>
          <w:sz w:val="18"/>
          <w:szCs w:val="18"/>
          <w:color w:val="auto"/>
        </w:rPr>
        <w:t>Mexico (68)</w:t>
      </w:r>
    </w:p>
    <w:p>
      <w:pPr>
        <w:spacing w:after="0" w:line="235" w:lineRule="auto"/>
        <w:rPr>
          <w:sz w:val="20"/>
          <w:szCs w:val="20"/>
          <w:color w:val="auto"/>
        </w:rPr>
      </w:pPr>
      <w:r>
        <w:rPr>
          <w:rFonts w:ascii="Arial" w:cs="Arial" w:eastAsia="Arial" w:hAnsi="Arial"/>
          <w:sz w:val="18"/>
          <w:szCs w:val="18"/>
          <w:color w:val="auto"/>
        </w:rPr>
        <w:t>Delaware</w:t>
      </w:r>
    </w:p>
    <w:p>
      <w:pPr>
        <w:spacing w:after="0" w:line="235" w:lineRule="auto"/>
        <w:rPr>
          <w:sz w:val="20"/>
          <w:szCs w:val="20"/>
          <w:color w:val="auto"/>
        </w:rPr>
      </w:pPr>
      <w:r>
        <w:rPr>
          <w:rFonts w:ascii="Arial" w:cs="Arial" w:eastAsia="Arial" w:hAnsi="Arial"/>
          <w:sz w:val="18"/>
          <w:szCs w:val="18"/>
          <w:color w:val="auto"/>
        </w:rPr>
        <w:t>Delaware</w:t>
      </w:r>
    </w:p>
    <w:p>
      <w:pPr>
        <w:spacing w:after="0" w:line="235" w:lineRule="auto"/>
        <w:rPr>
          <w:sz w:val="20"/>
          <w:szCs w:val="20"/>
          <w:color w:val="auto"/>
        </w:rPr>
      </w:pPr>
      <w:r>
        <w:rPr>
          <w:rFonts w:ascii="Arial" w:cs="Arial" w:eastAsia="Arial" w:hAnsi="Arial"/>
          <w:sz w:val="18"/>
          <w:szCs w:val="18"/>
          <w:color w:val="auto"/>
        </w:rPr>
        <w:t>Texas</w:t>
      </w:r>
    </w:p>
    <w:p>
      <w:pPr>
        <w:spacing w:after="0" w:line="235" w:lineRule="auto"/>
        <w:rPr>
          <w:sz w:val="20"/>
          <w:szCs w:val="20"/>
          <w:color w:val="auto"/>
        </w:rPr>
      </w:pPr>
      <w:r>
        <w:rPr>
          <w:rFonts w:ascii="Arial" w:cs="Arial" w:eastAsia="Arial" w:hAnsi="Arial"/>
          <w:sz w:val="18"/>
          <w:szCs w:val="18"/>
          <w:color w:val="auto"/>
        </w:rPr>
        <w:t>Indiana</w:t>
      </w:r>
    </w:p>
    <w:p>
      <w:pPr>
        <w:spacing w:after="0" w:line="235" w:lineRule="auto"/>
        <w:rPr>
          <w:sz w:val="20"/>
          <w:szCs w:val="20"/>
          <w:color w:val="auto"/>
        </w:rPr>
      </w:pPr>
      <w:r>
        <w:rPr>
          <w:rFonts w:ascii="Arial" w:cs="Arial" w:eastAsia="Arial" w:hAnsi="Arial"/>
          <w:sz w:val="18"/>
          <w:szCs w:val="18"/>
          <w:color w:val="auto"/>
        </w:rPr>
        <w:t>Indiana</w:t>
      </w:r>
    </w:p>
    <w:p>
      <w:pPr>
        <w:spacing w:after="0" w:line="235" w:lineRule="auto"/>
        <w:rPr>
          <w:sz w:val="20"/>
          <w:szCs w:val="20"/>
          <w:color w:val="auto"/>
        </w:rPr>
      </w:pPr>
      <w:r>
        <w:rPr>
          <w:rFonts w:ascii="Arial" w:cs="Arial" w:eastAsia="Arial" w:hAnsi="Arial"/>
          <w:sz w:val="18"/>
          <w:szCs w:val="18"/>
          <w:color w:val="auto"/>
        </w:rPr>
        <w:t>Delaware</w:t>
      </w:r>
    </w:p>
    <w:p>
      <w:pPr>
        <w:spacing w:after="0" w:line="235" w:lineRule="auto"/>
        <w:rPr>
          <w:sz w:val="20"/>
          <w:szCs w:val="20"/>
          <w:color w:val="auto"/>
        </w:rPr>
      </w:pPr>
      <w:r>
        <w:rPr>
          <w:rFonts w:ascii="Arial" w:cs="Arial" w:eastAsia="Arial" w:hAnsi="Arial"/>
          <w:sz w:val="18"/>
          <w:szCs w:val="18"/>
          <w:color w:val="auto"/>
        </w:rPr>
        <w:t>Oregon</w:t>
      </w:r>
    </w:p>
    <w:p>
      <w:pPr>
        <w:spacing w:after="0" w:line="234" w:lineRule="auto"/>
        <w:rPr>
          <w:sz w:val="20"/>
          <w:szCs w:val="20"/>
          <w:color w:val="auto"/>
        </w:rPr>
      </w:pPr>
      <w:r>
        <w:rPr>
          <w:rFonts w:ascii="Arial" w:cs="Arial" w:eastAsia="Arial" w:hAnsi="Arial"/>
          <w:sz w:val="18"/>
          <w:szCs w:val="18"/>
          <w:color w:val="auto"/>
        </w:rPr>
        <w:t>Oregon</w:t>
      </w:r>
    </w:p>
    <w:p>
      <w:pPr>
        <w:spacing w:after="0" w:line="235" w:lineRule="auto"/>
        <w:rPr>
          <w:sz w:val="20"/>
          <w:szCs w:val="20"/>
          <w:color w:val="auto"/>
        </w:rPr>
      </w:pPr>
      <w:r>
        <w:rPr>
          <w:rFonts w:ascii="Arial" w:cs="Arial" w:eastAsia="Arial" w:hAnsi="Arial"/>
          <w:sz w:val="18"/>
          <w:szCs w:val="18"/>
          <w:color w:val="auto"/>
        </w:rPr>
        <w:t>Nova Scotia</w:t>
      </w:r>
    </w:p>
    <w:p>
      <w:pPr>
        <w:spacing w:after="0" w:line="235" w:lineRule="auto"/>
        <w:rPr>
          <w:sz w:val="20"/>
          <w:szCs w:val="20"/>
          <w:color w:val="auto"/>
        </w:rPr>
      </w:pPr>
      <w:r>
        <w:rPr>
          <w:rFonts w:ascii="Arial" w:cs="Arial" w:eastAsia="Arial" w:hAnsi="Arial"/>
          <w:sz w:val="18"/>
          <w:szCs w:val="18"/>
          <w:color w:val="auto"/>
        </w:rPr>
        <w:t>Washington</w:t>
      </w:r>
    </w:p>
    <w:p>
      <w:pPr>
        <w:spacing w:after="0" w:line="235" w:lineRule="auto"/>
        <w:rPr>
          <w:sz w:val="20"/>
          <w:szCs w:val="20"/>
          <w:color w:val="auto"/>
        </w:rPr>
      </w:pPr>
      <w:r>
        <w:rPr>
          <w:rFonts w:ascii="Arial" w:cs="Arial" w:eastAsia="Arial" w:hAnsi="Arial"/>
          <w:sz w:val="18"/>
          <w:szCs w:val="18"/>
          <w:color w:val="auto"/>
        </w:rPr>
        <w:t>Delaware</w:t>
      </w:r>
    </w:p>
    <w:p>
      <w:pPr>
        <w:spacing w:after="0" w:line="235" w:lineRule="auto"/>
        <w:rPr>
          <w:sz w:val="20"/>
          <w:szCs w:val="20"/>
          <w:color w:val="auto"/>
        </w:rPr>
      </w:pPr>
      <w:r>
        <w:rPr>
          <w:rFonts w:ascii="Arial" w:cs="Arial" w:eastAsia="Arial" w:hAnsi="Arial"/>
          <w:sz w:val="18"/>
          <w:szCs w:val="18"/>
          <w:color w:val="auto"/>
        </w:rPr>
        <w:t>Delaware</w:t>
      </w:r>
    </w:p>
    <w:p>
      <w:pPr>
        <w:spacing w:after="0" w:line="235" w:lineRule="auto"/>
        <w:rPr>
          <w:sz w:val="20"/>
          <w:szCs w:val="20"/>
          <w:color w:val="auto"/>
        </w:rPr>
      </w:pPr>
      <w:r>
        <w:rPr>
          <w:rFonts w:ascii="Arial" w:cs="Arial" w:eastAsia="Arial" w:hAnsi="Arial"/>
          <w:sz w:val="18"/>
          <w:szCs w:val="18"/>
          <w:color w:val="auto"/>
        </w:rPr>
        <w:t>Colorado</w:t>
      </w:r>
    </w:p>
    <w:p>
      <w:pPr>
        <w:spacing w:after="0" w:line="235" w:lineRule="auto"/>
        <w:rPr>
          <w:sz w:val="20"/>
          <w:szCs w:val="20"/>
          <w:color w:val="auto"/>
        </w:rPr>
      </w:pPr>
      <w:r>
        <w:rPr>
          <w:rFonts w:ascii="Arial" w:cs="Arial" w:eastAsia="Arial" w:hAnsi="Arial"/>
          <w:sz w:val="18"/>
          <w:szCs w:val="18"/>
          <w:color w:val="auto"/>
        </w:rPr>
        <w:t>Delaware</w:t>
      </w:r>
    </w:p>
    <w:p>
      <w:pPr>
        <w:spacing w:after="0" w:line="235" w:lineRule="auto"/>
        <w:rPr>
          <w:sz w:val="20"/>
          <w:szCs w:val="20"/>
          <w:color w:val="auto"/>
        </w:rPr>
      </w:pPr>
      <w:r>
        <w:rPr>
          <w:rFonts w:ascii="Arial" w:cs="Arial" w:eastAsia="Arial" w:hAnsi="Arial"/>
          <w:sz w:val="18"/>
          <w:szCs w:val="18"/>
          <w:color w:val="auto"/>
        </w:rPr>
        <w:t>Delaware</w:t>
      </w:r>
    </w:p>
    <w:p>
      <w:pPr>
        <w:spacing w:after="0" w:line="235" w:lineRule="auto"/>
        <w:rPr>
          <w:sz w:val="20"/>
          <w:szCs w:val="20"/>
          <w:color w:val="auto"/>
        </w:rPr>
      </w:pPr>
      <w:r>
        <w:rPr>
          <w:rFonts w:ascii="Arial" w:cs="Arial" w:eastAsia="Arial" w:hAnsi="Arial"/>
          <w:sz w:val="18"/>
          <w:szCs w:val="18"/>
          <w:color w:val="auto"/>
        </w:rPr>
        <w:t>Arizona</w:t>
      </w:r>
    </w:p>
    <w:p>
      <w:pPr>
        <w:spacing w:after="0"/>
        <w:rPr>
          <w:sz w:val="20"/>
          <w:szCs w:val="20"/>
          <w:color w:val="auto"/>
        </w:rPr>
      </w:pPr>
      <w:r>
        <w:rPr>
          <w:rFonts w:ascii="Arial" w:cs="Arial" w:eastAsia="Arial" w:hAnsi="Arial"/>
          <w:sz w:val="18"/>
          <w:szCs w:val="18"/>
          <w:color w:val="auto"/>
        </w:rPr>
        <w:t>Alabama</w:t>
      </w:r>
    </w:p>
    <w:p>
      <w:pPr>
        <w:spacing w:after="0" w:line="134" w:lineRule="exact"/>
        <w:rPr>
          <w:sz w:val="20"/>
          <w:szCs w:val="20"/>
          <w:color w:val="auto"/>
        </w:rPr>
      </w:pPr>
    </w:p>
    <w:p>
      <w:pPr>
        <w:sectPr>
          <w:pgSz w:w="11900" w:h="16838" w:orient="portrait"/>
          <w:cols w:equalWidth="0" w:num="2">
            <w:col w:w="6460" w:space="720"/>
            <w:col w:w="3039"/>
          </w:cols>
          <w:pgMar w:left="240" w:top="287" w:right="1440" w:bottom="1440" w:gutter="0" w:footer="0" w:header="0"/>
        </w:sectPr>
      </w:pPr>
    </w:p>
    <w:p>
      <w:pPr>
        <w:ind w:left="5660"/>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0219"/>
          </w:cols>
          <w:pgMar w:left="240" w:top="287" w:right="1440" w:bottom="1440" w:gutter="0" w:footer="0" w:header="0"/>
          <w:type w:val="continuous"/>
        </w:sectPr>
      </w:pPr>
    </w:p>
    <w:bookmarkStart w:id="186" w:name="page187"/>
    <w:bookmarkEnd w:id="18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N&amp;L Enterprises, LLC</w:t>
      </w:r>
    </w:p>
    <w:p>
      <w:pPr>
        <w:spacing w:after="0" w:line="234" w:lineRule="auto"/>
        <w:rPr>
          <w:sz w:val="20"/>
          <w:szCs w:val="20"/>
          <w:color w:val="auto"/>
        </w:rPr>
      </w:pPr>
      <w:r>
        <w:rPr>
          <w:rFonts w:ascii="Arial" w:cs="Arial" w:eastAsia="Arial" w:hAnsi="Arial"/>
          <w:sz w:val="18"/>
          <w:szCs w:val="18"/>
          <w:color w:val="auto"/>
        </w:rPr>
        <w:t>Capitol Office Solutions, LLC</w:t>
      </w:r>
    </w:p>
    <w:p>
      <w:pPr>
        <w:spacing w:after="0" w:line="235" w:lineRule="auto"/>
        <w:rPr>
          <w:sz w:val="20"/>
          <w:szCs w:val="20"/>
          <w:color w:val="auto"/>
        </w:rPr>
      </w:pPr>
      <w:r>
        <w:rPr>
          <w:rFonts w:ascii="Arial" w:cs="Arial" w:eastAsia="Arial" w:hAnsi="Arial"/>
          <w:sz w:val="18"/>
          <w:szCs w:val="18"/>
          <w:color w:val="auto"/>
        </w:rPr>
        <w:t>Carolina Office Systems, Inc.</w:t>
      </w:r>
    </w:p>
    <w:p>
      <w:pPr>
        <w:spacing w:after="0" w:line="235" w:lineRule="auto"/>
        <w:rPr>
          <w:sz w:val="20"/>
          <w:szCs w:val="20"/>
          <w:color w:val="auto"/>
        </w:rPr>
      </w:pPr>
      <w:r>
        <w:rPr>
          <w:rFonts w:ascii="Arial" w:cs="Arial" w:eastAsia="Arial" w:hAnsi="Arial"/>
          <w:sz w:val="18"/>
          <w:szCs w:val="18"/>
          <w:color w:val="auto"/>
        </w:rPr>
        <w:t>Carr Business Systems, Inc.</w:t>
      </w:r>
    </w:p>
    <w:p>
      <w:pPr>
        <w:spacing w:after="0" w:line="235" w:lineRule="auto"/>
        <w:rPr>
          <w:sz w:val="20"/>
          <w:szCs w:val="20"/>
          <w:color w:val="auto"/>
        </w:rPr>
      </w:pPr>
      <w:r>
        <w:rPr>
          <w:rFonts w:ascii="Arial" w:cs="Arial" w:eastAsia="Arial" w:hAnsi="Arial"/>
          <w:sz w:val="18"/>
          <w:szCs w:val="18"/>
          <w:color w:val="auto"/>
        </w:rPr>
        <w:t>Chicago Office Technology Group, Inc.</w:t>
      </w:r>
    </w:p>
    <w:p>
      <w:pPr>
        <w:spacing w:after="0" w:line="235" w:lineRule="auto"/>
        <w:rPr>
          <w:sz w:val="20"/>
          <w:szCs w:val="20"/>
          <w:color w:val="auto"/>
        </w:rPr>
      </w:pPr>
      <w:r>
        <w:rPr>
          <w:rFonts w:ascii="Arial" w:cs="Arial" w:eastAsia="Arial" w:hAnsi="Arial"/>
          <w:sz w:val="18"/>
          <w:szCs w:val="18"/>
          <w:color w:val="auto"/>
        </w:rPr>
        <w:t>ComDoc, Inc.</w:t>
      </w:r>
    </w:p>
    <w:p>
      <w:pPr>
        <w:spacing w:after="0" w:line="235" w:lineRule="auto"/>
        <w:rPr>
          <w:sz w:val="20"/>
          <w:szCs w:val="20"/>
          <w:color w:val="auto"/>
        </w:rPr>
      </w:pPr>
      <w:r>
        <w:rPr>
          <w:rFonts w:ascii="Arial" w:cs="Arial" w:eastAsia="Arial" w:hAnsi="Arial"/>
          <w:sz w:val="18"/>
          <w:szCs w:val="18"/>
          <w:color w:val="auto"/>
        </w:rPr>
        <w:t>Consolidated, Inc.</w:t>
      </w:r>
    </w:p>
    <w:p>
      <w:pPr>
        <w:spacing w:after="0" w:line="235" w:lineRule="auto"/>
        <w:rPr>
          <w:sz w:val="20"/>
          <w:szCs w:val="20"/>
          <w:color w:val="auto"/>
        </w:rPr>
      </w:pPr>
      <w:r>
        <w:rPr>
          <w:rFonts w:ascii="Arial" w:cs="Arial" w:eastAsia="Arial" w:hAnsi="Arial"/>
          <w:sz w:val="18"/>
          <w:szCs w:val="18"/>
          <w:color w:val="auto"/>
        </w:rPr>
        <w:t>Information Works, Inc.</w:t>
      </w:r>
    </w:p>
    <w:p>
      <w:pPr>
        <w:spacing w:after="0" w:line="235" w:lineRule="auto"/>
        <w:rPr>
          <w:sz w:val="20"/>
          <w:szCs w:val="20"/>
          <w:color w:val="auto"/>
        </w:rPr>
      </w:pPr>
      <w:r>
        <w:rPr>
          <w:rFonts w:ascii="Arial" w:cs="Arial" w:eastAsia="Arial" w:hAnsi="Arial"/>
          <w:sz w:val="18"/>
          <w:szCs w:val="18"/>
          <w:color w:val="auto"/>
        </w:rPr>
        <w:t>Metropolitan Business Machines, Incorporated</w:t>
      </w:r>
    </w:p>
    <w:p>
      <w:pPr>
        <w:spacing w:after="0" w:line="235" w:lineRule="auto"/>
        <w:rPr>
          <w:sz w:val="20"/>
          <w:szCs w:val="20"/>
          <w:color w:val="auto"/>
        </w:rPr>
      </w:pPr>
      <w:r>
        <w:rPr>
          <w:rFonts w:ascii="Arial" w:cs="Arial" w:eastAsia="Arial" w:hAnsi="Arial"/>
          <w:sz w:val="18"/>
          <w:szCs w:val="18"/>
          <w:color w:val="auto"/>
        </w:rPr>
        <w:t>Connecticut Business Systems, LLC</w:t>
      </w:r>
    </w:p>
    <w:p>
      <w:pPr>
        <w:spacing w:after="0" w:line="234" w:lineRule="auto"/>
        <w:rPr>
          <w:sz w:val="20"/>
          <w:szCs w:val="20"/>
          <w:color w:val="auto"/>
        </w:rPr>
      </w:pPr>
      <w:r>
        <w:rPr>
          <w:rFonts w:ascii="Arial" w:cs="Arial" w:eastAsia="Arial" w:hAnsi="Arial"/>
          <w:sz w:val="18"/>
          <w:szCs w:val="18"/>
          <w:color w:val="auto"/>
        </w:rPr>
        <w:t>Arden Business Systems, Inc.</w:t>
      </w:r>
    </w:p>
    <w:p>
      <w:pPr>
        <w:spacing w:after="0" w:line="235" w:lineRule="auto"/>
        <w:rPr>
          <w:sz w:val="20"/>
          <w:szCs w:val="20"/>
          <w:color w:val="auto"/>
        </w:rPr>
      </w:pPr>
      <w:r>
        <w:rPr>
          <w:rFonts w:ascii="Arial" w:cs="Arial" w:eastAsia="Arial" w:hAnsi="Arial"/>
          <w:sz w:val="18"/>
          <w:szCs w:val="18"/>
          <w:color w:val="auto"/>
        </w:rPr>
        <w:t>Blackstone Valley Office Systems, Inc.</w:t>
      </w:r>
    </w:p>
    <w:p>
      <w:pPr>
        <w:spacing w:after="0" w:line="235" w:lineRule="auto"/>
        <w:rPr>
          <w:sz w:val="20"/>
          <w:szCs w:val="20"/>
          <w:color w:val="auto"/>
        </w:rPr>
      </w:pPr>
      <w:r>
        <w:rPr>
          <w:rFonts w:ascii="Arial" w:cs="Arial" w:eastAsia="Arial" w:hAnsi="Arial"/>
          <w:sz w:val="18"/>
          <w:szCs w:val="18"/>
          <w:color w:val="auto"/>
        </w:rPr>
        <w:t>Conway Office Products, LLC</w:t>
      </w:r>
    </w:p>
    <w:p>
      <w:pPr>
        <w:spacing w:after="0" w:line="235" w:lineRule="auto"/>
        <w:rPr>
          <w:sz w:val="20"/>
          <w:szCs w:val="20"/>
          <w:color w:val="auto"/>
        </w:rPr>
      </w:pPr>
      <w:r>
        <w:rPr>
          <w:rFonts w:ascii="Arial" w:cs="Arial" w:eastAsia="Arial" w:hAnsi="Arial"/>
          <w:sz w:val="18"/>
          <w:szCs w:val="18"/>
          <w:color w:val="auto"/>
        </w:rPr>
        <w:t>Business Equipment Unlimited</w:t>
      </w:r>
    </w:p>
    <w:p>
      <w:pPr>
        <w:spacing w:after="0" w:line="235" w:lineRule="auto"/>
        <w:rPr>
          <w:sz w:val="20"/>
          <w:szCs w:val="20"/>
          <w:color w:val="auto"/>
        </w:rPr>
      </w:pPr>
      <w:r>
        <w:rPr>
          <w:rFonts w:ascii="Arial" w:cs="Arial" w:eastAsia="Arial" w:hAnsi="Arial"/>
          <w:sz w:val="18"/>
          <w:szCs w:val="18"/>
          <w:color w:val="auto"/>
        </w:rPr>
        <w:t>Cameron Office Products, LLC</w:t>
      </w:r>
    </w:p>
    <w:p>
      <w:pPr>
        <w:spacing w:after="0" w:line="235" w:lineRule="auto"/>
        <w:rPr>
          <w:sz w:val="20"/>
          <w:szCs w:val="20"/>
          <w:color w:val="auto"/>
        </w:rPr>
      </w:pPr>
      <w:r>
        <w:rPr>
          <w:rFonts w:ascii="Arial" w:cs="Arial" w:eastAsia="Arial" w:hAnsi="Arial"/>
          <w:sz w:val="18"/>
          <w:szCs w:val="18"/>
          <w:color w:val="auto"/>
        </w:rPr>
        <w:t>Eastern Copy Products, LLC</w:t>
      </w:r>
    </w:p>
    <w:p>
      <w:pPr>
        <w:spacing w:after="0" w:line="235" w:lineRule="auto"/>
        <w:rPr>
          <w:sz w:val="20"/>
          <w:szCs w:val="20"/>
          <w:color w:val="auto"/>
        </w:rPr>
      </w:pPr>
      <w:r>
        <w:rPr>
          <w:rFonts w:ascii="Arial" w:cs="Arial" w:eastAsia="Arial" w:hAnsi="Arial"/>
          <w:sz w:val="18"/>
          <w:szCs w:val="18"/>
          <w:color w:val="auto"/>
        </w:rPr>
        <w:t>Northeast Copier Systems, LLC</w:t>
      </w:r>
    </w:p>
    <w:p>
      <w:pPr>
        <w:spacing w:after="0" w:line="235" w:lineRule="auto"/>
        <w:rPr>
          <w:sz w:val="20"/>
          <w:szCs w:val="20"/>
          <w:color w:val="auto"/>
        </w:rPr>
      </w:pPr>
      <w:r>
        <w:rPr>
          <w:rFonts w:ascii="Arial" w:cs="Arial" w:eastAsia="Arial" w:hAnsi="Arial"/>
          <w:sz w:val="18"/>
          <w:szCs w:val="18"/>
          <w:color w:val="auto"/>
        </w:rPr>
        <w:t>CopyCo Office Solutions, Inc.</w:t>
      </w:r>
    </w:p>
    <w:p>
      <w:pPr>
        <w:spacing w:after="0" w:line="235" w:lineRule="auto"/>
        <w:rPr>
          <w:sz w:val="20"/>
          <w:szCs w:val="20"/>
          <w:color w:val="auto"/>
        </w:rPr>
      </w:pPr>
      <w:r>
        <w:rPr>
          <w:rFonts w:ascii="Arial" w:cs="Arial" w:eastAsia="Arial" w:hAnsi="Arial"/>
          <w:sz w:val="18"/>
          <w:szCs w:val="18"/>
          <w:color w:val="auto"/>
        </w:rPr>
        <w:t>MRSCO, Inc.</w:t>
      </w:r>
    </w:p>
    <w:p>
      <w:pPr>
        <w:spacing w:after="0" w:line="234" w:lineRule="auto"/>
        <w:rPr>
          <w:sz w:val="20"/>
          <w:szCs w:val="20"/>
          <w:color w:val="auto"/>
        </w:rPr>
      </w:pPr>
      <w:r>
        <w:rPr>
          <w:rFonts w:ascii="Arial" w:cs="Arial" w:eastAsia="Arial" w:hAnsi="Arial"/>
          <w:sz w:val="18"/>
          <w:szCs w:val="18"/>
          <w:color w:val="auto"/>
        </w:rPr>
        <w:t>CTX Business Solutions, Inc.</w:t>
      </w:r>
    </w:p>
    <w:p>
      <w:pPr>
        <w:spacing w:after="0" w:line="235" w:lineRule="auto"/>
        <w:rPr>
          <w:sz w:val="20"/>
          <w:szCs w:val="20"/>
          <w:color w:val="auto"/>
        </w:rPr>
      </w:pPr>
      <w:r>
        <w:rPr>
          <w:rFonts w:ascii="Arial" w:cs="Arial" w:eastAsia="Arial" w:hAnsi="Arial"/>
          <w:sz w:val="18"/>
          <w:szCs w:val="18"/>
          <w:color w:val="auto"/>
        </w:rPr>
        <w:t>Denitech Corporation</w:t>
      </w:r>
    </w:p>
    <w:p>
      <w:pPr>
        <w:spacing w:after="0" w:line="235" w:lineRule="auto"/>
        <w:rPr>
          <w:sz w:val="20"/>
          <w:szCs w:val="20"/>
          <w:color w:val="auto"/>
        </w:rPr>
      </w:pPr>
      <w:r>
        <w:rPr>
          <w:rFonts w:ascii="Arial" w:cs="Arial" w:eastAsia="Arial" w:hAnsi="Arial"/>
          <w:sz w:val="18"/>
          <w:szCs w:val="18"/>
          <w:color w:val="auto"/>
        </w:rPr>
        <w:t>Electronic Systems, Inc.</w:t>
      </w:r>
    </w:p>
    <w:p>
      <w:pPr>
        <w:spacing w:after="0" w:line="235" w:lineRule="auto"/>
        <w:rPr>
          <w:sz w:val="20"/>
          <w:szCs w:val="20"/>
          <w:color w:val="auto"/>
        </w:rPr>
      </w:pPr>
      <w:r>
        <w:rPr>
          <w:rFonts w:ascii="Arial" w:cs="Arial" w:eastAsia="Arial" w:hAnsi="Arial"/>
          <w:sz w:val="18"/>
          <w:szCs w:val="18"/>
          <w:color w:val="auto"/>
        </w:rPr>
        <w:t>TML Enterprises, Inc.</w:t>
      </w:r>
    </w:p>
    <w:p>
      <w:pPr>
        <w:spacing w:after="0" w:line="235" w:lineRule="auto"/>
        <w:rPr>
          <w:sz w:val="20"/>
          <w:szCs w:val="20"/>
          <w:color w:val="auto"/>
        </w:rPr>
      </w:pPr>
      <w:r>
        <w:rPr>
          <w:rFonts w:ascii="Arial" w:cs="Arial" w:eastAsia="Arial" w:hAnsi="Arial"/>
          <w:sz w:val="18"/>
          <w:szCs w:val="18"/>
          <w:color w:val="auto"/>
        </w:rPr>
        <w:t>GDP Finance, Inc.</w:t>
      </w:r>
    </w:p>
    <w:p>
      <w:pPr>
        <w:spacing w:after="0" w:line="235" w:lineRule="auto"/>
        <w:rPr>
          <w:sz w:val="20"/>
          <w:szCs w:val="20"/>
          <w:color w:val="auto"/>
        </w:rPr>
      </w:pPr>
      <w:r>
        <w:rPr>
          <w:rFonts w:ascii="Arial" w:cs="Arial" w:eastAsia="Arial" w:hAnsi="Arial"/>
          <w:sz w:val="18"/>
          <w:szCs w:val="18"/>
          <w:color w:val="auto"/>
        </w:rPr>
        <w:t>Georgia Duplicating Products, Inc.</w:t>
      </w:r>
    </w:p>
    <w:p>
      <w:pPr>
        <w:spacing w:after="0" w:line="235" w:lineRule="auto"/>
        <w:rPr>
          <w:sz w:val="20"/>
          <w:szCs w:val="20"/>
          <w:color w:val="auto"/>
        </w:rPr>
      </w:pPr>
      <w:r>
        <w:rPr>
          <w:rFonts w:ascii="Arial" w:cs="Arial" w:eastAsia="Arial" w:hAnsi="Arial"/>
          <w:sz w:val="18"/>
          <w:szCs w:val="18"/>
          <w:color w:val="auto"/>
        </w:rPr>
        <w:t>Global Operations Texas, L.P. d/b/a Dahill</w:t>
      </w:r>
    </w:p>
    <w:p>
      <w:pPr>
        <w:spacing w:after="0" w:line="235" w:lineRule="auto"/>
        <w:rPr>
          <w:sz w:val="20"/>
          <w:szCs w:val="20"/>
          <w:color w:val="auto"/>
        </w:rPr>
      </w:pPr>
      <w:r>
        <w:rPr>
          <w:rFonts w:ascii="Arial" w:cs="Arial" w:eastAsia="Arial" w:hAnsi="Arial"/>
          <w:sz w:val="18"/>
          <w:szCs w:val="18"/>
          <w:color w:val="auto"/>
        </w:rPr>
        <w:t>ImageQuest, Inc.</w:t>
      </w:r>
    </w:p>
    <w:p>
      <w:pPr>
        <w:spacing w:after="0" w:line="235" w:lineRule="auto"/>
        <w:rPr>
          <w:sz w:val="20"/>
          <w:szCs w:val="20"/>
          <w:color w:val="auto"/>
        </w:rPr>
      </w:pPr>
      <w:r>
        <w:rPr>
          <w:rFonts w:ascii="Arial" w:cs="Arial" w:eastAsia="Arial" w:hAnsi="Arial"/>
          <w:sz w:val="18"/>
          <w:szCs w:val="18"/>
          <w:color w:val="auto"/>
        </w:rPr>
        <w:t>Image Technology Specialists, Inc.</w:t>
      </w:r>
    </w:p>
    <w:p>
      <w:pPr>
        <w:spacing w:after="0" w:line="234" w:lineRule="auto"/>
        <w:rPr>
          <w:sz w:val="20"/>
          <w:szCs w:val="20"/>
          <w:color w:val="auto"/>
        </w:rPr>
      </w:pPr>
      <w:r>
        <w:rPr>
          <w:rFonts w:ascii="Arial" w:cs="Arial" w:eastAsia="Arial" w:hAnsi="Arial"/>
          <w:sz w:val="18"/>
          <w:szCs w:val="18"/>
          <w:color w:val="auto"/>
        </w:rPr>
        <w:t>Inland Business Machines, Inc.</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Precision Copier Service, Inc. d/b/a Sierra Office Solutions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Lucas Business Systems, Inc.</w:t>
      </w:r>
    </w:p>
    <w:p>
      <w:pPr>
        <w:spacing w:after="0" w:line="234" w:lineRule="auto"/>
        <w:rPr>
          <w:sz w:val="20"/>
          <w:szCs w:val="20"/>
          <w:color w:val="auto"/>
        </w:rPr>
      </w:pPr>
      <w:r>
        <w:rPr>
          <w:rFonts w:ascii="Arial" w:cs="Arial" w:eastAsia="Arial" w:hAnsi="Arial"/>
          <w:sz w:val="18"/>
          <w:szCs w:val="18"/>
          <w:color w:val="auto"/>
        </w:rPr>
        <w:t>Lewan &amp; Associates, Inc.</w:t>
      </w:r>
    </w:p>
    <w:p>
      <w:pPr>
        <w:spacing w:after="0" w:line="235" w:lineRule="auto"/>
        <w:rPr>
          <w:sz w:val="20"/>
          <w:szCs w:val="20"/>
          <w:color w:val="auto"/>
        </w:rPr>
      </w:pPr>
      <w:r>
        <w:rPr>
          <w:rFonts w:ascii="Arial" w:cs="Arial" w:eastAsia="Arial" w:hAnsi="Arial"/>
          <w:sz w:val="18"/>
          <w:szCs w:val="18"/>
          <w:color w:val="auto"/>
        </w:rPr>
        <w:t>Imaging Concepts of New Mexico, Inc.</w:t>
      </w:r>
    </w:p>
    <w:p>
      <w:pPr>
        <w:spacing w:after="0" w:line="235" w:lineRule="auto"/>
        <w:rPr>
          <w:sz w:val="20"/>
          <w:szCs w:val="20"/>
          <w:color w:val="auto"/>
        </w:rPr>
      </w:pPr>
      <w:r>
        <w:rPr>
          <w:rFonts w:ascii="Arial" w:cs="Arial" w:eastAsia="Arial" w:hAnsi="Arial"/>
          <w:sz w:val="18"/>
          <w:szCs w:val="18"/>
          <w:color w:val="auto"/>
        </w:rPr>
        <w:t>Michigan Office Solutions, Inc.</w:t>
      </w:r>
    </w:p>
    <w:p>
      <w:pPr>
        <w:spacing w:after="0" w:line="235" w:lineRule="auto"/>
        <w:rPr>
          <w:sz w:val="20"/>
          <w:szCs w:val="20"/>
          <w:color w:val="auto"/>
        </w:rPr>
      </w:pPr>
      <w:r>
        <w:rPr>
          <w:rFonts w:ascii="Arial" w:cs="Arial" w:eastAsia="Arial" w:hAnsi="Arial"/>
          <w:sz w:val="18"/>
          <w:szCs w:val="18"/>
          <w:color w:val="auto"/>
        </w:rPr>
        <w:t>Minnesota Office Technology Group, Inc.</w:t>
      </w:r>
    </w:p>
    <w:p>
      <w:pPr>
        <w:spacing w:after="0" w:line="235" w:lineRule="auto"/>
        <w:rPr>
          <w:sz w:val="20"/>
          <w:szCs w:val="20"/>
          <w:color w:val="auto"/>
        </w:rPr>
      </w:pPr>
      <w:r>
        <w:rPr>
          <w:rFonts w:ascii="Arial" w:cs="Arial" w:eastAsia="Arial" w:hAnsi="Arial"/>
          <w:sz w:val="18"/>
          <w:szCs w:val="18"/>
          <w:color w:val="auto"/>
        </w:rPr>
        <w:t>Mr. Copy, Inc.</w:t>
      </w:r>
    </w:p>
    <w:p>
      <w:pPr>
        <w:spacing w:after="0" w:line="235" w:lineRule="auto"/>
        <w:rPr>
          <w:sz w:val="20"/>
          <w:szCs w:val="20"/>
          <w:color w:val="auto"/>
        </w:rPr>
      </w:pPr>
      <w:r>
        <w:rPr>
          <w:rFonts w:ascii="Arial" w:cs="Arial" w:eastAsia="Arial" w:hAnsi="Arial"/>
          <w:sz w:val="18"/>
          <w:szCs w:val="18"/>
          <w:color w:val="auto"/>
        </w:rPr>
        <w:t>MWB Copy Products, Inc.</w:t>
      </w:r>
    </w:p>
    <w:p>
      <w:pPr>
        <w:spacing w:after="0" w:line="235" w:lineRule="auto"/>
        <w:rPr>
          <w:sz w:val="20"/>
          <w:szCs w:val="20"/>
          <w:color w:val="auto"/>
        </w:rPr>
      </w:pPr>
      <w:r>
        <w:rPr>
          <w:rFonts w:ascii="Arial" w:cs="Arial" w:eastAsia="Arial" w:hAnsi="Arial"/>
          <w:sz w:val="18"/>
          <w:szCs w:val="18"/>
          <w:color w:val="auto"/>
        </w:rPr>
        <w:t>SoCal Office Technologies, Inc.</w:t>
      </w:r>
    </w:p>
    <w:p>
      <w:pPr>
        <w:spacing w:after="0" w:line="235" w:lineRule="auto"/>
        <w:rPr>
          <w:sz w:val="20"/>
          <w:szCs w:val="20"/>
          <w:color w:val="auto"/>
        </w:rPr>
      </w:pPr>
      <w:r>
        <w:rPr>
          <w:rFonts w:ascii="Arial" w:cs="Arial" w:eastAsia="Arial" w:hAnsi="Arial"/>
          <w:sz w:val="18"/>
          <w:szCs w:val="18"/>
          <w:color w:val="auto"/>
        </w:rPr>
        <w:t>Quality Business Systems, Inc.</w:t>
      </w:r>
    </w:p>
    <w:p>
      <w:pPr>
        <w:spacing w:after="0" w:line="235" w:lineRule="auto"/>
        <w:rPr>
          <w:sz w:val="20"/>
          <w:szCs w:val="20"/>
          <w:color w:val="auto"/>
        </w:rPr>
      </w:pPr>
      <w:r>
        <w:rPr>
          <w:rFonts w:ascii="Arial" w:cs="Arial" w:eastAsia="Arial" w:hAnsi="Arial"/>
          <w:sz w:val="18"/>
          <w:szCs w:val="18"/>
          <w:color w:val="auto"/>
        </w:rPr>
        <w:t>Boise Office Equipment, Inc.</w:t>
      </w:r>
    </w:p>
    <w:p>
      <w:pPr>
        <w:spacing w:after="0" w:line="234" w:lineRule="auto"/>
        <w:rPr>
          <w:sz w:val="20"/>
          <w:szCs w:val="20"/>
          <w:color w:val="auto"/>
        </w:rPr>
      </w:pPr>
      <w:r>
        <w:rPr>
          <w:rFonts w:ascii="Arial" w:cs="Arial" w:eastAsia="Arial" w:hAnsi="Arial"/>
          <w:sz w:val="18"/>
          <w:szCs w:val="18"/>
          <w:color w:val="auto"/>
        </w:rPr>
        <w:t>Saxon Business Systems, Inc.</w:t>
      </w:r>
    </w:p>
    <w:p>
      <w:pPr>
        <w:spacing w:after="0" w:line="235" w:lineRule="auto"/>
        <w:rPr>
          <w:sz w:val="20"/>
          <w:szCs w:val="20"/>
          <w:color w:val="auto"/>
        </w:rPr>
      </w:pPr>
      <w:r>
        <w:rPr>
          <w:rFonts w:ascii="Arial" w:cs="Arial" w:eastAsia="Arial" w:hAnsi="Arial"/>
          <w:sz w:val="18"/>
          <w:szCs w:val="18"/>
          <w:color w:val="auto"/>
        </w:rPr>
        <w:t>Stewart Business Systems, LLC</w:t>
      </w:r>
    </w:p>
    <w:p>
      <w:pPr>
        <w:spacing w:after="0" w:line="235" w:lineRule="auto"/>
        <w:rPr>
          <w:sz w:val="20"/>
          <w:szCs w:val="20"/>
          <w:color w:val="auto"/>
        </w:rPr>
      </w:pPr>
      <w:r>
        <w:rPr>
          <w:rFonts w:ascii="Arial" w:cs="Arial" w:eastAsia="Arial" w:hAnsi="Arial"/>
          <w:sz w:val="18"/>
          <w:szCs w:val="18"/>
          <w:color w:val="auto"/>
        </w:rPr>
        <w:t>Xerox Audio Visual Solutions, Inc.</w:t>
      </w:r>
    </w:p>
    <w:p>
      <w:pPr>
        <w:spacing w:after="0" w:line="235" w:lineRule="auto"/>
        <w:rPr>
          <w:sz w:val="20"/>
          <w:szCs w:val="20"/>
          <w:color w:val="auto"/>
        </w:rPr>
      </w:pPr>
      <w:r>
        <w:rPr>
          <w:rFonts w:ascii="Arial" w:cs="Arial" w:eastAsia="Arial" w:hAnsi="Arial"/>
          <w:sz w:val="18"/>
          <w:szCs w:val="18"/>
          <w:color w:val="auto"/>
        </w:rPr>
        <w:t>Daniel Communications, Inc.</w:t>
      </w:r>
    </w:p>
    <w:p>
      <w:pPr>
        <w:spacing w:after="0" w:line="235" w:lineRule="auto"/>
        <w:rPr>
          <w:sz w:val="20"/>
          <w:szCs w:val="20"/>
          <w:color w:val="auto"/>
        </w:rPr>
      </w:pPr>
      <w:r>
        <w:rPr>
          <w:rFonts w:ascii="Arial" w:cs="Arial" w:eastAsia="Arial" w:hAnsi="Arial"/>
          <w:sz w:val="18"/>
          <w:szCs w:val="18"/>
          <w:color w:val="auto"/>
        </w:rPr>
        <w:t>GroupFire, Inc.</w:t>
      </w:r>
    </w:p>
    <w:p>
      <w:pPr>
        <w:spacing w:after="0" w:line="235" w:lineRule="auto"/>
        <w:rPr>
          <w:sz w:val="20"/>
          <w:szCs w:val="20"/>
          <w:color w:val="auto"/>
        </w:rPr>
      </w:pPr>
      <w:r>
        <w:rPr>
          <w:rFonts w:ascii="Arial" w:cs="Arial" w:eastAsia="Arial" w:hAnsi="Arial"/>
          <w:sz w:val="18"/>
          <w:szCs w:val="18"/>
          <w:color w:val="auto"/>
        </w:rPr>
        <w:t>Gyricon, LLC</w:t>
      </w:r>
    </w:p>
    <w:p>
      <w:pPr>
        <w:spacing w:after="0" w:line="235" w:lineRule="auto"/>
        <w:rPr>
          <w:sz w:val="20"/>
          <w:szCs w:val="20"/>
          <w:color w:val="auto"/>
        </w:rPr>
      </w:pPr>
      <w:r>
        <w:rPr>
          <w:rFonts w:ascii="Arial" w:cs="Arial" w:eastAsia="Arial" w:hAnsi="Arial"/>
          <w:sz w:val="18"/>
          <w:szCs w:val="18"/>
          <w:color w:val="auto"/>
        </w:rPr>
        <w:t>Infotonics Technology Center Inc.</w:t>
      </w:r>
    </w:p>
    <w:p>
      <w:pPr>
        <w:spacing w:after="0" w:line="235" w:lineRule="auto"/>
        <w:rPr>
          <w:sz w:val="20"/>
          <w:szCs w:val="20"/>
          <w:color w:val="auto"/>
        </w:rPr>
      </w:pPr>
      <w:r>
        <w:rPr>
          <w:rFonts w:ascii="Arial" w:cs="Arial" w:eastAsia="Arial" w:hAnsi="Arial"/>
          <w:sz w:val="18"/>
          <w:szCs w:val="18"/>
          <w:color w:val="auto"/>
        </w:rPr>
        <w:t>Institute for Research on Learning</w:t>
      </w:r>
    </w:p>
    <w:p>
      <w:pPr>
        <w:spacing w:after="0" w:line="235" w:lineRule="auto"/>
        <w:rPr>
          <w:sz w:val="20"/>
          <w:szCs w:val="20"/>
          <w:color w:val="auto"/>
        </w:rPr>
      </w:pPr>
      <w:r>
        <w:rPr>
          <w:rFonts w:ascii="Arial" w:cs="Arial" w:eastAsia="Arial" w:hAnsi="Arial"/>
          <w:sz w:val="18"/>
          <w:szCs w:val="18"/>
          <w:color w:val="auto"/>
        </w:rPr>
        <w:t>NewPARC LLC</w:t>
      </w:r>
    </w:p>
    <w:p>
      <w:pPr>
        <w:spacing w:after="0" w:line="234" w:lineRule="auto"/>
        <w:rPr>
          <w:sz w:val="20"/>
          <w:szCs w:val="20"/>
          <w:color w:val="auto"/>
        </w:rPr>
      </w:pPr>
      <w:r>
        <w:rPr>
          <w:rFonts w:ascii="Arial" w:cs="Arial" w:eastAsia="Arial" w:hAnsi="Arial"/>
          <w:sz w:val="18"/>
          <w:szCs w:val="18"/>
          <w:color w:val="auto"/>
        </w:rPr>
        <w:t>Pacific Services and Development Corporation</w:t>
      </w:r>
    </w:p>
    <w:p>
      <w:pPr>
        <w:spacing w:after="0" w:line="235" w:lineRule="auto"/>
        <w:rPr>
          <w:sz w:val="20"/>
          <w:szCs w:val="20"/>
          <w:color w:val="auto"/>
        </w:rPr>
      </w:pPr>
      <w:r>
        <w:rPr>
          <w:rFonts w:ascii="Arial" w:cs="Arial" w:eastAsia="Arial" w:hAnsi="Arial"/>
          <w:sz w:val="18"/>
          <w:szCs w:val="18"/>
          <w:color w:val="auto"/>
        </w:rPr>
        <w:t>Palo Alto Research Center Incorporated</w:t>
      </w:r>
    </w:p>
    <w:p>
      <w:pPr>
        <w:spacing w:after="0" w:line="235" w:lineRule="auto"/>
        <w:rPr>
          <w:sz w:val="20"/>
          <w:szCs w:val="20"/>
          <w:color w:val="auto"/>
        </w:rPr>
      </w:pPr>
      <w:r>
        <w:rPr>
          <w:rFonts w:ascii="Arial" w:cs="Arial" w:eastAsia="Arial" w:hAnsi="Arial"/>
          <w:sz w:val="18"/>
          <w:szCs w:val="18"/>
          <w:color w:val="auto"/>
        </w:rPr>
        <w:t>Proyectos Inverdoco, C.A.</w:t>
      </w:r>
    </w:p>
    <w:p>
      <w:pPr>
        <w:spacing w:after="0" w:line="235" w:lineRule="auto"/>
        <w:rPr>
          <w:sz w:val="20"/>
          <w:szCs w:val="20"/>
          <w:color w:val="auto"/>
        </w:rPr>
      </w:pPr>
      <w:r>
        <w:rPr>
          <w:rFonts w:ascii="Arial" w:cs="Arial" w:eastAsia="Arial" w:hAnsi="Arial"/>
          <w:sz w:val="18"/>
          <w:szCs w:val="18"/>
          <w:color w:val="auto"/>
        </w:rPr>
        <w:t>SCC Burton Corporation</w:t>
      </w:r>
    </w:p>
    <w:p>
      <w:pPr>
        <w:spacing w:after="0" w:line="235" w:lineRule="auto"/>
        <w:rPr>
          <w:sz w:val="20"/>
          <w:szCs w:val="20"/>
          <w:color w:val="auto"/>
        </w:rPr>
      </w:pPr>
      <w:r>
        <w:rPr>
          <w:rFonts w:ascii="Arial" w:cs="Arial" w:eastAsia="Arial" w:hAnsi="Arial"/>
          <w:sz w:val="18"/>
          <w:szCs w:val="18"/>
          <w:color w:val="auto"/>
        </w:rPr>
        <w:t>STHQ Realty LLC</w:t>
      </w:r>
    </w:p>
    <w:p>
      <w:pPr>
        <w:spacing w:after="0" w:line="235" w:lineRule="auto"/>
        <w:rPr>
          <w:sz w:val="20"/>
          <w:szCs w:val="20"/>
          <w:color w:val="auto"/>
        </w:rPr>
      </w:pPr>
      <w:r>
        <w:rPr>
          <w:rFonts w:ascii="Arial" w:cs="Arial" w:eastAsia="Arial" w:hAnsi="Arial"/>
          <w:sz w:val="18"/>
          <w:szCs w:val="18"/>
          <w:color w:val="auto"/>
        </w:rPr>
        <w:t>The Xerox Foundation</w:t>
      </w:r>
    </w:p>
    <w:p>
      <w:pPr>
        <w:spacing w:after="0" w:line="235" w:lineRule="auto"/>
        <w:rPr>
          <w:sz w:val="20"/>
          <w:szCs w:val="20"/>
          <w:color w:val="auto"/>
        </w:rPr>
      </w:pPr>
      <w:r>
        <w:rPr>
          <w:rFonts w:ascii="Arial" w:cs="Arial" w:eastAsia="Arial" w:hAnsi="Arial"/>
          <w:sz w:val="18"/>
          <w:szCs w:val="18"/>
          <w:color w:val="auto"/>
        </w:rPr>
        <w:t>Xerox Argentina Industrial y Comercial S.A.</w:t>
      </w:r>
    </w:p>
    <w:p>
      <w:pPr>
        <w:spacing w:after="0" w:line="235" w:lineRule="auto"/>
        <w:rPr>
          <w:sz w:val="20"/>
          <w:szCs w:val="20"/>
          <w:color w:val="auto"/>
        </w:rPr>
      </w:pPr>
      <w:r>
        <w:rPr>
          <w:rFonts w:ascii="Arial" w:cs="Arial" w:eastAsia="Arial" w:hAnsi="Arial"/>
          <w:sz w:val="18"/>
          <w:szCs w:val="18"/>
          <w:color w:val="auto"/>
        </w:rPr>
        <w:t>Xerox Canada Capital Ltd.</w:t>
      </w:r>
    </w:p>
    <w:p>
      <w:pPr>
        <w:spacing w:after="0" w:line="235" w:lineRule="auto"/>
        <w:rPr>
          <w:sz w:val="20"/>
          <w:szCs w:val="20"/>
          <w:color w:val="auto"/>
        </w:rPr>
      </w:pPr>
      <w:r>
        <w:rPr>
          <w:rFonts w:ascii="Arial" w:cs="Arial" w:eastAsia="Arial" w:hAnsi="Arial"/>
          <w:sz w:val="18"/>
          <w:szCs w:val="18"/>
          <w:color w:val="auto"/>
        </w:rPr>
        <w:t>Xerox Canada Inc.</w:t>
      </w:r>
    </w:p>
    <w:p>
      <w:pPr>
        <w:spacing w:after="0" w:line="234" w:lineRule="auto"/>
        <w:rPr>
          <w:sz w:val="20"/>
          <w:szCs w:val="20"/>
          <w:color w:val="auto"/>
        </w:rPr>
      </w:pPr>
      <w:r>
        <w:rPr>
          <w:rFonts w:ascii="Arial" w:cs="Arial" w:eastAsia="Arial" w:hAnsi="Arial"/>
          <w:sz w:val="18"/>
          <w:szCs w:val="18"/>
          <w:color w:val="auto"/>
        </w:rPr>
        <w:t>Xerox (Barbados) SRL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Approximo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Alabama</w:t>
      </w:r>
    </w:p>
    <w:p>
      <w:pPr>
        <w:spacing w:after="0" w:line="234" w:lineRule="auto"/>
        <w:rPr>
          <w:sz w:val="20"/>
          <w:szCs w:val="20"/>
          <w:color w:val="auto"/>
        </w:rPr>
      </w:pPr>
      <w:r>
        <w:rPr>
          <w:rFonts w:ascii="Arial" w:cs="Arial" w:eastAsia="Arial" w:hAnsi="Arial"/>
          <w:sz w:val="18"/>
          <w:szCs w:val="18"/>
          <w:color w:val="auto"/>
        </w:rPr>
        <w:t>Delaware</w:t>
      </w:r>
    </w:p>
    <w:p>
      <w:pPr>
        <w:spacing w:after="0" w:line="235" w:lineRule="auto"/>
        <w:rPr>
          <w:sz w:val="20"/>
          <w:szCs w:val="20"/>
          <w:color w:val="auto"/>
        </w:rPr>
      </w:pPr>
      <w:r>
        <w:rPr>
          <w:rFonts w:ascii="Arial" w:cs="Arial" w:eastAsia="Arial" w:hAnsi="Arial"/>
          <w:sz w:val="18"/>
          <w:szCs w:val="18"/>
          <w:color w:val="auto"/>
        </w:rPr>
        <w:t>South Carolina</w:t>
      </w:r>
    </w:p>
    <w:p>
      <w:pPr>
        <w:spacing w:after="0" w:line="235" w:lineRule="auto"/>
        <w:rPr>
          <w:sz w:val="20"/>
          <w:szCs w:val="20"/>
          <w:color w:val="auto"/>
        </w:rPr>
      </w:pPr>
      <w:r>
        <w:rPr>
          <w:rFonts w:ascii="Arial" w:cs="Arial" w:eastAsia="Arial" w:hAnsi="Arial"/>
          <w:sz w:val="18"/>
          <w:szCs w:val="18"/>
          <w:color w:val="auto"/>
        </w:rPr>
        <w:t>New York</w:t>
      </w:r>
    </w:p>
    <w:p>
      <w:pPr>
        <w:spacing w:after="0" w:line="235" w:lineRule="auto"/>
        <w:rPr>
          <w:sz w:val="20"/>
          <w:szCs w:val="20"/>
          <w:color w:val="auto"/>
        </w:rPr>
      </w:pPr>
      <w:r>
        <w:rPr>
          <w:rFonts w:ascii="Arial" w:cs="Arial" w:eastAsia="Arial" w:hAnsi="Arial"/>
          <w:sz w:val="18"/>
          <w:szCs w:val="18"/>
          <w:color w:val="auto"/>
        </w:rPr>
        <w:t>Illinois</w:t>
      </w:r>
    </w:p>
    <w:p>
      <w:pPr>
        <w:spacing w:after="0" w:line="235" w:lineRule="auto"/>
        <w:rPr>
          <w:sz w:val="20"/>
          <w:szCs w:val="20"/>
          <w:color w:val="auto"/>
        </w:rPr>
      </w:pPr>
      <w:r>
        <w:rPr>
          <w:rFonts w:ascii="Arial" w:cs="Arial" w:eastAsia="Arial" w:hAnsi="Arial"/>
          <w:sz w:val="18"/>
          <w:szCs w:val="18"/>
          <w:color w:val="auto"/>
        </w:rPr>
        <w:t>Ohio</w:t>
      </w:r>
    </w:p>
    <w:p>
      <w:pPr>
        <w:spacing w:after="0" w:line="235" w:lineRule="auto"/>
        <w:rPr>
          <w:sz w:val="20"/>
          <w:szCs w:val="20"/>
          <w:color w:val="auto"/>
        </w:rPr>
      </w:pPr>
      <w:r>
        <w:rPr>
          <w:rFonts w:ascii="Arial" w:cs="Arial" w:eastAsia="Arial" w:hAnsi="Arial"/>
          <w:sz w:val="18"/>
          <w:szCs w:val="18"/>
          <w:color w:val="auto"/>
        </w:rPr>
        <w:t>Ohio</w:t>
      </w:r>
    </w:p>
    <w:p>
      <w:pPr>
        <w:spacing w:after="0" w:line="235" w:lineRule="auto"/>
        <w:rPr>
          <w:sz w:val="20"/>
          <w:szCs w:val="20"/>
          <w:color w:val="auto"/>
        </w:rPr>
      </w:pPr>
      <w:r>
        <w:rPr>
          <w:rFonts w:ascii="Arial" w:cs="Arial" w:eastAsia="Arial" w:hAnsi="Arial"/>
          <w:sz w:val="18"/>
          <w:szCs w:val="18"/>
          <w:color w:val="auto"/>
        </w:rPr>
        <w:t>Ohio</w:t>
      </w:r>
    </w:p>
    <w:p>
      <w:pPr>
        <w:spacing w:after="0" w:line="235" w:lineRule="auto"/>
        <w:rPr>
          <w:sz w:val="20"/>
          <w:szCs w:val="20"/>
          <w:color w:val="auto"/>
        </w:rPr>
      </w:pPr>
      <w:r>
        <w:rPr>
          <w:rFonts w:ascii="Arial" w:cs="Arial" w:eastAsia="Arial" w:hAnsi="Arial"/>
          <w:sz w:val="18"/>
          <w:szCs w:val="18"/>
          <w:color w:val="auto"/>
        </w:rPr>
        <w:t>Ohio</w:t>
      </w:r>
    </w:p>
    <w:p>
      <w:pPr>
        <w:spacing w:after="0" w:line="235" w:lineRule="auto"/>
        <w:rPr>
          <w:sz w:val="20"/>
          <w:szCs w:val="20"/>
          <w:color w:val="auto"/>
        </w:rPr>
      </w:pPr>
      <w:r>
        <w:rPr>
          <w:rFonts w:ascii="Arial" w:cs="Arial" w:eastAsia="Arial" w:hAnsi="Arial"/>
          <w:sz w:val="18"/>
          <w:szCs w:val="18"/>
          <w:color w:val="auto"/>
        </w:rPr>
        <w:t>Delaware</w:t>
      </w:r>
    </w:p>
    <w:p>
      <w:pPr>
        <w:spacing w:after="0" w:line="234" w:lineRule="auto"/>
        <w:rPr>
          <w:sz w:val="20"/>
          <w:szCs w:val="20"/>
          <w:color w:val="auto"/>
        </w:rPr>
      </w:pPr>
      <w:r>
        <w:rPr>
          <w:rFonts w:ascii="Arial" w:cs="Arial" w:eastAsia="Arial" w:hAnsi="Arial"/>
          <w:sz w:val="18"/>
          <w:szCs w:val="18"/>
          <w:color w:val="auto"/>
        </w:rPr>
        <w:t>New York</w:t>
      </w:r>
    </w:p>
    <w:p>
      <w:pPr>
        <w:spacing w:after="0" w:line="235" w:lineRule="auto"/>
        <w:rPr>
          <w:sz w:val="20"/>
          <w:szCs w:val="20"/>
          <w:color w:val="auto"/>
        </w:rPr>
      </w:pPr>
      <w:r>
        <w:rPr>
          <w:rFonts w:ascii="Arial" w:cs="Arial" w:eastAsia="Arial" w:hAnsi="Arial"/>
          <w:sz w:val="18"/>
          <w:szCs w:val="18"/>
          <w:color w:val="auto"/>
        </w:rPr>
        <w:t>Rhode Island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New Hampshire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Maine</w:t>
      </w:r>
    </w:p>
    <w:p>
      <w:pPr>
        <w:spacing w:after="0" w:line="234" w:lineRule="auto"/>
        <w:rPr>
          <w:sz w:val="20"/>
          <w:szCs w:val="20"/>
          <w:color w:val="auto"/>
        </w:rPr>
      </w:pPr>
      <w:r>
        <w:rPr>
          <w:rFonts w:ascii="Arial" w:cs="Arial" w:eastAsia="Arial" w:hAnsi="Arial"/>
          <w:sz w:val="18"/>
          <w:szCs w:val="18"/>
          <w:color w:val="auto"/>
        </w:rPr>
        <w:t>Massachusetts</w:t>
      </w:r>
    </w:p>
    <w:p>
      <w:pPr>
        <w:spacing w:after="0" w:line="235" w:lineRule="auto"/>
        <w:rPr>
          <w:sz w:val="20"/>
          <w:szCs w:val="20"/>
          <w:color w:val="auto"/>
        </w:rPr>
      </w:pPr>
      <w:r>
        <w:rPr>
          <w:rFonts w:ascii="Arial" w:cs="Arial" w:eastAsia="Arial" w:hAnsi="Arial"/>
          <w:sz w:val="18"/>
          <w:szCs w:val="18"/>
          <w:color w:val="auto"/>
        </w:rPr>
        <w:t>New York</w:t>
      </w:r>
    </w:p>
    <w:p>
      <w:pPr>
        <w:spacing w:after="0" w:line="235" w:lineRule="auto"/>
        <w:rPr>
          <w:sz w:val="20"/>
          <w:szCs w:val="20"/>
          <w:color w:val="auto"/>
        </w:rPr>
      </w:pPr>
      <w:r>
        <w:rPr>
          <w:rFonts w:ascii="Arial" w:cs="Arial" w:eastAsia="Arial" w:hAnsi="Arial"/>
          <w:sz w:val="18"/>
          <w:szCs w:val="18"/>
          <w:color w:val="auto"/>
        </w:rPr>
        <w:t>Massachusetts</w:t>
      </w:r>
    </w:p>
    <w:p>
      <w:pPr>
        <w:spacing w:after="0" w:line="235" w:lineRule="auto"/>
        <w:rPr>
          <w:sz w:val="20"/>
          <w:szCs w:val="20"/>
          <w:color w:val="auto"/>
        </w:rPr>
      </w:pPr>
      <w:r>
        <w:rPr>
          <w:rFonts w:ascii="Arial" w:cs="Arial" w:eastAsia="Arial" w:hAnsi="Arial"/>
          <w:sz w:val="18"/>
          <w:szCs w:val="18"/>
          <w:color w:val="auto"/>
        </w:rPr>
        <w:t>Indiana</w:t>
      </w:r>
    </w:p>
    <w:p>
      <w:pPr>
        <w:spacing w:after="0" w:line="235" w:lineRule="auto"/>
        <w:rPr>
          <w:sz w:val="20"/>
          <w:szCs w:val="20"/>
          <w:color w:val="auto"/>
        </w:rPr>
      </w:pPr>
      <w:r>
        <w:rPr>
          <w:rFonts w:ascii="Arial" w:cs="Arial" w:eastAsia="Arial" w:hAnsi="Arial"/>
          <w:sz w:val="18"/>
          <w:szCs w:val="18"/>
          <w:color w:val="auto"/>
        </w:rPr>
        <w:t>Indiana</w:t>
      </w:r>
    </w:p>
    <w:p>
      <w:pPr>
        <w:spacing w:after="0" w:line="235" w:lineRule="auto"/>
        <w:rPr>
          <w:sz w:val="20"/>
          <w:szCs w:val="20"/>
          <w:color w:val="auto"/>
        </w:rPr>
      </w:pPr>
      <w:r>
        <w:rPr>
          <w:rFonts w:ascii="Arial" w:cs="Arial" w:eastAsia="Arial" w:hAnsi="Arial"/>
          <w:sz w:val="18"/>
          <w:szCs w:val="18"/>
          <w:color w:val="auto"/>
        </w:rPr>
        <w:t>Oregon</w:t>
      </w:r>
    </w:p>
    <w:p>
      <w:pPr>
        <w:spacing w:after="0" w:line="235" w:lineRule="auto"/>
        <w:rPr>
          <w:sz w:val="20"/>
          <w:szCs w:val="20"/>
          <w:color w:val="auto"/>
        </w:rPr>
      </w:pPr>
      <w:r>
        <w:rPr>
          <w:rFonts w:ascii="Arial" w:cs="Arial" w:eastAsia="Arial" w:hAnsi="Arial"/>
          <w:sz w:val="18"/>
          <w:szCs w:val="18"/>
          <w:color w:val="auto"/>
        </w:rPr>
        <w:t>Texas</w:t>
      </w:r>
    </w:p>
    <w:p>
      <w:pPr>
        <w:spacing w:after="0" w:line="235" w:lineRule="auto"/>
        <w:rPr>
          <w:sz w:val="20"/>
          <w:szCs w:val="20"/>
          <w:color w:val="auto"/>
        </w:rPr>
      </w:pPr>
      <w:r>
        <w:rPr>
          <w:rFonts w:ascii="Arial" w:cs="Arial" w:eastAsia="Arial" w:hAnsi="Arial"/>
          <w:sz w:val="18"/>
          <w:szCs w:val="18"/>
          <w:color w:val="auto"/>
        </w:rPr>
        <w:t>Virginia</w:t>
      </w:r>
    </w:p>
    <w:p>
      <w:pPr>
        <w:spacing w:after="0" w:line="235" w:lineRule="auto"/>
        <w:rPr>
          <w:sz w:val="20"/>
          <w:szCs w:val="20"/>
          <w:color w:val="auto"/>
        </w:rPr>
      </w:pPr>
      <w:r>
        <w:rPr>
          <w:rFonts w:ascii="Arial" w:cs="Arial" w:eastAsia="Arial" w:hAnsi="Arial"/>
          <w:sz w:val="18"/>
          <w:szCs w:val="18"/>
          <w:color w:val="auto"/>
        </w:rPr>
        <w:t>Virginia</w:t>
      </w:r>
    </w:p>
    <w:p>
      <w:pPr>
        <w:spacing w:after="0" w:line="234" w:lineRule="auto"/>
        <w:rPr>
          <w:sz w:val="20"/>
          <w:szCs w:val="20"/>
          <w:color w:val="auto"/>
        </w:rPr>
      </w:pPr>
      <w:r>
        <w:rPr>
          <w:rFonts w:ascii="Arial" w:cs="Arial" w:eastAsia="Arial" w:hAnsi="Arial"/>
          <w:sz w:val="18"/>
          <w:szCs w:val="18"/>
          <w:color w:val="auto"/>
        </w:rPr>
        <w:t>Georgia</w:t>
      </w:r>
    </w:p>
    <w:p>
      <w:pPr>
        <w:spacing w:after="0" w:line="235" w:lineRule="auto"/>
        <w:rPr>
          <w:sz w:val="20"/>
          <w:szCs w:val="20"/>
          <w:color w:val="auto"/>
        </w:rPr>
      </w:pPr>
      <w:r>
        <w:rPr>
          <w:rFonts w:ascii="Arial" w:cs="Arial" w:eastAsia="Arial" w:hAnsi="Arial"/>
          <w:sz w:val="18"/>
          <w:szCs w:val="18"/>
          <w:color w:val="auto"/>
        </w:rPr>
        <w:t>Georgia</w:t>
      </w:r>
    </w:p>
    <w:p>
      <w:pPr>
        <w:spacing w:after="0" w:line="235" w:lineRule="auto"/>
        <w:rPr>
          <w:sz w:val="20"/>
          <w:szCs w:val="20"/>
          <w:color w:val="auto"/>
        </w:rPr>
      </w:pPr>
      <w:r>
        <w:rPr>
          <w:rFonts w:ascii="Arial" w:cs="Arial" w:eastAsia="Arial" w:hAnsi="Arial"/>
          <w:sz w:val="18"/>
          <w:szCs w:val="18"/>
          <w:color w:val="auto"/>
        </w:rPr>
        <w:t>Texas (34)</w:t>
      </w:r>
    </w:p>
    <w:p>
      <w:pPr>
        <w:spacing w:after="0" w:line="235" w:lineRule="auto"/>
        <w:rPr>
          <w:sz w:val="20"/>
          <w:szCs w:val="20"/>
          <w:color w:val="auto"/>
        </w:rPr>
      </w:pPr>
      <w:r>
        <w:rPr>
          <w:rFonts w:ascii="Arial" w:cs="Arial" w:eastAsia="Arial" w:hAnsi="Arial"/>
          <w:sz w:val="18"/>
          <w:szCs w:val="18"/>
          <w:color w:val="auto"/>
        </w:rPr>
        <w:t>Kansas</w:t>
      </w:r>
    </w:p>
    <w:p>
      <w:pPr>
        <w:spacing w:after="0" w:line="235" w:lineRule="auto"/>
        <w:rPr>
          <w:sz w:val="20"/>
          <w:szCs w:val="20"/>
          <w:color w:val="auto"/>
        </w:rPr>
      </w:pPr>
      <w:r>
        <w:rPr>
          <w:rFonts w:ascii="Arial" w:cs="Arial" w:eastAsia="Arial" w:hAnsi="Arial"/>
          <w:sz w:val="18"/>
          <w:szCs w:val="18"/>
          <w:color w:val="auto"/>
        </w:rPr>
        <w:t>Massachusetts</w:t>
      </w:r>
    </w:p>
    <w:p>
      <w:pPr>
        <w:spacing w:after="0" w:line="235" w:lineRule="auto"/>
        <w:rPr>
          <w:sz w:val="20"/>
          <w:szCs w:val="20"/>
          <w:color w:val="auto"/>
        </w:rPr>
      </w:pPr>
      <w:r>
        <w:rPr>
          <w:rFonts w:ascii="Arial" w:cs="Arial" w:eastAsia="Arial" w:hAnsi="Arial"/>
          <w:sz w:val="18"/>
          <w:szCs w:val="18"/>
          <w:color w:val="auto"/>
        </w:rPr>
        <w:t>California</w:t>
      </w:r>
    </w:p>
    <w:p>
      <w:pPr>
        <w:spacing w:after="0" w:line="235" w:lineRule="auto"/>
        <w:rPr>
          <w:sz w:val="20"/>
          <w:szCs w:val="20"/>
          <w:color w:val="auto"/>
        </w:rPr>
      </w:pPr>
      <w:r>
        <w:rPr>
          <w:rFonts w:ascii="Arial" w:cs="Arial" w:eastAsia="Arial" w:hAnsi="Arial"/>
          <w:sz w:val="18"/>
          <w:szCs w:val="18"/>
          <w:color w:val="auto"/>
        </w:rPr>
        <w:t>Nevada</w:t>
      </w:r>
    </w:p>
    <w:p>
      <w:pPr>
        <w:spacing w:after="0" w:line="235" w:lineRule="auto"/>
        <w:rPr>
          <w:sz w:val="20"/>
          <w:szCs w:val="20"/>
          <w:color w:val="auto"/>
        </w:rPr>
      </w:pPr>
      <w:r>
        <w:rPr>
          <w:rFonts w:ascii="Arial" w:cs="Arial" w:eastAsia="Arial" w:hAnsi="Arial"/>
          <w:sz w:val="18"/>
          <w:szCs w:val="18"/>
          <w:color w:val="auto"/>
        </w:rPr>
        <w:t>Delaware</w:t>
      </w:r>
    </w:p>
    <w:p>
      <w:pPr>
        <w:spacing w:after="0" w:line="235" w:lineRule="auto"/>
        <w:rPr>
          <w:sz w:val="20"/>
          <w:szCs w:val="20"/>
          <w:color w:val="auto"/>
        </w:rPr>
      </w:pPr>
      <w:r>
        <w:rPr>
          <w:rFonts w:ascii="Arial" w:cs="Arial" w:eastAsia="Arial" w:hAnsi="Arial"/>
          <w:sz w:val="18"/>
          <w:szCs w:val="18"/>
          <w:color w:val="auto"/>
        </w:rPr>
        <w:t>Colorado</w:t>
      </w:r>
    </w:p>
    <w:p>
      <w:pPr>
        <w:spacing w:after="0" w:line="234" w:lineRule="auto"/>
        <w:rPr>
          <w:sz w:val="20"/>
          <w:szCs w:val="20"/>
          <w:color w:val="auto"/>
        </w:rPr>
      </w:pPr>
      <w:r>
        <w:rPr>
          <w:rFonts w:ascii="Arial" w:cs="Arial" w:eastAsia="Arial" w:hAnsi="Arial"/>
          <w:sz w:val="18"/>
          <w:szCs w:val="18"/>
          <w:color w:val="auto"/>
        </w:rPr>
        <w:t>New Mexico</w:t>
      </w:r>
    </w:p>
    <w:p>
      <w:pPr>
        <w:spacing w:after="0" w:line="235" w:lineRule="auto"/>
        <w:rPr>
          <w:sz w:val="20"/>
          <w:szCs w:val="20"/>
          <w:color w:val="auto"/>
        </w:rPr>
      </w:pPr>
      <w:r>
        <w:rPr>
          <w:rFonts w:ascii="Arial" w:cs="Arial" w:eastAsia="Arial" w:hAnsi="Arial"/>
          <w:sz w:val="18"/>
          <w:szCs w:val="18"/>
          <w:color w:val="auto"/>
        </w:rPr>
        <w:t>Michigan</w:t>
      </w:r>
    </w:p>
    <w:p>
      <w:pPr>
        <w:spacing w:after="0" w:line="235" w:lineRule="auto"/>
        <w:rPr>
          <w:sz w:val="20"/>
          <w:szCs w:val="20"/>
          <w:color w:val="auto"/>
        </w:rPr>
      </w:pPr>
      <w:r>
        <w:rPr>
          <w:rFonts w:ascii="Arial" w:cs="Arial" w:eastAsia="Arial" w:hAnsi="Arial"/>
          <w:sz w:val="18"/>
          <w:szCs w:val="18"/>
          <w:color w:val="auto"/>
        </w:rPr>
        <w:t>Minnesota</w:t>
      </w:r>
    </w:p>
    <w:p>
      <w:pPr>
        <w:spacing w:after="0" w:line="235" w:lineRule="auto"/>
        <w:rPr>
          <w:sz w:val="20"/>
          <w:szCs w:val="20"/>
          <w:color w:val="auto"/>
        </w:rPr>
      </w:pPr>
      <w:r>
        <w:rPr>
          <w:rFonts w:ascii="Arial" w:cs="Arial" w:eastAsia="Arial" w:hAnsi="Arial"/>
          <w:sz w:val="18"/>
          <w:szCs w:val="18"/>
          <w:color w:val="auto"/>
        </w:rPr>
        <w:t>California</w:t>
      </w:r>
    </w:p>
    <w:p>
      <w:pPr>
        <w:spacing w:after="0" w:line="235" w:lineRule="auto"/>
        <w:rPr>
          <w:sz w:val="20"/>
          <w:szCs w:val="20"/>
          <w:color w:val="auto"/>
        </w:rPr>
      </w:pPr>
      <w:r>
        <w:rPr>
          <w:rFonts w:ascii="Arial" w:cs="Arial" w:eastAsia="Arial" w:hAnsi="Arial"/>
          <w:sz w:val="18"/>
          <w:szCs w:val="18"/>
          <w:color w:val="auto"/>
        </w:rPr>
        <w:t>California</w:t>
      </w:r>
    </w:p>
    <w:p>
      <w:pPr>
        <w:spacing w:after="0" w:line="235" w:lineRule="auto"/>
        <w:rPr>
          <w:sz w:val="20"/>
          <w:szCs w:val="20"/>
          <w:color w:val="auto"/>
        </w:rPr>
      </w:pPr>
      <w:r>
        <w:rPr>
          <w:rFonts w:ascii="Arial" w:cs="Arial" w:eastAsia="Arial" w:hAnsi="Arial"/>
          <w:sz w:val="18"/>
          <w:szCs w:val="18"/>
          <w:color w:val="auto"/>
        </w:rPr>
        <w:t>California</w:t>
      </w:r>
    </w:p>
    <w:p>
      <w:pPr>
        <w:spacing w:after="0" w:line="235" w:lineRule="auto"/>
        <w:rPr>
          <w:sz w:val="20"/>
          <w:szCs w:val="20"/>
          <w:color w:val="auto"/>
        </w:rPr>
      </w:pPr>
      <w:r>
        <w:rPr>
          <w:rFonts w:ascii="Arial" w:cs="Arial" w:eastAsia="Arial" w:hAnsi="Arial"/>
          <w:sz w:val="18"/>
          <w:szCs w:val="18"/>
          <w:color w:val="auto"/>
        </w:rPr>
        <w:t>Washington</w:t>
      </w:r>
    </w:p>
    <w:p>
      <w:pPr>
        <w:spacing w:after="0" w:line="235" w:lineRule="auto"/>
        <w:rPr>
          <w:sz w:val="20"/>
          <w:szCs w:val="20"/>
          <w:color w:val="auto"/>
        </w:rPr>
      </w:pPr>
      <w:r>
        <w:rPr>
          <w:rFonts w:ascii="Arial" w:cs="Arial" w:eastAsia="Arial" w:hAnsi="Arial"/>
          <w:sz w:val="18"/>
          <w:szCs w:val="18"/>
          <w:color w:val="auto"/>
        </w:rPr>
        <w:t>Idaho</w:t>
      </w:r>
    </w:p>
    <w:p>
      <w:pPr>
        <w:spacing w:after="0" w:line="235" w:lineRule="auto"/>
        <w:rPr>
          <w:sz w:val="20"/>
          <w:szCs w:val="20"/>
          <w:color w:val="auto"/>
        </w:rPr>
      </w:pPr>
      <w:r>
        <w:rPr>
          <w:rFonts w:ascii="Arial" w:cs="Arial" w:eastAsia="Arial" w:hAnsi="Arial"/>
          <w:sz w:val="18"/>
          <w:szCs w:val="18"/>
          <w:color w:val="auto"/>
        </w:rPr>
        <w:t>Florida</w:t>
      </w:r>
    </w:p>
    <w:p>
      <w:pPr>
        <w:spacing w:after="0" w:line="234" w:lineRule="auto"/>
        <w:rPr>
          <w:sz w:val="20"/>
          <w:szCs w:val="20"/>
          <w:color w:val="auto"/>
        </w:rPr>
      </w:pPr>
      <w:r>
        <w:rPr>
          <w:rFonts w:ascii="Arial" w:cs="Arial" w:eastAsia="Arial" w:hAnsi="Arial"/>
          <w:sz w:val="18"/>
          <w:szCs w:val="18"/>
          <w:color w:val="auto"/>
        </w:rPr>
        <w:t>New Jersey</w:t>
      </w:r>
    </w:p>
    <w:p>
      <w:pPr>
        <w:spacing w:after="0" w:line="235" w:lineRule="auto"/>
        <w:rPr>
          <w:sz w:val="20"/>
          <w:szCs w:val="20"/>
          <w:color w:val="auto"/>
        </w:rPr>
      </w:pPr>
      <w:r>
        <w:rPr>
          <w:rFonts w:ascii="Arial" w:cs="Arial" w:eastAsia="Arial" w:hAnsi="Arial"/>
          <w:sz w:val="18"/>
          <w:szCs w:val="18"/>
          <w:color w:val="auto"/>
        </w:rPr>
        <w:t>Georgia</w:t>
      </w:r>
    </w:p>
    <w:p>
      <w:pPr>
        <w:spacing w:after="0" w:line="235" w:lineRule="auto"/>
        <w:rPr>
          <w:sz w:val="20"/>
          <w:szCs w:val="20"/>
          <w:color w:val="auto"/>
        </w:rPr>
      </w:pPr>
      <w:r>
        <w:rPr>
          <w:rFonts w:ascii="Arial" w:cs="Arial" w:eastAsia="Arial" w:hAnsi="Arial"/>
          <w:sz w:val="18"/>
          <w:szCs w:val="18"/>
          <w:color w:val="auto"/>
        </w:rPr>
        <w:t>Alabama</w:t>
      </w:r>
    </w:p>
    <w:p>
      <w:pPr>
        <w:spacing w:after="0" w:line="235" w:lineRule="auto"/>
        <w:rPr>
          <w:sz w:val="20"/>
          <w:szCs w:val="20"/>
          <w:color w:val="auto"/>
        </w:rPr>
      </w:pPr>
      <w:r>
        <w:rPr>
          <w:rFonts w:ascii="Arial" w:cs="Arial" w:eastAsia="Arial" w:hAnsi="Arial"/>
          <w:sz w:val="18"/>
          <w:szCs w:val="18"/>
          <w:color w:val="auto"/>
        </w:rPr>
        <w:t>California</w:t>
      </w:r>
    </w:p>
    <w:p>
      <w:pPr>
        <w:spacing w:after="0" w:line="235" w:lineRule="auto"/>
        <w:rPr>
          <w:sz w:val="20"/>
          <w:szCs w:val="20"/>
          <w:color w:val="auto"/>
        </w:rPr>
      </w:pPr>
      <w:r>
        <w:rPr>
          <w:rFonts w:ascii="Arial" w:cs="Arial" w:eastAsia="Arial" w:hAnsi="Arial"/>
          <w:sz w:val="18"/>
          <w:szCs w:val="18"/>
          <w:color w:val="auto"/>
        </w:rPr>
        <w:t>Delaware</w:t>
      </w:r>
    </w:p>
    <w:p>
      <w:pPr>
        <w:spacing w:after="0" w:line="235" w:lineRule="auto"/>
        <w:rPr>
          <w:sz w:val="20"/>
          <w:szCs w:val="20"/>
          <w:color w:val="auto"/>
        </w:rPr>
      </w:pPr>
      <w:r>
        <w:rPr>
          <w:rFonts w:ascii="Arial" w:cs="Arial" w:eastAsia="Arial" w:hAnsi="Arial"/>
          <w:sz w:val="18"/>
          <w:szCs w:val="18"/>
          <w:color w:val="auto"/>
        </w:rPr>
        <w:t>New York (15)</w:t>
      </w:r>
    </w:p>
    <w:p>
      <w:pPr>
        <w:spacing w:after="0" w:line="235" w:lineRule="auto"/>
        <w:rPr>
          <w:sz w:val="20"/>
          <w:szCs w:val="20"/>
          <w:color w:val="auto"/>
        </w:rPr>
      </w:pPr>
      <w:r>
        <w:rPr>
          <w:rFonts w:ascii="Arial" w:cs="Arial" w:eastAsia="Arial" w:hAnsi="Arial"/>
          <w:sz w:val="18"/>
          <w:szCs w:val="18"/>
          <w:color w:val="auto"/>
        </w:rPr>
        <w:t>Delaware</w:t>
      </w:r>
    </w:p>
    <w:p>
      <w:pPr>
        <w:spacing w:after="0" w:line="235" w:lineRule="auto"/>
        <w:rPr>
          <w:sz w:val="20"/>
          <w:szCs w:val="20"/>
          <w:color w:val="auto"/>
        </w:rPr>
      </w:pPr>
      <w:r>
        <w:rPr>
          <w:rFonts w:ascii="Arial" w:cs="Arial" w:eastAsia="Arial" w:hAnsi="Arial"/>
          <w:sz w:val="18"/>
          <w:szCs w:val="18"/>
          <w:color w:val="auto"/>
        </w:rPr>
        <w:t>Delaware</w:t>
      </w:r>
    </w:p>
    <w:p>
      <w:pPr>
        <w:spacing w:after="0" w:line="235" w:lineRule="auto"/>
        <w:rPr>
          <w:sz w:val="20"/>
          <w:szCs w:val="20"/>
          <w:color w:val="auto"/>
        </w:rPr>
      </w:pPr>
      <w:r>
        <w:rPr>
          <w:rFonts w:ascii="Arial" w:cs="Arial" w:eastAsia="Arial" w:hAnsi="Arial"/>
          <w:sz w:val="18"/>
          <w:szCs w:val="18"/>
          <w:color w:val="auto"/>
        </w:rPr>
        <w:t>Delaware</w:t>
      </w:r>
    </w:p>
    <w:p>
      <w:pPr>
        <w:spacing w:after="0" w:line="234" w:lineRule="auto"/>
        <w:rPr>
          <w:sz w:val="20"/>
          <w:szCs w:val="20"/>
          <w:color w:val="auto"/>
        </w:rPr>
      </w:pPr>
      <w:r>
        <w:rPr>
          <w:rFonts w:ascii="Arial" w:cs="Arial" w:eastAsia="Arial" w:hAnsi="Arial"/>
          <w:sz w:val="18"/>
          <w:szCs w:val="18"/>
          <w:color w:val="auto"/>
        </w:rPr>
        <w:t>Delaware</w:t>
      </w:r>
    </w:p>
    <w:p>
      <w:pPr>
        <w:spacing w:after="0" w:line="235" w:lineRule="auto"/>
        <w:rPr>
          <w:sz w:val="20"/>
          <w:szCs w:val="20"/>
          <w:color w:val="auto"/>
        </w:rPr>
      </w:pPr>
      <w:r>
        <w:rPr>
          <w:rFonts w:ascii="Arial" w:cs="Arial" w:eastAsia="Arial" w:hAnsi="Arial"/>
          <w:sz w:val="18"/>
          <w:szCs w:val="18"/>
          <w:color w:val="auto"/>
        </w:rPr>
        <w:t>Venezuela</w:t>
      </w:r>
    </w:p>
    <w:p>
      <w:pPr>
        <w:spacing w:after="0" w:line="235" w:lineRule="auto"/>
        <w:rPr>
          <w:sz w:val="20"/>
          <w:szCs w:val="20"/>
          <w:color w:val="auto"/>
        </w:rPr>
      </w:pPr>
      <w:r>
        <w:rPr>
          <w:rFonts w:ascii="Arial" w:cs="Arial" w:eastAsia="Arial" w:hAnsi="Arial"/>
          <w:sz w:val="18"/>
          <w:szCs w:val="18"/>
          <w:color w:val="auto"/>
        </w:rPr>
        <w:t>Delaware</w:t>
      </w:r>
    </w:p>
    <w:p>
      <w:pPr>
        <w:spacing w:after="0" w:line="235" w:lineRule="auto"/>
        <w:rPr>
          <w:sz w:val="20"/>
          <w:szCs w:val="20"/>
          <w:color w:val="auto"/>
        </w:rPr>
      </w:pPr>
      <w:r>
        <w:rPr>
          <w:rFonts w:ascii="Arial" w:cs="Arial" w:eastAsia="Arial" w:hAnsi="Arial"/>
          <w:sz w:val="18"/>
          <w:szCs w:val="18"/>
          <w:color w:val="auto"/>
        </w:rPr>
        <w:t>Delaware</w:t>
      </w:r>
    </w:p>
    <w:p>
      <w:pPr>
        <w:spacing w:after="0" w:line="235" w:lineRule="auto"/>
        <w:rPr>
          <w:sz w:val="20"/>
          <w:szCs w:val="20"/>
          <w:color w:val="auto"/>
        </w:rPr>
      </w:pPr>
      <w:r>
        <w:rPr>
          <w:rFonts w:ascii="Arial" w:cs="Arial" w:eastAsia="Arial" w:hAnsi="Arial"/>
          <w:sz w:val="18"/>
          <w:szCs w:val="18"/>
          <w:color w:val="auto"/>
        </w:rPr>
        <w:t>Delaware</w:t>
      </w:r>
    </w:p>
    <w:p>
      <w:pPr>
        <w:spacing w:after="0" w:line="235" w:lineRule="auto"/>
        <w:rPr>
          <w:sz w:val="20"/>
          <w:szCs w:val="20"/>
          <w:color w:val="auto"/>
        </w:rPr>
      </w:pPr>
      <w:r>
        <w:rPr>
          <w:rFonts w:ascii="Arial" w:cs="Arial" w:eastAsia="Arial" w:hAnsi="Arial"/>
          <w:sz w:val="18"/>
          <w:szCs w:val="18"/>
          <w:color w:val="auto"/>
        </w:rPr>
        <w:t>Argentina (1)</w:t>
      </w:r>
    </w:p>
    <w:p>
      <w:pPr>
        <w:spacing w:after="0" w:line="235" w:lineRule="auto"/>
        <w:rPr>
          <w:sz w:val="20"/>
          <w:szCs w:val="20"/>
          <w:color w:val="auto"/>
        </w:rPr>
      </w:pPr>
      <w:r>
        <w:rPr>
          <w:rFonts w:ascii="Arial" w:cs="Arial" w:eastAsia="Arial" w:hAnsi="Arial"/>
          <w:sz w:val="18"/>
          <w:szCs w:val="18"/>
          <w:color w:val="auto"/>
        </w:rPr>
        <w:t>Canada</w:t>
      </w:r>
    </w:p>
    <w:p>
      <w:pPr>
        <w:spacing w:after="0" w:line="235" w:lineRule="auto"/>
        <w:rPr>
          <w:sz w:val="20"/>
          <w:szCs w:val="20"/>
          <w:color w:val="auto"/>
        </w:rPr>
      </w:pPr>
      <w:r>
        <w:rPr>
          <w:rFonts w:ascii="Arial" w:cs="Arial" w:eastAsia="Arial" w:hAnsi="Arial"/>
          <w:sz w:val="18"/>
          <w:szCs w:val="18"/>
          <w:color w:val="auto"/>
        </w:rPr>
        <w:t>Ontario</w:t>
      </w:r>
    </w:p>
    <w:p>
      <w:pPr>
        <w:spacing w:after="0" w:line="235" w:lineRule="auto"/>
        <w:rPr>
          <w:sz w:val="20"/>
          <w:szCs w:val="20"/>
          <w:color w:val="auto"/>
        </w:rPr>
      </w:pPr>
      <w:r>
        <w:rPr>
          <w:rFonts w:ascii="Arial" w:cs="Arial" w:eastAsia="Arial" w:hAnsi="Arial"/>
          <w:sz w:val="18"/>
          <w:szCs w:val="18"/>
          <w:color w:val="auto"/>
        </w:rPr>
        <w:t>Barbados (14)</w:t>
      </w:r>
    </w:p>
    <w:p>
      <w:pPr>
        <w:spacing w:after="0"/>
        <w:rPr>
          <w:sz w:val="20"/>
          <w:szCs w:val="20"/>
          <w:color w:val="auto"/>
        </w:rPr>
      </w:pPr>
      <w:r>
        <w:rPr>
          <w:rFonts w:ascii="Arial" w:cs="Arial" w:eastAsia="Arial" w:hAnsi="Arial"/>
          <w:sz w:val="18"/>
          <w:szCs w:val="18"/>
          <w:color w:val="auto"/>
        </w:rPr>
        <w:t>Ireland</w:t>
      </w:r>
    </w:p>
    <w:p>
      <w:pPr>
        <w:spacing w:after="0" w:line="134" w:lineRule="exact"/>
        <w:rPr>
          <w:sz w:val="20"/>
          <w:szCs w:val="20"/>
          <w:color w:val="auto"/>
        </w:rPr>
      </w:pPr>
    </w:p>
    <w:p>
      <w:pPr>
        <w:sectPr>
          <w:pgSz w:w="11900" w:h="16838" w:orient="portrait"/>
          <w:cols w:equalWidth="0" w:num="2">
            <w:col w:w="6460" w:space="720"/>
            <w:col w:w="3039"/>
          </w:cols>
          <w:pgMar w:left="240" w:top="287" w:right="1440" w:bottom="1440" w:gutter="0" w:footer="0" w:header="0"/>
        </w:sectPr>
      </w:pPr>
    </w:p>
    <w:p>
      <w:pPr>
        <w:ind w:left="5660"/>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0219"/>
          </w:cols>
          <w:pgMar w:left="240" w:top="287" w:right="1440" w:bottom="1440" w:gutter="0" w:footer="0" w:header="0"/>
          <w:type w:val="continuous"/>
        </w:sectPr>
      </w:pPr>
    </w:p>
    <w:bookmarkStart w:id="187" w:name="page188"/>
    <w:bookmarkEnd w:id="18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Mega Colour Limited</w:t>
      </w:r>
    </w:p>
    <w:p>
      <w:pPr>
        <w:spacing w:after="0" w:line="234" w:lineRule="auto"/>
        <w:rPr>
          <w:sz w:val="20"/>
          <w:szCs w:val="20"/>
          <w:color w:val="auto"/>
        </w:rPr>
      </w:pPr>
      <w:r>
        <w:rPr>
          <w:rFonts w:ascii="Arial" w:cs="Arial" w:eastAsia="Arial" w:hAnsi="Arial"/>
          <w:sz w:val="18"/>
          <w:szCs w:val="18"/>
          <w:color w:val="auto"/>
        </w:rPr>
        <w:t>Oriel Star Limited</w:t>
      </w:r>
    </w:p>
    <w:p>
      <w:pPr>
        <w:spacing w:after="0" w:line="235" w:lineRule="auto"/>
        <w:rPr>
          <w:sz w:val="20"/>
          <w:szCs w:val="20"/>
          <w:color w:val="auto"/>
        </w:rPr>
      </w:pPr>
      <w:r>
        <w:rPr>
          <w:rFonts w:ascii="Arial" w:cs="Arial" w:eastAsia="Arial" w:hAnsi="Arial"/>
          <w:sz w:val="18"/>
          <w:szCs w:val="18"/>
          <w:color w:val="auto"/>
        </w:rPr>
        <w:t>Topspeed Limited</w:t>
      </w:r>
    </w:p>
    <w:p>
      <w:pPr>
        <w:spacing w:after="0" w:line="235" w:lineRule="auto"/>
        <w:rPr>
          <w:sz w:val="20"/>
          <w:szCs w:val="20"/>
          <w:color w:val="auto"/>
        </w:rPr>
      </w:pPr>
      <w:r>
        <w:rPr>
          <w:rFonts w:ascii="Arial" w:cs="Arial" w:eastAsia="Arial" w:hAnsi="Arial"/>
          <w:sz w:val="18"/>
          <w:szCs w:val="18"/>
          <w:color w:val="auto"/>
        </w:rPr>
        <w:t>Xerox (Barbados) Leasing SRL</w:t>
      </w:r>
    </w:p>
    <w:p>
      <w:pPr>
        <w:spacing w:after="0" w:line="235" w:lineRule="auto"/>
        <w:rPr>
          <w:sz w:val="20"/>
          <w:szCs w:val="20"/>
          <w:color w:val="auto"/>
        </w:rPr>
      </w:pPr>
      <w:r>
        <w:rPr>
          <w:rFonts w:ascii="Arial" w:cs="Arial" w:eastAsia="Arial" w:hAnsi="Arial"/>
          <w:sz w:val="18"/>
          <w:szCs w:val="18"/>
          <w:color w:val="auto"/>
        </w:rPr>
        <w:t>Xerox Finance (Luxembourg) Sarl</w:t>
      </w:r>
    </w:p>
    <w:p>
      <w:pPr>
        <w:spacing w:after="0" w:line="235" w:lineRule="auto"/>
        <w:rPr>
          <w:sz w:val="20"/>
          <w:szCs w:val="20"/>
          <w:color w:val="auto"/>
        </w:rPr>
      </w:pPr>
      <w:r>
        <w:rPr>
          <w:rFonts w:ascii="Arial" w:cs="Arial" w:eastAsia="Arial" w:hAnsi="Arial"/>
          <w:sz w:val="18"/>
          <w:szCs w:val="18"/>
          <w:color w:val="auto"/>
        </w:rPr>
        <w:t>Xerox Canada Facilities Management Inc.</w:t>
      </w:r>
    </w:p>
    <w:p>
      <w:pPr>
        <w:spacing w:after="0" w:line="235" w:lineRule="auto"/>
        <w:rPr>
          <w:sz w:val="20"/>
          <w:szCs w:val="20"/>
          <w:color w:val="auto"/>
        </w:rPr>
      </w:pPr>
      <w:r>
        <w:rPr>
          <w:rFonts w:ascii="Arial" w:cs="Arial" w:eastAsia="Arial" w:hAnsi="Arial"/>
          <w:sz w:val="18"/>
          <w:szCs w:val="18"/>
          <w:color w:val="auto"/>
        </w:rPr>
        <w:t>Xerox Canada Finance Inc.</w:t>
      </w:r>
    </w:p>
    <w:p>
      <w:pPr>
        <w:spacing w:after="0" w:line="235" w:lineRule="auto"/>
        <w:rPr>
          <w:sz w:val="20"/>
          <w:szCs w:val="20"/>
          <w:color w:val="auto"/>
        </w:rPr>
      </w:pPr>
      <w:r>
        <w:rPr>
          <w:rFonts w:ascii="Arial" w:cs="Arial" w:eastAsia="Arial" w:hAnsi="Arial"/>
          <w:sz w:val="18"/>
          <w:szCs w:val="18"/>
          <w:color w:val="auto"/>
        </w:rPr>
        <w:t>ACS Public Sector Solutions Inc.</w:t>
      </w:r>
    </w:p>
    <w:p>
      <w:pPr>
        <w:spacing w:after="0" w:line="235" w:lineRule="auto"/>
        <w:rPr>
          <w:sz w:val="20"/>
          <w:szCs w:val="20"/>
          <w:color w:val="auto"/>
        </w:rPr>
      </w:pPr>
      <w:r>
        <w:rPr>
          <w:rFonts w:ascii="Arial" w:cs="Arial" w:eastAsia="Arial" w:hAnsi="Arial"/>
          <w:sz w:val="18"/>
          <w:szCs w:val="18"/>
          <w:color w:val="auto"/>
        </w:rPr>
        <w:t>ACS Business Process Solutions de Mexico S.A. de C.V.</w:t>
      </w:r>
    </w:p>
    <w:p>
      <w:pPr>
        <w:spacing w:after="0" w:line="235" w:lineRule="auto"/>
        <w:rPr>
          <w:sz w:val="20"/>
          <w:szCs w:val="20"/>
          <w:color w:val="auto"/>
        </w:rPr>
      </w:pPr>
      <w:r>
        <w:rPr>
          <w:rFonts w:ascii="Arial" w:cs="Arial" w:eastAsia="Arial" w:hAnsi="Arial"/>
          <w:sz w:val="18"/>
          <w:szCs w:val="18"/>
          <w:color w:val="auto"/>
        </w:rPr>
        <w:t>ACS Government Solutions Canada Inc.</w:t>
      </w:r>
    </w:p>
    <w:p>
      <w:pPr>
        <w:spacing w:after="0" w:line="234" w:lineRule="auto"/>
        <w:rPr>
          <w:sz w:val="20"/>
          <w:szCs w:val="20"/>
          <w:color w:val="auto"/>
        </w:rPr>
      </w:pPr>
      <w:r>
        <w:rPr>
          <w:rFonts w:ascii="Arial" w:cs="Arial" w:eastAsia="Arial" w:hAnsi="Arial"/>
          <w:sz w:val="18"/>
          <w:szCs w:val="18"/>
          <w:color w:val="auto"/>
        </w:rPr>
        <w:t>Xerox Canada Leasing Partnership</w:t>
      </w:r>
    </w:p>
    <w:p>
      <w:pPr>
        <w:spacing w:after="0" w:line="235" w:lineRule="auto"/>
        <w:rPr>
          <w:sz w:val="20"/>
          <w:szCs w:val="20"/>
          <w:color w:val="auto"/>
        </w:rPr>
      </w:pPr>
      <w:r>
        <w:rPr>
          <w:rFonts w:ascii="Arial" w:cs="Arial" w:eastAsia="Arial" w:hAnsi="Arial"/>
          <w:sz w:val="18"/>
          <w:szCs w:val="18"/>
          <w:color w:val="auto"/>
        </w:rPr>
        <w:t>Xerox Canada Ltd.</w:t>
      </w:r>
    </w:p>
    <w:p>
      <w:pPr>
        <w:spacing w:after="0" w:line="235" w:lineRule="auto"/>
        <w:rPr>
          <w:sz w:val="20"/>
          <w:szCs w:val="20"/>
          <w:color w:val="auto"/>
        </w:rPr>
      </w:pPr>
      <w:r>
        <w:rPr>
          <w:rFonts w:ascii="Arial" w:cs="Arial" w:eastAsia="Arial" w:hAnsi="Arial"/>
          <w:sz w:val="18"/>
          <w:szCs w:val="18"/>
          <w:color w:val="auto"/>
        </w:rPr>
        <w:t>Ionographic Operations Partnership</w:t>
      </w:r>
    </w:p>
    <w:p>
      <w:pPr>
        <w:spacing w:after="0" w:line="235" w:lineRule="auto"/>
        <w:rPr>
          <w:sz w:val="20"/>
          <w:szCs w:val="20"/>
          <w:color w:val="auto"/>
        </w:rPr>
      </w:pPr>
      <w:r>
        <w:rPr>
          <w:rFonts w:ascii="Arial" w:cs="Arial" w:eastAsia="Arial" w:hAnsi="Arial"/>
          <w:sz w:val="18"/>
          <w:szCs w:val="18"/>
          <w:color w:val="auto"/>
        </w:rPr>
        <w:t>Xerox Capital LLC</w:t>
      </w:r>
    </w:p>
    <w:p>
      <w:pPr>
        <w:spacing w:after="0" w:line="235" w:lineRule="auto"/>
        <w:rPr>
          <w:sz w:val="20"/>
          <w:szCs w:val="20"/>
          <w:color w:val="auto"/>
        </w:rPr>
      </w:pPr>
      <w:r>
        <w:rPr>
          <w:rFonts w:ascii="Arial" w:cs="Arial" w:eastAsia="Arial" w:hAnsi="Arial"/>
          <w:sz w:val="18"/>
          <w:szCs w:val="18"/>
          <w:color w:val="auto"/>
        </w:rPr>
        <w:t>Xerox Capital Services, LLC</w:t>
      </w:r>
    </w:p>
    <w:p>
      <w:pPr>
        <w:spacing w:after="0" w:line="235" w:lineRule="auto"/>
        <w:rPr>
          <w:sz w:val="20"/>
          <w:szCs w:val="20"/>
          <w:color w:val="auto"/>
        </w:rPr>
      </w:pPr>
      <w:r>
        <w:rPr>
          <w:rFonts w:ascii="Arial" w:cs="Arial" w:eastAsia="Arial" w:hAnsi="Arial"/>
          <w:sz w:val="18"/>
          <w:szCs w:val="18"/>
          <w:color w:val="auto"/>
        </w:rPr>
        <w:t>Xerox Capital Trust I</w:t>
      </w:r>
    </w:p>
    <w:p>
      <w:pPr>
        <w:spacing w:after="0" w:line="235" w:lineRule="auto"/>
        <w:rPr>
          <w:sz w:val="20"/>
          <w:szCs w:val="20"/>
          <w:color w:val="auto"/>
        </w:rPr>
      </w:pPr>
      <w:r>
        <w:rPr>
          <w:rFonts w:ascii="Arial" w:cs="Arial" w:eastAsia="Arial" w:hAnsi="Arial"/>
          <w:sz w:val="18"/>
          <w:szCs w:val="18"/>
          <w:color w:val="auto"/>
        </w:rPr>
        <w:t>Xerox de Chile S.A.</w:t>
      </w:r>
    </w:p>
    <w:p>
      <w:pPr>
        <w:spacing w:after="0" w:line="235" w:lineRule="auto"/>
        <w:rPr>
          <w:sz w:val="20"/>
          <w:szCs w:val="20"/>
          <w:color w:val="auto"/>
        </w:rPr>
      </w:pPr>
      <w:r>
        <w:rPr>
          <w:rFonts w:ascii="Arial" w:cs="Arial" w:eastAsia="Arial" w:hAnsi="Arial"/>
          <w:sz w:val="18"/>
          <w:szCs w:val="18"/>
          <w:color w:val="auto"/>
        </w:rPr>
        <w:t>Xerox de Colombia S.A.</w:t>
      </w:r>
    </w:p>
    <w:p>
      <w:pPr>
        <w:spacing w:after="0" w:line="235" w:lineRule="auto"/>
        <w:rPr>
          <w:sz w:val="20"/>
          <w:szCs w:val="20"/>
          <w:color w:val="auto"/>
        </w:rPr>
      </w:pPr>
      <w:r>
        <w:rPr>
          <w:rFonts w:ascii="Arial" w:cs="Arial" w:eastAsia="Arial" w:hAnsi="Arial"/>
          <w:sz w:val="18"/>
          <w:szCs w:val="18"/>
          <w:color w:val="auto"/>
        </w:rPr>
        <w:t>Xerox Developing Markets Limited</w:t>
      </w:r>
    </w:p>
    <w:p>
      <w:pPr>
        <w:spacing w:after="0" w:line="234" w:lineRule="auto"/>
        <w:rPr>
          <w:sz w:val="20"/>
          <w:szCs w:val="20"/>
          <w:color w:val="auto"/>
        </w:rPr>
      </w:pPr>
      <w:r>
        <w:rPr>
          <w:rFonts w:ascii="Arial" w:cs="Arial" w:eastAsia="Arial" w:hAnsi="Arial"/>
          <w:sz w:val="18"/>
          <w:szCs w:val="18"/>
          <w:color w:val="auto"/>
        </w:rPr>
        <w:t>Sidh Securities Limited</w:t>
      </w:r>
    </w:p>
    <w:p>
      <w:pPr>
        <w:spacing w:after="0" w:line="235" w:lineRule="auto"/>
        <w:rPr>
          <w:sz w:val="20"/>
          <w:szCs w:val="20"/>
          <w:color w:val="auto"/>
        </w:rPr>
      </w:pPr>
      <w:r>
        <w:rPr>
          <w:rFonts w:ascii="Arial" w:cs="Arial" w:eastAsia="Arial" w:hAnsi="Arial"/>
          <w:sz w:val="18"/>
          <w:szCs w:val="18"/>
          <w:color w:val="auto"/>
        </w:rPr>
        <w:t>Xerox del Ecuador, S.A.</w:t>
      </w:r>
    </w:p>
    <w:p>
      <w:pPr>
        <w:spacing w:after="0" w:line="235" w:lineRule="auto"/>
        <w:rPr>
          <w:sz w:val="20"/>
          <w:szCs w:val="20"/>
          <w:color w:val="auto"/>
        </w:rPr>
      </w:pPr>
      <w:r>
        <w:rPr>
          <w:rFonts w:ascii="Arial" w:cs="Arial" w:eastAsia="Arial" w:hAnsi="Arial"/>
          <w:sz w:val="18"/>
          <w:szCs w:val="18"/>
          <w:color w:val="auto"/>
        </w:rPr>
        <w:t>Xerox Engineering Systems NV</w:t>
      </w:r>
    </w:p>
    <w:p>
      <w:pPr>
        <w:spacing w:after="0" w:line="235" w:lineRule="auto"/>
        <w:rPr>
          <w:sz w:val="20"/>
          <w:szCs w:val="20"/>
          <w:color w:val="auto"/>
        </w:rPr>
      </w:pPr>
      <w:r>
        <w:rPr>
          <w:rFonts w:ascii="Arial" w:cs="Arial" w:eastAsia="Arial" w:hAnsi="Arial"/>
          <w:sz w:val="18"/>
          <w:szCs w:val="18"/>
          <w:color w:val="auto"/>
        </w:rPr>
        <w:t>Xerox Export, LLC</w:t>
      </w:r>
    </w:p>
    <w:p>
      <w:pPr>
        <w:spacing w:after="0" w:line="235" w:lineRule="auto"/>
        <w:rPr>
          <w:sz w:val="20"/>
          <w:szCs w:val="20"/>
          <w:color w:val="auto"/>
        </w:rPr>
      </w:pPr>
      <w:r>
        <w:rPr>
          <w:rFonts w:ascii="Arial" w:cs="Arial" w:eastAsia="Arial" w:hAnsi="Arial"/>
          <w:sz w:val="18"/>
          <w:szCs w:val="18"/>
          <w:color w:val="auto"/>
        </w:rPr>
        <w:t>Xerox Europe Finance Limited Partnership</w:t>
      </w:r>
    </w:p>
    <w:p>
      <w:pPr>
        <w:spacing w:after="0" w:line="235" w:lineRule="auto"/>
        <w:rPr>
          <w:sz w:val="20"/>
          <w:szCs w:val="20"/>
          <w:color w:val="auto"/>
        </w:rPr>
      </w:pPr>
      <w:r>
        <w:rPr>
          <w:rFonts w:ascii="Arial" w:cs="Arial" w:eastAsia="Arial" w:hAnsi="Arial"/>
          <w:sz w:val="18"/>
          <w:szCs w:val="18"/>
          <w:color w:val="auto"/>
        </w:rPr>
        <w:t>Xerox European Funding LLC</w:t>
      </w:r>
    </w:p>
    <w:p>
      <w:pPr>
        <w:spacing w:after="0"/>
        <w:rPr>
          <w:sz w:val="20"/>
          <w:szCs w:val="20"/>
          <w:color w:val="auto"/>
        </w:rPr>
      </w:pPr>
      <w:r>
        <w:rPr>
          <w:rFonts w:ascii="Arial" w:cs="Arial" w:eastAsia="Arial" w:hAnsi="Arial"/>
          <w:sz w:val="16"/>
          <w:szCs w:val="16"/>
          <w:color w:val="auto"/>
        </w:rPr>
        <w:t>Affiliated Computer Services Holdings (Luxembourg) S.A.R.L.</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Xerox Finance, Inc.</w:t>
      </w:r>
    </w:p>
    <w:p>
      <w:pPr>
        <w:spacing w:after="0" w:line="234" w:lineRule="auto"/>
        <w:rPr>
          <w:sz w:val="20"/>
          <w:szCs w:val="20"/>
          <w:color w:val="auto"/>
        </w:rPr>
      </w:pPr>
      <w:r>
        <w:rPr>
          <w:rFonts w:ascii="Arial" w:cs="Arial" w:eastAsia="Arial" w:hAnsi="Arial"/>
          <w:sz w:val="18"/>
          <w:szCs w:val="18"/>
          <w:color w:val="auto"/>
        </w:rPr>
        <w:t>Xerox Investments Holding (Bermuda) Limited</w:t>
      </w:r>
    </w:p>
    <w:p>
      <w:pPr>
        <w:spacing w:after="0" w:line="235" w:lineRule="auto"/>
        <w:rPr>
          <w:sz w:val="20"/>
          <w:szCs w:val="20"/>
          <w:color w:val="auto"/>
        </w:rPr>
      </w:pPr>
      <w:r>
        <w:rPr>
          <w:rFonts w:ascii="Arial" w:cs="Arial" w:eastAsia="Arial" w:hAnsi="Arial"/>
          <w:sz w:val="18"/>
          <w:szCs w:val="18"/>
          <w:color w:val="auto"/>
        </w:rPr>
        <w:t>Xerox Financial Services LLC</w:t>
      </w:r>
    </w:p>
    <w:p>
      <w:pPr>
        <w:spacing w:after="0" w:line="235" w:lineRule="auto"/>
        <w:rPr>
          <w:sz w:val="20"/>
          <w:szCs w:val="20"/>
          <w:color w:val="auto"/>
        </w:rPr>
      </w:pPr>
      <w:r>
        <w:rPr>
          <w:rFonts w:ascii="Arial" w:cs="Arial" w:eastAsia="Arial" w:hAnsi="Arial"/>
          <w:sz w:val="18"/>
          <w:szCs w:val="18"/>
          <w:color w:val="auto"/>
        </w:rPr>
        <w:t>Xerox Foreign Sales Corporation</w:t>
      </w:r>
    </w:p>
    <w:p>
      <w:pPr>
        <w:spacing w:after="0" w:line="235" w:lineRule="auto"/>
        <w:rPr>
          <w:sz w:val="20"/>
          <w:szCs w:val="20"/>
          <w:color w:val="auto"/>
        </w:rPr>
      </w:pPr>
      <w:r>
        <w:rPr>
          <w:rFonts w:ascii="Arial" w:cs="Arial" w:eastAsia="Arial" w:hAnsi="Arial"/>
          <w:sz w:val="18"/>
          <w:szCs w:val="18"/>
          <w:color w:val="auto"/>
        </w:rPr>
        <w:t>Xerox d’Haiti, S.A.</w:t>
      </w:r>
    </w:p>
    <w:p>
      <w:pPr>
        <w:spacing w:after="0" w:line="235" w:lineRule="auto"/>
        <w:rPr>
          <w:sz w:val="20"/>
          <w:szCs w:val="20"/>
          <w:color w:val="auto"/>
        </w:rPr>
      </w:pPr>
      <w:r>
        <w:rPr>
          <w:rFonts w:ascii="Arial" w:cs="Arial" w:eastAsia="Arial" w:hAnsi="Arial"/>
          <w:sz w:val="18"/>
          <w:szCs w:val="18"/>
          <w:color w:val="auto"/>
        </w:rPr>
        <w:t>Xerox Holdings, Inc.</w:t>
      </w:r>
    </w:p>
    <w:p>
      <w:pPr>
        <w:spacing w:after="0" w:line="235" w:lineRule="auto"/>
        <w:rPr>
          <w:sz w:val="20"/>
          <w:szCs w:val="20"/>
          <w:color w:val="auto"/>
        </w:rPr>
      </w:pPr>
      <w:r>
        <w:rPr>
          <w:rFonts w:ascii="Arial" w:cs="Arial" w:eastAsia="Arial" w:hAnsi="Arial"/>
          <w:sz w:val="18"/>
          <w:szCs w:val="18"/>
          <w:color w:val="auto"/>
        </w:rPr>
        <w:t>Talegen Holdings, Inc.</w:t>
      </w:r>
    </w:p>
    <w:p>
      <w:pPr>
        <w:spacing w:after="0" w:line="235" w:lineRule="auto"/>
        <w:rPr>
          <w:sz w:val="20"/>
          <w:szCs w:val="20"/>
          <w:color w:val="auto"/>
        </w:rPr>
      </w:pPr>
      <w:r>
        <w:rPr>
          <w:rFonts w:ascii="Arial" w:cs="Arial" w:eastAsia="Arial" w:hAnsi="Arial"/>
          <w:sz w:val="18"/>
          <w:szCs w:val="18"/>
          <w:color w:val="auto"/>
        </w:rPr>
        <w:t>Xerox Credit Corporation</w:t>
      </w:r>
    </w:p>
    <w:p>
      <w:pPr>
        <w:spacing w:after="0" w:line="235" w:lineRule="auto"/>
        <w:rPr>
          <w:sz w:val="20"/>
          <w:szCs w:val="20"/>
          <w:color w:val="auto"/>
        </w:rPr>
      </w:pPr>
      <w:r>
        <w:rPr>
          <w:rFonts w:ascii="Arial" w:cs="Arial" w:eastAsia="Arial" w:hAnsi="Arial"/>
          <w:sz w:val="18"/>
          <w:szCs w:val="18"/>
          <w:color w:val="auto"/>
        </w:rPr>
        <w:t>Xerox International Joint Marketing, Inc.</w:t>
      </w:r>
    </w:p>
    <w:p>
      <w:pPr>
        <w:spacing w:after="0" w:line="235" w:lineRule="auto"/>
        <w:rPr>
          <w:sz w:val="20"/>
          <w:szCs w:val="20"/>
          <w:color w:val="auto"/>
        </w:rPr>
      </w:pPr>
      <w:r>
        <w:rPr>
          <w:rFonts w:ascii="Arial" w:cs="Arial" w:eastAsia="Arial" w:hAnsi="Arial"/>
          <w:sz w:val="18"/>
          <w:szCs w:val="18"/>
          <w:color w:val="auto"/>
        </w:rPr>
        <w:t>Xerox International Partners</w:t>
      </w:r>
    </w:p>
    <w:p>
      <w:pPr>
        <w:spacing w:after="0" w:line="234" w:lineRule="auto"/>
        <w:rPr>
          <w:sz w:val="20"/>
          <w:szCs w:val="20"/>
          <w:color w:val="auto"/>
        </w:rPr>
      </w:pPr>
      <w:r>
        <w:rPr>
          <w:rFonts w:ascii="Arial" w:cs="Arial" w:eastAsia="Arial" w:hAnsi="Arial"/>
          <w:sz w:val="18"/>
          <w:szCs w:val="18"/>
          <w:color w:val="auto"/>
        </w:rPr>
        <w:t>Xerox Investments Europe B.V.</w:t>
      </w:r>
    </w:p>
    <w:p>
      <w:pPr>
        <w:spacing w:after="0" w:line="235" w:lineRule="auto"/>
        <w:rPr>
          <w:sz w:val="20"/>
          <w:szCs w:val="20"/>
          <w:color w:val="auto"/>
        </w:rPr>
      </w:pPr>
      <w:r>
        <w:rPr>
          <w:rFonts w:ascii="Arial" w:cs="Arial" w:eastAsia="Arial" w:hAnsi="Arial"/>
          <w:sz w:val="18"/>
          <w:szCs w:val="18"/>
          <w:color w:val="auto"/>
        </w:rPr>
        <w:t>XC Global Trading B.V.</w:t>
      </w:r>
    </w:p>
    <w:p>
      <w:pPr>
        <w:spacing w:after="0" w:line="235" w:lineRule="auto"/>
        <w:rPr>
          <w:sz w:val="20"/>
          <w:szCs w:val="20"/>
          <w:color w:val="auto"/>
        </w:rPr>
      </w:pPr>
      <w:r>
        <w:rPr>
          <w:rFonts w:ascii="Arial" w:cs="Arial" w:eastAsia="Arial" w:hAnsi="Arial"/>
          <w:sz w:val="18"/>
          <w:szCs w:val="18"/>
          <w:color w:val="auto"/>
        </w:rPr>
        <w:t>XC Trading Singapore Pte Ltd.</w:t>
      </w:r>
    </w:p>
    <w:p>
      <w:pPr>
        <w:spacing w:after="0" w:line="235" w:lineRule="auto"/>
        <w:rPr>
          <w:sz w:val="20"/>
          <w:szCs w:val="20"/>
          <w:color w:val="auto"/>
        </w:rPr>
      </w:pPr>
      <w:r>
        <w:rPr>
          <w:rFonts w:ascii="Arial" w:cs="Arial" w:eastAsia="Arial" w:hAnsi="Arial"/>
          <w:sz w:val="18"/>
          <w:szCs w:val="18"/>
          <w:color w:val="auto"/>
        </w:rPr>
        <w:t>XC Trading Hong Kong Limited</w:t>
      </w:r>
    </w:p>
    <w:p>
      <w:pPr>
        <w:spacing w:after="0" w:line="235" w:lineRule="auto"/>
        <w:rPr>
          <w:sz w:val="20"/>
          <w:szCs w:val="20"/>
          <w:color w:val="auto"/>
        </w:rPr>
      </w:pPr>
      <w:r>
        <w:rPr>
          <w:rFonts w:ascii="Arial" w:cs="Arial" w:eastAsia="Arial" w:hAnsi="Arial"/>
          <w:sz w:val="18"/>
          <w:szCs w:val="18"/>
          <w:color w:val="auto"/>
        </w:rPr>
        <w:t>XC Trading Japan G.K.</w:t>
      </w:r>
    </w:p>
    <w:p>
      <w:pPr>
        <w:spacing w:after="0" w:line="235" w:lineRule="auto"/>
        <w:rPr>
          <w:sz w:val="20"/>
          <w:szCs w:val="20"/>
          <w:color w:val="auto"/>
        </w:rPr>
      </w:pPr>
      <w:r>
        <w:rPr>
          <w:rFonts w:ascii="Arial" w:cs="Arial" w:eastAsia="Arial" w:hAnsi="Arial"/>
          <w:sz w:val="18"/>
          <w:szCs w:val="18"/>
          <w:color w:val="auto"/>
        </w:rPr>
        <w:t>XC Trading Korea VH</w:t>
      </w:r>
    </w:p>
    <w:p>
      <w:pPr>
        <w:spacing w:after="0" w:line="235" w:lineRule="auto"/>
        <w:rPr>
          <w:sz w:val="20"/>
          <w:szCs w:val="20"/>
          <w:color w:val="auto"/>
        </w:rPr>
      </w:pPr>
      <w:r>
        <w:rPr>
          <w:rFonts w:ascii="Arial" w:cs="Arial" w:eastAsia="Arial" w:hAnsi="Arial"/>
          <w:sz w:val="18"/>
          <w:szCs w:val="18"/>
          <w:color w:val="auto"/>
        </w:rPr>
        <w:t>XC Trading Malaysia</w:t>
      </w:r>
    </w:p>
    <w:p>
      <w:pPr>
        <w:spacing w:after="0" w:line="235" w:lineRule="auto"/>
        <w:rPr>
          <w:sz w:val="20"/>
          <w:szCs w:val="20"/>
          <w:color w:val="auto"/>
        </w:rPr>
      </w:pPr>
      <w:r>
        <w:rPr>
          <w:rFonts w:ascii="Arial" w:cs="Arial" w:eastAsia="Arial" w:hAnsi="Arial"/>
          <w:sz w:val="18"/>
          <w:szCs w:val="18"/>
          <w:color w:val="auto"/>
        </w:rPr>
        <w:t>XC Trading Shenzhen Co., Ltd.</w:t>
      </w:r>
    </w:p>
    <w:p>
      <w:pPr>
        <w:spacing w:after="0" w:line="235" w:lineRule="auto"/>
        <w:rPr>
          <w:sz w:val="20"/>
          <w:szCs w:val="20"/>
          <w:color w:val="auto"/>
        </w:rPr>
      </w:pPr>
      <w:r>
        <w:rPr>
          <w:rFonts w:ascii="Arial" w:cs="Arial" w:eastAsia="Arial" w:hAnsi="Arial"/>
          <w:sz w:val="18"/>
          <w:szCs w:val="18"/>
          <w:color w:val="auto"/>
        </w:rPr>
        <w:t>Xerox Holdings (Ireland) Limited</w:t>
      </w:r>
    </w:p>
    <w:p>
      <w:pPr>
        <w:spacing w:after="0" w:line="234" w:lineRule="auto"/>
        <w:rPr>
          <w:sz w:val="20"/>
          <w:szCs w:val="20"/>
          <w:color w:val="auto"/>
        </w:rPr>
      </w:pPr>
      <w:r>
        <w:rPr>
          <w:rFonts w:ascii="Arial" w:cs="Arial" w:eastAsia="Arial" w:hAnsi="Arial"/>
          <w:sz w:val="18"/>
          <w:szCs w:val="18"/>
          <w:color w:val="auto"/>
        </w:rPr>
        <w:t>Xerox (Europe) Limited</w:t>
      </w:r>
    </w:p>
    <w:p>
      <w:pPr>
        <w:spacing w:after="0" w:line="235" w:lineRule="auto"/>
        <w:rPr>
          <w:sz w:val="20"/>
          <w:szCs w:val="20"/>
          <w:color w:val="auto"/>
        </w:rPr>
      </w:pPr>
      <w:r>
        <w:rPr>
          <w:rFonts w:ascii="Arial" w:cs="Arial" w:eastAsia="Arial" w:hAnsi="Arial"/>
          <w:sz w:val="18"/>
          <w:szCs w:val="18"/>
          <w:color w:val="auto"/>
        </w:rPr>
        <w:t>Monocolour Limited</w:t>
      </w:r>
    </w:p>
    <w:p>
      <w:pPr>
        <w:spacing w:after="0" w:line="235" w:lineRule="auto"/>
        <w:rPr>
          <w:sz w:val="20"/>
          <w:szCs w:val="20"/>
          <w:color w:val="auto"/>
        </w:rPr>
      </w:pPr>
      <w:r>
        <w:rPr>
          <w:rFonts w:ascii="Arial" w:cs="Arial" w:eastAsia="Arial" w:hAnsi="Arial"/>
          <w:sz w:val="18"/>
          <w:szCs w:val="18"/>
          <w:color w:val="auto"/>
        </w:rPr>
        <w:t>Xerox XF Holdings (Ireland) Limited</w:t>
      </w:r>
    </w:p>
    <w:p>
      <w:pPr>
        <w:spacing w:after="0" w:line="235" w:lineRule="auto"/>
        <w:rPr>
          <w:sz w:val="20"/>
          <w:szCs w:val="20"/>
          <w:color w:val="auto"/>
        </w:rPr>
      </w:pPr>
      <w:r>
        <w:rPr>
          <w:rFonts w:ascii="Arial" w:cs="Arial" w:eastAsia="Arial" w:hAnsi="Arial"/>
          <w:sz w:val="18"/>
          <w:szCs w:val="18"/>
          <w:color w:val="auto"/>
        </w:rPr>
        <w:t>Xerox Finance (Ireland) Limited</w:t>
      </w:r>
    </w:p>
    <w:p>
      <w:pPr>
        <w:spacing w:after="0" w:line="235" w:lineRule="auto"/>
        <w:rPr>
          <w:sz w:val="20"/>
          <w:szCs w:val="20"/>
          <w:color w:val="auto"/>
        </w:rPr>
      </w:pPr>
      <w:r>
        <w:rPr>
          <w:rFonts w:ascii="Arial" w:cs="Arial" w:eastAsia="Arial" w:hAnsi="Arial"/>
          <w:sz w:val="18"/>
          <w:szCs w:val="18"/>
          <w:color w:val="auto"/>
        </w:rPr>
        <w:t>Xerox Leasing Ireland Limited</w:t>
      </w:r>
    </w:p>
    <w:p>
      <w:pPr>
        <w:spacing w:after="0" w:line="235" w:lineRule="auto"/>
        <w:rPr>
          <w:sz w:val="20"/>
          <w:szCs w:val="20"/>
          <w:color w:val="auto"/>
        </w:rPr>
      </w:pPr>
      <w:r>
        <w:rPr>
          <w:rFonts w:ascii="Arial" w:cs="Arial" w:eastAsia="Arial" w:hAnsi="Arial"/>
          <w:sz w:val="18"/>
          <w:szCs w:val="18"/>
          <w:color w:val="auto"/>
        </w:rPr>
        <w:t>Xerox Israel Ltd.</w:t>
      </w:r>
    </w:p>
    <w:p>
      <w:pPr>
        <w:spacing w:after="0" w:line="235" w:lineRule="auto"/>
        <w:rPr>
          <w:sz w:val="20"/>
          <w:szCs w:val="20"/>
          <w:color w:val="auto"/>
        </w:rPr>
      </w:pPr>
      <w:r>
        <w:rPr>
          <w:rFonts w:ascii="Arial" w:cs="Arial" w:eastAsia="Arial" w:hAnsi="Arial"/>
          <w:sz w:val="18"/>
          <w:szCs w:val="18"/>
          <w:color w:val="auto"/>
        </w:rPr>
        <w:t>Xerox Middle East Investments (Bermuda) Limited</w:t>
      </w:r>
    </w:p>
    <w:p>
      <w:pPr>
        <w:spacing w:after="0" w:line="235" w:lineRule="auto"/>
        <w:rPr>
          <w:sz w:val="20"/>
          <w:szCs w:val="20"/>
          <w:color w:val="auto"/>
        </w:rPr>
      </w:pPr>
      <w:r>
        <w:rPr>
          <w:rFonts w:ascii="Arial" w:cs="Arial" w:eastAsia="Arial" w:hAnsi="Arial"/>
          <w:sz w:val="18"/>
          <w:szCs w:val="18"/>
          <w:color w:val="auto"/>
        </w:rPr>
        <w:t>Bessemer Insurance Limited</w:t>
      </w:r>
    </w:p>
    <w:p>
      <w:pPr>
        <w:spacing w:after="0" w:line="235" w:lineRule="auto"/>
        <w:rPr>
          <w:sz w:val="20"/>
          <w:szCs w:val="20"/>
          <w:color w:val="auto"/>
        </w:rPr>
      </w:pPr>
      <w:r>
        <w:rPr>
          <w:rFonts w:ascii="Arial" w:cs="Arial" w:eastAsia="Arial" w:hAnsi="Arial"/>
          <w:sz w:val="18"/>
          <w:szCs w:val="18"/>
          <w:color w:val="auto"/>
        </w:rPr>
        <w:t>Reprographics Egypt Limited</w:t>
      </w:r>
    </w:p>
    <w:p>
      <w:pPr>
        <w:spacing w:after="0" w:line="234" w:lineRule="auto"/>
        <w:rPr>
          <w:sz w:val="20"/>
          <w:szCs w:val="20"/>
          <w:color w:val="auto"/>
        </w:rPr>
      </w:pPr>
      <w:r>
        <w:rPr>
          <w:rFonts w:ascii="Arial" w:cs="Arial" w:eastAsia="Arial" w:hAnsi="Arial"/>
          <w:sz w:val="18"/>
          <w:szCs w:val="18"/>
          <w:color w:val="auto"/>
        </w:rPr>
        <w:t>Xerox Egypt S.A.E.</w:t>
      </w:r>
    </w:p>
    <w:p>
      <w:pPr>
        <w:spacing w:after="0" w:line="235" w:lineRule="auto"/>
        <w:rPr>
          <w:sz w:val="20"/>
          <w:szCs w:val="20"/>
          <w:color w:val="auto"/>
        </w:rPr>
      </w:pPr>
      <w:r>
        <w:rPr>
          <w:rFonts w:ascii="Arial" w:cs="Arial" w:eastAsia="Arial" w:hAnsi="Arial"/>
          <w:sz w:val="18"/>
          <w:szCs w:val="18"/>
          <w:color w:val="auto"/>
        </w:rPr>
        <w:t>Xerox Finance Leasing S.A.E.</w:t>
      </w:r>
    </w:p>
    <w:p>
      <w:pPr>
        <w:spacing w:after="0" w:line="235" w:lineRule="auto"/>
        <w:rPr>
          <w:sz w:val="20"/>
          <w:szCs w:val="20"/>
          <w:color w:val="auto"/>
        </w:rPr>
      </w:pPr>
      <w:r>
        <w:rPr>
          <w:rFonts w:ascii="Arial" w:cs="Arial" w:eastAsia="Arial" w:hAnsi="Arial"/>
          <w:sz w:val="18"/>
          <w:szCs w:val="18"/>
          <w:color w:val="auto"/>
        </w:rPr>
        <w:t>Xerox Equipment Limited</w:t>
      </w:r>
    </w:p>
    <w:p>
      <w:pPr>
        <w:spacing w:after="0" w:line="235" w:lineRule="auto"/>
        <w:rPr>
          <w:sz w:val="20"/>
          <w:szCs w:val="20"/>
          <w:color w:val="auto"/>
        </w:rPr>
      </w:pPr>
      <w:r>
        <w:rPr>
          <w:rFonts w:ascii="Arial" w:cs="Arial" w:eastAsia="Arial" w:hAnsi="Arial"/>
          <w:sz w:val="18"/>
          <w:szCs w:val="18"/>
          <w:color w:val="auto"/>
        </w:rPr>
        <w:t>Xerox Maroc S.A.</w:t>
      </w:r>
    </w:p>
    <w:p>
      <w:pPr>
        <w:spacing w:after="0" w:line="235" w:lineRule="auto"/>
        <w:rPr>
          <w:sz w:val="20"/>
          <w:szCs w:val="20"/>
          <w:color w:val="auto"/>
        </w:rPr>
      </w:pPr>
      <w:r>
        <w:rPr>
          <w:rFonts w:ascii="Arial" w:cs="Arial" w:eastAsia="Arial" w:hAnsi="Arial"/>
          <w:sz w:val="18"/>
          <w:szCs w:val="18"/>
          <w:color w:val="auto"/>
        </w:rPr>
        <w:t>Xerox Products Limited</w:t>
      </w:r>
    </w:p>
    <w:p>
      <w:pPr>
        <w:spacing w:after="0"/>
        <w:rPr>
          <w:sz w:val="20"/>
          <w:szCs w:val="20"/>
          <w:color w:val="auto"/>
        </w:rPr>
      </w:pPr>
      <w:r>
        <w:rPr>
          <w:rFonts w:ascii="Arial" w:cs="Arial" w:eastAsia="Arial" w:hAnsi="Arial"/>
          <w:sz w:val="18"/>
          <w:szCs w:val="18"/>
          <w:color w:val="auto"/>
        </w:rPr>
        <w:t>Xerox UK Holdings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Ireland</w:t>
      </w:r>
    </w:p>
    <w:p>
      <w:pPr>
        <w:spacing w:after="0" w:line="234" w:lineRule="auto"/>
        <w:rPr>
          <w:sz w:val="20"/>
          <w:szCs w:val="20"/>
          <w:color w:val="auto"/>
        </w:rPr>
      </w:pPr>
      <w:r>
        <w:rPr>
          <w:rFonts w:ascii="Arial" w:cs="Arial" w:eastAsia="Arial" w:hAnsi="Arial"/>
          <w:sz w:val="18"/>
          <w:szCs w:val="18"/>
          <w:color w:val="auto"/>
        </w:rPr>
        <w:t>Ireland</w:t>
      </w:r>
    </w:p>
    <w:p>
      <w:pPr>
        <w:spacing w:after="0" w:line="235" w:lineRule="auto"/>
        <w:rPr>
          <w:sz w:val="20"/>
          <w:szCs w:val="20"/>
          <w:color w:val="auto"/>
        </w:rPr>
      </w:pPr>
      <w:r>
        <w:rPr>
          <w:rFonts w:ascii="Arial" w:cs="Arial" w:eastAsia="Arial" w:hAnsi="Arial"/>
          <w:sz w:val="18"/>
          <w:szCs w:val="18"/>
          <w:color w:val="auto"/>
        </w:rPr>
        <w:t>Ireland</w:t>
      </w:r>
    </w:p>
    <w:p>
      <w:pPr>
        <w:spacing w:after="0" w:line="235" w:lineRule="auto"/>
        <w:rPr>
          <w:sz w:val="20"/>
          <w:szCs w:val="20"/>
          <w:color w:val="auto"/>
        </w:rPr>
      </w:pPr>
      <w:r>
        <w:rPr>
          <w:rFonts w:ascii="Arial" w:cs="Arial" w:eastAsia="Arial" w:hAnsi="Arial"/>
          <w:sz w:val="18"/>
          <w:szCs w:val="18"/>
          <w:color w:val="auto"/>
        </w:rPr>
        <w:t>Barbados</w:t>
      </w:r>
    </w:p>
    <w:p>
      <w:pPr>
        <w:spacing w:after="0" w:line="235" w:lineRule="auto"/>
        <w:rPr>
          <w:sz w:val="20"/>
          <w:szCs w:val="20"/>
          <w:color w:val="auto"/>
        </w:rPr>
      </w:pPr>
      <w:r>
        <w:rPr>
          <w:rFonts w:ascii="Arial" w:cs="Arial" w:eastAsia="Arial" w:hAnsi="Arial"/>
          <w:sz w:val="18"/>
          <w:szCs w:val="18"/>
          <w:color w:val="auto"/>
        </w:rPr>
        <w:t>Luxembourg</w:t>
      </w:r>
    </w:p>
    <w:p>
      <w:pPr>
        <w:spacing w:after="0" w:line="235" w:lineRule="auto"/>
        <w:rPr>
          <w:sz w:val="20"/>
          <w:szCs w:val="20"/>
          <w:color w:val="auto"/>
        </w:rPr>
      </w:pPr>
      <w:r>
        <w:rPr>
          <w:rFonts w:ascii="Arial" w:cs="Arial" w:eastAsia="Arial" w:hAnsi="Arial"/>
          <w:sz w:val="18"/>
          <w:szCs w:val="18"/>
          <w:color w:val="auto"/>
        </w:rPr>
        <w:t>Ontario</w:t>
      </w:r>
    </w:p>
    <w:p>
      <w:pPr>
        <w:spacing w:after="0" w:line="235" w:lineRule="auto"/>
        <w:rPr>
          <w:sz w:val="20"/>
          <w:szCs w:val="20"/>
          <w:color w:val="auto"/>
        </w:rPr>
      </w:pPr>
      <w:r>
        <w:rPr>
          <w:rFonts w:ascii="Arial" w:cs="Arial" w:eastAsia="Arial" w:hAnsi="Arial"/>
          <w:sz w:val="18"/>
          <w:szCs w:val="18"/>
          <w:color w:val="auto"/>
        </w:rPr>
        <w:t>Ontario</w:t>
      </w:r>
    </w:p>
    <w:p>
      <w:pPr>
        <w:spacing w:after="0" w:line="235" w:lineRule="auto"/>
        <w:rPr>
          <w:sz w:val="20"/>
          <w:szCs w:val="20"/>
          <w:color w:val="auto"/>
        </w:rPr>
      </w:pPr>
      <w:r>
        <w:rPr>
          <w:rFonts w:ascii="Arial" w:cs="Arial" w:eastAsia="Arial" w:hAnsi="Arial"/>
          <w:sz w:val="18"/>
          <w:szCs w:val="18"/>
          <w:color w:val="auto"/>
        </w:rPr>
        <w:t>Canada</w:t>
      </w:r>
    </w:p>
    <w:p>
      <w:pPr>
        <w:spacing w:after="0" w:line="235" w:lineRule="auto"/>
        <w:rPr>
          <w:sz w:val="20"/>
          <w:szCs w:val="20"/>
          <w:color w:val="auto"/>
        </w:rPr>
      </w:pPr>
      <w:r>
        <w:rPr>
          <w:rFonts w:ascii="Arial" w:cs="Arial" w:eastAsia="Arial" w:hAnsi="Arial"/>
          <w:sz w:val="18"/>
          <w:szCs w:val="18"/>
          <w:color w:val="auto"/>
        </w:rPr>
        <w:t>Mexico (56)</w:t>
      </w:r>
    </w:p>
    <w:p>
      <w:pPr>
        <w:spacing w:after="0" w:line="235" w:lineRule="auto"/>
        <w:rPr>
          <w:sz w:val="20"/>
          <w:szCs w:val="20"/>
          <w:color w:val="auto"/>
        </w:rPr>
      </w:pPr>
      <w:r>
        <w:rPr>
          <w:rFonts w:ascii="Arial" w:cs="Arial" w:eastAsia="Arial" w:hAnsi="Arial"/>
          <w:sz w:val="18"/>
          <w:szCs w:val="18"/>
          <w:color w:val="auto"/>
        </w:rPr>
        <w:t>Ontario</w:t>
      </w:r>
    </w:p>
    <w:p>
      <w:pPr>
        <w:spacing w:after="0" w:line="234" w:lineRule="auto"/>
        <w:rPr>
          <w:sz w:val="20"/>
          <w:szCs w:val="20"/>
          <w:color w:val="auto"/>
        </w:rPr>
      </w:pPr>
      <w:r>
        <w:rPr>
          <w:rFonts w:ascii="Arial" w:cs="Arial" w:eastAsia="Arial" w:hAnsi="Arial"/>
          <w:sz w:val="18"/>
          <w:szCs w:val="18"/>
          <w:color w:val="auto"/>
        </w:rPr>
        <w:t>Ontario (16)</w:t>
      </w:r>
    </w:p>
    <w:p>
      <w:pPr>
        <w:spacing w:after="0" w:line="235" w:lineRule="auto"/>
        <w:rPr>
          <w:sz w:val="20"/>
          <w:szCs w:val="20"/>
          <w:color w:val="auto"/>
        </w:rPr>
      </w:pPr>
      <w:r>
        <w:rPr>
          <w:rFonts w:ascii="Arial" w:cs="Arial" w:eastAsia="Arial" w:hAnsi="Arial"/>
          <w:sz w:val="18"/>
          <w:szCs w:val="18"/>
          <w:color w:val="auto"/>
        </w:rPr>
        <w:t>Canada (4)</w:t>
      </w:r>
    </w:p>
    <w:p>
      <w:pPr>
        <w:spacing w:after="0" w:line="235" w:lineRule="auto"/>
        <w:rPr>
          <w:sz w:val="20"/>
          <w:szCs w:val="20"/>
          <w:color w:val="auto"/>
        </w:rPr>
      </w:pPr>
      <w:r>
        <w:rPr>
          <w:rFonts w:ascii="Arial" w:cs="Arial" w:eastAsia="Arial" w:hAnsi="Arial"/>
          <w:sz w:val="18"/>
          <w:szCs w:val="18"/>
          <w:color w:val="auto"/>
        </w:rPr>
        <w:t>Massachusetts (18)</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Turks &amp; Caicos Islands (9)</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4" w:lineRule="auto"/>
        <w:rPr>
          <w:sz w:val="20"/>
          <w:szCs w:val="20"/>
          <w:color w:val="auto"/>
        </w:rPr>
      </w:pPr>
      <w:r>
        <w:rPr>
          <w:rFonts w:ascii="Arial" w:cs="Arial" w:eastAsia="Arial" w:hAnsi="Arial"/>
          <w:sz w:val="18"/>
          <w:szCs w:val="18"/>
          <w:color w:val="auto"/>
        </w:rPr>
        <w:t>Delaware (11)</w:t>
      </w:r>
    </w:p>
    <w:p>
      <w:pPr>
        <w:spacing w:after="0" w:line="235" w:lineRule="auto"/>
        <w:rPr>
          <w:sz w:val="20"/>
          <w:szCs w:val="20"/>
          <w:color w:val="auto"/>
        </w:rPr>
      </w:pPr>
      <w:r>
        <w:rPr>
          <w:rFonts w:ascii="Arial" w:cs="Arial" w:eastAsia="Arial" w:hAnsi="Arial"/>
          <w:sz w:val="18"/>
          <w:szCs w:val="18"/>
          <w:color w:val="auto"/>
        </w:rPr>
        <w:t>Chile (40)</w:t>
      </w:r>
    </w:p>
    <w:p>
      <w:pPr>
        <w:spacing w:after="0" w:line="235" w:lineRule="auto"/>
        <w:rPr>
          <w:sz w:val="20"/>
          <w:szCs w:val="20"/>
          <w:color w:val="auto"/>
        </w:rPr>
      </w:pPr>
      <w:r>
        <w:rPr>
          <w:rFonts w:ascii="Arial" w:cs="Arial" w:eastAsia="Arial" w:hAnsi="Arial"/>
          <w:sz w:val="18"/>
          <w:szCs w:val="18"/>
          <w:color w:val="auto"/>
        </w:rPr>
        <w:t>Colombia (29)</w:t>
      </w:r>
    </w:p>
    <w:p>
      <w:pPr>
        <w:spacing w:after="0" w:line="235" w:lineRule="auto"/>
        <w:rPr>
          <w:sz w:val="20"/>
          <w:szCs w:val="20"/>
          <w:color w:val="auto"/>
        </w:rPr>
      </w:pPr>
      <w:r>
        <w:rPr>
          <w:rFonts w:ascii="Arial" w:cs="Arial" w:eastAsia="Arial" w:hAnsi="Arial"/>
          <w:sz w:val="18"/>
          <w:szCs w:val="18"/>
          <w:color w:val="auto"/>
        </w:rPr>
        <w:t>Bermuda</w:t>
      </w:r>
    </w:p>
    <w:p>
      <w:pPr>
        <w:spacing w:after="0" w:line="235" w:lineRule="auto"/>
        <w:rPr>
          <w:sz w:val="20"/>
          <w:szCs w:val="20"/>
          <w:color w:val="auto"/>
        </w:rPr>
      </w:pPr>
      <w:r>
        <w:rPr>
          <w:rFonts w:ascii="Arial" w:cs="Arial" w:eastAsia="Arial" w:hAnsi="Arial"/>
          <w:sz w:val="18"/>
          <w:szCs w:val="18"/>
          <w:color w:val="auto"/>
        </w:rPr>
        <w:t>Mauritius</w:t>
      </w:r>
    </w:p>
    <w:p>
      <w:pPr>
        <w:spacing w:after="0" w:line="235" w:lineRule="auto"/>
        <w:rPr>
          <w:sz w:val="20"/>
          <w:szCs w:val="20"/>
          <w:color w:val="auto"/>
        </w:rPr>
      </w:pPr>
      <w:r>
        <w:rPr>
          <w:rFonts w:ascii="Arial" w:cs="Arial" w:eastAsia="Arial" w:hAnsi="Arial"/>
          <w:sz w:val="18"/>
          <w:szCs w:val="18"/>
          <w:color w:val="auto"/>
        </w:rPr>
        <w:t>Ecuador (32)</w:t>
      </w:r>
    </w:p>
    <w:p>
      <w:pPr>
        <w:spacing w:after="0" w:line="235" w:lineRule="auto"/>
        <w:rPr>
          <w:sz w:val="20"/>
          <w:szCs w:val="20"/>
          <w:color w:val="auto"/>
        </w:rPr>
      </w:pPr>
      <w:r>
        <w:rPr>
          <w:rFonts w:ascii="Arial" w:cs="Arial" w:eastAsia="Arial" w:hAnsi="Arial"/>
          <w:sz w:val="18"/>
          <w:szCs w:val="18"/>
          <w:color w:val="auto"/>
        </w:rPr>
        <w:t>Belgium</w:t>
      </w:r>
    </w:p>
    <w:p>
      <w:pPr>
        <w:spacing w:after="0" w:line="235" w:lineRule="auto"/>
        <w:rPr>
          <w:sz w:val="20"/>
          <w:szCs w:val="20"/>
          <w:color w:val="auto"/>
        </w:rPr>
      </w:pPr>
      <w:r>
        <w:rPr>
          <w:rFonts w:ascii="Arial" w:cs="Arial" w:eastAsia="Arial" w:hAnsi="Arial"/>
          <w:sz w:val="18"/>
          <w:szCs w:val="18"/>
          <w:color w:val="auto"/>
        </w:rPr>
        <w:t>Delaware</w:t>
      </w:r>
    </w:p>
    <w:p>
      <w:pPr>
        <w:spacing w:after="0" w:line="235" w:lineRule="auto"/>
        <w:rPr>
          <w:sz w:val="20"/>
          <w:szCs w:val="20"/>
          <w:color w:val="auto"/>
        </w:rPr>
      </w:pPr>
      <w:r>
        <w:rPr>
          <w:rFonts w:ascii="Arial" w:cs="Arial" w:eastAsia="Arial" w:hAnsi="Arial"/>
          <w:sz w:val="18"/>
          <w:szCs w:val="18"/>
          <w:color w:val="auto"/>
        </w:rPr>
        <w:t>Scotland (20)</w:t>
      </w:r>
    </w:p>
    <w:p>
      <w:pPr>
        <w:spacing w:after="0" w:line="234" w:lineRule="auto"/>
        <w:rPr>
          <w:sz w:val="20"/>
          <w:szCs w:val="20"/>
          <w:color w:val="auto"/>
        </w:rPr>
      </w:pPr>
      <w:r>
        <w:rPr>
          <w:rFonts w:ascii="Arial" w:cs="Arial" w:eastAsia="Arial" w:hAnsi="Arial"/>
          <w:sz w:val="18"/>
          <w:szCs w:val="18"/>
          <w:color w:val="auto"/>
        </w:rPr>
        <w:t>Delaware</w:t>
      </w:r>
    </w:p>
    <w:p>
      <w:pPr>
        <w:spacing w:after="0" w:line="235" w:lineRule="auto"/>
        <w:rPr>
          <w:sz w:val="20"/>
          <w:szCs w:val="20"/>
          <w:color w:val="auto"/>
        </w:rPr>
      </w:pPr>
      <w:r>
        <w:rPr>
          <w:rFonts w:ascii="Arial" w:cs="Arial" w:eastAsia="Arial" w:hAnsi="Arial"/>
          <w:sz w:val="18"/>
          <w:szCs w:val="18"/>
          <w:color w:val="auto"/>
        </w:rPr>
        <w:t>Luxembourg</w:t>
      </w:r>
    </w:p>
    <w:p>
      <w:pPr>
        <w:spacing w:after="0" w:line="235" w:lineRule="auto"/>
        <w:rPr>
          <w:sz w:val="20"/>
          <w:szCs w:val="20"/>
          <w:color w:val="auto"/>
        </w:rPr>
      </w:pPr>
      <w:r>
        <w:rPr>
          <w:rFonts w:ascii="Arial" w:cs="Arial" w:eastAsia="Arial" w:hAnsi="Arial"/>
          <w:sz w:val="18"/>
          <w:szCs w:val="18"/>
          <w:color w:val="auto"/>
        </w:rPr>
        <w:t>Delaware</w:t>
      </w:r>
    </w:p>
    <w:p>
      <w:pPr>
        <w:spacing w:after="0" w:line="235" w:lineRule="auto"/>
        <w:rPr>
          <w:sz w:val="20"/>
          <w:szCs w:val="20"/>
          <w:color w:val="auto"/>
        </w:rPr>
      </w:pPr>
      <w:r>
        <w:rPr>
          <w:rFonts w:ascii="Arial" w:cs="Arial" w:eastAsia="Arial" w:hAnsi="Arial"/>
          <w:sz w:val="18"/>
          <w:szCs w:val="18"/>
          <w:color w:val="auto"/>
        </w:rPr>
        <w:t>Bermuda</w:t>
      </w:r>
    </w:p>
    <w:p>
      <w:pPr>
        <w:spacing w:after="0" w:line="235" w:lineRule="auto"/>
        <w:rPr>
          <w:sz w:val="20"/>
          <w:szCs w:val="20"/>
          <w:color w:val="auto"/>
        </w:rPr>
      </w:pPr>
      <w:r>
        <w:rPr>
          <w:rFonts w:ascii="Arial" w:cs="Arial" w:eastAsia="Arial" w:hAnsi="Arial"/>
          <w:sz w:val="18"/>
          <w:szCs w:val="18"/>
          <w:color w:val="auto"/>
        </w:rPr>
        <w:t>Delaware</w:t>
      </w:r>
    </w:p>
    <w:p>
      <w:pPr>
        <w:spacing w:after="0" w:line="235" w:lineRule="auto"/>
        <w:rPr>
          <w:sz w:val="20"/>
          <w:szCs w:val="20"/>
          <w:color w:val="auto"/>
        </w:rPr>
      </w:pPr>
      <w:r>
        <w:rPr>
          <w:rFonts w:ascii="Arial" w:cs="Arial" w:eastAsia="Arial" w:hAnsi="Arial"/>
          <w:sz w:val="18"/>
          <w:szCs w:val="18"/>
          <w:color w:val="auto"/>
        </w:rPr>
        <w:t>Barbados</w:t>
      </w:r>
    </w:p>
    <w:p>
      <w:pPr>
        <w:spacing w:after="0" w:line="235" w:lineRule="auto"/>
        <w:rPr>
          <w:sz w:val="20"/>
          <w:szCs w:val="20"/>
          <w:color w:val="auto"/>
        </w:rPr>
      </w:pPr>
      <w:r>
        <w:rPr>
          <w:rFonts w:ascii="Arial" w:cs="Arial" w:eastAsia="Arial" w:hAnsi="Arial"/>
          <w:sz w:val="18"/>
          <w:szCs w:val="18"/>
          <w:color w:val="auto"/>
        </w:rPr>
        <w:t>Haiti</w:t>
      </w:r>
    </w:p>
    <w:p>
      <w:pPr>
        <w:spacing w:after="0" w:line="235" w:lineRule="auto"/>
        <w:rPr>
          <w:sz w:val="20"/>
          <w:szCs w:val="20"/>
          <w:color w:val="auto"/>
        </w:rPr>
      </w:pPr>
      <w:r>
        <w:rPr>
          <w:rFonts w:ascii="Arial" w:cs="Arial" w:eastAsia="Arial" w:hAnsi="Arial"/>
          <w:sz w:val="18"/>
          <w:szCs w:val="18"/>
          <w:color w:val="auto"/>
        </w:rPr>
        <w:t>Delaware</w:t>
      </w:r>
    </w:p>
    <w:p>
      <w:pPr>
        <w:spacing w:after="0" w:line="235" w:lineRule="auto"/>
        <w:rPr>
          <w:sz w:val="20"/>
          <w:szCs w:val="20"/>
          <w:color w:val="auto"/>
        </w:rPr>
      </w:pPr>
      <w:r>
        <w:rPr>
          <w:rFonts w:ascii="Arial" w:cs="Arial" w:eastAsia="Arial" w:hAnsi="Arial"/>
          <w:sz w:val="18"/>
          <w:szCs w:val="18"/>
          <w:color w:val="auto"/>
        </w:rPr>
        <w:t>Delaware</w:t>
      </w:r>
    </w:p>
    <w:p>
      <w:pPr>
        <w:spacing w:after="0" w:line="234" w:lineRule="auto"/>
        <w:rPr>
          <w:sz w:val="20"/>
          <w:szCs w:val="20"/>
          <w:color w:val="auto"/>
        </w:rPr>
      </w:pPr>
      <w:r>
        <w:rPr>
          <w:rFonts w:ascii="Arial" w:cs="Arial" w:eastAsia="Arial" w:hAnsi="Arial"/>
          <w:sz w:val="18"/>
          <w:szCs w:val="18"/>
          <w:color w:val="auto"/>
        </w:rPr>
        <w:t>Delaware</w:t>
      </w:r>
    </w:p>
    <w:p>
      <w:pPr>
        <w:spacing w:after="0" w:line="235" w:lineRule="auto"/>
        <w:rPr>
          <w:sz w:val="20"/>
          <w:szCs w:val="20"/>
          <w:color w:val="auto"/>
        </w:rPr>
      </w:pPr>
      <w:r>
        <w:rPr>
          <w:rFonts w:ascii="Arial" w:cs="Arial" w:eastAsia="Arial" w:hAnsi="Arial"/>
          <w:sz w:val="18"/>
          <w:szCs w:val="18"/>
          <w:color w:val="auto"/>
        </w:rPr>
        <w:t>Delaware</w:t>
      </w:r>
    </w:p>
    <w:p>
      <w:pPr>
        <w:spacing w:after="0" w:line="235" w:lineRule="auto"/>
        <w:rPr>
          <w:sz w:val="20"/>
          <w:szCs w:val="20"/>
          <w:color w:val="auto"/>
        </w:rPr>
      </w:pPr>
      <w:r>
        <w:rPr>
          <w:rFonts w:ascii="Arial" w:cs="Arial" w:eastAsia="Arial" w:hAnsi="Arial"/>
          <w:sz w:val="18"/>
          <w:szCs w:val="18"/>
          <w:color w:val="auto"/>
        </w:rPr>
        <w:t>California (10)</w:t>
      </w:r>
    </w:p>
    <w:p>
      <w:pPr>
        <w:spacing w:after="0" w:line="235" w:lineRule="auto"/>
        <w:rPr>
          <w:sz w:val="20"/>
          <w:szCs w:val="20"/>
          <w:color w:val="auto"/>
        </w:rPr>
      </w:pPr>
      <w:r>
        <w:rPr>
          <w:rFonts w:ascii="Arial" w:cs="Arial" w:eastAsia="Arial" w:hAnsi="Arial"/>
          <w:sz w:val="18"/>
          <w:szCs w:val="18"/>
          <w:color w:val="auto"/>
        </w:rPr>
        <w:t>Netherlands</w:t>
      </w:r>
    </w:p>
    <w:p>
      <w:pPr>
        <w:spacing w:after="0" w:line="235" w:lineRule="auto"/>
        <w:rPr>
          <w:sz w:val="20"/>
          <w:szCs w:val="20"/>
          <w:color w:val="auto"/>
        </w:rPr>
      </w:pPr>
      <w:r>
        <w:rPr>
          <w:rFonts w:ascii="Arial" w:cs="Arial" w:eastAsia="Arial" w:hAnsi="Arial"/>
          <w:sz w:val="18"/>
          <w:szCs w:val="18"/>
          <w:color w:val="auto"/>
        </w:rPr>
        <w:t>Netherlands</w:t>
      </w:r>
    </w:p>
    <w:p>
      <w:pPr>
        <w:spacing w:after="0" w:line="235" w:lineRule="auto"/>
        <w:rPr>
          <w:sz w:val="20"/>
          <w:szCs w:val="20"/>
          <w:color w:val="auto"/>
        </w:rPr>
      </w:pPr>
      <w:r>
        <w:rPr>
          <w:rFonts w:ascii="Arial" w:cs="Arial" w:eastAsia="Arial" w:hAnsi="Arial"/>
          <w:sz w:val="18"/>
          <w:szCs w:val="18"/>
          <w:color w:val="auto"/>
        </w:rPr>
        <w:t>Singapore</w:t>
      </w:r>
    </w:p>
    <w:p>
      <w:pPr>
        <w:spacing w:after="0" w:line="235" w:lineRule="auto"/>
        <w:rPr>
          <w:sz w:val="20"/>
          <w:szCs w:val="20"/>
          <w:color w:val="auto"/>
        </w:rPr>
      </w:pPr>
      <w:r>
        <w:rPr>
          <w:rFonts w:ascii="Arial" w:cs="Arial" w:eastAsia="Arial" w:hAnsi="Arial"/>
          <w:sz w:val="18"/>
          <w:szCs w:val="18"/>
          <w:color w:val="auto"/>
        </w:rPr>
        <w:t>Hong Kong</w:t>
      </w:r>
    </w:p>
    <w:p>
      <w:pPr>
        <w:spacing w:after="0" w:line="235" w:lineRule="auto"/>
        <w:rPr>
          <w:sz w:val="20"/>
          <w:szCs w:val="20"/>
          <w:color w:val="auto"/>
        </w:rPr>
      </w:pPr>
      <w:r>
        <w:rPr>
          <w:rFonts w:ascii="Arial" w:cs="Arial" w:eastAsia="Arial" w:hAnsi="Arial"/>
          <w:sz w:val="18"/>
          <w:szCs w:val="18"/>
          <w:color w:val="auto"/>
        </w:rPr>
        <w:t>Japan</w:t>
      </w:r>
    </w:p>
    <w:p>
      <w:pPr>
        <w:spacing w:after="0" w:line="235" w:lineRule="auto"/>
        <w:rPr>
          <w:sz w:val="20"/>
          <w:szCs w:val="20"/>
          <w:color w:val="auto"/>
        </w:rPr>
      </w:pPr>
      <w:r>
        <w:rPr>
          <w:rFonts w:ascii="Arial" w:cs="Arial" w:eastAsia="Arial" w:hAnsi="Arial"/>
          <w:sz w:val="18"/>
          <w:szCs w:val="18"/>
          <w:color w:val="auto"/>
        </w:rPr>
        <w:t>Korea</w:t>
      </w:r>
    </w:p>
    <w:p>
      <w:pPr>
        <w:spacing w:after="0" w:line="234" w:lineRule="auto"/>
        <w:rPr>
          <w:sz w:val="20"/>
          <w:szCs w:val="20"/>
          <w:color w:val="auto"/>
        </w:rPr>
      </w:pPr>
      <w:r>
        <w:rPr>
          <w:rFonts w:ascii="Arial" w:cs="Arial" w:eastAsia="Arial" w:hAnsi="Arial"/>
          <w:sz w:val="18"/>
          <w:szCs w:val="18"/>
          <w:color w:val="auto"/>
        </w:rPr>
        <w:t>Malaysia</w:t>
      </w:r>
    </w:p>
    <w:p>
      <w:pPr>
        <w:spacing w:after="0" w:line="235" w:lineRule="auto"/>
        <w:rPr>
          <w:sz w:val="20"/>
          <w:szCs w:val="20"/>
          <w:color w:val="auto"/>
        </w:rPr>
      </w:pPr>
      <w:r>
        <w:rPr>
          <w:rFonts w:ascii="Arial" w:cs="Arial" w:eastAsia="Arial" w:hAnsi="Arial"/>
          <w:sz w:val="18"/>
          <w:szCs w:val="18"/>
          <w:color w:val="auto"/>
        </w:rPr>
        <w:t>China</w:t>
      </w:r>
    </w:p>
    <w:p>
      <w:pPr>
        <w:spacing w:after="0" w:line="235" w:lineRule="auto"/>
        <w:rPr>
          <w:sz w:val="20"/>
          <w:szCs w:val="20"/>
          <w:color w:val="auto"/>
        </w:rPr>
      </w:pPr>
      <w:r>
        <w:rPr>
          <w:rFonts w:ascii="Arial" w:cs="Arial" w:eastAsia="Arial" w:hAnsi="Arial"/>
          <w:sz w:val="18"/>
          <w:szCs w:val="18"/>
          <w:color w:val="auto"/>
        </w:rPr>
        <w:t>Ireland</w:t>
      </w:r>
    </w:p>
    <w:p>
      <w:pPr>
        <w:spacing w:after="0" w:line="235" w:lineRule="auto"/>
        <w:rPr>
          <w:sz w:val="20"/>
          <w:szCs w:val="20"/>
          <w:color w:val="auto"/>
        </w:rPr>
      </w:pPr>
      <w:r>
        <w:rPr>
          <w:rFonts w:ascii="Arial" w:cs="Arial" w:eastAsia="Arial" w:hAnsi="Arial"/>
          <w:sz w:val="18"/>
          <w:szCs w:val="18"/>
          <w:color w:val="auto"/>
        </w:rPr>
        <w:t>Ireland</w:t>
      </w:r>
    </w:p>
    <w:p>
      <w:pPr>
        <w:spacing w:after="0" w:line="235" w:lineRule="auto"/>
        <w:rPr>
          <w:sz w:val="20"/>
          <w:szCs w:val="20"/>
          <w:color w:val="auto"/>
        </w:rPr>
      </w:pPr>
      <w:r>
        <w:rPr>
          <w:rFonts w:ascii="Arial" w:cs="Arial" w:eastAsia="Arial" w:hAnsi="Arial"/>
          <w:sz w:val="18"/>
          <w:szCs w:val="18"/>
          <w:color w:val="auto"/>
        </w:rPr>
        <w:t>Ireland</w:t>
      </w:r>
    </w:p>
    <w:p>
      <w:pPr>
        <w:spacing w:after="0" w:line="235" w:lineRule="auto"/>
        <w:rPr>
          <w:sz w:val="20"/>
          <w:szCs w:val="20"/>
          <w:color w:val="auto"/>
        </w:rPr>
      </w:pPr>
      <w:r>
        <w:rPr>
          <w:rFonts w:ascii="Arial" w:cs="Arial" w:eastAsia="Arial" w:hAnsi="Arial"/>
          <w:sz w:val="18"/>
          <w:szCs w:val="18"/>
          <w:color w:val="auto"/>
        </w:rPr>
        <w:t>Ireland</w:t>
      </w:r>
    </w:p>
    <w:p>
      <w:pPr>
        <w:spacing w:after="0" w:line="235" w:lineRule="auto"/>
        <w:rPr>
          <w:sz w:val="20"/>
          <w:szCs w:val="20"/>
          <w:color w:val="auto"/>
        </w:rPr>
      </w:pPr>
      <w:r>
        <w:rPr>
          <w:rFonts w:ascii="Arial" w:cs="Arial" w:eastAsia="Arial" w:hAnsi="Arial"/>
          <w:sz w:val="18"/>
          <w:szCs w:val="18"/>
          <w:color w:val="auto"/>
        </w:rPr>
        <w:t>United Kingdom</w:t>
      </w:r>
    </w:p>
    <w:p>
      <w:pPr>
        <w:spacing w:after="0" w:line="235" w:lineRule="auto"/>
        <w:rPr>
          <w:sz w:val="20"/>
          <w:szCs w:val="20"/>
          <w:color w:val="auto"/>
        </w:rPr>
      </w:pPr>
      <w:r>
        <w:rPr>
          <w:rFonts w:ascii="Arial" w:cs="Arial" w:eastAsia="Arial" w:hAnsi="Arial"/>
          <w:sz w:val="18"/>
          <w:szCs w:val="18"/>
          <w:color w:val="auto"/>
        </w:rPr>
        <w:t>Jersey</w:t>
      </w:r>
    </w:p>
    <w:p>
      <w:pPr>
        <w:spacing w:after="0" w:line="235" w:lineRule="auto"/>
        <w:rPr>
          <w:sz w:val="20"/>
          <w:szCs w:val="20"/>
          <w:color w:val="auto"/>
        </w:rPr>
      </w:pPr>
      <w:r>
        <w:rPr>
          <w:rFonts w:ascii="Arial" w:cs="Arial" w:eastAsia="Arial" w:hAnsi="Arial"/>
          <w:sz w:val="18"/>
          <w:szCs w:val="18"/>
          <w:color w:val="auto"/>
        </w:rPr>
        <w:t>Israel</w:t>
      </w:r>
    </w:p>
    <w:p>
      <w:pPr>
        <w:spacing w:after="0" w:line="234" w:lineRule="auto"/>
        <w:rPr>
          <w:sz w:val="20"/>
          <w:szCs w:val="20"/>
          <w:color w:val="auto"/>
        </w:rPr>
      </w:pPr>
      <w:r>
        <w:rPr>
          <w:rFonts w:ascii="Arial" w:cs="Arial" w:eastAsia="Arial" w:hAnsi="Arial"/>
          <w:sz w:val="18"/>
          <w:szCs w:val="18"/>
          <w:color w:val="auto"/>
        </w:rPr>
        <w:t>Bermuda</w:t>
      </w:r>
    </w:p>
    <w:p>
      <w:pPr>
        <w:spacing w:after="0" w:line="235" w:lineRule="auto"/>
        <w:rPr>
          <w:sz w:val="20"/>
          <w:szCs w:val="20"/>
          <w:color w:val="auto"/>
        </w:rPr>
      </w:pPr>
      <w:r>
        <w:rPr>
          <w:rFonts w:ascii="Arial" w:cs="Arial" w:eastAsia="Arial" w:hAnsi="Arial"/>
          <w:sz w:val="18"/>
          <w:szCs w:val="18"/>
          <w:color w:val="auto"/>
        </w:rPr>
        <w:t>Bermuda</w:t>
      </w:r>
    </w:p>
    <w:p>
      <w:pPr>
        <w:spacing w:after="0" w:line="235" w:lineRule="auto"/>
        <w:rPr>
          <w:sz w:val="20"/>
          <w:szCs w:val="20"/>
          <w:color w:val="auto"/>
        </w:rPr>
      </w:pPr>
      <w:r>
        <w:rPr>
          <w:rFonts w:ascii="Arial" w:cs="Arial" w:eastAsia="Arial" w:hAnsi="Arial"/>
          <w:sz w:val="18"/>
          <w:szCs w:val="18"/>
          <w:color w:val="auto"/>
        </w:rPr>
        <w:t>Egypt</w:t>
      </w:r>
    </w:p>
    <w:p>
      <w:pPr>
        <w:spacing w:after="0" w:line="235" w:lineRule="auto"/>
        <w:rPr>
          <w:sz w:val="20"/>
          <w:szCs w:val="20"/>
          <w:color w:val="auto"/>
        </w:rPr>
      </w:pPr>
      <w:r>
        <w:rPr>
          <w:rFonts w:ascii="Arial" w:cs="Arial" w:eastAsia="Arial" w:hAnsi="Arial"/>
          <w:sz w:val="18"/>
          <w:szCs w:val="18"/>
          <w:color w:val="auto"/>
        </w:rPr>
        <w:t>Egypt</w:t>
      </w:r>
    </w:p>
    <w:p>
      <w:pPr>
        <w:spacing w:after="0" w:line="235" w:lineRule="auto"/>
        <w:rPr>
          <w:sz w:val="20"/>
          <w:szCs w:val="20"/>
          <w:color w:val="auto"/>
        </w:rPr>
      </w:pPr>
      <w:r>
        <w:rPr>
          <w:rFonts w:ascii="Arial" w:cs="Arial" w:eastAsia="Arial" w:hAnsi="Arial"/>
          <w:sz w:val="18"/>
          <w:szCs w:val="18"/>
          <w:color w:val="auto"/>
        </w:rPr>
        <w:t>Egypt</w:t>
      </w:r>
    </w:p>
    <w:p>
      <w:pPr>
        <w:spacing w:after="0" w:line="235" w:lineRule="auto"/>
        <w:rPr>
          <w:sz w:val="20"/>
          <w:szCs w:val="20"/>
          <w:color w:val="auto"/>
        </w:rPr>
      </w:pPr>
      <w:r>
        <w:rPr>
          <w:rFonts w:ascii="Arial" w:cs="Arial" w:eastAsia="Arial" w:hAnsi="Arial"/>
          <w:sz w:val="18"/>
          <w:szCs w:val="18"/>
          <w:color w:val="auto"/>
        </w:rPr>
        <w:t>Bermuda</w:t>
      </w:r>
    </w:p>
    <w:p>
      <w:pPr>
        <w:spacing w:after="0" w:line="235" w:lineRule="auto"/>
        <w:rPr>
          <w:sz w:val="20"/>
          <w:szCs w:val="20"/>
          <w:color w:val="auto"/>
        </w:rPr>
      </w:pPr>
      <w:r>
        <w:rPr>
          <w:rFonts w:ascii="Arial" w:cs="Arial" w:eastAsia="Arial" w:hAnsi="Arial"/>
          <w:sz w:val="18"/>
          <w:szCs w:val="18"/>
          <w:color w:val="auto"/>
        </w:rPr>
        <w:t>Morocco (2)</w:t>
      </w:r>
    </w:p>
    <w:p>
      <w:pPr>
        <w:spacing w:after="0" w:line="235" w:lineRule="auto"/>
        <w:rPr>
          <w:sz w:val="20"/>
          <w:szCs w:val="20"/>
          <w:color w:val="auto"/>
        </w:rPr>
      </w:pPr>
      <w:r>
        <w:rPr>
          <w:rFonts w:ascii="Arial" w:cs="Arial" w:eastAsia="Arial" w:hAnsi="Arial"/>
          <w:sz w:val="18"/>
          <w:szCs w:val="18"/>
          <w:color w:val="auto"/>
        </w:rPr>
        <w:t>Bermuda</w:t>
      </w:r>
    </w:p>
    <w:p>
      <w:pPr>
        <w:spacing w:after="0"/>
        <w:rPr>
          <w:sz w:val="20"/>
          <w:szCs w:val="20"/>
          <w:color w:val="auto"/>
        </w:rPr>
      </w:pPr>
      <w:r>
        <w:rPr>
          <w:rFonts w:ascii="Arial" w:cs="Arial" w:eastAsia="Arial" w:hAnsi="Arial"/>
          <w:sz w:val="18"/>
          <w:szCs w:val="18"/>
          <w:color w:val="auto"/>
        </w:rPr>
        <w:t>United Kingdom</w:t>
      </w:r>
    </w:p>
    <w:p>
      <w:pPr>
        <w:spacing w:after="0" w:line="134" w:lineRule="exact"/>
        <w:rPr>
          <w:sz w:val="20"/>
          <w:szCs w:val="20"/>
          <w:color w:val="auto"/>
        </w:rPr>
      </w:pPr>
    </w:p>
    <w:p>
      <w:pPr>
        <w:sectPr>
          <w:pgSz w:w="11900" w:h="16838" w:orient="portrait"/>
          <w:cols w:equalWidth="0" w:num="2">
            <w:col w:w="6460" w:space="720"/>
            <w:col w:w="3039"/>
          </w:cols>
          <w:pgMar w:left="240" w:top="287" w:right="1440" w:bottom="1440" w:gutter="0" w:footer="0" w:header="0"/>
        </w:sectPr>
      </w:pPr>
    </w:p>
    <w:p>
      <w:pPr>
        <w:ind w:left="5660"/>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0219"/>
          </w:cols>
          <w:pgMar w:left="240" w:top="287" w:right="1440" w:bottom="1440" w:gutter="0" w:footer="0" w:header="0"/>
          <w:type w:val="continuous"/>
        </w:sectPr>
      </w:pPr>
    </w:p>
    <w:bookmarkStart w:id="188" w:name="page189"/>
    <w:bookmarkEnd w:id="18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Triton Business Finance Limited</w:t>
      </w:r>
    </w:p>
    <w:p>
      <w:pPr>
        <w:spacing w:after="0" w:line="234" w:lineRule="auto"/>
        <w:rPr>
          <w:sz w:val="20"/>
          <w:szCs w:val="20"/>
          <w:color w:val="auto"/>
        </w:rPr>
      </w:pPr>
      <w:r>
        <w:rPr>
          <w:rFonts w:ascii="Arial" w:cs="Arial" w:eastAsia="Arial" w:hAnsi="Arial"/>
          <w:sz w:val="18"/>
          <w:szCs w:val="18"/>
          <w:color w:val="auto"/>
        </w:rPr>
        <w:t>Xerox Trading Enterprises Limited</w:t>
      </w:r>
    </w:p>
    <w:p>
      <w:pPr>
        <w:spacing w:after="0" w:line="235" w:lineRule="auto"/>
        <w:rPr>
          <w:sz w:val="20"/>
          <w:szCs w:val="20"/>
          <w:color w:val="auto"/>
        </w:rPr>
      </w:pPr>
      <w:r>
        <w:rPr>
          <w:rFonts w:ascii="Arial" w:cs="Arial" w:eastAsia="Arial" w:hAnsi="Arial"/>
          <w:sz w:val="18"/>
          <w:szCs w:val="18"/>
          <w:color w:val="auto"/>
        </w:rPr>
        <w:t>Xerox Overseas Holdings Limited</w:t>
      </w:r>
    </w:p>
    <w:p>
      <w:pPr>
        <w:spacing w:after="0" w:line="235" w:lineRule="auto"/>
        <w:rPr>
          <w:sz w:val="20"/>
          <w:szCs w:val="20"/>
          <w:color w:val="auto"/>
        </w:rPr>
      </w:pPr>
      <w:r>
        <w:rPr>
          <w:rFonts w:ascii="Arial" w:cs="Arial" w:eastAsia="Arial" w:hAnsi="Arial"/>
          <w:sz w:val="18"/>
          <w:szCs w:val="18"/>
          <w:color w:val="auto"/>
        </w:rPr>
        <w:t>Affiliated Computer Services International B.V.</w:t>
      </w:r>
    </w:p>
    <w:p>
      <w:pPr>
        <w:spacing w:after="0" w:line="235" w:lineRule="auto"/>
        <w:rPr>
          <w:sz w:val="20"/>
          <w:szCs w:val="20"/>
          <w:color w:val="auto"/>
        </w:rPr>
      </w:pPr>
      <w:r>
        <w:rPr>
          <w:rFonts w:ascii="Arial" w:cs="Arial" w:eastAsia="Arial" w:hAnsi="Arial"/>
          <w:sz w:val="18"/>
          <w:szCs w:val="18"/>
          <w:color w:val="auto"/>
        </w:rPr>
        <w:t>ACS-BPS (Ghana) Limited</w:t>
      </w:r>
    </w:p>
    <w:p>
      <w:pPr>
        <w:spacing w:after="0" w:line="235" w:lineRule="auto"/>
        <w:rPr>
          <w:sz w:val="20"/>
          <w:szCs w:val="20"/>
          <w:color w:val="auto"/>
        </w:rPr>
      </w:pPr>
      <w:r>
        <w:rPr>
          <w:rFonts w:ascii="Arial" w:cs="Arial" w:eastAsia="Arial" w:hAnsi="Arial"/>
          <w:sz w:val="18"/>
          <w:szCs w:val="18"/>
          <w:color w:val="auto"/>
        </w:rPr>
        <w:t>ACS BPS de Guatemala S.A.</w:t>
      </w:r>
    </w:p>
    <w:p>
      <w:pPr>
        <w:spacing w:after="0" w:line="235" w:lineRule="auto"/>
        <w:rPr>
          <w:sz w:val="20"/>
          <w:szCs w:val="20"/>
          <w:color w:val="auto"/>
        </w:rPr>
      </w:pPr>
      <w:r>
        <w:rPr>
          <w:rFonts w:ascii="Arial" w:cs="Arial" w:eastAsia="Arial" w:hAnsi="Arial"/>
          <w:sz w:val="18"/>
          <w:szCs w:val="18"/>
          <w:color w:val="auto"/>
        </w:rPr>
        <w:t>ACS Business Process Solutions Limited</w:t>
      </w:r>
    </w:p>
    <w:p>
      <w:pPr>
        <w:spacing w:after="0" w:line="235" w:lineRule="auto"/>
        <w:rPr>
          <w:sz w:val="20"/>
          <w:szCs w:val="20"/>
          <w:color w:val="auto"/>
        </w:rPr>
      </w:pPr>
      <w:r>
        <w:rPr>
          <w:rFonts w:ascii="Arial" w:cs="Arial" w:eastAsia="Arial" w:hAnsi="Arial"/>
          <w:sz w:val="18"/>
          <w:szCs w:val="18"/>
          <w:color w:val="auto"/>
        </w:rPr>
        <w:t>ACS Malta Limited</w:t>
      </w:r>
    </w:p>
    <w:p>
      <w:pPr>
        <w:spacing w:after="0" w:line="235" w:lineRule="auto"/>
        <w:rPr>
          <w:sz w:val="20"/>
          <w:szCs w:val="20"/>
          <w:color w:val="auto"/>
        </w:rPr>
      </w:pPr>
      <w:r>
        <w:rPr>
          <w:rFonts w:ascii="Arial" w:cs="Arial" w:eastAsia="Arial" w:hAnsi="Arial"/>
          <w:sz w:val="18"/>
          <w:szCs w:val="18"/>
          <w:color w:val="auto"/>
        </w:rPr>
        <w:t>ACS Worldwide Lending Limited</w:t>
      </w:r>
    </w:p>
    <w:p>
      <w:pPr>
        <w:spacing w:after="0" w:line="235" w:lineRule="auto"/>
        <w:rPr>
          <w:sz w:val="20"/>
          <w:szCs w:val="20"/>
          <w:color w:val="auto"/>
        </w:rPr>
      </w:pPr>
      <w:r>
        <w:rPr>
          <w:rFonts w:ascii="Arial" w:cs="Arial" w:eastAsia="Arial" w:hAnsi="Arial"/>
          <w:sz w:val="18"/>
          <w:szCs w:val="18"/>
          <w:color w:val="auto"/>
        </w:rPr>
        <w:t>Buck Consultants Limited</w:t>
      </w:r>
    </w:p>
    <w:p>
      <w:pPr>
        <w:spacing w:after="0" w:line="234" w:lineRule="auto"/>
        <w:rPr>
          <w:sz w:val="20"/>
          <w:szCs w:val="20"/>
          <w:color w:val="auto"/>
        </w:rPr>
      </w:pPr>
      <w:r>
        <w:rPr>
          <w:rFonts w:ascii="Arial" w:cs="Arial" w:eastAsia="Arial" w:hAnsi="Arial"/>
          <w:sz w:val="18"/>
          <w:szCs w:val="18"/>
          <w:color w:val="auto"/>
        </w:rPr>
        <w:t>Bevis Trustees Limited</w:t>
      </w:r>
    </w:p>
    <w:p>
      <w:pPr>
        <w:spacing w:after="0" w:line="235" w:lineRule="auto"/>
        <w:rPr>
          <w:sz w:val="20"/>
          <w:szCs w:val="20"/>
          <w:color w:val="auto"/>
        </w:rPr>
      </w:pPr>
      <w:r>
        <w:rPr>
          <w:rFonts w:ascii="Arial" w:cs="Arial" w:eastAsia="Arial" w:hAnsi="Arial"/>
          <w:sz w:val="18"/>
          <w:szCs w:val="18"/>
          <w:color w:val="auto"/>
        </w:rPr>
        <w:t>Buckingham Trustees Limited</w:t>
      </w:r>
    </w:p>
    <w:p>
      <w:pPr>
        <w:spacing w:after="0" w:line="235" w:lineRule="auto"/>
        <w:rPr>
          <w:sz w:val="20"/>
          <w:szCs w:val="20"/>
          <w:color w:val="auto"/>
        </w:rPr>
      </w:pPr>
      <w:r>
        <w:rPr>
          <w:rFonts w:ascii="Arial" w:cs="Arial" w:eastAsia="Arial" w:hAnsi="Arial"/>
          <w:sz w:val="18"/>
          <w:szCs w:val="18"/>
          <w:color w:val="auto"/>
        </w:rPr>
        <w:t>Buck Consultants (Healthcare) Limited</w:t>
      </w:r>
    </w:p>
    <w:p>
      <w:pPr>
        <w:spacing w:after="0" w:line="235" w:lineRule="auto"/>
        <w:rPr>
          <w:sz w:val="20"/>
          <w:szCs w:val="20"/>
          <w:color w:val="auto"/>
        </w:rPr>
      </w:pPr>
      <w:r>
        <w:rPr>
          <w:rFonts w:ascii="Arial" w:cs="Arial" w:eastAsia="Arial" w:hAnsi="Arial"/>
          <w:sz w:val="18"/>
          <w:szCs w:val="18"/>
          <w:color w:val="auto"/>
        </w:rPr>
        <w:t>Buck Consultants (Administration &amp; Investment) Limited</w:t>
      </w:r>
    </w:p>
    <w:p>
      <w:pPr>
        <w:spacing w:after="0" w:line="235" w:lineRule="auto"/>
        <w:rPr>
          <w:sz w:val="20"/>
          <w:szCs w:val="20"/>
          <w:color w:val="auto"/>
        </w:rPr>
      </w:pPr>
      <w:r>
        <w:rPr>
          <w:rFonts w:ascii="Arial" w:cs="Arial" w:eastAsia="Arial" w:hAnsi="Arial"/>
          <w:sz w:val="18"/>
          <w:szCs w:val="18"/>
          <w:color w:val="auto"/>
        </w:rPr>
        <w:t>Talking People Limited</w:t>
      </w:r>
    </w:p>
    <w:p>
      <w:pPr>
        <w:spacing w:after="0" w:line="235" w:lineRule="auto"/>
        <w:rPr>
          <w:sz w:val="20"/>
          <w:szCs w:val="20"/>
          <w:color w:val="auto"/>
        </w:rPr>
      </w:pPr>
      <w:r>
        <w:rPr>
          <w:rFonts w:ascii="Arial" w:cs="Arial" w:eastAsia="Arial" w:hAnsi="Arial"/>
          <w:sz w:val="18"/>
          <w:szCs w:val="18"/>
          <w:color w:val="auto"/>
        </w:rPr>
        <w:t>Spur Information Solutions Limited</w:t>
      </w:r>
    </w:p>
    <w:p>
      <w:pPr>
        <w:spacing w:after="0" w:line="235" w:lineRule="auto"/>
        <w:rPr>
          <w:sz w:val="20"/>
          <w:szCs w:val="20"/>
          <w:color w:val="auto"/>
        </w:rPr>
      </w:pPr>
      <w:r>
        <w:rPr>
          <w:rFonts w:ascii="Arial" w:cs="Arial" w:eastAsia="Arial" w:hAnsi="Arial"/>
          <w:sz w:val="18"/>
          <w:szCs w:val="18"/>
          <w:color w:val="auto"/>
        </w:rPr>
        <w:t>Syan Holdings Limited</w:t>
      </w:r>
    </w:p>
    <w:p>
      <w:pPr>
        <w:spacing w:after="0" w:line="235" w:lineRule="auto"/>
        <w:rPr>
          <w:sz w:val="20"/>
          <w:szCs w:val="20"/>
          <w:color w:val="auto"/>
        </w:rPr>
      </w:pPr>
      <w:r>
        <w:rPr>
          <w:rFonts w:ascii="Arial" w:cs="Arial" w:eastAsia="Arial" w:hAnsi="Arial"/>
          <w:sz w:val="18"/>
          <w:szCs w:val="18"/>
          <w:color w:val="auto"/>
        </w:rPr>
        <w:t>ACS Information Technologies UK Limited</w:t>
      </w:r>
    </w:p>
    <w:p>
      <w:pPr>
        <w:spacing w:after="0" w:line="235" w:lineRule="auto"/>
        <w:rPr>
          <w:sz w:val="20"/>
          <w:szCs w:val="20"/>
          <w:color w:val="auto"/>
        </w:rPr>
      </w:pPr>
      <w:r>
        <w:rPr>
          <w:rFonts w:ascii="Arial" w:cs="Arial" w:eastAsia="Arial" w:hAnsi="Arial"/>
          <w:sz w:val="18"/>
          <w:szCs w:val="18"/>
          <w:color w:val="auto"/>
        </w:rPr>
        <w:t>Anix Group Limited</w:t>
      </w:r>
    </w:p>
    <w:p>
      <w:pPr>
        <w:spacing w:after="0" w:line="234" w:lineRule="auto"/>
        <w:rPr>
          <w:sz w:val="20"/>
          <w:szCs w:val="20"/>
          <w:color w:val="auto"/>
        </w:rPr>
      </w:pPr>
      <w:r>
        <w:rPr>
          <w:rFonts w:ascii="Arial" w:cs="Arial" w:eastAsia="Arial" w:hAnsi="Arial"/>
          <w:sz w:val="18"/>
          <w:szCs w:val="18"/>
          <w:color w:val="auto"/>
        </w:rPr>
        <w:t>Anix Business Systems Limited</w:t>
      </w:r>
    </w:p>
    <w:p>
      <w:pPr>
        <w:spacing w:after="0" w:line="235" w:lineRule="auto"/>
        <w:rPr>
          <w:sz w:val="20"/>
          <w:szCs w:val="20"/>
          <w:color w:val="auto"/>
        </w:rPr>
      </w:pPr>
      <w:r>
        <w:rPr>
          <w:rFonts w:ascii="Arial" w:cs="Arial" w:eastAsia="Arial" w:hAnsi="Arial"/>
          <w:sz w:val="18"/>
          <w:szCs w:val="18"/>
          <w:color w:val="auto"/>
        </w:rPr>
        <w:t>Anix Computers Limited</w:t>
      </w:r>
    </w:p>
    <w:p>
      <w:pPr>
        <w:spacing w:after="0" w:line="235" w:lineRule="auto"/>
        <w:rPr>
          <w:sz w:val="20"/>
          <w:szCs w:val="20"/>
          <w:color w:val="auto"/>
        </w:rPr>
      </w:pPr>
      <w:r>
        <w:rPr>
          <w:rFonts w:ascii="Arial" w:cs="Arial" w:eastAsia="Arial" w:hAnsi="Arial"/>
          <w:sz w:val="18"/>
          <w:szCs w:val="18"/>
          <w:color w:val="auto"/>
        </w:rPr>
        <w:t>PR Systems Limited</w:t>
      </w:r>
    </w:p>
    <w:p>
      <w:pPr>
        <w:spacing w:after="0" w:line="235" w:lineRule="auto"/>
        <w:rPr>
          <w:sz w:val="20"/>
          <w:szCs w:val="20"/>
          <w:color w:val="auto"/>
        </w:rPr>
      </w:pPr>
      <w:r>
        <w:rPr>
          <w:rFonts w:ascii="Arial" w:cs="Arial" w:eastAsia="Arial" w:hAnsi="Arial"/>
          <w:sz w:val="18"/>
          <w:szCs w:val="18"/>
          <w:color w:val="auto"/>
        </w:rPr>
        <w:t>Syan Technology Limited</w:t>
      </w:r>
    </w:p>
    <w:p>
      <w:pPr>
        <w:spacing w:after="0" w:line="235" w:lineRule="auto"/>
        <w:rPr>
          <w:sz w:val="20"/>
          <w:szCs w:val="20"/>
          <w:color w:val="auto"/>
        </w:rPr>
      </w:pPr>
      <w:r>
        <w:rPr>
          <w:rFonts w:ascii="Arial" w:cs="Arial" w:eastAsia="Arial" w:hAnsi="Arial"/>
          <w:sz w:val="18"/>
          <w:szCs w:val="18"/>
          <w:color w:val="auto"/>
        </w:rPr>
        <w:t>VBHG Limited</w:t>
      </w:r>
    </w:p>
    <w:p>
      <w:pPr>
        <w:spacing w:after="0" w:line="235" w:lineRule="auto"/>
        <w:rPr>
          <w:sz w:val="20"/>
          <w:szCs w:val="20"/>
          <w:color w:val="auto"/>
        </w:rPr>
      </w:pPr>
      <w:r>
        <w:rPr>
          <w:rFonts w:ascii="Arial" w:cs="Arial" w:eastAsia="Arial" w:hAnsi="Arial"/>
          <w:sz w:val="18"/>
          <w:szCs w:val="18"/>
          <w:color w:val="auto"/>
        </w:rPr>
        <w:t>Anix Holdings Limited</w:t>
      </w:r>
    </w:p>
    <w:p>
      <w:pPr>
        <w:spacing w:after="0" w:line="235" w:lineRule="auto"/>
        <w:rPr>
          <w:sz w:val="20"/>
          <w:szCs w:val="20"/>
          <w:color w:val="auto"/>
        </w:rPr>
      </w:pPr>
      <w:r>
        <w:rPr>
          <w:rFonts w:ascii="Arial" w:cs="Arial" w:eastAsia="Arial" w:hAnsi="Arial"/>
          <w:sz w:val="18"/>
          <w:szCs w:val="18"/>
          <w:color w:val="auto"/>
        </w:rPr>
        <w:t>Blue River Systems Limited</w:t>
      </w:r>
    </w:p>
    <w:p>
      <w:pPr>
        <w:spacing w:after="0" w:line="235" w:lineRule="auto"/>
        <w:rPr>
          <w:sz w:val="20"/>
          <w:szCs w:val="20"/>
          <w:color w:val="auto"/>
        </w:rPr>
      </w:pPr>
      <w:r>
        <w:rPr>
          <w:rFonts w:ascii="Arial" w:cs="Arial" w:eastAsia="Arial" w:hAnsi="Arial"/>
          <w:sz w:val="18"/>
          <w:szCs w:val="18"/>
          <w:color w:val="auto"/>
        </w:rPr>
        <w:t>Posetiv Limited</w:t>
      </w:r>
    </w:p>
    <w:p>
      <w:pPr>
        <w:spacing w:after="0" w:line="235" w:lineRule="auto"/>
        <w:rPr>
          <w:sz w:val="20"/>
          <w:szCs w:val="20"/>
          <w:color w:val="auto"/>
        </w:rPr>
      </w:pPr>
      <w:r>
        <w:rPr>
          <w:rFonts w:ascii="Arial" w:cs="Arial" w:eastAsia="Arial" w:hAnsi="Arial"/>
          <w:sz w:val="18"/>
          <w:szCs w:val="18"/>
          <w:color w:val="auto"/>
        </w:rPr>
        <w:t>Red Squared Limited</w:t>
      </w:r>
    </w:p>
    <w:p>
      <w:pPr>
        <w:spacing w:after="0" w:line="234" w:lineRule="auto"/>
        <w:rPr>
          <w:sz w:val="20"/>
          <w:szCs w:val="20"/>
          <w:color w:val="auto"/>
        </w:rPr>
      </w:pPr>
      <w:r>
        <w:rPr>
          <w:rFonts w:ascii="Arial" w:cs="Arial" w:eastAsia="Arial" w:hAnsi="Arial"/>
          <w:sz w:val="18"/>
          <w:szCs w:val="18"/>
          <w:color w:val="auto"/>
        </w:rPr>
        <w:t>ACS (Cyprus) Holdings Limited</w:t>
      </w:r>
    </w:p>
    <w:p>
      <w:pPr>
        <w:spacing w:after="0" w:line="235" w:lineRule="auto"/>
        <w:rPr>
          <w:sz w:val="20"/>
          <w:szCs w:val="20"/>
          <w:color w:val="auto"/>
        </w:rPr>
      </w:pPr>
      <w:r>
        <w:rPr>
          <w:rFonts w:ascii="Arial" w:cs="Arial" w:eastAsia="Arial" w:hAnsi="Arial"/>
          <w:sz w:val="18"/>
          <w:szCs w:val="18"/>
          <w:color w:val="auto"/>
        </w:rPr>
        <w:t>Affiliated Computer Services of India Private Limited</w:t>
      </w:r>
    </w:p>
    <w:p>
      <w:pPr>
        <w:spacing w:after="0" w:line="235" w:lineRule="auto"/>
        <w:rPr>
          <w:sz w:val="20"/>
          <w:szCs w:val="20"/>
          <w:color w:val="auto"/>
        </w:rPr>
      </w:pPr>
      <w:r>
        <w:rPr>
          <w:rFonts w:ascii="Arial" w:cs="Arial" w:eastAsia="Arial" w:hAnsi="Arial"/>
          <w:sz w:val="18"/>
          <w:szCs w:val="18"/>
          <w:color w:val="auto"/>
        </w:rPr>
        <w:t>ACS Czech Republic s.r.o.</w:t>
      </w:r>
    </w:p>
    <w:p>
      <w:pPr>
        <w:spacing w:after="0" w:line="235" w:lineRule="auto"/>
        <w:rPr>
          <w:sz w:val="20"/>
          <w:szCs w:val="20"/>
          <w:color w:val="auto"/>
        </w:rPr>
      </w:pPr>
      <w:r>
        <w:rPr>
          <w:rFonts w:ascii="Arial" w:cs="Arial" w:eastAsia="Arial" w:hAnsi="Arial"/>
          <w:sz w:val="18"/>
          <w:szCs w:val="18"/>
          <w:color w:val="auto"/>
        </w:rPr>
        <w:t>ACS of the Philippines, Inc.</w:t>
      </w:r>
    </w:p>
    <w:p>
      <w:pPr>
        <w:spacing w:after="0" w:line="235" w:lineRule="auto"/>
        <w:rPr>
          <w:sz w:val="20"/>
          <w:szCs w:val="20"/>
          <w:color w:val="auto"/>
        </w:rPr>
      </w:pPr>
      <w:r>
        <w:rPr>
          <w:rFonts w:ascii="Arial" w:cs="Arial" w:eastAsia="Arial" w:hAnsi="Arial"/>
          <w:sz w:val="18"/>
          <w:szCs w:val="18"/>
          <w:color w:val="auto"/>
        </w:rPr>
        <w:t>ACS Solutions Chile SA</w:t>
      </w:r>
    </w:p>
    <w:p>
      <w:pPr>
        <w:spacing w:after="0" w:line="235" w:lineRule="auto"/>
        <w:rPr>
          <w:sz w:val="20"/>
          <w:szCs w:val="20"/>
          <w:color w:val="auto"/>
        </w:rPr>
      </w:pPr>
      <w:r>
        <w:rPr>
          <w:rFonts w:ascii="Arial" w:cs="Arial" w:eastAsia="Arial" w:hAnsi="Arial"/>
          <w:sz w:val="18"/>
          <w:szCs w:val="18"/>
          <w:color w:val="auto"/>
        </w:rPr>
        <w:t>ACS Solutions Hong Kong Limited</w:t>
      </w:r>
    </w:p>
    <w:p>
      <w:pPr>
        <w:spacing w:after="0" w:line="235" w:lineRule="auto"/>
        <w:rPr>
          <w:sz w:val="20"/>
          <w:szCs w:val="20"/>
          <w:color w:val="auto"/>
        </w:rPr>
      </w:pPr>
      <w:r>
        <w:rPr>
          <w:rFonts w:ascii="Arial" w:cs="Arial" w:eastAsia="Arial" w:hAnsi="Arial"/>
          <w:sz w:val="18"/>
          <w:szCs w:val="18"/>
          <w:color w:val="auto"/>
        </w:rPr>
        <w:t>ACS Solutions Schweiz AG</w:t>
      </w:r>
    </w:p>
    <w:p>
      <w:pPr>
        <w:spacing w:after="0" w:line="235" w:lineRule="auto"/>
        <w:rPr>
          <w:sz w:val="20"/>
          <w:szCs w:val="20"/>
          <w:color w:val="auto"/>
        </w:rPr>
      </w:pPr>
      <w:r>
        <w:rPr>
          <w:rFonts w:ascii="Arial" w:cs="Arial" w:eastAsia="Arial" w:hAnsi="Arial"/>
          <w:sz w:val="18"/>
          <w:szCs w:val="18"/>
          <w:color w:val="auto"/>
        </w:rPr>
        <w:t>Affiliated Computer Services Austria GmbH</w:t>
      </w:r>
    </w:p>
    <w:p>
      <w:pPr>
        <w:spacing w:after="0" w:line="235" w:lineRule="auto"/>
        <w:rPr>
          <w:sz w:val="20"/>
          <w:szCs w:val="20"/>
          <w:color w:val="auto"/>
        </w:rPr>
      </w:pPr>
      <w:r>
        <w:rPr>
          <w:rFonts w:ascii="Arial" w:cs="Arial" w:eastAsia="Arial" w:hAnsi="Arial"/>
          <w:sz w:val="18"/>
          <w:szCs w:val="18"/>
          <w:color w:val="auto"/>
        </w:rPr>
        <w:t>Affiliated Computer Services do Brasil Ltda.</w:t>
      </w:r>
    </w:p>
    <w:p>
      <w:pPr>
        <w:spacing w:after="0" w:line="234" w:lineRule="auto"/>
        <w:rPr>
          <w:sz w:val="20"/>
          <w:szCs w:val="20"/>
          <w:color w:val="auto"/>
        </w:rPr>
      </w:pPr>
      <w:r>
        <w:rPr>
          <w:rFonts w:ascii="Arial" w:cs="Arial" w:eastAsia="Arial" w:hAnsi="Arial"/>
          <w:sz w:val="18"/>
          <w:szCs w:val="18"/>
          <w:color w:val="auto"/>
        </w:rPr>
        <w:t>Affiliated Computer Services (Fiji) Limited</w:t>
      </w:r>
    </w:p>
    <w:p>
      <w:pPr>
        <w:spacing w:after="0" w:line="235" w:lineRule="auto"/>
        <w:rPr>
          <w:sz w:val="20"/>
          <w:szCs w:val="20"/>
          <w:color w:val="auto"/>
        </w:rPr>
      </w:pPr>
      <w:r>
        <w:rPr>
          <w:rFonts w:ascii="Arial" w:cs="Arial" w:eastAsia="Arial" w:hAnsi="Arial"/>
          <w:sz w:val="18"/>
          <w:szCs w:val="18"/>
          <w:color w:val="auto"/>
        </w:rPr>
        <w:t>Affiliated Computer Services GmbH</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Affiliated Computer Services International (Barbados) Limited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ACS Business Process Solutions (Dominican Republic), S.A.</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ACS Business Process Solutions (Jamaica) Limited</w:t>
      </w:r>
    </w:p>
    <w:p>
      <w:pPr>
        <w:spacing w:after="0" w:line="234" w:lineRule="auto"/>
        <w:rPr>
          <w:sz w:val="20"/>
          <w:szCs w:val="20"/>
          <w:color w:val="auto"/>
        </w:rPr>
      </w:pPr>
      <w:r>
        <w:rPr>
          <w:rFonts w:ascii="Arial" w:cs="Arial" w:eastAsia="Arial" w:hAnsi="Arial"/>
          <w:sz w:val="18"/>
          <w:szCs w:val="18"/>
          <w:color w:val="auto"/>
        </w:rPr>
        <w:t>Affiliated Computer Services Ireland Limited</w:t>
      </w:r>
    </w:p>
    <w:p>
      <w:pPr>
        <w:spacing w:after="0" w:line="235" w:lineRule="auto"/>
        <w:rPr>
          <w:sz w:val="20"/>
          <w:szCs w:val="20"/>
          <w:color w:val="auto"/>
        </w:rPr>
      </w:pPr>
      <w:r>
        <w:rPr>
          <w:rFonts w:ascii="Arial" w:cs="Arial" w:eastAsia="Arial" w:hAnsi="Arial"/>
          <w:sz w:val="18"/>
          <w:szCs w:val="18"/>
          <w:color w:val="auto"/>
        </w:rPr>
        <w:t>Affiliated Computer Services Malaysia Sdn. Bhd.</w:t>
      </w:r>
    </w:p>
    <w:p>
      <w:pPr>
        <w:spacing w:after="0" w:line="235" w:lineRule="auto"/>
        <w:rPr>
          <w:sz w:val="20"/>
          <w:szCs w:val="20"/>
          <w:color w:val="auto"/>
        </w:rPr>
      </w:pPr>
      <w:r>
        <w:rPr>
          <w:rFonts w:ascii="Arial" w:cs="Arial" w:eastAsia="Arial" w:hAnsi="Arial"/>
          <w:sz w:val="18"/>
          <w:szCs w:val="18"/>
          <w:color w:val="auto"/>
        </w:rPr>
        <w:t>Affiliated Computer Services (Netherlands) B.V.</w:t>
      </w:r>
    </w:p>
    <w:p>
      <w:pPr>
        <w:spacing w:after="0" w:line="235" w:lineRule="auto"/>
        <w:rPr>
          <w:sz w:val="20"/>
          <w:szCs w:val="20"/>
          <w:color w:val="auto"/>
        </w:rPr>
      </w:pPr>
      <w:r>
        <w:rPr>
          <w:rFonts w:ascii="Arial" w:cs="Arial" w:eastAsia="Arial" w:hAnsi="Arial"/>
          <w:sz w:val="18"/>
          <w:szCs w:val="18"/>
          <w:color w:val="auto"/>
        </w:rPr>
        <w:t>Affiliated Computer Services of Poland Sp. z.o.o.</w:t>
      </w:r>
    </w:p>
    <w:p>
      <w:pPr>
        <w:spacing w:after="0" w:line="235" w:lineRule="auto"/>
        <w:rPr>
          <w:sz w:val="20"/>
          <w:szCs w:val="20"/>
          <w:color w:val="auto"/>
        </w:rPr>
      </w:pPr>
      <w:r>
        <w:rPr>
          <w:rFonts w:ascii="Arial" w:cs="Arial" w:eastAsia="Arial" w:hAnsi="Arial"/>
          <w:sz w:val="18"/>
          <w:szCs w:val="18"/>
          <w:color w:val="auto"/>
        </w:rPr>
        <w:t>Affiliated Computer Services (Proprietary) Limited</w:t>
      </w:r>
    </w:p>
    <w:p>
      <w:pPr>
        <w:spacing w:after="0" w:line="235" w:lineRule="auto"/>
        <w:rPr>
          <w:sz w:val="20"/>
          <w:szCs w:val="20"/>
          <w:color w:val="auto"/>
        </w:rPr>
      </w:pPr>
      <w:r>
        <w:rPr>
          <w:rFonts w:ascii="Arial" w:cs="Arial" w:eastAsia="Arial" w:hAnsi="Arial"/>
          <w:sz w:val="18"/>
          <w:szCs w:val="18"/>
          <w:color w:val="auto"/>
        </w:rPr>
        <w:t>Affiliated Computer Services (Tianjin) Co., Ltd.</w:t>
      </w:r>
    </w:p>
    <w:p>
      <w:pPr>
        <w:spacing w:after="0" w:line="235" w:lineRule="auto"/>
        <w:rPr>
          <w:sz w:val="20"/>
          <w:szCs w:val="20"/>
          <w:color w:val="auto"/>
        </w:rPr>
      </w:pPr>
      <w:r>
        <w:rPr>
          <w:rFonts w:ascii="Arial" w:cs="Arial" w:eastAsia="Arial" w:hAnsi="Arial"/>
          <w:sz w:val="18"/>
          <w:szCs w:val="18"/>
          <w:color w:val="auto"/>
        </w:rPr>
        <w:t>Xerox Business Equipment Limited</w:t>
      </w:r>
    </w:p>
    <w:p>
      <w:pPr>
        <w:spacing w:after="0" w:line="235" w:lineRule="auto"/>
        <w:rPr>
          <w:sz w:val="20"/>
          <w:szCs w:val="20"/>
          <w:color w:val="auto"/>
        </w:rPr>
      </w:pPr>
      <w:r>
        <w:rPr>
          <w:rFonts w:ascii="Arial" w:cs="Arial" w:eastAsia="Arial" w:hAnsi="Arial"/>
          <w:sz w:val="18"/>
          <w:szCs w:val="18"/>
          <w:color w:val="auto"/>
        </w:rPr>
        <w:t>Xerox Computer Services Limited</w:t>
      </w:r>
    </w:p>
    <w:p>
      <w:pPr>
        <w:spacing w:after="0" w:line="235" w:lineRule="auto"/>
        <w:rPr>
          <w:sz w:val="20"/>
          <w:szCs w:val="20"/>
          <w:color w:val="auto"/>
        </w:rPr>
      </w:pPr>
      <w:r>
        <w:rPr>
          <w:rFonts w:ascii="Arial" w:cs="Arial" w:eastAsia="Arial" w:hAnsi="Arial"/>
          <w:sz w:val="18"/>
          <w:szCs w:val="18"/>
          <w:color w:val="auto"/>
        </w:rPr>
        <w:t>Xerox Mailing Systems Limited</w:t>
      </w:r>
    </w:p>
    <w:p>
      <w:pPr>
        <w:spacing w:after="0" w:line="234" w:lineRule="auto"/>
        <w:rPr>
          <w:sz w:val="20"/>
          <w:szCs w:val="20"/>
          <w:color w:val="auto"/>
        </w:rPr>
      </w:pPr>
      <w:r>
        <w:rPr>
          <w:rFonts w:ascii="Arial" w:cs="Arial" w:eastAsia="Arial" w:hAnsi="Arial"/>
          <w:sz w:val="18"/>
          <w:szCs w:val="18"/>
          <w:color w:val="auto"/>
        </w:rPr>
        <w:t>Xerox Holding (Nederland) B.V.</w:t>
      </w:r>
    </w:p>
    <w:p>
      <w:pPr>
        <w:spacing w:after="0" w:line="235" w:lineRule="auto"/>
        <w:rPr>
          <w:sz w:val="20"/>
          <w:szCs w:val="20"/>
          <w:color w:val="auto"/>
        </w:rPr>
      </w:pPr>
      <w:r>
        <w:rPr>
          <w:rFonts w:ascii="Arial" w:cs="Arial" w:eastAsia="Arial" w:hAnsi="Arial"/>
          <w:sz w:val="18"/>
          <w:szCs w:val="18"/>
          <w:color w:val="auto"/>
        </w:rPr>
        <w:t>Xerox Manufacturing (Nederland) B.V.</w:t>
      </w:r>
    </w:p>
    <w:p>
      <w:pPr>
        <w:spacing w:after="0" w:line="235" w:lineRule="auto"/>
        <w:rPr>
          <w:sz w:val="20"/>
          <w:szCs w:val="20"/>
          <w:color w:val="auto"/>
        </w:rPr>
      </w:pPr>
      <w:r>
        <w:rPr>
          <w:rFonts w:ascii="Arial" w:cs="Arial" w:eastAsia="Arial" w:hAnsi="Arial"/>
          <w:sz w:val="18"/>
          <w:szCs w:val="18"/>
          <w:color w:val="auto"/>
        </w:rPr>
        <w:t>Xerox Office Printing Distribution B.V.</w:t>
      </w:r>
    </w:p>
    <w:p>
      <w:pPr>
        <w:spacing w:after="0" w:line="235" w:lineRule="auto"/>
        <w:rPr>
          <w:sz w:val="20"/>
          <w:szCs w:val="20"/>
          <w:color w:val="auto"/>
        </w:rPr>
      </w:pPr>
      <w:r>
        <w:rPr>
          <w:rFonts w:ascii="Arial" w:cs="Arial" w:eastAsia="Arial" w:hAnsi="Arial"/>
          <w:sz w:val="18"/>
          <w:szCs w:val="18"/>
          <w:color w:val="auto"/>
        </w:rPr>
        <w:t>Xerox Limited</w:t>
      </w:r>
    </w:p>
    <w:p>
      <w:pPr>
        <w:spacing w:after="0" w:line="235" w:lineRule="auto"/>
        <w:rPr>
          <w:sz w:val="20"/>
          <w:szCs w:val="20"/>
          <w:color w:val="auto"/>
        </w:rPr>
      </w:pPr>
      <w:r>
        <w:rPr>
          <w:rFonts w:ascii="Arial" w:cs="Arial" w:eastAsia="Arial" w:hAnsi="Arial"/>
          <w:sz w:val="18"/>
          <w:szCs w:val="18"/>
          <w:color w:val="auto"/>
        </w:rPr>
        <w:t>Continua Limited</w:t>
      </w:r>
    </w:p>
    <w:p>
      <w:pPr>
        <w:spacing w:after="0" w:line="235" w:lineRule="auto"/>
        <w:rPr>
          <w:sz w:val="20"/>
          <w:szCs w:val="20"/>
          <w:color w:val="auto"/>
        </w:rPr>
      </w:pPr>
      <w:r>
        <w:rPr>
          <w:rFonts w:ascii="Arial" w:cs="Arial" w:eastAsia="Arial" w:hAnsi="Arial"/>
          <w:sz w:val="18"/>
          <w:szCs w:val="18"/>
          <w:color w:val="auto"/>
        </w:rPr>
        <w:t>Continua Sanctum Limited</w:t>
      </w:r>
    </w:p>
    <w:p>
      <w:pPr>
        <w:spacing w:after="0" w:line="235" w:lineRule="auto"/>
        <w:rPr>
          <w:sz w:val="20"/>
          <w:szCs w:val="20"/>
          <w:color w:val="auto"/>
        </w:rPr>
      </w:pPr>
      <w:r>
        <w:rPr>
          <w:rFonts w:ascii="Arial" w:cs="Arial" w:eastAsia="Arial" w:hAnsi="Arial"/>
          <w:sz w:val="18"/>
          <w:szCs w:val="18"/>
          <w:color w:val="auto"/>
        </w:rPr>
        <w:t>Limited Liability Company Xerox (C.I.S.)</w:t>
      </w:r>
    </w:p>
    <w:p>
      <w:pPr>
        <w:spacing w:after="0" w:line="235" w:lineRule="auto"/>
        <w:rPr>
          <w:sz w:val="20"/>
          <w:szCs w:val="20"/>
          <w:color w:val="auto"/>
        </w:rPr>
      </w:pPr>
      <w:r>
        <w:rPr>
          <w:rFonts w:ascii="Arial" w:cs="Arial" w:eastAsia="Arial" w:hAnsi="Arial"/>
          <w:sz w:val="18"/>
          <w:szCs w:val="18"/>
          <w:color w:val="auto"/>
        </w:rPr>
        <w:t>The Xerox (UK) Trust</w:t>
      </w:r>
    </w:p>
    <w:p>
      <w:pPr>
        <w:spacing w:after="0"/>
        <w:rPr>
          <w:sz w:val="20"/>
          <w:szCs w:val="20"/>
          <w:color w:val="auto"/>
        </w:rPr>
      </w:pPr>
      <w:r>
        <w:rPr>
          <w:rFonts w:ascii="Arial" w:cs="Arial" w:eastAsia="Arial" w:hAnsi="Arial"/>
          <w:sz w:val="18"/>
          <w:szCs w:val="18"/>
          <w:color w:val="auto"/>
        </w:rPr>
        <w:t>Xerox 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United Kingdom</w:t>
      </w:r>
    </w:p>
    <w:p>
      <w:pPr>
        <w:spacing w:after="0" w:line="234" w:lineRule="auto"/>
        <w:rPr>
          <w:sz w:val="20"/>
          <w:szCs w:val="20"/>
          <w:color w:val="auto"/>
        </w:rPr>
      </w:pPr>
      <w:r>
        <w:rPr>
          <w:rFonts w:ascii="Arial" w:cs="Arial" w:eastAsia="Arial" w:hAnsi="Arial"/>
          <w:sz w:val="18"/>
          <w:szCs w:val="18"/>
          <w:color w:val="auto"/>
        </w:rPr>
        <w:t>United Kingdom</w:t>
      </w:r>
    </w:p>
    <w:p>
      <w:pPr>
        <w:spacing w:after="0" w:line="235" w:lineRule="auto"/>
        <w:rPr>
          <w:sz w:val="20"/>
          <w:szCs w:val="20"/>
          <w:color w:val="auto"/>
        </w:rPr>
      </w:pPr>
      <w:r>
        <w:rPr>
          <w:rFonts w:ascii="Arial" w:cs="Arial" w:eastAsia="Arial" w:hAnsi="Arial"/>
          <w:sz w:val="18"/>
          <w:szCs w:val="18"/>
          <w:color w:val="auto"/>
        </w:rPr>
        <w:t>United Kingdom</w:t>
      </w:r>
    </w:p>
    <w:p>
      <w:pPr>
        <w:spacing w:after="0" w:line="235" w:lineRule="auto"/>
        <w:rPr>
          <w:sz w:val="20"/>
          <w:szCs w:val="20"/>
          <w:color w:val="auto"/>
        </w:rPr>
      </w:pPr>
      <w:r>
        <w:rPr>
          <w:rFonts w:ascii="Arial" w:cs="Arial" w:eastAsia="Arial" w:hAnsi="Arial"/>
          <w:sz w:val="18"/>
          <w:szCs w:val="18"/>
          <w:color w:val="auto"/>
        </w:rPr>
        <w:t>Netherlands</w:t>
      </w:r>
    </w:p>
    <w:p>
      <w:pPr>
        <w:spacing w:after="0" w:line="235" w:lineRule="auto"/>
        <w:rPr>
          <w:sz w:val="20"/>
          <w:szCs w:val="20"/>
          <w:color w:val="auto"/>
        </w:rPr>
      </w:pPr>
      <w:r>
        <w:rPr>
          <w:rFonts w:ascii="Arial" w:cs="Arial" w:eastAsia="Arial" w:hAnsi="Arial"/>
          <w:sz w:val="18"/>
          <w:szCs w:val="18"/>
          <w:color w:val="auto"/>
        </w:rPr>
        <w:t>Ghana</w:t>
      </w:r>
    </w:p>
    <w:p>
      <w:pPr>
        <w:spacing w:after="0" w:line="235" w:lineRule="auto"/>
        <w:rPr>
          <w:sz w:val="20"/>
          <w:szCs w:val="20"/>
          <w:color w:val="auto"/>
        </w:rPr>
      </w:pPr>
      <w:r>
        <w:rPr>
          <w:rFonts w:ascii="Arial" w:cs="Arial" w:eastAsia="Arial" w:hAnsi="Arial"/>
          <w:sz w:val="18"/>
          <w:szCs w:val="18"/>
          <w:color w:val="auto"/>
        </w:rPr>
        <w:t>Guatemala</w:t>
      </w:r>
    </w:p>
    <w:p>
      <w:pPr>
        <w:spacing w:after="0" w:line="235" w:lineRule="auto"/>
        <w:rPr>
          <w:sz w:val="20"/>
          <w:szCs w:val="20"/>
          <w:color w:val="auto"/>
        </w:rPr>
      </w:pPr>
      <w:r>
        <w:rPr>
          <w:rFonts w:ascii="Arial" w:cs="Arial" w:eastAsia="Arial" w:hAnsi="Arial"/>
          <w:sz w:val="18"/>
          <w:szCs w:val="18"/>
          <w:color w:val="auto"/>
        </w:rPr>
        <w:t>United Kingdom</w:t>
      </w:r>
    </w:p>
    <w:p>
      <w:pPr>
        <w:spacing w:after="0" w:line="235" w:lineRule="auto"/>
        <w:rPr>
          <w:sz w:val="20"/>
          <w:szCs w:val="20"/>
          <w:color w:val="auto"/>
        </w:rPr>
      </w:pPr>
      <w:r>
        <w:rPr>
          <w:rFonts w:ascii="Arial" w:cs="Arial" w:eastAsia="Arial" w:hAnsi="Arial"/>
          <w:sz w:val="18"/>
          <w:szCs w:val="18"/>
          <w:color w:val="auto"/>
        </w:rPr>
        <w:t>Malta (66)</w:t>
      </w:r>
    </w:p>
    <w:p>
      <w:pPr>
        <w:spacing w:after="0" w:line="235" w:lineRule="auto"/>
        <w:rPr>
          <w:sz w:val="20"/>
          <w:szCs w:val="20"/>
          <w:color w:val="auto"/>
        </w:rPr>
      </w:pPr>
      <w:r>
        <w:rPr>
          <w:rFonts w:ascii="Arial" w:cs="Arial" w:eastAsia="Arial" w:hAnsi="Arial"/>
          <w:sz w:val="18"/>
          <w:szCs w:val="18"/>
          <w:color w:val="auto"/>
        </w:rPr>
        <w:t>United Kingdom</w:t>
      </w:r>
    </w:p>
    <w:p>
      <w:pPr>
        <w:spacing w:after="0" w:line="235" w:lineRule="auto"/>
        <w:rPr>
          <w:sz w:val="20"/>
          <w:szCs w:val="20"/>
          <w:color w:val="auto"/>
        </w:rPr>
      </w:pPr>
      <w:r>
        <w:rPr>
          <w:rFonts w:ascii="Arial" w:cs="Arial" w:eastAsia="Arial" w:hAnsi="Arial"/>
          <w:sz w:val="18"/>
          <w:szCs w:val="18"/>
          <w:color w:val="auto"/>
        </w:rPr>
        <w:t>United Kingdom</w:t>
      </w:r>
    </w:p>
    <w:p>
      <w:pPr>
        <w:spacing w:after="0" w:line="234" w:lineRule="auto"/>
        <w:rPr>
          <w:sz w:val="20"/>
          <w:szCs w:val="20"/>
          <w:color w:val="auto"/>
        </w:rPr>
      </w:pPr>
      <w:r>
        <w:rPr>
          <w:rFonts w:ascii="Arial" w:cs="Arial" w:eastAsia="Arial" w:hAnsi="Arial"/>
          <w:sz w:val="18"/>
          <w:szCs w:val="18"/>
          <w:color w:val="auto"/>
        </w:rPr>
        <w:t>United Kingdom</w:t>
      </w:r>
    </w:p>
    <w:p>
      <w:pPr>
        <w:spacing w:after="0" w:line="235" w:lineRule="auto"/>
        <w:rPr>
          <w:sz w:val="20"/>
          <w:szCs w:val="20"/>
          <w:color w:val="auto"/>
        </w:rPr>
      </w:pPr>
      <w:r>
        <w:rPr>
          <w:rFonts w:ascii="Arial" w:cs="Arial" w:eastAsia="Arial" w:hAnsi="Arial"/>
          <w:sz w:val="18"/>
          <w:szCs w:val="18"/>
          <w:color w:val="auto"/>
        </w:rPr>
        <w:t>United Kingdom</w:t>
      </w:r>
    </w:p>
    <w:p>
      <w:pPr>
        <w:spacing w:after="0" w:line="235" w:lineRule="auto"/>
        <w:rPr>
          <w:sz w:val="20"/>
          <w:szCs w:val="20"/>
          <w:color w:val="auto"/>
        </w:rPr>
      </w:pPr>
      <w:r>
        <w:rPr>
          <w:rFonts w:ascii="Arial" w:cs="Arial" w:eastAsia="Arial" w:hAnsi="Arial"/>
          <w:sz w:val="18"/>
          <w:szCs w:val="18"/>
          <w:color w:val="auto"/>
        </w:rPr>
        <w:t>United Kingdom</w:t>
      </w:r>
    </w:p>
    <w:p>
      <w:pPr>
        <w:spacing w:after="0" w:line="235" w:lineRule="auto"/>
        <w:rPr>
          <w:sz w:val="20"/>
          <w:szCs w:val="20"/>
          <w:color w:val="auto"/>
        </w:rPr>
      </w:pPr>
      <w:r>
        <w:rPr>
          <w:rFonts w:ascii="Arial" w:cs="Arial" w:eastAsia="Arial" w:hAnsi="Arial"/>
          <w:sz w:val="18"/>
          <w:szCs w:val="18"/>
          <w:color w:val="auto"/>
        </w:rPr>
        <w:t>United Kingdom</w:t>
      </w:r>
    </w:p>
    <w:p>
      <w:pPr>
        <w:spacing w:after="0" w:line="235" w:lineRule="auto"/>
        <w:rPr>
          <w:sz w:val="20"/>
          <w:szCs w:val="20"/>
          <w:color w:val="auto"/>
        </w:rPr>
      </w:pPr>
      <w:r>
        <w:rPr>
          <w:rFonts w:ascii="Arial" w:cs="Arial" w:eastAsia="Arial" w:hAnsi="Arial"/>
          <w:sz w:val="18"/>
          <w:szCs w:val="18"/>
          <w:color w:val="auto"/>
        </w:rPr>
        <w:t>United Kingdom</w:t>
      </w:r>
    </w:p>
    <w:p>
      <w:pPr>
        <w:spacing w:after="0" w:line="235" w:lineRule="auto"/>
        <w:rPr>
          <w:sz w:val="20"/>
          <w:szCs w:val="20"/>
          <w:color w:val="auto"/>
        </w:rPr>
      </w:pPr>
      <w:r>
        <w:rPr>
          <w:rFonts w:ascii="Arial" w:cs="Arial" w:eastAsia="Arial" w:hAnsi="Arial"/>
          <w:sz w:val="18"/>
          <w:szCs w:val="18"/>
          <w:color w:val="auto"/>
        </w:rPr>
        <w:t>United Kingdom</w:t>
      </w:r>
    </w:p>
    <w:p>
      <w:pPr>
        <w:spacing w:after="0" w:line="235" w:lineRule="auto"/>
        <w:rPr>
          <w:sz w:val="20"/>
          <w:szCs w:val="20"/>
          <w:color w:val="auto"/>
        </w:rPr>
      </w:pPr>
      <w:r>
        <w:rPr>
          <w:rFonts w:ascii="Arial" w:cs="Arial" w:eastAsia="Arial" w:hAnsi="Arial"/>
          <w:sz w:val="18"/>
          <w:szCs w:val="18"/>
          <w:color w:val="auto"/>
        </w:rPr>
        <w:t>United Kingdom</w:t>
      </w:r>
    </w:p>
    <w:p>
      <w:pPr>
        <w:spacing w:after="0" w:line="235" w:lineRule="auto"/>
        <w:rPr>
          <w:sz w:val="20"/>
          <w:szCs w:val="20"/>
          <w:color w:val="auto"/>
        </w:rPr>
      </w:pPr>
      <w:r>
        <w:rPr>
          <w:rFonts w:ascii="Arial" w:cs="Arial" w:eastAsia="Arial" w:hAnsi="Arial"/>
          <w:sz w:val="18"/>
          <w:szCs w:val="18"/>
          <w:color w:val="auto"/>
        </w:rPr>
        <w:t>United Kingdom</w:t>
      </w:r>
    </w:p>
    <w:p>
      <w:pPr>
        <w:spacing w:after="0" w:line="235" w:lineRule="auto"/>
        <w:rPr>
          <w:sz w:val="20"/>
          <w:szCs w:val="20"/>
          <w:color w:val="auto"/>
        </w:rPr>
      </w:pPr>
      <w:r>
        <w:rPr>
          <w:rFonts w:ascii="Arial" w:cs="Arial" w:eastAsia="Arial" w:hAnsi="Arial"/>
          <w:sz w:val="18"/>
          <w:szCs w:val="18"/>
          <w:color w:val="auto"/>
        </w:rPr>
        <w:t>United Kingdom</w:t>
      </w:r>
    </w:p>
    <w:p>
      <w:pPr>
        <w:spacing w:after="0" w:line="234" w:lineRule="auto"/>
        <w:rPr>
          <w:sz w:val="20"/>
          <w:szCs w:val="20"/>
          <w:color w:val="auto"/>
        </w:rPr>
      </w:pPr>
      <w:r>
        <w:rPr>
          <w:rFonts w:ascii="Arial" w:cs="Arial" w:eastAsia="Arial" w:hAnsi="Arial"/>
          <w:sz w:val="18"/>
          <w:szCs w:val="18"/>
          <w:color w:val="auto"/>
        </w:rPr>
        <w:t>United Kingdom</w:t>
      </w:r>
    </w:p>
    <w:p>
      <w:pPr>
        <w:spacing w:after="0" w:line="235" w:lineRule="auto"/>
        <w:rPr>
          <w:sz w:val="20"/>
          <w:szCs w:val="20"/>
          <w:color w:val="auto"/>
        </w:rPr>
      </w:pPr>
      <w:r>
        <w:rPr>
          <w:rFonts w:ascii="Arial" w:cs="Arial" w:eastAsia="Arial" w:hAnsi="Arial"/>
          <w:sz w:val="18"/>
          <w:szCs w:val="18"/>
          <w:color w:val="auto"/>
        </w:rPr>
        <w:t>United Kingdom</w:t>
      </w:r>
    </w:p>
    <w:p>
      <w:pPr>
        <w:spacing w:after="0" w:line="235" w:lineRule="auto"/>
        <w:rPr>
          <w:sz w:val="20"/>
          <w:szCs w:val="20"/>
          <w:color w:val="auto"/>
        </w:rPr>
      </w:pPr>
      <w:r>
        <w:rPr>
          <w:rFonts w:ascii="Arial" w:cs="Arial" w:eastAsia="Arial" w:hAnsi="Arial"/>
          <w:sz w:val="18"/>
          <w:szCs w:val="18"/>
          <w:color w:val="auto"/>
        </w:rPr>
        <w:t>United Kingdom</w:t>
      </w:r>
    </w:p>
    <w:p>
      <w:pPr>
        <w:spacing w:after="0" w:line="235" w:lineRule="auto"/>
        <w:rPr>
          <w:sz w:val="20"/>
          <w:szCs w:val="20"/>
          <w:color w:val="auto"/>
        </w:rPr>
      </w:pPr>
      <w:r>
        <w:rPr>
          <w:rFonts w:ascii="Arial" w:cs="Arial" w:eastAsia="Arial" w:hAnsi="Arial"/>
          <w:sz w:val="18"/>
          <w:szCs w:val="18"/>
          <w:color w:val="auto"/>
        </w:rPr>
        <w:t>United Kingdom</w:t>
      </w:r>
    </w:p>
    <w:p>
      <w:pPr>
        <w:spacing w:after="0" w:line="235" w:lineRule="auto"/>
        <w:rPr>
          <w:sz w:val="20"/>
          <w:szCs w:val="20"/>
          <w:color w:val="auto"/>
        </w:rPr>
      </w:pPr>
      <w:r>
        <w:rPr>
          <w:rFonts w:ascii="Arial" w:cs="Arial" w:eastAsia="Arial" w:hAnsi="Arial"/>
          <w:sz w:val="18"/>
          <w:szCs w:val="18"/>
          <w:color w:val="auto"/>
        </w:rPr>
        <w:t>United Kingdom</w:t>
      </w:r>
    </w:p>
    <w:p>
      <w:pPr>
        <w:spacing w:after="0" w:line="235" w:lineRule="auto"/>
        <w:rPr>
          <w:sz w:val="20"/>
          <w:szCs w:val="20"/>
          <w:color w:val="auto"/>
        </w:rPr>
      </w:pPr>
      <w:r>
        <w:rPr>
          <w:rFonts w:ascii="Arial" w:cs="Arial" w:eastAsia="Arial" w:hAnsi="Arial"/>
          <w:sz w:val="18"/>
          <w:szCs w:val="18"/>
          <w:color w:val="auto"/>
        </w:rPr>
        <w:t>United Kingdom</w:t>
      </w:r>
    </w:p>
    <w:p>
      <w:pPr>
        <w:spacing w:after="0" w:line="235" w:lineRule="auto"/>
        <w:rPr>
          <w:sz w:val="20"/>
          <w:szCs w:val="20"/>
          <w:color w:val="auto"/>
        </w:rPr>
      </w:pPr>
      <w:r>
        <w:rPr>
          <w:rFonts w:ascii="Arial" w:cs="Arial" w:eastAsia="Arial" w:hAnsi="Arial"/>
          <w:sz w:val="18"/>
          <w:szCs w:val="18"/>
          <w:color w:val="auto"/>
        </w:rPr>
        <w:t>United Kingdom</w:t>
      </w:r>
    </w:p>
    <w:p>
      <w:pPr>
        <w:spacing w:after="0" w:line="235" w:lineRule="auto"/>
        <w:rPr>
          <w:sz w:val="20"/>
          <w:szCs w:val="20"/>
          <w:color w:val="auto"/>
        </w:rPr>
      </w:pPr>
      <w:r>
        <w:rPr>
          <w:rFonts w:ascii="Arial" w:cs="Arial" w:eastAsia="Arial" w:hAnsi="Arial"/>
          <w:sz w:val="18"/>
          <w:szCs w:val="18"/>
          <w:color w:val="auto"/>
        </w:rPr>
        <w:t>United Kingdom</w:t>
      </w:r>
    </w:p>
    <w:p>
      <w:pPr>
        <w:spacing w:after="0" w:line="235" w:lineRule="auto"/>
        <w:rPr>
          <w:sz w:val="20"/>
          <w:szCs w:val="20"/>
          <w:color w:val="auto"/>
        </w:rPr>
      </w:pPr>
      <w:r>
        <w:rPr>
          <w:rFonts w:ascii="Arial" w:cs="Arial" w:eastAsia="Arial" w:hAnsi="Arial"/>
          <w:sz w:val="18"/>
          <w:szCs w:val="18"/>
          <w:color w:val="auto"/>
        </w:rPr>
        <w:t>United Kingdom</w:t>
      </w:r>
    </w:p>
    <w:p>
      <w:pPr>
        <w:spacing w:after="0" w:line="234" w:lineRule="auto"/>
        <w:rPr>
          <w:sz w:val="20"/>
          <w:szCs w:val="20"/>
          <w:color w:val="auto"/>
        </w:rPr>
      </w:pPr>
      <w:r>
        <w:rPr>
          <w:rFonts w:ascii="Arial" w:cs="Arial" w:eastAsia="Arial" w:hAnsi="Arial"/>
          <w:sz w:val="18"/>
          <w:szCs w:val="18"/>
          <w:color w:val="auto"/>
        </w:rPr>
        <w:t>Cyprus</w:t>
      </w:r>
    </w:p>
    <w:p>
      <w:pPr>
        <w:spacing w:after="0" w:line="235" w:lineRule="auto"/>
        <w:rPr>
          <w:sz w:val="20"/>
          <w:szCs w:val="20"/>
          <w:color w:val="auto"/>
        </w:rPr>
      </w:pPr>
      <w:r>
        <w:rPr>
          <w:rFonts w:ascii="Arial" w:cs="Arial" w:eastAsia="Arial" w:hAnsi="Arial"/>
          <w:sz w:val="18"/>
          <w:szCs w:val="18"/>
          <w:color w:val="auto"/>
        </w:rPr>
        <w:t>India (58)</w:t>
      </w:r>
    </w:p>
    <w:p>
      <w:pPr>
        <w:spacing w:after="0" w:line="235" w:lineRule="auto"/>
        <w:rPr>
          <w:sz w:val="20"/>
          <w:szCs w:val="20"/>
          <w:color w:val="auto"/>
        </w:rPr>
      </w:pPr>
      <w:r>
        <w:rPr>
          <w:rFonts w:ascii="Arial" w:cs="Arial" w:eastAsia="Arial" w:hAnsi="Arial"/>
          <w:sz w:val="18"/>
          <w:szCs w:val="18"/>
          <w:color w:val="auto"/>
        </w:rPr>
        <w:t>Czech Republic</w:t>
      </w:r>
    </w:p>
    <w:p>
      <w:pPr>
        <w:spacing w:after="0" w:line="235" w:lineRule="auto"/>
        <w:rPr>
          <w:sz w:val="20"/>
          <w:szCs w:val="20"/>
          <w:color w:val="auto"/>
        </w:rPr>
      </w:pPr>
      <w:r>
        <w:rPr>
          <w:rFonts w:ascii="Arial" w:cs="Arial" w:eastAsia="Arial" w:hAnsi="Arial"/>
          <w:sz w:val="18"/>
          <w:szCs w:val="18"/>
          <w:color w:val="auto"/>
        </w:rPr>
        <w:t>Philippines (62)</w:t>
      </w:r>
    </w:p>
    <w:p>
      <w:pPr>
        <w:spacing w:after="0" w:line="235" w:lineRule="auto"/>
        <w:rPr>
          <w:sz w:val="20"/>
          <w:szCs w:val="20"/>
          <w:color w:val="auto"/>
        </w:rPr>
      </w:pPr>
      <w:r>
        <w:rPr>
          <w:rFonts w:ascii="Arial" w:cs="Arial" w:eastAsia="Arial" w:hAnsi="Arial"/>
          <w:sz w:val="18"/>
          <w:szCs w:val="18"/>
          <w:color w:val="auto"/>
        </w:rPr>
        <w:t>Chile (57)</w:t>
      </w:r>
    </w:p>
    <w:p>
      <w:pPr>
        <w:spacing w:after="0" w:line="235" w:lineRule="auto"/>
        <w:rPr>
          <w:sz w:val="20"/>
          <w:szCs w:val="20"/>
          <w:color w:val="auto"/>
        </w:rPr>
      </w:pPr>
      <w:r>
        <w:rPr>
          <w:rFonts w:ascii="Arial" w:cs="Arial" w:eastAsia="Arial" w:hAnsi="Arial"/>
          <w:sz w:val="18"/>
          <w:szCs w:val="18"/>
          <w:color w:val="auto"/>
        </w:rPr>
        <w:t>Hong Kong</w:t>
      </w:r>
    </w:p>
    <w:p>
      <w:pPr>
        <w:spacing w:after="0" w:line="235" w:lineRule="auto"/>
        <w:rPr>
          <w:sz w:val="20"/>
          <w:szCs w:val="20"/>
          <w:color w:val="auto"/>
        </w:rPr>
      </w:pPr>
      <w:r>
        <w:rPr>
          <w:rFonts w:ascii="Arial" w:cs="Arial" w:eastAsia="Arial" w:hAnsi="Arial"/>
          <w:sz w:val="18"/>
          <w:szCs w:val="18"/>
          <w:color w:val="auto"/>
        </w:rPr>
        <w:t>Switzerland</w:t>
      </w:r>
    </w:p>
    <w:p>
      <w:pPr>
        <w:spacing w:after="0" w:line="235" w:lineRule="auto"/>
        <w:rPr>
          <w:sz w:val="20"/>
          <w:szCs w:val="20"/>
          <w:color w:val="auto"/>
        </w:rPr>
      </w:pPr>
      <w:r>
        <w:rPr>
          <w:rFonts w:ascii="Arial" w:cs="Arial" w:eastAsia="Arial" w:hAnsi="Arial"/>
          <w:sz w:val="18"/>
          <w:szCs w:val="18"/>
          <w:color w:val="auto"/>
        </w:rPr>
        <w:t>Austria</w:t>
      </w:r>
    </w:p>
    <w:p>
      <w:pPr>
        <w:spacing w:after="0" w:line="235" w:lineRule="auto"/>
        <w:rPr>
          <w:sz w:val="20"/>
          <w:szCs w:val="20"/>
          <w:color w:val="auto"/>
        </w:rPr>
      </w:pPr>
      <w:r>
        <w:rPr>
          <w:rFonts w:ascii="Arial" w:cs="Arial" w:eastAsia="Arial" w:hAnsi="Arial"/>
          <w:sz w:val="18"/>
          <w:szCs w:val="18"/>
          <w:color w:val="auto"/>
        </w:rPr>
        <w:t>Brazil (55)</w:t>
      </w:r>
    </w:p>
    <w:p>
      <w:pPr>
        <w:spacing w:after="0" w:line="234" w:lineRule="auto"/>
        <w:rPr>
          <w:sz w:val="20"/>
          <w:szCs w:val="20"/>
          <w:color w:val="auto"/>
        </w:rPr>
      </w:pPr>
      <w:r>
        <w:rPr>
          <w:rFonts w:ascii="Arial" w:cs="Arial" w:eastAsia="Arial" w:hAnsi="Arial"/>
          <w:sz w:val="18"/>
          <w:szCs w:val="18"/>
          <w:color w:val="auto"/>
        </w:rPr>
        <w:t>Fiji (59)</w:t>
      </w:r>
    </w:p>
    <w:p>
      <w:pPr>
        <w:spacing w:after="0" w:line="235" w:lineRule="auto"/>
        <w:rPr>
          <w:sz w:val="20"/>
          <w:szCs w:val="20"/>
          <w:color w:val="auto"/>
        </w:rPr>
      </w:pPr>
      <w:r>
        <w:rPr>
          <w:rFonts w:ascii="Arial" w:cs="Arial" w:eastAsia="Arial" w:hAnsi="Arial"/>
          <w:sz w:val="18"/>
          <w:szCs w:val="18"/>
          <w:color w:val="auto"/>
        </w:rPr>
        <w:t>Switzerland</w:t>
      </w:r>
    </w:p>
    <w:p>
      <w:pPr>
        <w:spacing w:after="0" w:line="235" w:lineRule="auto"/>
        <w:rPr>
          <w:sz w:val="20"/>
          <w:szCs w:val="20"/>
          <w:color w:val="auto"/>
        </w:rPr>
      </w:pPr>
      <w:r>
        <w:rPr>
          <w:rFonts w:ascii="Arial" w:cs="Arial" w:eastAsia="Arial" w:hAnsi="Arial"/>
          <w:sz w:val="18"/>
          <w:szCs w:val="18"/>
          <w:color w:val="auto"/>
        </w:rPr>
        <w:t>Barbados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Dominican Republic (54)</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Jamaica (53)</w:t>
      </w:r>
    </w:p>
    <w:p>
      <w:pPr>
        <w:spacing w:after="0" w:line="234" w:lineRule="auto"/>
        <w:rPr>
          <w:sz w:val="20"/>
          <w:szCs w:val="20"/>
          <w:color w:val="auto"/>
        </w:rPr>
      </w:pPr>
      <w:r>
        <w:rPr>
          <w:rFonts w:ascii="Arial" w:cs="Arial" w:eastAsia="Arial" w:hAnsi="Arial"/>
          <w:sz w:val="18"/>
          <w:szCs w:val="18"/>
          <w:color w:val="auto"/>
        </w:rPr>
        <w:t>Ireland</w:t>
      </w:r>
    </w:p>
    <w:p>
      <w:pPr>
        <w:spacing w:after="0" w:line="235" w:lineRule="auto"/>
        <w:rPr>
          <w:sz w:val="20"/>
          <w:szCs w:val="20"/>
          <w:color w:val="auto"/>
        </w:rPr>
      </w:pPr>
      <w:r>
        <w:rPr>
          <w:rFonts w:ascii="Arial" w:cs="Arial" w:eastAsia="Arial" w:hAnsi="Arial"/>
          <w:sz w:val="18"/>
          <w:szCs w:val="18"/>
          <w:color w:val="auto"/>
        </w:rPr>
        <w:t>Malaysia (61)</w:t>
      </w:r>
    </w:p>
    <w:p>
      <w:pPr>
        <w:spacing w:after="0" w:line="235" w:lineRule="auto"/>
        <w:rPr>
          <w:sz w:val="20"/>
          <w:szCs w:val="20"/>
          <w:color w:val="auto"/>
        </w:rPr>
      </w:pPr>
      <w:r>
        <w:rPr>
          <w:rFonts w:ascii="Arial" w:cs="Arial" w:eastAsia="Arial" w:hAnsi="Arial"/>
          <w:sz w:val="18"/>
          <w:szCs w:val="18"/>
          <w:color w:val="auto"/>
        </w:rPr>
        <w:t>Netherlands</w:t>
      </w:r>
    </w:p>
    <w:p>
      <w:pPr>
        <w:spacing w:after="0" w:line="235" w:lineRule="auto"/>
        <w:rPr>
          <w:sz w:val="20"/>
          <w:szCs w:val="20"/>
          <w:color w:val="auto"/>
        </w:rPr>
      </w:pPr>
      <w:r>
        <w:rPr>
          <w:rFonts w:ascii="Arial" w:cs="Arial" w:eastAsia="Arial" w:hAnsi="Arial"/>
          <w:sz w:val="18"/>
          <w:szCs w:val="18"/>
          <w:color w:val="auto"/>
        </w:rPr>
        <w:t>Poland (63)</w:t>
      </w:r>
    </w:p>
    <w:p>
      <w:pPr>
        <w:spacing w:after="0" w:line="235" w:lineRule="auto"/>
        <w:rPr>
          <w:sz w:val="20"/>
          <w:szCs w:val="20"/>
          <w:color w:val="auto"/>
        </w:rPr>
      </w:pPr>
      <w:r>
        <w:rPr>
          <w:rFonts w:ascii="Arial" w:cs="Arial" w:eastAsia="Arial" w:hAnsi="Arial"/>
          <w:sz w:val="18"/>
          <w:szCs w:val="18"/>
          <w:color w:val="auto"/>
        </w:rPr>
        <w:t>South Africa</w:t>
      </w:r>
    </w:p>
    <w:p>
      <w:pPr>
        <w:spacing w:after="0" w:line="235" w:lineRule="auto"/>
        <w:rPr>
          <w:sz w:val="20"/>
          <w:szCs w:val="20"/>
          <w:color w:val="auto"/>
        </w:rPr>
      </w:pPr>
      <w:r>
        <w:rPr>
          <w:rFonts w:ascii="Arial" w:cs="Arial" w:eastAsia="Arial" w:hAnsi="Arial"/>
          <w:sz w:val="18"/>
          <w:szCs w:val="18"/>
          <w:color w:val="auto"/>
        </w:rPr>
        <w:t>China</w:t>
      </w:r>
    </w:p>
    <w:p>
      <w:pPr>
        <w:spacing w:after="0" w:line="235" w:lineRule="auto"/>
        <w:rPr>
          <w:sz w:val="20"/>
          <w:szCs w:val="20"/>
          <w:color w:val="auto"/>
        </w:rPr>
      </w:pPr>
      <w:r>
        <w:rPr>
          <w:rFonts w:ascii="Arial" w:cs="Arial" w:eastAsia="Arial" w:hAnsi="Arial"/>
          <w:sz w:val="18"/>
          <w:szCs w:val="18"/>
          <w:color w:val="auto"/>
        </w:rPr>
        <w:t>United Kingdom</w:t>
      </w:r>
    </w:p>
    <w:p>
      <w:pPr>
        <w:spacing w:after="0" w:line="235" w:lineRule="auto"/>
        <w:rPr>
          <w:sz w:val="20"/>
          <w:szCs w:val="20"/>
          <w:color w:val="auto"/>
        </w:rPr>
      </w:pPr>
      <w:r>
        <w:rPr>
          <w:rFonts w:ascii="Arial" w:cs="Arial" w:eastAsia="Arial" w:hAnsi="Arial"/>
          <w:sz w:val="18"/>
          <w:szCs w:val="18"/>
          <w:color w:val="auto"/>
        </w:rPr>
        <w:t>United Kingdom</w:t>
      </w:r>
    </w:p>
    <w:p>
      <w:pPr>
        <w:spacing w:after="0" w:line="235" w:lineRule="auto"/>
        <w:rPr>
          <w:sz w:val="20"/>
          <w:szCs w:val="20"/>
          <w:color w:val="auto"/>
        </w:rPr>
      </w:pPr>
      <w:r>
        <w:rPr>
          <w:rFonts w:ascii="Arial" w:cs="Arial" w:eastAsia="Arial" w:hAnsi="Arial"/>
          <w:sz w:val="18"/>
          <w:szCs w:val="18"/>
          <w:color w:val="auto"/>
        </w:rPr>
        <w:t>United Kingdom</w:t>
      </w:r>
    </w:p>
    <w:p>
      <w:pPr>
        <w:spacing w:after="0" w:line="234" w:lineRule="auto"/>
        <w:rPr>
          <w:sz w:val="20"/>
          <w:szCs w:val="20"/>
          <w:color w:val="auto"/>
        </w:rPr>
      </w:pPr>
      <w:r>
        <w:rPr>
          <w:rFonts w:ascii="Arial" w:cs="Arial" w:eastAsia="Arial" w:hAnsi="Arial"/>
          <w:sz w:val="18"/>
          <w:szCs w:val="18"/>
          <w:color w:val="auto"/>
        </w:rPr>
        <w:t>Netherlands</w:t>
      </w:r>
    </w:p>
    <w:p>
      <w:pPr>
        <w:spacing w:after="0" w:line="235" w:lineRule="auto"/>
        <w:rPr>
          <w:sz w:val="20"/>
          <w:szCs w:val="20"/>
          <w:color w:val="auto"/>
        </w:rPr>
      </w:pPr>
      <w:r>
        <w:rPr>
          <w:rFonts w:ascii="Arial" w:cs="Arial" w:eastAsia="Arial" w:hAnsi="Arial"/>
          <w:sz w:val="18"/>
          <w:szCs w:val="18"/>
          <w:color w:val="auto"/>
        </w:rPr>
        <w:t>Netherlands</w:t>
      </w:r>
    </w:p>
    <w:p>
      <w:pPr>
        <w:spacing w:after="0" w:line="235" w:lineRule="auto"/>
        <w:rPr>
          <w:sz w:val="20"/>
          <w:szCs w:val="20"/>
          <w:color w:val="auto"/>
        </w:rPr>
      </w:pPr>
      <w:r>
        <w:rPr>
          <w:rFonts w:ascii="Arial" w:cs="Arial" w:eastAsia="Arial" w:hAnsi="Arial"/>
          <w:sz w:val="18"/>
          <w:szCs w:val="18"/>
          <w:color w:val="auto"/>
        </w:rPr>
        <w:t>Netherlands</w:t>
      </w:r>
    </w:p>
    <w:p>
      <w:pPr>
        <w:spacing w:after="0" w:line="235" w:lineRule="auto"/>
        <w:rPr>
          <w:sz w:val="20"/>
          <w:szCs w:val="20"/>
          <w:color w:val="auto"/>
        </w:rPr>
      </w:pPr>
      <w:r>
        <w:rPr>
          <w:rFonts w:ascii="Arial" w:cs="Arial" w:eastAsia="Arial" w:hAnsi="Arial"/>
          <w:sz w:val="18"/>
          <w:szCs w:val="18"/>
          <w:color w:val="auto"/>
        </w:rPr>
        <w:t>United Kingdom (6)</w:t>
      </w:r>
    </w:p>
    <w:p>
      <w:pPr>
        <w:spacing w:after="0" w:line="235" w:lineRule="auto"/>
        <w:rPr>
          <w:sz w:val="20"/>
          <w:szCs w:val="20"/>
          <w:color w:val="auto"/>
        </w:rPr>
      </w:pPr>
      <w:r>
        <w:rPr>
          <w:rFonts w:ascii="Arial" w:cs="Arial" w:eastAsia="Arial" w:hAnsi="Arial"/>
          <w:sz w:val="18"/>
          <w:szCs w:val="18"/>
          <w:color w:val="auto"/>
        </w:rPr>
        <w:t>United Kingdom</w:t>
      </w:r>
    </w:p>
    <w:p>
      <w:pPr>
        <w:spacing w:after="0" w:line="235" w:lineRule="auto"/>
        <w:rPr>
          <w:sz w:val="20"/>
          <w:szCs w:val="20"/>
          <w:color w:val="auto"/>
        </w:rPr>
      </w:pPr>
      <w:r>
        <w:rPr>
          <w:rFonts w:ascii="Arial" w:cs="Arial" w:eastAsia="Arial" w:hAnsi="Arial"/>
          <w:sz w:val="18"/>
          <w:szCs w:val="18"/>
          <w:color w:val="auto"/>
        </w:rPr>
        <w:t>United Kingdom</w:t>
      </w:r>
    </w:p>
    <w:p>
      <w:pPr>
        <w:spacing w:after="0" w:line="235" w:lineRule="auto"/>
        <w:rPr>
          <w:sz w:val="20"/>
          <w:szCs w:val="20"/>
          <w:color w:val="auto"/>
        </w:rPr>
      </w:pPr>
      <w:r>
        <w:rPr>
          <w:rFonts w:ascii="Arial" w:cs="Arial" w:eastAsia="Arial" w:hAnsi="Arial"/>
          <w:sz w:val="18"/>
          <w:szCs w:val="18"/>
          <w:color w:val="auto"/>
        </w:rPr>
        <w:t>Russia</w:t>
      </w:r>
    </w:p>
    <w:p>
      <w:pPr>
        <w:spacing w:after="0" w:line="235" w:lineRule="auto"/>
        <w:rPr>
          <w:sz w:val="20"/>
          <w:szCs w:val="20"/>
          <w:color w:val="auto"/>
        </w:rPr>
      </w:pPr>
      <w:r>
        <w:rPr>
          <w:rFonts w:ascii="Arial" w:cs="Arial" w:eastAsia="Arial" w:hAnsi="Arial"/>
          <w:sz w:val="18"/>
          <w:szCs w:val="18"/>
          <w:color w:val="auto"/>
        </w:rPr>
        <w:t>United Kingdom</w:t>
      </w:r>
    </w:p>
    <w:p>
      <w:pPr>
        <w:spacing w:after="0"/>
        <w:rPr>
          <w:sz w:val="20"/>
          <w:szCs w:val="20"/>
          <w:color w:val="auto"/>
        </w:rPr>
      </w:pPr>
      <w:r>
        <w:rPr>
          <w:rFonts w:ascii="Arial" w:cs="Arial" w:eastAsia="Arial" w:hAnsi="Arial"/>
          <w:sz w:val="18"/>
          <w:szCs w:val="18"/>
          <w:color w:val="auto"/>
        </w:rPr>
        <w:t>Norway</w:t>
      </w:r>
    </w:p>
    <w:p>
      <w:pPr>
        <w:spacing w:after="0" w:line="134" w:lineRule="exact"/>
        <w:rPr>
          <w:sz w:val="20"/>
          <w:szCs w:val="20"/>
          <w:color w:val="auto"/>
        </w:rPr>
      </w:pPr>
    </w:p>
    <w:p>
      <w:pPr>
        <w:sectPr>
          <w:pgSz w:w="11900" w:h="16838" w:orient="portrait"/>
          <w:cols w:equalWidth="0" w:num="2">
            <w:col w:w="6460" w:space="720"/>
            <w:col w:w="3039"/>
          </w:cols>
          <w:pgMar w:left="240" w:top="287" w:right="1440" w:bottom="1440" w:gutter="0" w:footer="0" w:header="0"/>
        </w:sectPr>
      </w:pPr>
    </w:p>
    <w:p>
      <w:pPr>
        <w:ind w:left="5660"/>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0219"/>
          </w:cols>
          <w:pgMar w:left="240" w:top="287" w:right="1440" w:bottom="1440" w:gutter="0" w:footer="0" w:header="0"/>
          <w:type w:val="continuous"/>
        </w:sectPr>
      </w:pPr>
    </w:p>
    <w:bookmarkStart w:id="189" w:name="page190"/>
    <w:bookmarkEnd w:id="18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Xerox Austria GmbH</w:t>
      </w:r>
    </w:p>
    <w:p>
      <w:pPr>
        <w:spacing w:after="0" w:line="234" w:lineRule="auto"/>
        <w:rPr>
          <w:sz w:val="20"/>
          <w:szCs w:val="20"/>
          <w:color w:val="auto"/>
        </w:rPr>
      </w:pPr>
      <w:r>
        <w:rPr>
          <w:rFonts w:ascii="Arial" w:cs="Arial" w:eastAsia="Arial" w:hAnsi="Arial"/>
          <w:sz w:val="18"/>
          <w:szCs w:val="18"/>
          <w:color w:val="auto"/>
        </w:rPr>
        <w:t>Xerox Global Services GmbH</w:t>
      </w:r>
    </w:p>
    <w:p>
      <w:pPr>
        <w:spacing w:after="0" w:line="235" w:lineRule="auto"/>
        <w:rPr>
          <w:sz w:val="20"/>
          <w:szCs w:val="20"/>
          <w:color w:val="auto"/>
        </w:rPr>
      </w:pPr>
      <w:r>
        <w:rPr>
          <w:rFonts w:ascii="Arial" w:cs="Arial" w:eastAsia="Arial" w:hAnsi="Arial"/>
          <w:sz w:val="18"/>
          <w:szCs w:val="18"/>
          <w:color w:val="auto"/>
        </w:rPr>
        <w:t>Xerox Leasing GmbH</w:t>
      </w:r>
    </w:p>
    <w:p>
      <w:pPr>
        <w:spacing w:after="0" w:line="235" w:lineRule="auto"/>
        <w:rPr>
          <w:sz w:val="20"/>
          <w:szCs w:val="20"/>
          <w:color w:val="auto"/>
        </w:rPr>
      </w:pPr>
      <w:r>
        <w:rPr>
          <w:rFonts w:ascii="Arial" w:cs="Arial" w:eastAsia="Arial" w:hAnsi="Arial"/>
          <w:sz w:val="18"/>
          <w:szCs w:val="18"/>
          <w:color w:val="auto"/>
        </w:rPr>
        <w:t>Xerox Office Supplies GmbH</w:t>
      </w:r>
    </w:p>
    <w:p>
      <w:pPr>
        <w:spacing w:after="0" w:line="235" w:lineRule="auto"/>
        <w:rPr>
          <w:sz w:val="20"/>
          <w:szCs w:val="20"/>
          <w:color w:val="auto"/>
        </w:rPr>
      </w:pPr>
      <w:r>
        <w:rPr>
          <w:rFonts w:ascii="Arial" w:cs="Arial" w:eastAsia="Arial" w:hAnsi="Arial"/>
          <w:sz w:val="18"/>
          <w:szCs w:val="18"/>
          <w:color w:val="auto"/>
        </w:rPr>
        <w:t>Xerox Bulgaria EOOD</w:t>
      </w:r>
    </w:p>
    <w:p>
      <w:pPr>
        <w:spacing w:after="0" w:line="235" w:lineRule="auto"/>
        <w:rPr>
          <w:sz w:val="20"/>
          <w:szCs w:val="20"/>
          <w:color w:val="auto"/>
        </w:rPr>
      </w:pPr>
      <w:r>
        <w:rPr>
          <w:rFonts w:ascii="Arial" w:cs="Arial" w:eastAsia="Arial" w:hAnsi="Arial"/>
          <w:sz w:val="18"/>
          <w:szCs w:val="18"/>
          <w:color w:val="auto"/>
        </w:rPr>
        <w:t>Xerox Buro Araclari Ticaret ve Servis A.S.</w:t>
      </w:r>
    </w:p>
    <w:p>
      <w:pPr>
        <w:spacing w:after="0" w:line="235" w:lineRule="auto"/>
        <w:rPr>
          <w:sz w:val="20"/>
          <w:szCs w:val="20"/>
          <w:color w:val="auto"/>
        </w:rPr>
      </w:pPr>
      <w:r>
        <w:rPr>
          <w:rFonts w:ascii="Arial" w:cs="Arial" w:eastAsia="Arial" w:hAnsi="Arial"/>
          <w:sz w:val="18"/>
          <w:szCs w:val="18"/>
          <w:color w:val="auto"/>
        </w:rPr>
        <w:t>Xerox Capital (Europe) Limited</w:t>
      </w:r>
    </w:p>
    <w:p>
      <w:pPr>
        <w:spacing w:after="0" w:line="235" w:lineRule="auto"/>
        <w:rPr>
          <w:sz w:val="20"/>
          <w:szCs w:val="20"/>
          <w:color w:val="auto"/>
        </w:rPr>
      </w:pPr>
      <w:r>
        <w:rPr>
          <w:rFonts w:ascii="Arial" w:cs="Arial" w:eastAsia="Arial" w:hAnsi="Arial"/>
          <w:sz w:val="18"/>
          <w:szCs w:val="18"/>
          <w:color w:val="auto"/>
        </w:rPr>
        <w:t>Imaging Business Systems (N.I.) Limited</w:t>
      </w:r>
    </w:p>
    <w:p>
      <w:pPr>
        <w:spacing w:after="0" w:line="235" w:lineRule="auto"/>
        <w:rPr>
          <w:sz w:val="20"/>
          <w:szCs w:val="20"/>
          <w:color w:val="auto"/>
        </w:rPr>
      </w:pPr>
      <w:r>
        <w:rPr>
          <w:rFonts w:ascii="Arial" w:cs="Arial" w:eastAsia="Arial" w:hAnsi="Arial"/>
          <w:sz w:val="18"/>
          <w:szCs w:val="18"/>
          <w:color w:val="auto"/>
        </w:rPr>
        <w:t>Irish Business Systems Limited (Republic of Ireland)</w:t>
      </w:r>
    </w:p>
    <w:p>
      <w:pPr>
        <w:spacing w:after="0" w:line="235" w:lineRule="auto"/>
        <w:rPr>
          <w:sz w:val="20"/>
          <w:szCs w:val="20"/>
          <w:color w:val="auto"/>
        </w:rPr>
      </w:pPr>
      <w:r>
        <w:rPr>
          <w:rFonts w:ascii="Arial" w:cs="Arial" w:eastAsia="Arial" w:hAnsi="Arial"/>
          <w:sz w:val="18"/>
          <w:szCs w:val="18"/>
          <w:color w:val="auto"/>
        </w:rPr>
        <w:t>Veenman B.V.</w:t>
      </w:r>
    </w:p>
    <w:p>
      <w:pPr>
        <w:spacing w:after="0" w:line="234" w:lineRule="auto"/>
        <w:rPr>
          <w:sz w:val="20"/>
          <w:szCs w:val="20"/>
          <w:color w:val="auto"/>
        </w:rPr>
      </w:pPr>
      <w:r>
        <w:rPr>
          <w:rFonts w:ascii="Arial" w:cs="Arial" w:eastAsia="Arial" w:hAnsi="Arial"/>
          <w:sz w:val="18"/>
          <w:szCs w:val="18"/>
          <w:color w:val="auto"/>
        </w:rPr>
        <w:t>Veenman Financial Services B.V.</w:t>
      </w:r>
    </w:p>
    <w:p>
      <w:pPr>
        <w:spacing w:after="0" w:line="235" w:lineRule="auto"/>
        <w:rPr>
          <w:sz w:val="20"/>
          <w:szCs w:val="20"/>
          <w:color w:val="auto"/>
        </w:rPr>
      </w:pPr>
      <w:r>
        <w:rPr>
          <w:rFonts w:ascii="Arial" w:cs="Arial" w:eastAsia="Arial" w:hAnsi="Arial"/>
          <w:sz w:val="18"/>
          <w:szCs w:val="18"/>
          <w:color w:val="auto"/>
        </w:rPr>
        <w:t>Xerox AG</w:t>
      </w:r>
    </w:p>
    <w:p>
      <w:pPr>
        <w:spacing w:after="0" w:line="235" w:lineRule="auto"/>
        <w:rPr>
          <w:sz w:val="20"/>
          <w:szCs w:val="20"/>
          <w:color w:val="auto"/>
        </w:rPr>
      </w:pPr>
      <w:r>
        <w:rPr>
          <w:rFonts w:ascii="Arial" w:cs="Arial" w:eastAsia="Arial" w:hAnsi="Arial"/>
          <w:sz w:val="18"/>
          <w:szCs w:val="18"/>
          <w:color w:val="auto"/>
        </w:rPr>
        <w:t>Xerox A/S</w:t>
      </w:r>
    </w:p>
    <w:p>
      <w:pPr>
        <w:spacing w:after="0" w:line="235" w:lineRule="auto"/>
        <w:rPr>
          <w:sz w:val="20"/>
          <w:szCs w:val="20"/>
          <w:color w:val="auto"/>
        </w:rPr>
      </w:pPr>
      <w:r>
        <w:rPr>
          <w:rFonts w:ascii="Arial" w:cs="Arial" w:eastAsia="Arial" w:hAnsi="Arial"/>
          <w:sz w:val="18"/>
          <w:szCs w:val="18"/>
          <w:color w:val="auto"/>
        </w:rPr>
        <w:t>Xerox Financial Services Danmark A/S</w:t>
      </w:r>
    </w:p>
    <w:p>
      <w:pPr>
        <w:spacing w:after="0" w:line="235" w:lineRule="auto"/>
        <w:rPr>
          <w:sz w:val="20"/>
          <w:szCs w:val="20"/>
          <w:color w:val="auto"/>
        </w:rPr>
      </w:pPr>
      <w:r>
        <w:rPr>
          <w:rFonts w:ascii="Arial" w:cs="Arial" w:eastAsia="Arial" w:hAnsi="Arial"/>
          <w:sz w:val="18"/>
          <w:szCs w:val="18"/>
          <w:color w:val="auto"/>
        </w:rPr>
        <w:t>Xerox Finance AG</w:t>
      </w:r>
    </w:p>
    <w:p>
      <w:pPr>
        <w:spacing w:after="0" w:line="235" w:lineRule="auto"/>
        <w:rPr>
          <w:sz w:val="20"/>
          <w:szCs w:val="20"/>
          <w:color w:val="auto"/>
        </w:rPr>
      </w:pPr>
      <w:r>
        <w:rPr>
          <w:rFonts w:ascii="Arial" w:cs="Arial" w:eastAsia="Arial" w:hAnsi="Arial"/>
          <w:sz w:val="18"/>
          <w:szCs w:val="18"/>
          <w:color w:val="auto"/>
        </w:rPr>
        <w:t>Xerox Sverige AB</w:t>
      </w:r>
    </w:p>
    <w:p>
      <w:pPr>
        <w:spacing w:after="0" w:line="235" w:lineRule="auto"/>
        <w:rPr>
          <w:sz w:val="20"/>
          <w:szCs w:val="20"/>
          <w:color w:val="auto"/>
        </w:rPr>
      </w:pPr>
      <w:r>
        <w:rPr>
          <w:rFonts w:ascii="Arial" w:cs="Arial" w:eastAsia="Arial" w:hAnsi="Arial"/>
          <w:sz w:val="18"/>
          <w:szCs w:val="18"/>
          <w:color w:val="auto"/>
        </w:rPr>
        <w:t>Xerox (UK) Limited</w:t>
      </w:r>
    </w:p>
    <w:p>
      <w:pPr>
        <w:spacing w:after="0" w:line="235" w:lineRule="auto"/>
        <w:rPr>
          <w:sz w:val="20"/>
          <w:szCs w:val="20"/>
          <w:color w:val="auto"/>
        </w:rPr>
      </w:pPr>
      <w:r>
        <w:rPr>
          <w:rFonts w:ascii="Arial" w:cs="Arial" w:eastAsia="Arial" w:hAnsi="Arial"/>
          <w:sz w:val="18"/>
          <w:szCs w:val="18"/>
          <w:color w:val="auto"/>
        </w:rPr>
        <w:t>Bessemer Trust Limited</w:t>
      </w:r>
    </w:p>
    <w:p>
      <w:pPr>
        <w:spacing w:after="0" w:line="235" w:lineRule="auto"/>
        <w:rPr>
          <w:sz w:val="20"/>
          <w:szCs w:val="20"/>
          <w:color w:val="auto"/>
        </w:rPr>
      </w:pPr>
      <w:r>
        <w:rPr>
          <w:rFonts w:ascii="Arial" w:cs="Arial" w:eastAsia="Arial" w:hAnsi="Arial"/>
          <w:sz w:val="18"/>
          <w:szCs w:val="18"/>
          <w:color w:val="auto"/>
        </w:rPr>
        <w:t>Xerox Finance Limited</w:t>
      </w:r>
    </w:p>
    <w:p>
      <w:pPr>
        <w:spacing w:after="0" w:line="234" w:lineRule="auto"/>
        <w:rPr>
          <w:sz w:val="20"/>
          <w:szCs w:val="20"/>
          <w:color w:val="auto"/>
        </w:rPr>
      </w:pPr>
      <w:r>
        <w:rPr>
          <w:rFonts w:ascii="Arial" w:cs="Arial" w:eastAsia="Arial" w:hAnsi="Arial"/>
          <w:sz w:val="18"/>
          <w:szCs w:val="18"/>
          <w:color w:val="auto"/>
        </w:rPr>
        <w:t>Xerox Channels Limited</w:t>
      </w:r>
    </w:p>
    <w:p>
      <w:pPr>
        <w:spacing w:after="0" w:line="235" w:lineRule="auto"/>
        <w:rPr>
          <w:sz w:val="20"/>
          <w:szCs w:val="20"/>
          <w:color w:val="auto"/>
        </w:rPr>
      </w:pPr>
      <w:r>
        <w:rPr>
          <w:rFonts w:ascii="Arial" w:cs="Arial" w:eastAsia="Arial" w:hAnsi="Arial"/>
          <w:sz w:val="18"/>
          <w:szCs w:val="18"/>
          <w:color w:val="auto"/>
        </w:rPr>
        <w:t>XEROX CZECH Republic s r.o.</w:t>
      </w:r>
    </w:p>
    <w:p>
      <w:pPr>
        <w:spacing w:after="0" w:line="235" w:lineRule="auto"/>
        <w:rPr>
          <w:sz w:val="20"/>
          <w:szCs w:val="20"/>
          <w:color w:val="auto"/>
        </w:rPr>
      </w:pPr>
      <w:r>
        <w:rPr>
          <w:rFonts w:ascii="Arial" w:cs="Arial" w:eastAsia="Arial" w:hAnsi="Arial"/>
          <w:sz w:val="18"/>
          <w:szCs w:val="18"/>
          <w:color w:val="auto"/>
        </w:rPr>
        <w:t>Xerox Direct Rhein-Main GmbH</w:t>
      </w:r>
    </w:p>
    <w:p>
      <w:pPr>
        <w:spacing w:after="0" w:line="235" w:lineRule="auto"/>
        <w:rPr>
          <w:sz w:val="20"/>
          <w:szCs w:val="20"/>
          <w:color w:val="auto"/>
        </w:rPr>
      </w:pPr>
      <w:r>
        <w:rPr>
          <w:rFonts w:ascii="Arial" w:cs="Arial" w:eastAsia="Arial" w:hAnsi="Arial"/>
          <w:sz w:val="18"/>
          <w:szCs w:val="18"/>
          <w:color w:val="auto"/>
        </w:rPr>
        <w:t>Xerox Espana, S.A.U.</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Affiliated Computer Services of Spain, S.L., Sociedad Unipersonal</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Affiliated Computer Services Solutions Spain, S.L.</w:t>
      </w:r>
    </w:p>
    <w:p>
      <w:pPr>
        <w:spacing w:after="0" w:line="234" w:lineRule="auto"/>
        <w:rPr>
          <w:sz w:val="20"/>
          <w:szCs w:val="20"/>
          <w:color w:val="auto"/>
        </w:rPr>
      </w:pPr>
      <w:r>
        <w:rPr>
          <w:rFonts w:ascii="Arial" w:cs="Arial" w:eastAsia="Arial" w:hAnsi="Arial"/>
          <w:sz w:val="18"/>
          <w:szCs w:val="18"/>
          <w:color w:val="auto"/>
        </w:rPr>
        <w:t>Buck Consultants, S.L.</w:t>
      </w:r>
    </w:p>
    <w:p>
      <w:pPr>
        <w:spacing w:after="0" w:line="235" w:lineRule="auto"/>
        <w:rPr>
          <w:sz w:val="20"/>
          <w:szCs w:val="20"/>
          <w:color w:val="auto"/>
        </w:rPr>
      </w:pPr>
      <w:r>
        <w:rPr>
          <w:rFonts w:ascii="Arial" w:cs="Arial" w:eastAsia="Arial" w:hAnsi="Arial"/>
          <w:sz w:val="18"/>
          <w:szCs w:val="18"/>
          <w:color w:val="auto"/>
        </w:rPr>
        <w:t>Xerox Fabricacion S.A.U.</w:t>
      </w:r>
    </w:p>
    <w:p>
      <w:pPr>
        <w:spacing w:after="0" w:line="235" w:lineRule="auto"/>
        <w:rPr>
          <w:sz w:val="20"/>
          <w:szCs w:val="20"/>
          <w:color w:val="auto"/>
        </w:rPr>
      </w:pPr>
      <w:r>
        <w:rPr>
          <w:rFonts w:ascii="Arial" w:cs="Arial" w:eastAsia="Arial" w:hAnsi="Arial"/>
          <w:sz w:val="18"/>
          <w:szCs w:val="18"/>
          <w:color w:val="auto"/>
        </w:rPr>
        <w:t>Xerox Renting S.A.U.</w:t>
      </w:r>
    </w:p>
    <w:p>
      <w:pPr>
        <w:spacing w:after="0" w:line="235" w:lineRule="auto"/>
        <w:rPr>
          <w:sz w:val="20"/>
          <w:szCs w:val="20"/>
          <w:color w:val="auto"/>
        </w:rPr>
      </w:pPr>
      <w:r>
        <w:rPr>
          <w:rFonts w:ascii="Arial" w:cs="Arial" w:eastAsia="Arial" w:hAnsi="Arial"/>
          <w:sz w:val="18"/>
          <w:szCs w:val="18"/>
          <w:color w:val="auto"/>
        </w:rPr>
        <w:t>Xerox Office Supplies S.A.U.</w:t>
      </w:r>
    </w:p>
    <w:p>
      <w:pPr>
        <w:spacing w:after="0" w:line="235" w:lineRule="auto"/>
        <w:rPr>
          <w:sz w:val="20"/>
          <w:szCs w:val="20"/>
          <w:color w:val="auto"/>
        </w:rPr>
      </w:pPr>
      <w:r>
        <w:rPr>
          <w:rFonts w:ascii="Arial" w:cs="Arial" w:eastAsia="Arial" w:hAnsi="Arial"/>
          <w:sz w:val="18"/>
          <w:szCs w:val="18"/>
          <w:color w:val="auto"/>
        </w:rPr>
        <w:t>Xerox Exports Limited (dormant)</w:t>
      </w:r>
    </w:p>
    <w:p>
      <w:pPr>
        <w:spacing w:after="0" w:line="235" w:lineRule="auto"/>
        <w:rPr>
          <w:sz w:val="20"/>
          <w:szCs w:val="20"/>
          <w:color w:val="auto"/>
        </w:rPr>
      </w:pPr>
      <w:r>
        <w:rPr>
          <w:rFonts w:ascii="Arial" w:cs="Arial" w:eastAsia="Arial" w:hAnsi="Arial"/>
          <w:sz w:val="18"/>
          <w:szCs w:val="18"/>
          <w:color w:val="auto"/>
        </w:rPr>
        <w:t>Xerox Financial Services Belux NV</w:t>
      </w:r>
    </w:p>
    <w:p>
      <w:pPr>
        <w:spacing w:after="0" w:line="235" w:lineRule="auto"/>
        <w:rPr>
          <w:sz w:val="20"/>
          <w:szCs w:val="20"/>
          <w:color w:val="auto"/>
        </w:rPr>
      </w:pPr>
      <w:r>
        <w:rPr>
          <w:rFonts w:ascii="Arial" w:cs="Arial" w:eastAsia="Arial" w:hAnsi="Arial"/>
          <w:sz w:val="18"/>
          <w:szCs w:val="18"/>
          <w:color w:val="auto"/>
        </w:rPr>
        <w:t>Xerox Financial Services Norway AS</w:t>
      </w:r>
    </w:p>
    <w:p>
      <w:pPr>
        <w:spacing w:after="0" w:line="235" w:lineRule="auto"/>
        <w:rPr>
          <w:sz w:val="20"/>
          <w:szCs w:val="20"/>
          <w:color w:val="auto"/>
        </w:rPr>
      </w:pPr>
      <w:r>
        <w:rPr>
          <w:rFonts w:ascii="Arial" w:cs="Arial" w:eastAsia="Arial" w:hAnsi="Arial"/>
          <w:sz w:val="18"/>
          <w:szCs w:val="18"/>
          <w:color w:val="auto"/>
        </w:rPr>
        <w:t>Xerox Financial Services Sverige AB</w:t>
      </w:r>
    </w:p>
    <w:p>
      <w:pPr>
        <w:spacing w:after="0" w:line="235" w:lineRule="auto"/>
        <w:rPr>
          <w:sz w:val="20"/>
          <w:szCs w:val="20"/>
          <w:color w:val="auto"/>
        </w:rPr>
      </w:pPr>
      <w:r>
        <w:rPr>
          <w:rFonts w:ascii="Arial" w:cs="Arial" w:eastAsia="Arial" w:hAnsi="Arial"/>
          <w:sz w:val="18"/>
          <w:szCs w:val="18"/>
          <w:color w:val="auto"/>
        </w:rPr>
        <w:t>Xerox Hellas AEE</w:t>
      </w:r>
    </w:p>
    <w:p>
      <w:pPr>
        <w:spacing w:after="0" w:line="234" w:lineRule="auto"/>
        <w:rPr>
          <w:sz w:val="20"/>
          <w:szCs w:val="20"/>
          <w:color w:val="auto"/>
        </w:rPr>
      </w:pPr>
      <w:r>
        <w:rPr>
          <w:rFonts w:ascii="Arial" w:cs="Arial" w:eastAsia="Arial" w:hAnsi="Arial"/>
          <w:sz w:val="18"/>
          <w:szCs w:val="18"/>
          <w:color w:val="auto"/>
        </w:rPr>
        <w:t>Xerox Holdings Deutschland GmbH</w:t>
      </w:r>
    </w:p>
    <w:p>
      <w:pPr>
        <w:spacing w:after="0" w:line="235" w:lineRule="auto"/>
        <w:rPr>
          <w:sz w:val="20"/>
          <w:szCs w:val="20"/>
          <w:color w:val="auto"/>
        </w:rPr>
      </w:pPr>
      <w:r>
        <w:rPr>
          <w:rFonts w:ascii="Arial" w:cs="Arial" w:eastAsia="Arial" w:hAnsi="Arial"/>
          <w:sz w:val="18"/>
          <w:szCs w:val="18"/>
          <w:color w:val="auto"/>
        </w:rPr>
        <w:t>Affiliated Computer Services of Germany GmbH</w:t>
      </w:r>
    </w:p>
    <w:p>
      <w:pPr>
        <w:spacing w:after="0" w:line="235" w:lineRule="auto"/>
        <w:rPr>
          <w:sz w:val="20"/>
          <w:szCs w:val="20"/>
          <w:color w:val="auto"/>
        </w:rPr>
      </w:pPr>
      <w:r>
        <w:rPr>
          <w:rFonts w:ascii="Arial" w:cs="Arial" w:eastAsia="Arial" w:hAnsi="Arial"/>
          <w:sz w:val="18"/>
          <w:szCs w:val="18"/>
          <w:color w:val="auto"/>
        </w:rPr>
        <w:t>ACS Holdings (Germany) GmbH</w:t>
      </w:r>
    </w:p>
    <w:p>
      <w:pPr>
        <w:spacing w:after="0" w:line="235" w:lineRule="auto"/>
        <w:rPr>
          <w:sz w:val="20"/>
          <w:szCs w:val="20"/>
          <w:color w:val="auto"/>
        </w:rPr>
      </w:pPr>
      <w:r>
        <w:rPr>
          <w:rFonts w:ascii="Arial" w:cs="Arial" w:eastAsia="Arial" w:hAnsi="Arial"/>
          <w:sz w:val="18"/>
          <w:szCs w:val="18"/>
          <w:color w:val="auto"/>
        </w:rPr>
        <w:t>sds business services GmbH</w:t>
      </w:r>
    </w:p>
    <w:p>
      <w:pPr>
        <w:spacing w:after="0" w:line="235" w:lineRule="auto"/>
        <w:rPr>
          <w:sz w:val="20"/>
          <w:szCs w:val="20"/>
          <w:color w:val="auto"/>
        </w:rPr>
      </w:pPr>
      <w:r>
        <w:rPr>
          <w:rFonts w:ascii="Arial" w:cs="Arial" w:eastAsia="Arial" w:hAnsi="Arial"/>
          <w:sz w:val="18"/>
          <w:szCs w:val="18"/>
          <w:color w:val="auto"/>
        </w:rPr>
        <w:t>Xerox GmbH</w:t>
      </w:r>
    </w:p>
    <w:p>
      <w:pPr>
        <w:spacing w:after="0" w:line="235" w:lineRule="auto"/>
        <w:rPr>
          <w:sz w:val="20"/>
          <w:szCs w:val="20"/>
          <w:color w:val="auto"/>
        </w:rPr>
      </w:pPr>
      <w:r>
        <w:rPr>
          <w:rFonts w:ascii="Arial" w:cs="Arial" w:eastAsia="Arial" w:hAnsi="Arial"/>
          <w:sz w:val="18"/>
          <w:szCs w:val="18"/>
          <w:color w:val="auto"/>
        </w:rPr>
        <w:t>Xerox Capital Services Verwaltungs GmbH</w:t>
      </w:r>
    </w:p>
    <w:p>
      <w:pPr>
        <w:spacing w:after="0" w:line="235" w:lineRule="auto"/>
        <w:rPr>
          <w:sz w:val="20"/>
          <w:szCs w:val="20"/>
          <w:color w:val="auto"/>
        </w:rPr>
      </w:pPr>
      <w:r>
        <w:rPr>
          <w:rFonts w:ascii="Arial" w:cs="Arial" w:eastAsia="Arial" w:hAnsi="Arial"/>
          <w:sz w:val="18"/>
          <w:szCs w:val="18"/>
          <w:color w:val="auto"/>
        </w:rPr>
        <w:t>Xerox Capital Services GmbH &amp; Co. KG</w:t>
      </w:r>
    </w:p>
    <w:p>
      <w:pPr>
        <w:spacing w:after="0" w:line="235" w:lineRule="auto"/>
        <w:rPr>
          <w:sz w:val="20"/>
          <w:szCs w:val="20"/>
          <w:color w:val="auto"/>
        </w:rPr>
      </w:pPr>
      <w:r>
        <w:rPr>
          <w:rFonts w:ascii="Arial" w:cs="Arial" w:eastAsia="Arial" w:hAnsi="Arial"/>
          <w:sz w:val="18"/>
          <w:szCs w:val="18"/>
          <w:color w:val="auto"/>
        </w:rPr>
        <w:t>Xerox Dienstleistungsgesellschaft mbH</w:t>
      </w:r>
    </w:p>
    <w:p>
      <w:pPr>
        <w:spacing w:after="0" w:line="235" w:lineRule="auto"/>
        <w:rPr>
          <w:sz w:val="20"/>
          <w:szCs w:val="20"/>
          <w:color w:val="auto"/>
        </w:rPr>
      </w:pPr>
      <w:r>
        <w:rPr>
          <w:rFonts w:ascii="Arial" w:cs="Arial" w:eastAsia="Arial" w:hAnsi="Arial"/>
          <w:sz w:val="18"/>
          <w:szCs w:val="18"/>
          <w:color w:val="auto"/>
        </w:rPr>
        <w:t>Xerox Leasing Deutschland GmbH</w:t>
      </w:r>
    </w:p>
    <w:p>
      <w:pPr>
        <w:spacing w:after="0" w:line="234" w:lineRule="auto"/>
        <w:rPr>
          <w:sz w:val="20"/>
          <w:szCs w:val="20"/>
          <w:color w:val="auto"/>
        </w:rPr>
      </w:pPr>
      <w:r>
        <w:rPr>
          <w:rFonts w:ascii="Arial" w:cs="Arial" w:eastAsia="Arial" w:hAnsi="Arial"/>
          <w:sz w:val="18"/>
          <w:szCs w:val="18"/>
          <w:color w:val="auto"/>
        </w:rPr>
        <w:t>Xerox Reprographische Services GmbH</w:t>
      </w:r>
    </w:p>
    <w:p>
      <w:pPr>
        <w:spacing w:after="0" w:line="235" w:lineRule="auto"/>
        <w:rPr>
          <w:sz w:val="20"/>
          <w:szCs w:val="20"/>
          <w:color w:val="auto"/>
        </w:rPr>
      </w:pPr>
      <w:r>
        <w:rPr>
          <w:rFonts w:ascii="Arial" w:cs="Arial" w:eastAsia="Arial" w:hAnsi="Arial"/>
          <w:sz w:val="18"/>
          <w:szCs w:val="18"/>
          <w:color w:val="auto"/>
        </w:rPr>
        <w:t>Xerox Hungary Trading Limited</w:t>
      </w:r>
    </w:p>
    <w:p>
      <w:pPr>
        <w:spacing w:after="0" w:line="235" w:lineRule="auto"/>
        <w:rPr>
          <w:sz w:val="20"/>
          <w:szCs w:val="20"/>
          <w:color w:val="auto"/>
        </w:rPr>
      </w:pPr>
      <w:r>
        <w:rPr>
          <w:rFonts w:ascii="Arial" w:cs="Arial" w:eastAsia="Arial" w:hAnsi="Arial"/>
          <w:sz w:val="18"/>
          <w:szCs w:val="18"/>
          <w:color w:val="auto"/>
        </w:rPr>
        <w:t>Xerox (Ireland) Limited</w:t>
      </w:r>
    </w:p>
    <w:p>
      <w:pPr>
        <w:spacing w:after="0" w:line="235" w:lineRule="auto"/>
        <w:rPr>
          <w:sz w:val="20"/>
          <w:szCs w:val="20"/>
          <w:color w:val="auto"/>
        </w:rPr>
      </w:pPr>
      <w:r>
        <w:rPr>
          <w:rFonts w:ascii="Arial" w:cs="Arial" w:eastAsia="Arial" w:hAnsi="Arial"/>
          <w:sz w:val="18"/>
          <w:szCs w:val="18"/>
          <w:color w:val="auto"/>
        </w:rPr>
        <w:t>Xerox India Limited</w:t>
      </w:r>
    </w:p>
    <w:p>
      <w:pPr>
        <w:spacing w:after="0" w:line="235" w:lineRule="auto"/>
        <w:rPr>
          <w:sz w:val="20"/>
          <w:szCs w:val="20"/>
          <w:color w:val="auto"/>
        </w:rPr>
      </w:pPr>
      <w:r>
        <w:rPr>
          <w:rFonts w:ascii="Arial" w:cs="Arial" w:eastAsia="Arial" w:hAnsi="Arial"/>
          <w:sz w:val="18"/>
          <w:szCs w:val="18"/>
          <w:color w:val="auto"/>
        </w:rPr>
        <w:t>Xerox Kazakhstan Limited Liability Partnership</w:t>
      </w:r>
    </w:p>
    <w:p>
      <w:pPr>
        <w:spacing w:after="0" w:line="235" w:lineRule="auto"/>
        <w:rPr>
          <w:sz w:val="20"/>
          <w:szCs w:val="20"/>
          <w:color w:val="auto"/>
        </w:rPr>
      </w:pPr>
      <w:r>
        <w:rPr>
          <w:rFonts w:ascii="Arial" w:cs="Arial" w:eastAsia="Arial" w:hAnsi="Arial"/>
          <w:sz w:val="18"/>
          <w:szCs w:val="18"/>
          <w:color w:val="auto"/>
        </w:rPr>
        <w:t>Xerox Management Services N.V.</w:t>
      </w:r>
    </w:p>
    <w:p>
      <w:pPr>
        <w:spacing w:after="0" w:line="235" w:lineRule="auto"/>
        <w:rPr>
          <w:sz w:val="20"/>
          <w:szCs w:val="20"/>
          <w:color w:val="auto"/>
        </w:rPr>
      </w:pPr>
      <w:r>
        <w:rPr>
          <w:rFonts w:ascii="Arial" w:cs="Arial" w:eastAsia="Arial" w:hAnsi="Arial"/>
          <w:sz w:val="18"/>
          <w:szCs w:val="18"/>
          <w:color w:val="auto"/>
        </w:rPr>
        <w:t>Xerox N.V.</w:t>
      </w:r>
    </w:p>
    <w:p>
      <w:pPr>
        <w:spacing w:after="0" w:line="235" w:lineRule="auto"/>
        <w:rPr>
          <w:sz w:val="20"/>
          <w:szCs w:val="20"/>
          <w:color w:val="auto"/>
        </w:rPr>
      </w:pPr>
      <w:r>
        <w:rPr>
          <w:rFonts w:ascii="Arial" w:cs="Arial" w:eastAsia="Arial" w:hAnsi="Arial"/>
          <w:sz w:val="18"/>
          <w:szCs w:val="18"/>
          <w:color w:val="auto"/>
        </w:rPr>
        <w:t>Xerox Luxembourg SA</w:t>
      </w:r>
    </w:p>
    <w:p>
      <w:pPr>
        <w:spacing w:after="0" w:line="235" w:lineRule="auto"/>
        <w:rPr>
          <w:sz w:val="20"/>
          <w:szCs w:val="20"/>
          <w:color w:val="auto"/>
        </w:rPr>
      </w:pPr>
      <w:r>
        <w:rPr>
          <w:rFonts w:ascii="Arial" w:cs="Arial" w:eastAsia="Arial" w:hAnsi="Arial"/>
          <w:sz w:val="18"/>
          <w:szCs w:val="18"/>
          <w:color w:val="auto"/>
        </w:rPr>
        <w:t>Xerox (Nederland) BV</w:t>
      </w:r>
    </w:p>
    <w:p>
      <w:pPr>
        <w:spacing w:after="0" w:line="234" w:lineRule="auto"/>
        <w:rPr>
          <w:sz w:val="20"/>
          <w:szCs w:val="20"/>
          <w:color w:val="auto"/>
        </w:rPr>
      </w:pPr>
      <w:r>
        <w:rPr>
          <w:rFonts w:ascii="Arial" w:cs="Arial" w:eastAsia="Arial" w:hAnsi="Arial"/>
          <w:sz w:val="18"/>
          <w:szCs w:val="18"/>
          <w:color w:val="auto"/>
        </w:rPr>
        <w:t>“Veco” Beheer Onroerend Goed BV</w:t>
      </w:r>
    </w:p>
    <w:p>
      <w:pPr>
        <w:spacing w:after="0" w:line="235" w:lineRule="auto"/>
        <w:rPr>
          <w:sz w:val="20"/>
          <w:szCs w:val="20"/>
          <w:color w:val="auto"/>
        </w:rPr>
      </w:pPr>
      <w:r>
        <w:rPr>
          <w:rFonts w:ascii="Arial" w:cs="Arial" w:eastAsia="Arial" w:hAnsi="Arial"/>
          <w:sz w:val="18"/>
          <w:szCs w:val="18"/>
          <w:color w:val="auto"/>
        </w:rPr>
        <w:t>Xerox Document Supplies BV</w:t>
      </w:r>
    </w:p>
    <w:p>
      <w:pPr>
        <w:spacing w:after="0" w:line="235" w:lineRule="auto"/>
        <w:rPr>
          <w:sz w:val="20"/>
          <w:szCs w:val="20"/>
          <w:color w:val="auto"/>
        </w:rPr>
      </w:pPr>
      <w:r>
        <w:rPr>
          <w:rFonts w:ascii="Arial" w:cs="Arial" w:eastAsia="Arial" w:hAnsi="Arial"/>
          <w:sz w:val="18"/>
          <w:szCs w:val="18"/>
          <w:color w:val="auto"/>
        </w:rPr>
        <w:t>Xerox Financial Services B.V.</w:t>
      </w:r>
    </w:p>
    <w:p>
      <w:pPr>
        <w:spacing w:after="0" w:line="235" w:lineRule="auto"/>
        <w:rPr>
          <w:sz w:val="20"/>
          <w:szCs w:val="20"/>
          <w:color w:val="auto"/>
        </w:rPr>
      </w:pPr>
      <w:r>
        <w:rPr>
          <w:rFonts w:ascii="Arial" w:cs="Arial" w:eastAsia="Arial" w:hAnsi="Arial"/>
          <w:sz w:val="18"/>
          <w:szCs w:val="18"/>
          <w:color w:val="auto"/>
        </w:rPr>
        <w:t>Xerox Rentalease BV</w:t>
      </w:r>
    </w:p>
    <w:p>
      <w:pPr>
        <w:spacing w:after="0" w:line="235" w:lineRule="auto"/>
        <w:rPr>
          <w:sz w:val="20"/>
          <w:szCs w:val="20"/>
          <w:color w:val="auto"/>
        </w:rPr>
      </w:pPr>
      <w:r>
        <w:rPr>
          <w:rFonts w:ascii="Arial" w:cs="Arial" w:eastAsia="Arial" w:hAnsi="Arial"/>
          <w:sz w:val="18"/>
          <w:szCs w:val="18"/>
          <w:color w:val="auto"/>
        </w:rPr>
        <w:t>Xerox Services BV</w:t>
      </w:r>
    </w:p>
    <w:p>
      <w:pPr>
        <w:spacing w:after="0" w:line="235" w:lineRule="auto"/>
        <w:rPr>
          <w:sz w:val="20"/>
          <w:szCs w:val="20"/>
          <w:color w:val="auto"/>
        </w:rPr>
      </w:pPr>
      <w:r>
        <w:rPr>
          <w:rFonts w:ascii="Arial" w:cs="Arial" w:eastAsia="Arial" w:hAnsi="Arial"/>
          <w:sz w:val="18"/>
          <w:szCs w:val="18"/>
          <w:color w:val="auto"/>
        </w:rPr>
        <w:t>Xerox Oy</w:t>
      </w:r>
    </w:p>
    <w:p>
      <w:pPr>
        <w:spacing w:after="0" w:line="235" w:lineRule="auto"/>
        <w:rPr>
          <w:sz w:val="20"/>
          <w:szCs w:val="20"/>
          <w:color w:val="auto"/>
        </w:rPr>
      </w:pPr>
      <w:r>
        <w:rPr>
          <w:rFonts w:ascii="Arial" w:cs="Arial" w:eastAsia="Arial" w:hAnsi="Arial"/>
          <w:sz w:val="18"/>
          <w:szCs w:val="18"/>
          <w:color w:val="auto"/>
        </w:rPr>
        <w:t>Xerox Financial Services Finland Oy</w:t>
      </w:r>
    </w:p>
    <w:p>
      <w:pPr>
        <w:spacing w:after="0"/>
        <w:rPr>
          <w:sz w:val="20"/>
          <w:szCs w:val="20"/>
          <w:color w:val="auto"/>
        </w:rPr>
      </w:pPr>
      <w:r>
        <w:rPr>
          <w:rFonts w:ascii="Arial" w:cs="Arial" w:eastAsia="Arial" w:hAnsi="Arial"/>
          <w:sz w:val="18"/>
          <w:szCs w:val="18"/>
          <w:color w:val="auto"/>
        </w:rPr>
        <w:t>Xerox Pensions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Austria</w:t>
      </w:r>
    </w:p>
    <w:p>
      <w:pPr>
        <w:spacing w:after="0" w:line="234" w:lineRule="auto"/>
        <w:rPr>
          <w:sz w:val="20"/>
          <w:szCs w:val="20"/>
          <w:color w:val="auto"/>
        </w:rPr>
      </w:pPr>
      <w:r>
        <w:rPr>
          <w:rFonts w:ascii="Arial" w:cs="Arial" w:eastAsia="Arial" w:hAnsi="Arial"/>
          <w:sz w:val="18"/>
          <w:szCs w:val="18"/>
          <w:color w:val="auto"/>
        </w:rPr>
        <w:t>Austria</w:t>
      </w:r>
    </w:p>
    <w:p>
      <w:pPr>
        <w:spacing w:after="0" w:line="235" w:lineRule="auto"/>
        <w:rPr>
          <w:sz w:val="20"/>
          <w:szCs w:val="20"/>
          <w:color w:val="auto"/>
        </w:rPr>
      </w:pPr>
      <w:r>
        <w:rPr>
          <w:rFonts w:ascii="Arial" w:cs="Arial" w:eastAsia="Arial" w:hAnsi="Arial"/>
          <w:sz w:val="18"/>
          <w:szCs w:val="18"/>
          <w:color w:val="auto"/>
        </w:rPr>
        <w:t>Austria</w:t>
      </w:r>
    </w:p>
    <w:p>
      <w:pPr>
        <w:spacing w:after="0" w:line="235" w:lineRule="auto"/>
        <w:rPr>
          <w:sz w:val="20"/>
          <w:szCs w:val="20"/>
          <w:color w:val="auto"/>
        </w:rPr>
      </w:pPr>
      <w:r>
        <w:rPr>
          <w:rFonts w:ascii="Arial" w:cs="Arial" w:eastAsia="Arial" w:hAnsi="Arial"/>
          <w:sz w:val="18"/>
          <w:szCs w:val="18"/>
          <w:color w:val="auto"/>
        </w:rPr>
        <w:t>Austria</w:t>
      </w:r>
    </w:p>
    <w:p>
      <w:pPr>
        <w:spacing w:after="0" w:line="235" w:lineRule="auto"/>
        <w:rPr>
          <w:sz w:val="20"/>
          <w:szCs w:val="20"/>
          <w:color w:val="auto"/>
        </w:rPr>
      </w:pPr>
      <w:r>
        <w:rPr>
          <w:rFonts w:ascii="Arial" w:cs="Arial" w:eastAsia="Arial" w:hAnsi="Arial"/>
          <w:sz w:val="18"/>
          <w:szCs w:val="18"/>
          <w:color w:val="auto"/>
        </w:rPr>
        <w:t>Bulgaria</w:t>
      </w:r>
    </w:p>
    <w:p>
      <w:pPr>
        <w:spacing w:after="0" w:line="235" w:lineRule="auto"/>
        <w:rPr>
          <w:sz w:val="20"/>
          <w:szCs w:val="20"/>
          <w:color w:val="auto"/>
        </w:rPr>
      </w:pPr>
      <w:r>
        <w:rPr>
          <w:rFonts w:ascii="Arial" w:cs="Arial" w:eastAsia="Arial" w:hAnsi="Arial"/>
          <w:sz w:val="18"/>
          <w:szCs w:val="18"/>
          <w:color w:val="auto"/>
        </w:rPr>
        <w:t>Turkey</w:t>
      </w:r>
    </w:p>
    <w:p>
      <w:pPr>
        <w:spacing w:after="0" w:line="235" w:lineRule="auto"/>
        <w:rPr>
          <w:sz w:val="20"/>
          <w:szCs w:val="20"/>
          <w:color w:val="auto"/>
        </w:rPr>
      </w:pPr>
      <w:r>
        <w:rPr>
          <w:rFonts w:ascii="Arial" w:cs="Arial" w:eastAsia="Arial" w:hAnsi="Arial"/>
          <w:sz w:val="18"/>
          <w:szCs w:val="18"/>
          <w:color w:val="auto"/>
        </w:rPr>
        <w:t>United Kingdom</w:t>
      </w:r>
    </w:p>
    <w:p>
      <w:pPr>
        <w:spacing w:after="0" w:line="235" w:lineRule="auto"/>
        <w:rPr>
          <w:sz w:val="20"/>
          <w:szCs w:val="20"/>
          <w:color w:val="auto"/>
        </w:rPr>
      </w:pPr>
      <w:r>
        <w:rPr>
          <w:rFonts w:ascii="Arial" w:cs="Arial" w:eastAsia="Arial" w:hAnsi="Arial"/>
          <w:sz w:val="18"/>
          <w:szCs w:val="18"/>
          <w:color w:val="auto"/>
        </w:rPr>
        <w:t>Northern Ireland</w:t>
      </w:r>
    </w:p>
    <w:p>
      <w:pPr>
        <w:spacing w:after="0"/>
        <w:rPr>
          <w:sz w:val="20"/>
          <w:szCs w:val="20"/>
          <w:color w:val="auto"/>
        </w:rPr>
      </w:pPr>
      <w:r>
        <w:rPr>
          <w:rFonts w:ascii="Arial" w:cs="Arial" w:eastAsia="Arial" w:hAnsi="Arial"/>
          <w:sz w:val="16"/>
          <w:szCs w:val="16"/>
          <w:color w:val="auto"/>
        </w:rPr>
        <w:t>Republic of Ireland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234" w:lineRule="auto"/>
        <w:rPr>
          <w:sz w:val="20"/>
          <w:szCs w:val="20"/>
          <w:color w:val="auto"/>
        </w:rPr>
      </w:pPr>
      <w:r>
        <w:rPr>
          <w:rFonts w:ascii="Arial" w:cs="Arial" w:eastAsia="Arial" w:hAnsi="Arial"/>
          <w:sz w:val="18"/>
          <w:szCs w:val="18"/>
          <w:color w:val="auto"/>
        </w:rPr>
        <w:t>Netherlands</w:t>
      </w:r>
    </w:p>
    <w:p>
      <w:pPr>
        <w:spacing w:after="0" w:line="235" w:lineRule="auto"/>
        <w:rPr>
          <w:sz w:val="20"/>
          <w:szCs w:val="20"/>
          <w:color w:val="auto"/>
        </w:rPr>
      </w:pPr>
      <w:r>
        <w:rPr>
          <w:rFonts w:ascii="Arial" w:cs="Arial" w:eastAsia="Arial" w:hAnsi="Arial"/>
          <w:sz w:val="18"/>
          <w:szCs w:val="18"/>
          <w:color w:val="auto"/>
        </w:rPr>
        <w:t>Switzerland</w:t>
      </w:r>
    </w:p>
    <w:p>
      <w:pPr>
        <w:spacing w:after="0" w:line="235" w:lineRule="auto"/>
        <w:rPr>
          <w:sz w:val="20"/>
          <w:szCs w:val="20"/>
          <w:color w:val="auto"/>
        </w:rPr>
      </w:pPr>
      <w:r>
        <w:rPr>
          <w:rFonts w:ascii="Arial" w:cs="Arial" w:eastAsia="Arial" w:hAnsi="Arial"/>
          <w:sz w:val="18"/>
          <w:szCs w:val="18"/>
          <w:color w:val="auto"/>
        </w:rPr>
        <w:t>Denmark</w:t>
      </w:r>
    </w:p>
    <w:p>
      <w:pPr>
        <w:spacing w:after="0" w:line="235" w:lineRule="auto"/>
        <w:rPr>
          <w:sz w:val="20"/>
          <w:szCs w:val="20"/>
          <w:color w:val="auto"/>
        </w:rPr>
      </w:pPr>
      <w:r>
        <w:rPr>
          <w:rFonts w:ascii="Arial" w:cs="Arial" w:eastAsia="Arial" w:hAnsi="Arial"/>
          <w:sz w:val="18"/>
          <w:szCs w:val="18"/>
          <w:color w:val="auto"/>
        </w:rPr>
        <w:t>Denmark</w:t>
      </w:r>
    </w:p>
    <w:p>
      <w:pPr>
        <w:spacing w:after="0" w:line="235" w:lineRule="auto"/>
        <w:rPr>
          <w:sz w:val="20"/>
          <w:szCs w:val="20"/>
          <w:color w:val="auto"/>
        </w:rPr>
      </w:pPr>
      <w:r>
        <w:rPr>
          <w:rFonts w:ascii="Arial" w:cs="Arial" w:eastAsia="Arial" w:hAnsi="Arial"/>
          <w:sz w:val="18"/>
          <w:szCs w:val="18"/>
          <w:color w:val="auto"/>
        </w:rPr>
        <w:t>Switzerland</w:t>
      </w:r>
    </w:p>
    <w:p>
      <w:pPr>
        <w:spacing w:after="0" w:line="235" w:lineRule="auto"/>
        <w:rPr>
          <w:sz w:val="20"/>
          <w:szCs w:val="20"/>
          <w:color w:val="auto"/>
        </w:rPr>
      </w:pPr>
      <w:r>
        <w:rPr>
          <w:rFonts w:ascii="Arial" w:cs="Arial" w:eastAsia="Arial" w:hAnsi="Arial"/>
          <w:sz w:val="18"/>
          <w:szCs w:val="18"/>
          <w:color w:val="auto"/>
        </w:rPr>
        <w:t>Sweden</w:t>
      </w:r>
    </w:p>
    <w:p>
      <w:pPr>
        <w:spacing w:after="0" w:line="235" w:lineRule="auto"/>
        <w:rPr>
          <w:sz w:val="20"/>
          <w:szCs w:val="20"/>
          <w:color w:val="auto"/>
        </w:rPr>
      </w:pPr>
      <w:r>
        <w:rPr>
          <w:rFonts w:ascii="Arial" w:cs="Arial" w:eastAsia="Arial" w:hAnsi="Arial"/>
          <w:sz w:val="18"/>
          <w:szCs w:val="18"/>
          <w:color w:val="auto"/>
        </w:rPr>
        <w:t>United Kingdom</w:t>
      </w:r>
    </w:p>
    <w:p>
      <w:pPr>
        <w:spacing w:after="0" w:line="235" w:lineRule="auto"/>
        <w:rPr>
          <w:sz w:val="20"/>
          <w:szCs w:val="20"/>
          <w:color w:val="auto"/>
        </w:rPr>
      </w:pPr>
      <w:r>
        <w:rPr>
          <w:rFonts w:ascii="Arial" w:cs="Arial" w:eastAsia="Arial" w:hAnsi="Arial"/>
          <w:sz w:val="18"/>
          <w:szCs w:val="18"/>
          <w:color w:val="auto"/>
        </w:rPr>
        <w:t>United Kingdom</w:t>
      </w:r>
    </w:p>
    <w:p>
      <w:pPr>
        <w:spacing w:after="0" w:line="235" w:lineRule="auto"/>
        <w:rPr>
          <w:sz w:val="20"/>
          <w:szCs w:val="20"/>
          <w:color w:val="auto"/>
        </w:rPr>
      </w:pPr>
      <w:r>
        <w:rPr>
          <w:rFonts w:ascii="Arial" w:cs="Arial" w:eastAsia="Arial" w:hAnsi="Arial"/>
          <w:sz w:val="18"/>
          <w:szCs w:val="18"/>
          <w:color w:val="auto"/>
        </w:rPr>
        <w:t>United Kingdom</w:t>
      </w:r>
    </w:p>
    <w:p>
      <w:pPr>
        <w:spacing w:after="0" w:line="234" w:lineRule="auto"/>
        <w:rPr>
          <w:sz w:val="20"/>
          <w:szCs w:val="20"/>
          <w:color w:val="auto"/>
        </w:rPr>
      </w:pPr>
      <w:r>
        <w:rPr>
          <w:rFonts w:ascii="Arial" w:cs="Arial" w:eastAsia="Arial" w:hAnsi="Arial"/>
          <w:sz w:val="18"/>
          <w:szCs w:val="18"/>
          <w:color w:val="auto"/>
        </w:rPr>
        <w:t>United Kingdom</w:t>
      </w:r>
    </w:p>
    <w:p>
      <w:pPr>
        <w:spacing w:after="0" w:line="235" w:lineRule="auto"/>
        <w:rPr>
          <w:sz w:val="20"/>
          <w:szCs w:val="20"/>
          <w:color w:val="auto"/>
        </w:rPr>
      </w:pPr>
      <w:r>
        <w:rPr>
          <w:rFonts w:ascii="Arial" w:cs="Arial" w:eastAsia="Arial" w:hAnsi="Arial"/>
          <w:sz w:val="18"/>
          <w:szCs w:val="18"/>
          <w:color w:val="auto"/>
        </w:rPr>
        <w:t>Czech Republic</w:t>
      </w:r>
    </w:p>
    <w:p>
      <w:pPr>
        <w:spacing w:after="0" w:line="235" w:lineRule="auto"/>
        <w:rPr>
          <w:sz w:val="20"/>
          <w:szCs w:val="20"/>
          <w:color w:val="auto"/>
        </w:rPr>
      </w:pPr>
      <w:r>
        <w:rPr>
          <w:rFonts w:ascii="Arial" w:cs="Arial" w:eastAsia="Arial" w:hAnsi="Arial"/>
          <w:sz w:val="18"/>
          <w:szCs w:val="18"/>
          <w:color w:val="auto"/>
        </w:rPr>
        <w:t>Germany</w:t>
      </w:r>
    </w:p>
    <w:p>
      <w:pPr>
        <w:spacing w:after="0" w:line="235" w:lineRule="auto"/>
        <w:rPr>
          <w:sz w:val="20"/>
          <w:szCs w:val="20"/>
          <w:color w:val="auto"/>
        </w:rPr>
      </w:pPr>
      <w:r>
        <w:rPr>
          <w:rFonts w:ascii="Arial" w:cs="Arial" w:eastAsia="Arial" w:hAnsi="Arial"/>
          <w:sz w:val="18"/>
          <w:szCs w:val="18"/>
          <w:color w:val="auto"/>
        </w:rPr>
        <w:t>Spain</w:t>
      </w:r>
    </w:p>
    <w:p>
      <w:pPr>
        <w:spacing w:after="0" w:line="235" w:lineRule="auto"/>
        <w:rPr>
          <w:sz w:val="20"/>
          <w:szCs w:val="20"/>
          <w:color w:val="auto"/>
        </w:rPr>
      </w:pPr>
      <w:r>
        <w:rPr>
          <w:rFonts w:ascii="Arial" w:cs="Arial" w:eastAsia="Arial" w:hAnsi="Arial"/>
          <w:sz w:val="18"/>
          <w:szCs w:val="18"/>
          <w:color w:val="auto"/>
        </w:rPr>
        <w:t>Spain</w:t>
      </w:r>
    </w:p>
    <w:p>
      <w:pPr>
        <w:spacing w:after="0" w:line="235" w:lineRule="auto"/>
        <w:rPr>
          <w:sz w:val="20"/>
          <w:szCs w:val="20"/>
          <w:color w:val="auto"/>
        </w:rPr>
      </w:pPr>
      <w:r>
        <w:rPr>
          <w:rFonts w:ascii="Arial" w:cs="Arial" w:eastAsia="Arial" w:hAnsi="Arial"/>
          <w:sz w:val="18"/>
          <w:szCs w:val="18"/>
          <w:color w:val="auto"/>
        </w:rPr>
        <w:t>Spain</w:t>
      </w:r>
    </w:p>
    <w:p>
      <w:pPr>
        <w:spacing w:after="0" w:line="235" w:lineRule="auto"/>
        <w:rPr>
          <w:sz w:val="20"/>
          <w:szCs w:val="20"/>
          <w:color w:val="auto"/>
        </w:rPr>
      </w:pPr>
      <w:r>
        <w:rPr>
          <w:rFonts w:ascii="Arial" w:cs="Arial" w:eastAsia="Arial" w:hAnsi="Arial"/>
          <w:sz w:val="18"/>
          <w:szCs w:val="18"/>
          <w:color w:val="auto"/>
        </w:rPr>
        <w:t>Spain</w:t>
      </w:r>
    </w:p>
    <w:p>
      <w:pPr>
        <w:spacing w:after="0" w:line="235" w:lineRule="auto"/>
        <w:rPr>
          <w:sz w:val="20"/>
          <w:szCs w:val="20"/>
          <w:color w:val="auto"/>
        </w:rPr>
      </w:pPr>
      <w:r>
        <w:rPr>
          <w:rFonts w:ascii="Arial" w:cs="Arial" w:eastAsia="Arial" w:hAnsi="Arial"/>
          <w:sz w:val="18"/>
          <w:szCs w:val="18"/>
          <w:color w:val="auto"/>
        </w:rPr>
        <w:t>Spain</w:t>
      </w:r>
    </w:p>
    <w:p>
      <w:pPr>
        <w:spacing w:after="0" w:line="235" w:lineRule="auto"/>
        <w:rPr>
          <w:sz w:val="20"/>
          <w:szCs w:val="20"/>
          <w:color w:val="auto"/>
        </w:rPr>
      </w:pPr>
      <w:r>
        <w:rPr>
          <w:rFonts w:ascii="Arial" w:cs="Arial" w:eastAsia="Arial" w:hAnsi="Arial"/>
          <w:sz w:val="18"/>
          <w:szCs w:val="18"/>
          <w:color w:val="auto"/>
        </w:rPr>
        <w:t>Spain</w:t>
      </w:r>
    </w:p>
    <w:p>
      <w:pPr>
        <w:spacing w:after="0" w:line="234" w:lineRule="auto"/>
        <w:rPr>
          <w:sz w:val="20"/>
          <w:szCs w:val="20"/>
          <w:color w:val="auto"/>
        </w:rPr>
      </w:pPr>
      <w:r>
        <w:rPr>
          <w:rFonts w:ascii="Arial" w:cs="Arial" w:eastAsia="Arial" w:hAnsi="Arial"/>
          <w:sz w:val="18"/>
          <w:szCs w:val="18"/>
          <w:color w:val="auto"/>
        </w:rPr>
        <w:t>Spain</w:t>
      </w:r>
    </w:p>
    <w:p>
      <w:pPr>
        <w:spacing w:after="0" w:line="235" w:lineRule="auto"/>
        <w:rPr>
          <w:sz w:val="20"/>
          <w:szCs w:val="20"/>
          <w:color w:val="auto"/>
        </w:rPr>
      </w:pPr>
      <w:r>
        <w:rPr>
          <w:rFonts w:ascii="Arial" w:cs="Arial" w:eastAsia="Arial" w:hAnsi="Arial"/>
          <w:sz w:val="18"/>
          <w:szCs w:val="18"/>
          <w:color w:val="auto"/>
        </w:rPr>
        <w:t>United Kingdom</w:t>
      </w:r>
    </w:p>
    <w:p>
      <w:pPr>
        <w:spacing w:after="0" w:line="235" w:lineRule="auto"/>
        <w:rPr>
          <w:sz w:val="20"/>
          <w:szCs w:val="20"/>
          <w:color w:val="auto"/>
        </w:rPr>
      </w:pPr>
      <w:r>
        <w:rPr>
          <w:rFonts w:ascii="Arial" w:cs="Arial" w:eastAsia="Arial" w:hAnsi="Arial"/>
          <w:sz w:val="18"/>
          <w:szCs w:val="18"/>
          <w:color w:val="auto"/>
        </w:rPr>
        <w:t>Belgium</w:t>
      </w:r>
    </w:p>
    <w:p>
      <w:pPr>
        <w:spacing w:after="0" w:line="235" w:lineRule="auto"/>
        <w:rPr>
          <w:sz w:val="20"/>
          <w:szCs w:val="20"/>
          <w:color w:val="auto"/>
        </w:rPr>
      </w:pPr>
      <w:r>
        <w:rPr>
          <w:rFonts w:ascii="Arial" w:cs="Arial" w:eastAsia="Arial" w:hAnsi="Arial"/>
          <w:sz w:val="18"/>
          <w:szCs w:val="18"/>
          <w:color w:val="auto"/>
        </w:rPr>
        <w:t>Norway</w:t>
      </w:r>
    </w:p>
    <w:p>
      <w:pPr>
        <w:spacing w:after="0" w:line="235" w:lineRule="auto"/>
        <w:rPr>
          <w:sz w:val="20"/>
          <w:szCs w:val="20"/>
          <w:color w:val="auto"/>
        </w:rPr>
      </w:pPr>
      <w:r>
        <w:rPr>
          <w:rFonts w:ascii="Arial" w:cs="Arial" w:eastAsia="Arial" w:hAnsi="Arial"/>
          <w:sz w:val="18"/>
          <w:szCs w:val="18"/>
          <w:color w:val="auto"/>
        </w:rPr>
        <w:t>Sweden</w:t>
      </w:r>
    </w:p>
    <w:p>
      <w:pPr>
        <w:spacing w:after="0" w:line="235" w:lineRule="auto"/>
        <w:rPr>
          <w:sz w:val="20"/>
          <w:szCs w:val="20"/>
          <w:color w:val="auto"/>
        </w:rPr>
      </w:pPr>
      <w:r>
        <w:rPr>
          <w:rFonts w:ascii="Arial" w:cs="Arial" w:eastAsia="Arial" w:hAnsi="Arial"/>
          <w:sz w:val="18"/>
          <w:szCs w:val="18"/>
          <w:color w:val="auto"/>
        </w:rPr>
        <w:t>Greece</w:t>
      </w:r>
    </w:p>
    <w:p>
      <w:pPr>
        <w:spacing w:after="0" w:line="235" w:lineRule="auto"/>
        <w:rPr>
          <w:sz w:val="20"/>
          <w:szCs w:val="20"/>
          <w:color w:val="auto"/>
        </w:rPr>
      </w:pPr>
      <w:r>
        <w:rPr>
          <w:rFonts w:ascii="Arial" w:cs="Arial" w:eastAsia="Arial" w:hAnsi="Arial"/>
          <w:sz w:val="18"/>
          <w:szCs w:val="18"/>
          <w:color w:val="auto"/>
        </w:rPr>
        <w:t>Germany</w:t>
      </w:r>
    </w:p>
    <w:p>
      <w:pPr>
        <w:spacing w:after="0" w:line="235" w:lineRule="auto"/>
        <w:rPr>
          <w:sz w:val="20"/>
          <w:szCs w:val="20"/>
          <w:color w:val="auto"/>
        </w:rPr>
      </w:pPr>
      <w:r>
        <w:rPr>
          <w:rFonts w:ascii="Arial" w:cs="Arial" w:eastAsia="Arial" w:hAnsi="Arial"/>
          <w:sz w:val="18"/>
          <w:szCs w:val="18"/>
          <w:color w:val="auto"/>
        </w:rPr>
        <w:t>Germany</w:t>
      </w:r>
    </w:p>
    <w:p>
      <w:pPr>
        <w:spacing w:after="0" w:line="235" w:lineRule="auto"/>
        <w:rPr>
          <w:sz w:val="20"/>
          <w:szCs w:val="20"/>
          <w:color w:val="auto"/>
        </w:rPr>
      </w:pPr>
      <w:r>
        <w:rPr>
          <w:rFonts w:ascii="Arial" w:cs="Arial" w:eastAsia="Arial" w:hAnsi="Arial"/>
          <w:sz w:val="18"/>
          <w:szCs w:val="18"/>
          <w:color w:val="auto"/>
        </w:rPr>
        <w:t>Germany</w:t>
      </w:r>
    </w:p>
    <w:p>
      <w:pPr>
        <w:spacing w:after="0" w:line="234" w:lineRule="auto"/>
        <w:rPr>
          <w:sz w:val="20"/>
          <w:szCs w:val="20"/>
          <w:color w:val="auto"/>
        </w:rPr>
      </w:pPr>
      <w:r>
        <w:rPr>
          <w:rFonts w:ascii="Arial" w:cs="Arial" w:eastAsia="Arial" w:hAnsi="Arial"/>
          <w:sz w:val="18"/>
          <w:szCs w:val="18"/>
          <w:color w:val="auto"/>
        </w:rPr>
        <w:t>Germany</w:t>
      </w:r>
    </w:p>
    <w:p>
      <w:pPr>
        <w:spacing w:after="0" w:line="235" w:lineRule="auto"/>
        <w:rPr>
          <w:sz w:val="20"/>
          <w:szCs w:val="20"/>
          <w:color w:val="auto"/>
        </w:rPr>
      </w:pPr>
      <w:r>
        <w:rPr>
          <w:rFonts w:ascii="Arial" w:cs="Arial" w:eastAsia="Arial" w:hAnsi="Arial"/>
          <w:sz w:val="18"/>
          <w:szCs w:val="18"/>
          <w:color w:val="auto"/>
        </w:rPr>
        <w:t>Germany</w:t>
      </w:r>
    </w:p>
    <w:p>
      <w:pPr>
        <w:spacing w:after="0" w:line="235" w:lineRule="auto"/>
        <w:rPr>
          <w:sz w:val="20"/>
          <w:szCs w:val="20"/>
          <w:color w:val="auto"/>
        </w:rPr>
      </w:pPr>
      <w:r>
        <w:rPr>
          <w:rFonts w:ascii="Arial" w:cs="Arial" w:eastAsia="Arial" w:hAnsi="Arial"/>
          <w:sz w:val="18"/>
          <w:szCs w:val="18"/>
          <w:color w:val="auto"/>
        </w:rPr>
        <w:t>Germany</w:t>
      </w:r>
    </w:p>
    <w:p>
      <w:pPr>
        <w:spacing w:after="0" w:line="235" w:lineRule="auto"/>
        <w:rPr>
          <w:sz w:val="20"/>
          <w:szCs w:val="20"/>
          <w:color w:val="auto"/>
        </w:rPr>
      </w:pPr>
      <w:r>
        <w:rPr>
          <w:rFonts w:ascii="Arial" w:cs="Arial" w:eastAsia="Arial" w:hAnsi="Arial"/>
          <w:sz w:val="18"/>
          <w:szCs w:val="18"/>
          <w:color w:val="auto"/>
        </w:rPr>
        <w:t>Germany</w:t>
      </w:r>
    </w:p>
    <w:p>
      <w:pPr>
        <w:spacing w:after="0" w:line="235" w:lineRule="auto"/>
        <w:rPr>
          <w:sz w:val="20"/>
          <w:szCs w:val="20"/>
          <w:color w:val="auto"/>
        </w:rPr>
      </w:pPr>
      <w:r>
        <w:rPr>
          <w:rFonts w:ascii="Arial" w:cs="Arial" w:eastAsia="Arial" w:hAnsi="Arial"/>
          <w:sz w:val="18"/>
          <w:szCs w:val="18"/>
          <w:color w:val="auto"/>
        </w:rPr>
        <w:t>Germany</w:t>
      </w:r>
    </w:p>
    <w:p>
      <w:pPr>
        <w:spacing w:after="0" w:line="235" w:lineRule="auto"/>
        <w:rPr>
          <w:sz w:val="20"/>
          <w:szCs w:val="20"/>
          <w:color w:val="auto"/>
        </w:rPr>
      </w:pPr>
      <w:r>
        <w:rPr>
          <w:rFonts w:ascii="Arial" w:cs="Arial" w:eastAsia="Arial" w:hAnsi="Arial"/>
          <w:sz w:val="18"/>
          <w:szCs w:val="18"/>
          <w:color w:val="auto"/>
        </w:rPr>
        <w:t>Germany</w:t>
      </w:r>
    </w:p>
    <w:p>
      <w:pPr>
        <w:spacing w:after="0" w:line="235" w:lineRule="auto"/>
        <w:rPr>
          <w:sz w:val="20"/>
          <w:szCs w:val="20"/>
          <w:color w:val="auto"/>
        </w:rPr>
      </w:pPr>
      <w:r>
        <w:rPr>
          <w:rFonts w:ascii="Arial" w:cs="Arial" w:eastAsia="Arial" w:hAnsi="Arial"/>
          <w:sz w:val="18"/>
          <w:szCs w:val="18"/>
          <w:color w:val="auto"/>
        </w:rPr>
        <w:t>Germany</w:t>
      </w:r>
    </w:p>
    <w:p>
      <w:pPr>
        <w:spacing w:after="0" w:line="235" w:lineRule="auto"/>
        <w:rPr>
          <w:sz w:val="20"/>
          <w:szCs w:val="20"/>
          <w:color w:val="auto"/>
        </w:rPr>
      </w:pPr>
      <w:r>
        <w:rPr>
          <w:rFonts w:ascii="Arial" w:cs="Arial" w:eastAsia="Arial" w:hAnsi="Arial"/>
          <w:sz w:val="18"/>
          <w:szCs w:val="18"/>
          <w:color w:val="auto"/>
        </w:rPr>
        <w:t>Hungary</w:t>
      </w:r>
    </w:p>
    <w:p>
      <w:pPr>
        <w:spacing w:after="0" w:line="235" w:lineRule="auto"/>
        <w:rPr>
          <w:sz w:val="20"/>
          <w:szCs w:val="20"/>
          <w:color w:val="auto"/>
        </w:rPr>
      </w:pPr>
      <w:r>
        <w:rPr>
          <w:rFonts w:ascii="Arial" w:cs="Arial" w:eastAsia="Arial" w:hAnsi="Arial"/>
          <w:sz w:val="18"/>
          <w:szCs w:val="18"/>
          <w:color w:val="auto"/>
        </w:rPr>
        <w:t>Ireland</w:t>
      </w:r>
    </w:p>
    <w:p>
      <w:pPr>
        <w:spacing w:after="0" w:line="234" w:lineRule="auto"/>
        <w:rPr>
          <w:sz w:val="20"/>
          <w:szCs w:val="20"/>
          <w:color w:val="auto"/>
        </w:rPr>
      </w:pPr>
      <w:r>
        <w:rPr>
          <w:rFonts w:ascii="Arial" w:cs="Arial" w:eastAsia="Arial" w:hAnsi="Arial"/>
          <w:sz w:val="18"/>
          <w:szCs w:val="18"/>
          <w:color w:val="auto"/>
        </w:rPr>
        <w:t>India (8)</w:t>
      </w:r>
    </w:p>
    <w:p>
      <w:pPr>
        <w:spacing w:after="0" w:line="235" w:lineRule="auto"/>
        <w:rPr>
          <w:sz w:val="20"/>
          <w:szCs w:val="20"/>
          <w:color w:val="auto"/>
        </w:rPr>
      </w:pPr>
      <w:r>
        <w:rPr>
          <w:rFonts w:ascii="Arial" w:cs="Arial" w:eastAsia="Arial" w:hAnsi="Arial"/>
          <w:sz w:val="18"/>
          <w:szCs w:val="18"/>
          <w:color w:val="auto"/>
        </w:rPr>
        <w:t>Kazakhstan (38)</w:t>
      </w:r>
    </w:p>
    <w:p>
      <w:pPr>
        <w:spacing w:after="0" w:line="235" w:lineRule="auto"/>
        <w:rPr>
          <w:sz w:val="20"/>
          <w:szCs w:val="20"/>
          <w:color w:val="auto"/>
        </w:rPr>
      </w:pPr>
      <w:r>
        <w:rPr>
          <w:rFonts w:ascii="Arial" w:cs="Arial" w:eastAsia="Arial" w:hAnsi="Arial"/>
          <w:sz w:val="18"/>
          <w:szCs w:val="18"/>
          <w:color w:val="auto"/>
        </w:rPr>
        <w:t>Belgium</w:t>
      </w:r>
    </w:p>
    <w:p>
      <w:pPr>
        <w:spacing w:after="0" w:line="235" w:lineRule="auto"/>
        <w:rPr>
          <w:sz w:val="20"/>
          <w:szCs w:val="20"/>
          <w:color w:val="auto"/>
        </w:rPr>
      </w:pPr>
      <w:r>
        <w:rPr>
          <w:rFonts w:ascii="Arial" w:cs="Arial" w:eastAsia="Arial" w:hAnsi="Arial"/>
          <w:sz w:val="18"/>
          <w:szCs w:val="18"/>
          <w:color w:val="auto"/>
        </w:rPr>
        <w:t>Belgium</w:t>
      </w:r>
    </w:p>
    <w:p>
      <w:pPr>
        <w:spacing w:after="0" w:line="235" w:lineRule="auto"/>
        <w:rPr>
          <w:sz w:val="20"/>
          <w:szCs w:val="20"/>
          <w:color w:val="auto"/>
        </w:rPr>
      </w:pPr>
      <w:r>
        <w:rPr>
          <w:rFonts w:ascii="Arial" w:cs="Arial" w:eastAsia="Arial" w:hAnsi="Arial"/>
          <w:sz w:val="18"/>
          <w:szCs w:val="18"/>
          <w:color w:val="auto"/>
        </w:rPr>
        <w:t>Luxembourg (27)</w:t>
      </w:r>
    </w:p>
    <w:p>
      <w:pPr>
        <w:spacing w:after="0" w:line="235" w:lineRule="auto"/>
        <w:rPr>
          <w:sz w:val="20"/>
          <w:szCs w:val="20"/>
          <w:color w:val="auto"/>
        </w:rPr>
      </w:pPr>
      <w:r>
        <w:rPr>
          <w:rFonts w:ascii="Arial" w:cs="Arial" w:eastAsia="Arial" w:hAnsi="Arial"/>
          <w:sz w:val="18"/>
          <w:szCs w:val="18"/>
          <w:color w:val="auto"/>
        </w:rPr>
        <w:t>Netherlands</w:t>
      </w:r>
    </w:p>
    <w:p>
      <w:pPr>
        <w:spacing w:after="0" w:line="235" w:lineRule="auto"/>
        <w:rPr>
          <w:sz w:val="20"/>
          <w:szCs w:val="20"/>
          <w:color w:val="auto"/>
        </w:rPr>
      </w:pPr>
      <w:r>
        <w:rPr>
          <w:rFonts w:ascii="Arial" w:cs="Arial" w:eastAsia="Arial" w:hAnsi="Arial"/>
          <w:sz w:val="18"/>
          <w:szCs w:val="18"/>
          <w:color w:val="auto"/>
        </w:rPr>
        <w:t>Netherlands</w:t>
      </w:r>
    </w:p>
    <w:p>
      <w:pPr>
        <w:spacing w:after="0" w:line="235" w:lineRule="auto"/>
        <w:rPr>
          <w:sz w:val="20"/>
          <w:szCs w:val="20"/>
          <w:color w:val="auto"/>
        </w:rPr>
      </w:pPr>
      <w:r>
        <w:rPr>
          <w:rFonts w:ascii="Arial" w:cs="Arial" w:eastAsia="Arial" w:hAnsi="Arial"/>
          <w:sz w:val="18"/>
          <w:szCs w:val="18"/>
          <w:color w:val="auto"/>
        </w:rPr>
        <w:t>Netherlands</w:t>
      </w:r>
    </w:p>
    <w:p>
      <w:pPr>
        <w:spacing w:after="0" w:line="235" w:lineRule="auto"/>
        <w:rPr>
          <w:sz w:val="20"/>
          <w:szCs w:val="20"/>
          <w:color w:val="auto"/>
        </w:rPr>
      </w:pPr>
      <w:r>
        <w:rPr>
          <w:rFonts w:ascii="Arial" w:cs="Arial" w:eastAsia="Arial" w:hAnsi="Arial"/>
          <w:sz w:val="18"/>
          <w:szCs w:val="18"/>
          <w:color w:val="auto"/>
        </w:rPr>
        <w:t>Netherlands</w:t>
      </w:r>
    </w:p>
    <w:p>
      <w:pPr>
        <w:spacing w:after="0" w:line="235" w:lineRule="auto"/>
        <w:rPr>
          <w:sz w:val="20"/>
          <w:szCs w:val="20"/>
          <w:color w:val="auto"/>
        </w:rPr>
      </w:pPr>
      <w:r>
        <w:rPr>
          <w:rFonts w:ascii="Arial" w:cs="Arial" w:eastAsia="Arial" w:hAnsi="Arial"/>
          <w:sz w:val="18"/>
          <w:szCs w:val="18"/>
          <w:color w:val="auto"/>
        </w:rPr>
        <w:t>Netherlands</w:t>
      </w:r>
    </w:p>
    <w:p>
      <w:pPr>
        <w:spacing w:after="0" w:line="234" w:lineRule="auto"/>
        <w:rPr>
          <w:sz w:val="20"/>
          <w:szCs w:val="20"/>
          <w:color w:val="auto"/>
        </w:rPr>
      </w:pPr>
      <w:r>
        <w:rPr>
          <w:rFonts w:ascii="Arial" w:cs="Arial" w:eastAsia="Arial" w:hAnsi="Arial"/>
          <w:sz w:val="18"/>
          <w:szCs w:val="18"/>
          <w:color w:val="auto"/>
        </w:rPr>
        <w:t>Netherlands</w:t>
      </w:r>
    </w:p>
    <w:p>
      <w:pPr>
        <w:spacing w:after="0" w:line="235" w:lineRule="auto"/>
        <w:rPr>
          <w:sz w:val="20"/>
          <w:szCs w:val="20"/>
          <w:color w:val="auto"/>
        </w:rPr>
      </w:pPr>
      <w:r>
        <w:rPr>
          <w:rFonts w:ascii="Arial" w:cs="Arial" w:eastAsia="Arial" w:hAnsi="Arial"/>
          <w:sz w:val="18"/>
          <w:szCs w:val="18"/>
          <w:color w:val="auto"/>
        </w:rPr>
        <w:t>Finland</w:t>
      </w:r>
    </w:p>
    <w:p>
      <w:pPr>
        <w:spacing w:after="0" w:line="235" w:lineRule="auto"/>
        <w:rPr>
          <w:sz w:val="20"/>
          <w:szCs w:val="20"/>
          <w:color w:val="auto"/>
        </w:rPr>
      </w:pPr>
      <w:r>
        <w:rPr>
          <w:rFonts w:ascii="Arial" w:cs="Arial" w:eastAsia="Arial" w:hAnsi="Arial"/>
          <w:sz w:val="18"/>
          <w:szCs w:val="18"/>
          <w:color w:val="auto"/>
        </w:rPr>
        <w:t>Finland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134" w:lineRule="exact"/>
        <w:rPr>
          <w:sz w:val="20"/>
          <w:szCs w:val="20"/>
          <w:color w:val="auto"/>
        </w:rPr>
      </w:pPr>
    </w:p>
    <w:p>
      <w:pPr>
        <w:sectPr>
          <w:pgSz w:w="11900" w:h="16838" w:orient="portrait"/>
          <w:cols w:equalWidth="0" w:num="2">
            <w:col w:w="6460" w:space="720"/>
            <w:col w:w="3039"/>
          </w:cols>
          <w:pgMar w:left="240" w:top="287" w:right="1440" w:bottom="1440" w:gutter="0" w:footer="0" w:header="0"/>
        </w:sectPr>
      </w:pPr>
    </w:p>
    <w:p>
      <w:pPr>
        <w:ind w:left="5660"/>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0219"/>
          </w:cols>
          <w:pgMar w:left="240" w:top="287" w:right="1440" w:bottom="1440" w:gutter="0" w:footer="0" w:header="0"/>
          <w:type w:val="continuous"/>
        </w:sectPr>
      </w:pPr>
    </w:p>
    <w:bookmarkStart w:id="190" w:name="page191"/>
    <w:bookmarkEnd w:id="190"/>
    <w:tbl>
      <w:tblPr>
        <w:tblLayout w:type="fixed"/>
        <w:tblInd w:w="0" w:type="dxa"/>
        <w:tblCellMar>
          <w:top w:w="0" w:type="dxa"/>
          <w:left w:w="0" w:type="dxa"/>
          <w:bottom w:w="0" w:type="dxa"/>
          <w:right w:w="0" w:type="dxa"/>
        </w:tblCellMar>
      </w:tblPr>
      <w:tr>
        <w:trPr>
          <w:trHeight w:val="207"/>
        </w:trPr>
        <w:tc>
          <w:tcPr>
            <w:tcW w:w="6000" w:type="dxa"/>
            <w:vAlign w:val="bottom"/>
          </w:tcPr>
          <w:p>
            <w:pPr>
              <w:spacing w:after="0"/>
              <w:rPr>
                <w:sz w:val="20"/>
                <w:szCs w:val="20"/>
                <w:color w:val="auto"/>
              </w:rPr>
            </w:pPr>
            <w:r>
              <w:rPr>
                <w:rFonts w:ascii="Arial" w:cs="Arial" w:eastAsia="Arial" w:hAnsi="Arial"/>
                <w:sz w:val="18"/>
                <w:szCs w:val="18"/>
                <w:color w:val="auto"/>
              </w:rPr>
              <w:t>Xerox Polska Sp.zo.o</w:t>
            </w:r>
          </w:p>
        </w:tc>
        <w:tc>
          <w:tcPr>
            <w:tcW w:w="1820" w:type="dxa"/>
            <w:vAlign w:val="bottom"/>
          </w:tcPr>
          <w:p>
            <w:pPr>
              <w:ind w:left="1180"/>
              <w:spacing w:after="0"/>
              <w:rPr>
                <w:sz w:val="20"/>
                <w:szCs w:val="20"/>
                <w:color w:val="auto"/>
              </w:rPr>
            </w:pPr>
            <w:r>
              <w:rPr>
                <w:rFonts w:ascii="Arial" w:cs="Arial" w:eastAsia="Arial" w:hAnsi="Arial"/>
                <w:sz w:val="18"/>
                <w:szCs w:val="18"/>
                <w:color w:val="auto"/>
              </w:rPr>
              <w:t>Poland</w:t>
            </w:r>
          </w:p>
        </w:tc>
        <w:tc>
          <w:tcPr>
            <w:tcW w:w="920" w:type="dxa"/>
            <w:vAlign w:val="bottom"/>
          </w:tcPr>
          <w:p>
            <w:pPr>
              <w:spacing w:after="0"/>
              <w:rPr>
                <w:sz w:val="17"/>
                <w:szCs w:val="17"/>
                <w:color w:val="auto"/>
              </w:rPr>
            </w:pP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Xerox Portugal Equipamentos de Escritorio, Limitada</w:t>
            </w:r>
          </w:p>
        </w:tc>
        <w:tc>
          <w:tcPr>
            <w:tcW w:w="274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Portugal (21)</w:t>
            </w: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CREDITEX - Aluguer de Equipamentos S.A.</w:t>
            </w:r>
          </w:p>
        </w:tc>
        <w:tc>
          <w:tcPr>
            <w:tcW w:w="274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Portugal</w:t>
            </w: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Xerox Professional Services Limited</w:t>
            </w:r>
          </w:p>
        </w:tc>
        <w:tc>
          <w:tcPr>
            <w:tcW w:w="274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United Kingdom</w:t>
            </w: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Xerox Property Services Limited</w:t>
            </w:r>
          </w:p>
        </w:tc>
        <w:tc>
          <w:tcPr>
            <w:tcW w:w="274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United Kingdom</w:t>
            </w: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Xerox (Romania) Echipmante Si Servici S.A.</w:t>
            </w:r>
          </w:p>
        </w:tc>
        <w:tc>
          <w:tcPr>
            <w:tcW w:w="274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Romania</w:t>
            </w: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Xerox Slovenia d.o.o.</w:t>
            </w:r>
          </w:p>
        </w:tc>
        <w:tc>
          <w:tcPr>
            <w:tcW w:w="274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Slovenia</w:t>
            </w: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Xerox S.p.A.</w:t>
            </w:r>
          </w:p>
        </w:tc>
        <w:tc>
          <w:tcPr>
            <w:tcW w:w="1820" w:type="dxa"/>
            <w:vAlign w:val="bottom"/>
          </w:tcPr>
          <w:p>
            <w:pPr>
              <w:ind w:left="1180"/>
              <w:spacing w:after="0" w:line="202" w:lineRule="exact"/>
              <w:rPr>
                <w:sz w:val="20"/>
                <w:szCs w:val="20"/>
                <w:color w:val="auto"/>
              </w:rPr>
            </w:pPr>
            <w:r>
              <w:rPr>
                <w:rFonts w:ascii="Arial" w:cs="Arial" w:eastAsia="Arial" w:hAnsi="Arial"/>
                <w:sz w:val="18"/>
                <w:szCs w:val="18"/>
                <w:color w:val="auto"/>
              </w:rPr>
              <w:t>Italy</w:t>
            </w:r>
          </w:p>
        </w:tc>
        <w:tc>
          <w:tcPr>
            <w:tcW w:w="920" w:type="dxa"/>
            <w:vAlign w:val="bottom"/>
          </w:tcPr>
          <w:p>
            <w:pPr>
              <w:spacing w:after="0"/>
              <w:rPr>
                <w:sz w:val="17"/>
                <w:szCs w:val="17"/>
                <w:color w:val="auto"/>
              </w:rPr>
            </w:pP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ACS Solutions Italia, S.p.A.</w:t>
            </w:r>
          </w:p>
        </w:tc>
        <w:tc>
          <w:tcPr>
            <w:tcW w:w="1820" w:type="dxa"/>
            <w:vAlign w:val="bottom"/>
          </w:tcPr>
          <w:p>
            <w:pPr>
              <w:ind w:left="1180"/>
              <w:spacing w:after="0" w:line="202" w:lineRule="exact"/>
              <w:rPr>
                <w:sz w:val="20"/>
                <w:szCs w:val="20"/>
                <w:color w:val="auto"/>
              </w:rPr>
            </w:pPr>
            <w:r>
              <w:rPr>
                <w:rFonts w:ascii="Arial" w:cs="Arial" w:eastAsia="Arial" w:hAnsi="Arial"/>
                <w:sz w:val="18"/>
                <w:szCs w:val="18"/>
                <w:color w:val="auto"/>
              </w:rPr>
              <w:t>Italy</w:t>
            </w:r>
          </w:p>
        </w:tc>
        <w:tc>
          <w:tcPr>
            <w:tcW w:w="920" w:type="dxa"/>
            <w:vAlign w:val="bottom"/>
          </w:tcPr>
          <w:p>
            <w:pPr>
              <w:spacing w:after="0"/>
              <w:rPr>
                <w:sz w:val="17"/>
                <w:szCs w:val="17"/>
                <w:color w:val="auto"/>
              </w:rPr>
            </w:pP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Xerox Financial Services Italia S.p.A.</w:t>
            </w:r>
          </w:p>
        </w:tc>
        <w:tc>
          <w:tcPr>
            <w:tcW w:w="1820" w:type="dxa"/>
            <w:vAlign w:val="bottom"/>
          </w:tcPr>
          <w:p>
            <w:pPr>
              <w:ind w:left="1180"/>
              <w:spacing w:after="0" w:line="202" w:lineRule="exact"/>
              <w:rPr>
                <w:sz w:val="20"/>
                <w:szCs w:val="20"/>
                <w:color w:val="auto"/>
              </w:rPr>
            </w:pPr>
            <w:r>
              <w:rPr>
                <w:rFonts w:ascii="Arial" w:cs="Arial" w:eastAsia="Arial" w:hAnsi="Arial"/>
                <w:sz w:val="18"/>
                <w:szCs w:val="18"/>
                <w:color w:val="auto"/>
              </w:rPr>
              <w:t>Italy</w:t>
            </w:r>
          </w:p>
        </w:tc>
        <w:tc>
          <w:tcPr>
            <w:tcW w:w="920" w:type="dxa"/>
            <w:vAlign w:val="bottom"/>
          </w:tcPr>
          <w:p>
            <w:pPr>
              <w:spacing w:after="0"/>
              <w:rPr>
                <w:sz w:val="17"/>
                <w:szCs w:val="17"/>
                <w:color w:val="auto"/>
              </w:rPr>
            </w:pP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Xerox Italia Rental Services Srl</w:t>
            </w:r>
          </w:p>
        </w:tc>
        <w:tc>
          <w:tcPr>
            <w:tcW w:w="1820" w:type="dxa"/>
            <w:vAlign w:val="bottom"/>
          </w:tcPr>
          <w:p>
            <w:pPr>
              <w:ind w:left="1180"/>
              <w:spacing w:after="0" w:line="202" w:lineRule="exact"/>
              <w:rPr>
                <w:sz w:val="20"/>
                <w:szCs w:val="20"/>
                <w:color w:val="auto"/>
              </w:rPr>
            </w:pPr>
            <w:r>
              <w:rPr>
                <w:rFonts w:ascii="Arial" w:cs="Arial" w:eastAsia="Arial" w:hAnsi="Arial"/>
                <w:sz w:val="18"/>
                <w:szCs w:val="18"/>
                <w:color w:val="auto"/>
              </w:rPr>
              <w:t>Italy</w:t>
            </w:r>
          </w:p>
        </w:tc>
        <w:tc>
          <w:tcPr>
            <w:tcW w:w="920" w:type="dxa"/>
            <w:vAlign w:val="bottom"/>
          </w:tcPr>
          <w:p>
            <w:pPr>
              <w:spacing w:after="0"/>
              <w:rPr>
                <w:sz w:val="17"/>
                <w:szCs w:val="17"/>
                <w:color w:val="auto"/>
              </w:rPr>
            </w:pP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Xerox Telebusiness GmbH</w:t>
            </w:r>
          </w:p>
        </w:tc>
        <w:tc>
          <w:tcPr>
            <w:tcW w:w="274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Germany</w:t>
            </w: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Xerox (Ukraine) Ltd LLC</w:t>
            </w:r>
          </w:p>
        </w:tc>
        <w:tc>
          <w:tcPr>
            <w:tcW w:w="1820" w:type="dxa"/>
            <w:vAlign w:val="bottom"/>
          </w:tcPr>
          <w:p>
            <w:pPr>
              <w:ind w:left="1180"/>
              <w:spacing w:after="0" w:line="202" w:lineRule="exact"/>
              <w:rPr>
                <w:sz w:val="20"/>
                <w:szCs w:val="20"/>
                <w:color w:val="auto"/>
              </w:rPr>
            </w:pPr>
            <w:r>
              <w:rPr>
                <w:rFonts w:ascii="Arial" w:cs="Arial" w:eastAsia="Arial" w:hAnsi="Arial"/>
                <w:sz w:val="18"/>
                <w:szCs w:val="18"/>
                <w:color w:val="auto"/>
                <w:w w:val="99"/>
              </w:rPr>
              <w:t>Ukraine</w:t>
            </w:r>
          </w:p>
        </w:tc>
        <w:tc>
          <w:tcPr>
            <w:tcW w:w="920" w:type="dxa"/>
            <w:vAlign w:val="bottom"/>
          </w:tcPr>
          <w:p>
            <w:pPr>
              <w:spacing w:after="0"/>
              <w:rPr>
                <w:sz w:val="17"/>
                <w:szCs w:val="17"/>
                <w:color w:val="auto"/>
              </w:rPr>
            </w:pP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Xerox S.A.S.</w:t>
            </w:r>
          </w:p>
        </w:tc>
        <w:tc>
          <w:tcPr>
            <w:tcW w:w="1820" w:type="dxa"/>
            <w:vAlign w:val="bottom"/>
          </w:tcPr>
          <w:p>
            <w:pPr>
              <w:ind w:left="1180"/>
              <w:spacing w:after="0" w:line="202" w:lineRule="exact"/>
              <w:rPr>
                <w:sz w:val="20"/>
                <w:szCs w:val="20"/>
                <w:color w:val="auto"/>
              </w:rPr>
            </w:pPr>
            <w:r>
              <w:rPr>
                <w:rFonts w:ascii="Arial" w:cs="Arial" w:eastAsia="Arial" w:hAnsi="Arial"/>
                <w:sz w:val="18"/>
                <w:szCs w:val="18"/>
                <w:color w:val="auto"/>
              </w:rPr>
              <w:t>France</w:t>
            </w:r>
          </w:p>
        </w:tc>
        <w:tc>
          <w:tcPr>
            <w:tcW w:w="920" w:type="dxa"/>
            <w:vAlign w:val="bottom"/>
          </w:tcPr>
          <w:p>
            <w:pPr>
              <w:jc w:val="right"/>
              <w:ind w:right="512"/>
              <w:spacing w:after="0" w:line="202" w:lineRule="exact"/>
              <w:rPr>
                <w:sz w:val="20"/>
                <w:szCs w:val="20"/>
                <w:color w:val="auto"/>
              </w:rPr>
            </w:pPr>
            <w:r>
              <w:rPr>
                <w:rFonts w:ascii="Arial" w:cs="Arial" w:eastAsia="Arial" w:hAnsi="Arial"/>
                <w:sz w:val="18"/>
                <w:szCs w:val="18"/>
                <w:color w:val="auto"/>
                <w:w w:val="93"/>
              </w:rPr>
              <w:t>(22)</w:t>
            </w: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Affiliated Computer Services Holdings (France) SAS</w:t>
            </w:r>
          </w:p>
        </w:tc>
        <w:tc>
          <w:tcPr>
            <w:tcW w:w="1820" w:type="dxa"/>
            <w:vAlign w:val="bottom"/>
          </w:tcPr>
          <w:p>
            <w:pPr>
              <w:ind w:left="1180"/>
              <w:spacing w:after="0" w:line="202" w:lineRule="exact"/>
              <w:rPr>
                <w:sz w:val="20"/>
                <w:szCs w:val="20"/>
                <w:color w:val="auto"/>
              </w:rPr>
            </w:pPr>
            <w:r>
              <w:rPr>
                <w:rFonts w:ascii="Arial" w:cs="Arial" w:eastAsia="Arial" w:hAnsi="Arial"/>
                <w:sz w:val="18"/>
                <w:szCs w:val="18"/>
                <w:color w:val="auto"/>
              </w:rPr>
              <w:t>France</w:t>
            </w:r>
          </w:p>
        </w:tc>
        <w:tc>
          <w:tcPr>
            <w:tcW w:w="920" w:type="dxa"/>
            <w:vAlign w:val="bottom"/>
          </w:tcPr>
          <w:p>
            <w:pPr>
              <w:spacing w:after="0"/>
              <w:rPr>
                <w:sz w:val="17"/>
                <w:szCs w:val="17"/>
                <w:color w:val="auto"/>
              </w:rPr>
            </w:pP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Affiliated Computer Services Business Process Solutions SAS</w:t>
            </w:r>
          </w:p>
        </w:tc>
        <w:tc>
          <w:tcPr>
            <w:tcW w:w="1820" w:type="dxa"/>
            <w:vAlign w:val="bottom"/>
          </w:tcPr>
          <w:p>
            <w:pPr>
              <w:ind w:left="1180"/>
              <w:spacing w:after="0" w:line="202" w:lineRule="exact"/>
              <w:rPr>
                <w:sz w:val="20"/>
                <w:szCs w:val="20"/>
                <w:color w:val="auto"/>
              </w:rPr>
            </w:pPr>
            <w:r>
              <w:rPr>
                <w:rFonts w:ascii="Arial" w:cs="Arial" w:eastAsia="Arial" w:hAnsi="Arial"/>
                <w:sz w:val="18"/>
                <w:szCs w:val="18"/>
                <w:color w:val="auto"/>
              </w:rPr>
              <w:t>France</w:t>
            </w:r>
          </w:p>
        </w:tc>
        <w:tc>
          <w:tcPr>
            <w:tcW w:w="920" w:type="dxa"/>
            <w:vAlign w:val="bottom"/>
          </w:tcPr>
          <w:p>
            <w:pPr>
              <w:jc w:val="right"/>
              <w:ind w:right="512"/>
              <w:spacing w:after="0" w:line="202" w:lineRule="exact"/>
              <w:rPr>
                <w:sz w:val="20"/>
                <w:szCs w:val="20"/>
                <w:color w:val="auto"/>
              </w:rPr>
            </w:pPr>
            <w:r>
              <w:rPr>
                <w:rFonts w:ascii="Arial" w:cs="Arial" w:eastAsia="Arial" w:hAnsi="Arial"/>
                <w:sz w:val="18"/>
                <w:szCs w:val="18"/>
                <w:color w:val="auto"/>
                <w:w w:val="93"/>
              </w:rPr>
              <w:t>(64)</w:t>
            </w: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Affiliated Computer Services Strategic Support France EURL</w:t>
            </w:r>
          </w:p>
        </w:tc>
        <w:tc>
          <w:tcPr>
            <w:tcW w:w="1820" w:type="dxa"/>
            <w:vAlign w:val="bottom"/>
          </w:tcPr>
          <w:p>
            <w:pPr>
              <w:ind w:left="1180"/>
              <w:spacing w:after="0" w:line="202" w:lineRule="exact"/>
              <w:rPr>
                <w:sz w:val="20"/>
                <w:szCs w:val="20"/>
                <w:color w:val="auto"/>
              </w:rPr>
            </w:pPr>
            <w:r>
              <w:rPr>
                <w:rFonts w:ascii="Arial" w:cs="Arial" w:eastAsia="Arial" w:hAnsi="Arial"/>
                <w:sz w:val="18"/>
                <w:szCs w:val="18"/>
                <w:color w:val="auto"/>
              </w:rPr>
              <w:t>France</w:t>
            </w:r>
          </w:p>
        </w:tc>
        <w:tc>
          <w:tcPr>
            <w:tcW w:w="920" w:type="dxa"/>
            <w:vAlign w:val="bottom"/>
          </w:tcPr>
          <w:p>
            <w:pPr>
              <w:spacing w:after="0"/>
              <w:rPr>
                <w:sz w:val="17"/>
                <w:szCs w:val="17"/>
                <w:color w:val="auto"/>
              </w:rPr>
            </w:pP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Affiliated Computer Services Solutions France SAS</w:t>
            </w:r>
          </w:p>
        </w:tc>
        <w:tc>
          <w:tcPr>
            <w:tcW w:w="1820" w:type="dxa"/>
            <w:vAlign w:val="bottom"/>
          </w:tcPr>
          <w:p>
            <w:pPr>
              <w:ind w:left="1180"/>
              <w:spacing w:after="0" w:line="202" w:lineRule="exact"/>
              <w:rPr>
                <w:sz w:val="20"/>
                <w:szCs w:val="20"/>
                <w:color w:val="auto"/>
              </w:rPr>
            </w:pPr>
            <w:r>
              <w:rPr>
                <w:rFonts w:ascii="Arial" w:cs="Arial" w:eastAsia="Arial" w:hAnsi="Arial"/>
                <w:sz w:val="18"/>
                <w:szCs w:val="18"/>
                <w:color w:val="auto"/>
              </w:rPr>
              <w:t>France</w:t>
            </w:r>
          </w:p>
        </w:tc>
        <w:tc>
          <w:tcPr>
            <w:tcW w:w="920" w:type="dxa"/>
            <w:vAlign w:val="bottom"/>
          </w:tcPr>
          <w:p>
            <w:pPr>
              <w:spacing w:after="0"/>
              <w:rPr>
                <w:sz w:val="17"/>
                <w:szCs w:val="17"/>
                <w:color w:val="auto"/>
              </w:rPr>
            </w:pP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ACS Solutions Peru S.A.</w:t>
            </w:r>
          </w:p>
        </w:tc>
        <w:tc>
          <w:tcPr>
            <w:tcW w:w="274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Peru (65)</w:t>
            </w: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Xerobail SAS</w:t>
            </w:r>
          </w:p>
        </w:tc>
        <w:tc>
          <w:tcPr>
            <w:tcW w:w="1820" w:type="dxa"/>
            <w:vAlign w:val="bottom"/>
          </w:tcPr>
          <w:p>
            <w:pPr>
              <w:ind w:left="1180"/>
              <w:spacing w:after="0" w:line="202" w:lineRule="exact"/>
              <w:rPr>
                <w:sz w:val="20"/>
                <w:szCs w:val="20"/>
                <w:color w:val="auto"/>
              </w:rPr>
            </w:pPr>
            <w:r>
              <w:rPr>
                <w:rFonts w:ascii="Arial" w:cs="Arial" w:eastAsia="Arial" w:hAnsi="Arial"/>
                <w:sz w:val="18"/>
                <w:szCs w:val="18"/>
                <w:color w:val="auto"/>
              </w:rPr>
              <w:t>France</w:t>
            </w:r>
          </w:p>
        </w:tc>
        <w:tc>
          <w:tcPr>
            <w:tcW w:w="920" w:type="dxa"/>
            <w:vAlign w:val="bottom"/>
          </w:tcPr>
          <w:p>
            <w:pPr>
              <w:spacing w:after="0"/>
              <w:rPr>
                <w:sz w:val="17"/>
                <w:szCs w:val="17"/>
                <w:color w:val="auto"/>
              </w:rPr>
            </w:pP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Xerox Financial Services SAS</w:t>
            </w:r>
          </w:p>
        </w:tc>
        <w:tc>
          <w:tcPr>
            <w:tcW w:w="1820" w:type="dxa"/>
            <w:vAlign w:val="bottom"/>
          </w:tcPr>
          <w:p>
            <w:pPr>
              <w:ind w:left="1180"/>
              <w:spacing w:after="0" w:line="202" w:lineRule="exact"/>
              <w:rPr>
                <w:sz w:val="20"/>
                <w:szCs w:val="20"/>
                <w:color w:val="auto"/>
              </w:rPr>
            </w:pPr>
            <w:r>
              <w:rPr>
                <w:rFonts w:ascii="Arial" w:cs="Arial" w:eastAsia="Arial" w:hAnsi="Arial"/>
                <w:sz w:val="18"/>
                <w:szCs w:val="18"/>
                <w:color w:val="auto"/>
              </w:rPr>
              <w:t>France</w:t>
            </w:r>
          </w:p>
        </w:tc>
        <w:tc>
          <w:tcPr>
            <w:tcW w:w="920" w:type="dxa"/>
            <w:vAlign w:val="bottom"/>
          </w:tcPr>
          <w:p>
            <w:pPr>
              <w:jc w:val="right"/>
              <w:ind w:right="512"/>
              <w:spacing w:after="0" w:line="202" w:lineRule="exact"/>
              <w:rPr>
                <w:sz w:val="20"/>
                <w:szCs w:val="20"/>
                <w:color w:val="auto"/>
              </w:rPr>
            </w:pPr>
            <w:r>
              <w:rPr>
                <w:rFonts w:ascii="Arial" w:cs="Arial" w:eastAsia="Arial" w:hAnsi="Arial"/>
                <w:sz w:val="18"/>
                <w:szCs w:val="18"/>
                <w:color w:val="auto"/>
                <w:w w:val="93"/>
              </w:rPr>
              <w:t>(23)</w:t>
            </w: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Xerox Document Supplies SNC</w:t>
            </w:r>
          </w:p>
        </w:tc>
        <w:tc>
          <w:tcPr>
            <w:tcW w:w="274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France (24)</w:t>
            </w: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Xerox General Services SAS</w:t>
            </w:r>
          </w:p>
        </w:tc>
        <w:tc>
          <w:tcPr>
            <w:tcW w:w="1820" w:type="dxa"/>
            <w:vAlign w:val="bottom"/>
          </w:tcPr>
          <w:p>
            <w:pPr>
              <w:ind w:left="1180"/>
              <w:spacing w:after="0" w:line="202" w:lineRule="exact"/>
              <w:rPr>
                <w:sz w:val="20"/>
                <w:szCs w:val="20"/>
                <w:color w:val="auto"/>
              </w:rPr>
            </w:pPr>
            <w:r>
              <w:rPr>
                <w:rFonts w:ascii="Arial" w:cs="Arial" w:eastAsia="Arial" w:hAnsi="Arial"/>
                <w:sz w:val="18"/>
                <w:szCs w:val="18"/>
                <w:color w:val="auto"/>
              </w:rPr>
              <w:t>France</w:t>
            </w:r>
          </w:p>
        </w:tc>
        <w:tc>
          <w:tcPr>
            <w:tcW w:w="920" w:type="dxa"/>
            <w:vAlign w:val="bottom"/>
          </w:tcPr>
          <w:p>
            <w:pPr>
              <w:spacing w:after="0"/>
              <w:rPr>
                <w:sz w:val="17"/>
                <w:szCs w:val="17"/>
                <w:color w:val="auto"/>
              </w:rPr>
            </w:pP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Xerox XHB Limited</w:t>
            </w:r>
          </w:p>
        </w:tc>
        <w:tc>
          <w:tcPr>
            <w:tcW w:w="274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Bermuda (6)</w:t>
            </w: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Xerox XIB Limited</w:t>
            </w:r>
          </w:p>
        </w:tc>
        <w:tc>
          <w:tcPr>
            <w:tcW w:w="274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Bermuda (6)</w:t>
            </w: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XRO Limited</w:t>
            </w:r>
          </w:p>
        </w:tc>
        <w:tc>
          <w:tcPr>
            <w:tcW w:w="274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United Kingdom</w:t>
            </w: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Nemo (AKS) Limited</w:t>
            </w:r>
          </w:p>
        </w:tc>
        <w:tc>
          <w:tcPr>
            <w:tcW w:w="274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United Kingdom</w:t>
            </w: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XRI Limited</w:t>
            </w:r>
          </w:p>
        </w:tc>
        <w:tc>
          <w:tcPr>
            <w:tcW w:w="274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United Kingdom</w:t>
            </w: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RRXH Limited</w:t>
            </w:r>
          </w:p>
        </w:tc>
        <w:tc>
          <w:tcPr>
            <w:tcW w:w="274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United Kingdom</w:t>
            </w: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RRXO Limited</w:t>
            </w:r>
          </w:p>
        </w:tc>
        <w:tc>
          <w:tcPr>
            <w:tcW w:w="274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United Kingdom</w:t>
            </w: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RRXIL Limited</w:t>
            </w:r>
          </w:p>
        </w:tc>
        <w:tc>
          <w:tcPr>
            <w:tcW w:w="2740" w:type="dxa"/>
            <w:vAlign w:val="bottom"/>
            <w:gridSpan w:val="2"/>
          </w:tcPr>
          <w:p>
            <w:pPr>
              <w:ind w:left="1180"/>
              <w:spacing w:after="0" w:line="202" w:lineRule="exact"/>
              <w:rPr>
                <w:sz w:val="20"/>
                <w:szCs w:val="20"/>
                <w:color w:val="auto"/>
              </w:rPr>
            </w:pPr>
            <w:r>
              <w:rPr>
                <w:rFonts w:ascii="Arial" w:cs="Arial" w:eastAsia="Arial" w:hAnsi="Arial"/>
                <w:sz w:val="18"/>
                <w:szCs w:val="18"/>
                <w:color w:val="auto"/>
                <w:w w:val="99"/>
              </w:rPr>
              <w:t>United Kingdom (6)</w:t>
            </w: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Xerox Latinamerican Holdings, Inc.</w:t>
            </w:r>
          </w:p>
        </w:tc>
        <w:tc>
          <w:tcPr>
            <w:tcW w:w="274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Delaware</w:t>
            </w: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Xerox Mexicana, S.A. de C.V.</w:t>
            </w:r>
          </w:p>
        </w:tc>
        <w:tc>
          <w:tcPr>
            <w:tcW w:w="1820" w:type="dxa"/>
            <w:vAlign w:val="bottom"/>
          </w:tcPr>
          <w:p>
            <w:pPr>
              <w:ind w:left="1180"/>
              <w:spacing w:after="0" w:line="202" w:lineRule="exact"/>
              <w:rPr>
                <w:sz w:val="20"/>
                <w:szCs w:val="20"/>
                <w:color w:val="auto"/>
              </w:rPr>
            </w:pPr>
            <w:r>
              <w:rPr>
                <w:rFonts w:ascii="Arial" w:cs="Arial" w:eastAsia="Arial" w:hAnsi="Arial"/>
                <w:sz w:val="18"/>
                <w:szCs w:val="18"/>
                <w:color w:val="auto"/>
              </w:rPr>
              <w:t>Mexico</w:t>
            </w:r>
          </w:p>
        </w:tc>
        <w:tc>
          <w:tcPr>
            <w:tcW w:w="920" w:type="dxa"/>
            <w:vAlign w:val="bottom"/>
          </w:tcPr>
          <w:p>
            <w:pPr>
              <w:jc w:val="right"/>
              <w:ind w:right="512"/>
              <w:spacing w:after="0" w:line="202" w:lineRule="exact"/>
              <w:rPr>
                <w:sz w:val="20"/>
                <w:szCs w:val="20"/>
                <w:color w:val="auto"/>
              </w:rPr>
            </w:pPr>
            <w:r>
              <w:rPr>
                <w:rFonts w:ascii="Arial" w:cs="Arial" w:eastAsia="Arial" w:hAnsi="Arial"/>
                <w:sz w:val="18"/>
                <w:szCs w:val="18"/>
                <w:color w:val="auto"/>
                <w:w w:val="93"/>
              </w:rPr>
              <w:t>(28)</w:t>
            </w: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Xerox Mortgage Services, Inc.</w:t>
            </w:r>
          </w:p>
        </w:tc>
        <w:tc>
          <w:tcPr>
            <w:tcW w:w="274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Delaware</w:t>
            </w: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Xerox Overseas, Inc.</w:t>
            </w:r>
          </w:p>
        </w:tc>
        <w:tc>
          <w:tcPr>
            <w:tcW w:w="274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Delaware</w:t>
            </w: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XC Asia LLC</w:t>
            </w:r>
          </w:p>
        </w:tc>
        <w:tc>
          <w:tcPr>
            <w:tcW w:w="274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Delaware</w:t>
            </w: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Xerox Serviços e Participações Ltda</w:t>
            </w:r>
          </w:p>
        </w:tc>
        <w:tc>
          <w:tcPr>
            <w:tcW w:w="1820" w:type="dxa"/>
            <w:vAlign w:val="bottom"/>
          </w:tcPr>
          <w:p>
            <w:pPr>
              <w:ind w:left="1180"/>
              <w:spacing w:after="0" w:line="202" w:lineRule="exact"/>
              <w:rPr>
                <w:sz w:val="20"/>
                <w:szCs w:val="20"/>
                <w:color w:val="auto"/>
              </w:rPr>
            </w:pPr>
            <w:r>
              <w:rPr>
                <w:rFonts w:ascii="Arial" w:cs="Arial" w:eastAsia="Arial" w:hAnsi="Arial"/>
                <w:sz w:val="18"/>
                <w:szCs w:val="18"/>
                <w:color w:val="auto"/>
              </w:rPr>
              <w:t>Brazil</w:t>
            </w:r>
          </w:p>
        </w:tc>
        <w:tc>
          <w:tcPr>
            <w:tcW w:w="920" w:type="dxa"/>
            <w:vAlign w:val="bottom"/>
          </w:tcPr>
          <w:p>
            <w:pPr>
              <w:spacing w:after="0"/>
              <w:rPr>
                <w:sz w:val="17"/>
                <w:szCs w:val="17"/>
                <w:color w:val="auto"/>
              </w:rPr>
            </w:pP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Xerox Comercio e Industria Ltda</w:t>
            </w:r>
          </w:p>
        </w:tc>
        <w:tc>
          <w:tcPr>
            <w:tcW w:w="1820" w:type="dxa"/>
            <w:vAlign w:val="bottom"/>
          </w:tcPr>
          <w:p>
            <w:pPr>
              <w:ind w:left="1180"/>
              <w:spacing w:after="0" w:line="202" w:lineRule="exact"/>
              <w:rPr>
                <w:sz w:val="20"/>
                <w:szCs w:val="20"/>
                <w:color w:val="auto"/>
              </w:rPr>
            </w:pPr>
            <w:r>
              <w:rPr>
                <w:rFonts w:ascii="Arial" w:cs="Arial" w:eastAsia="Arial" w:hAnsi="Arial"/>
                <w:sz w:val="18"/>
                <w:szCs w:val="18"/>
                <w:color w:val="auto"/>
              </w:rPr>
              <w:t>Brazil</w:t>
            </w:r>
          </w:p>
        </w:tc>
        <w:tc>
          <w:tcPr>
            <w:tcW w:w="920" w:type="dxa"/>
            <w:vAlign w:val="bottom"/>
          </w:tcPr>
          <w:p>
            <w:pPr>
              <w:spacing w:after="0"/>
              <w:rPr>
                <w:sz w:val="17"/>
                <w:szCs w:val="17"/>
                <w:color w:val="auto"/>
              </w:rPr>
            </w:pP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Xerox del Peru, S.A.</w:t>
            </w:r>
          </w:p>
        </w:tc>
        <w:tc>
          <w:tcPr>
            <w:tcW w:w="274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Peru (30)</w:t>
            </w: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Xerox Realty Corporation</w:t>
            </w:r>
          </w:p>
        </w:tc>
        <w:tc>
          <w:tcPr>
            <w:tcW w:w="274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Delaware</w:t>
            </w: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Xerox Trinidad Limited</w:t>
            </w:r>
          </w:p>
        </w:tc>
        <w:tc>
          <w:tcPr>
            <w:tcW w:w="1820" w:type="dxa"/>
            <w:vAlign w:val="bottom"/>
          </w:tcPr>
          <w:p>
            <w:pPr>
              <w:ind w:left="1180"/>
              <w:spacing w:after="0" w:line="202" w:lineRule="exact"/>
              <w:rPr>
                <w:sz w:val="20"/>
                <w:szCs w:val="20"/>
                <w:color w:val="auto"/>
              </w:rPr>
            </w:pPr>
            <w:r>
              <w:rPr>
                <w:rFonts w:ascii="Arial" w:cs="Arial" w:eastAsia="Arial" w:hAnsi="Arial"/>
                <w:sz w:val="18"/>
                <w:szCs w:val="18"/>
                <w:color w:val="auto"/>
                <w:w w:val="95"/>
              </w:rPr>
              <w:t>Trinidad</w:t>
            </w:r>
          </w:p>
        </w:tc>
        <w:tc>
          <w:tcPr>
            <w:tcW w:w="920" w:type="dxa"/>
            <w:vAlign w:val="bottom"/>
          </w:tcPr>
          <w:p>
            <w:pPr>
              <w:spacing w:after="0"/>
              <w:rPr>
                <w:sz w:val="17"/>
                <w:szCs w:val="17"/>
                <w:color w:val="auto"/>
              </w:rPr>
            </w:pP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XESystems Foreign Sales Corporation</w:t>
            </w:r>
          </w:p>
        </w:tc>
        <w:tc>
          <w:tcPr>
            <w:tcW w:w="274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Barbados</w:t>
            </w: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XMPie Inc.</w:t>
            </w:r>
          </w:p>
        </w:tc>
        <w:tc>
          <w:tcPr>
            <w:tcW w:w="274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Delaware</w:t>
            </w: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Nuvisio Corporation</w:t>
            </w:r>
          </w:p>
        </w:tc>
        <w:tc>
          <w:tcPr>
            <w:tcW w:w="274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Delaware</w:t>
            </w: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Nuvisio, Ltd.</w:t>
            </w:r>
          </w:p>
        </w:tc>
        <w:tc>
          <w:tcPr>
            <w:tcW w:w="1820" w:type="dxa"/>
            <w:vAlign w:val="bottom"/>
          </w:tcPr>
          <w:p>
            <w:pPr>
              <w:ind w:left="1180"/>
              <w:spacing w:after="0" w:line="202" w:lineRule="exact"/>
              <w:rPr>
                <w:sz w:val="20"/>
                <w:szCs w:val="20"/>
                <w:color w:val="auto"/>
              </w:rPr>
            </w:pPr>
            <w:r>
              <w:rPr>
                <w:rFonts w:ascii="Arial" w:cs="Arial" w:eastAsia="Arial" w:hAnsi="Arial"/>
                <w:sz w:val="18"/>
                <w:szCs w:val="18"/>
                <w:color w:val="auto"/>
              </w:rPr>
              <w:t>Israel</w:t>
            </w:r>
          </w:p>
        </w:tc>
        <w:tc>
          <w:tcPr>
            <w:tcW w:w="920" w:type="dxa"/>
            <w:vAlign w:val="bottom"/>
          </w:tcPr>
          <w:p>
            <w:pPr>
              <w:spacing w:after="0"/>
              <w:rPr>
                <w:sz w:val="17"/>
                <w:szCs w:val="17"/>
                <w:color w:val="auto"/>
              </w:rPr>
            </w:pPr>
          </w:p>
        </w:tc>
      </w:tr>
      <w:tr>
        <w:trPr>
          <w:trHeight w:val="211"/>
        </w:trPr>
        <w:tc>
          <w:tcPr>
            <w:tcW w:w="6000" w:type="dxa"/>
            <w:vAlign w:val="bottom"/>
          </w:tcPr>
          <w:p>
            <w:pPr>
              <w:spacing w:after="0"/>
              <w:rPr>
                <w:sz w:val="20"/>
                <w:szCs w:val="20"/>
                <w:color w:val="auto"/>
              </w:rPr>
            </w:pPr>
            <w:r>
              <w:rPr>
                <w:rFonts w:ascii="Arial" w:cs="Arial" w:eastAsia="Arial" w:hAnsi="Arial"/>
                <w:sz w:val="18"/>
                <w:szCs w:val="18"/>
                <w:color w:val="auto"/>
              </w:rPr>
              <w:t>XMPie, Ltd.</w:t>
            </w:r>
          </w:p>
        </w:tc>
        <w:tc>
          <w:tcPr>
            <w:tcW w:w="1820" w:type="dxa"/>
            <w:vAlign w:val="bottom"/>
          </w:tcPr>
          <w:p>
            <w:pPr>
              <w:ind w:left="1180"/>
              <w:spacing w:after="0"/>
              <w:rPr>
                <w:sz w:val="20"/>
                <w:szCs w:val="20"/>
                <w:color w:val="auto"/>
              </w:rPr>
            </w:pPr>
            <w:r>
              <w:rPr>
                <w:rFonts w:ascii="Arial" w:cs="Arial" w:eastAsia="Arial" w:hAnsi="Arial"/>
                <w:sz w:val="18"/>
                <w:szCs w:val="18"/>
                <w:color w:val="auto"/>
              </w:rPr>
              <w:t>Israel</w:t>
            </w:r>
          </w:p>
        </w:tc>
        <w:tc>
          <w:tcPr>
            <w:tcW w:w="920" w:type="dxa"/>
            <w:vAlign w:val="bottom"/>
          </w:tcPr>
          <w:p>
            <w:pPr>
              <w:spacing w:after="0"/>
              <w:rPr>
                <w:sz w:val="18"/>
                <w:szCs w:val="18"/>
                <w:color w:val="auto"/>
              </w:rPr>
            </w:pPr>
          </w:p>
        </w:tc>
      </w:tr>
    </w:tbl>
    <w:p>
      <w:pPr>
        <w:spacing w:after="0" w:line="1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566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219"/>
          </w:cols>
          <w:pgMar w:left="240" w:top="287" w:right="1440" w:bottom="1440" w:gutter="0" w:footer="0" w:header="0"/>
        </w:sectPr>
      </w:pPr>
    </w:p>
    <w:bookmarkStart w:id="191" w:name="page192"/>
    <w:bookmarkEnd w:id="191"/>
    <w:p>
      <w:pPr>
        <w:ind w:left="452" w:right="240" w:hanging="452"/>
        <w:spacing w:after="0" w:line="221" w:lineRule="auto"/>
        <w:tabs>
          <w:tab w:leader="none" w:pos="452" w:val="left"/>
        </w:tabs>
        <w:numPr>
          <w:ilvl w:val="0"/>
          <w:numId w:val="179"/>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Xerox Corporation owns 90% of the shares of Xerox Argentina; the remaining 10% is owned by Pacific Services and Development Corporation, a wholly-owned subsidiary of Xerox Corporation.</w:t>
      </w:r>
    </w:p>
    <w:p>
      <w:pPr>
        <w:ind w:left="452" w:hanging="452"/>
        <w:spacing w:after="0" w:line="221" w:lineRule="auto"/>
        <w:tabs>
          <w:tab w:leader="none" w:pos="452" w:val="left"/>
        </w:tabs>
        <w:numPr>
          <w:ilvl w:val="0"/>
          <w:numId w:val="179"/>
        </w:numPr>
        <w:rPr>
          <w:rFonts w:ascii="Arial" w:cs="Arial" w:eastAsia="Arial" w:hAnsi="Arial"/>
          <w:sz w:val="14"/>
          <w:szCs w:val="14"/>
          <w:color w:val="auto"/>
        </w:rPr>
      </w:pPr>
      <w:r>
        <w:rPr>
          <w:rFonts w:ascii="Arial" w:cs="Arial" w:eastAsia="Arial" w:hAnsi="Arial"/>
          <w:sz w:val="14"/>
          <w:szCs w:val="14"/>
          <w:color w:val="auto"/>
        </w:rPr>
        <w:t>Owned 99.9% by XMEIBL and .1% by several individuals.</w:t>
      </w:r>
    </w:p>
    <w:p>
      <w:pPr>
        <w:ind w:left="452" w:hanging="452"/>
        <w:spacing w:after="0" w:line="221" w:lineRule="auto"/>
        <w:tabs>
          <w:tab w:leader="none" w:pos="452" w:val="left"/>
        </w:tabs>
        <w:numPr>
          <w:ilvl w:val="0"/>
          <w:numId w:val="179"/>
        </w:numPr>
        <w:rPr>
          <w:rFonts w:ascii="Arial" w:cs="Arial" w:eastAsia="Arial" w:hAnsi="Arial"/>
          <w:sz w:val="14"/>
          <w:szCs w:val="14"/>
          <w:color w:val="auto"/>
        </w:rPr>
      </w:pPr>
      <w:r>
        <w:rPr>
          <w:rFonts w:ascii="Arial" w:cs="Arial" w:eastAsia="Arial" w:hAnsi="Arial"/>
          <w:sz w:val="14"/>
          <w:szCs w:val="14"/>
          <w:color w:val="auto"/>
        </w:rPr>
        <w:t>[Reserved]</w:t>
      </w:r>
    </w:p>
    <w:p>
      <w:pPr>
        <w:ind w:left="452" w:hanging="452"/>
        <w:spacing w:after="0" w:line="221" w:lineRule="auto"/>
        <w:tabs>
          <w:tab w:leader="none" w:pos="452" w:val="left"/>
        </w:tabs>
        <w:numPr>
          <w:ilvl w:val="0"/>
          <w:numId w:val="179"/>
        </w:numPr>
        <w:rPr>
          <w:rFonts w:ascii="Arial" w:cs="Arial" w:eastAsia="Arial" w:hAnsi="Arial"/>
          <w:sz w:val="14"/>
          <w:szCs w:val="14"/>
          <w:color w:val="auto"/>
        </w:rPr>
      </w:pPr>
      <w:r>
        <w:rPr>
          <w:rFonts w:ascii="Arial" w:cs="Arial" w:eastAsia="Arial" w:hAnsi="Arial"/>
          <w:sz w:val="14"/>
          <w:szCs w:val="14"/>
          <w:color w:val="auto"/>
        </w:rPr>
        <w:t>Owned 65% by Xerox Canada Inc. and 35% by Xerox Canada Finance Inc.</w:t>
      </w:r>
    </w:p>
    <w:p>
      <w:pPr>
        <w:ind w:left="452" w:hanging="452"/>
        <w:spacing w:after="0" w:line="221" w:lineRule="auto"/>
        <w:tabs>
          <w:tab w:leader="none" w:pos="452" w:val="left"/>
        </w:tabs>
        <w:numPr>
          <w:ilvl w:val="0"/>
          <w:numId w:val="179"/>
        </w:numPr>
        <w:rPr>
          <w:rFonts w:ascii="Arial" w:cs="Arial" w:eastAsia="Arial" w:hAnsi="Arial"/>
          <w:sz w:val="14"/>
          <w:szCs w:val="14"/>
          <w:color w:val="auto"/>
        </w:rPr>
      </w:pPr>
      <w:r>
        <w:rPr>
          <w:rFonts w:ascii="Arial" w:cs="Arial" w:eastAsia="Arial" w:hAnsi="Arial"/>
          <w:sz w:val="14"/>
          <w:szCs w:val="14"/>
          <w:color w:val="auto"/>
        </w:rPr>
        <w:t>[Reserved]</w:t>
      </w:r>
    </w:p>
    <w:p>
      <w:pPr>
        <w:ind w:left="452" w:hanging="452"/>
        <w:spacing w:after="0" w:line="221" w:lineRule="auto"/>
        <w:tabs>
          <w:tab w:leader="none" w:pos="452" w:val="left"/>
        </w:tabs>
        <w:numPr>
          <w:ilvl w:val="0"/>
          <w:numId w:val="179"/>
        </w:numPr>
        <w:rPr>
          <w:rFonts w:ascii="Arial" w:cs="Arial" w:eastAsia="Arial" w:hAnsi="Arial"/>
          <w:sz w:val="14"/>
          <w:szCs w:val="14"/>
          <w:color w:val="auto"/>
        </w:rPr>
      </w:pPr>
      <w:r>
        <w:rPr>
          <w:rFonts w:ascii="Arial" w:cs="Arial" w:eastAsia="Arial" w:hAnsi="Arial"/>
          <w:sz w:val="14"/>
          <w:szCs w:val="14"/>
          <w:color w:val="auto"/>
        </w:rPr>
        <w:t>Includes indirect holdings.</w:t>
      </w:r>
    </w:p>
    <w:p>
      <w:pPr>
        <w:ind w:left="452" w:hanging="452"/>
        <w:spacing w:after="0" w:line="221" w:lineRule="auto"/>
        <w:tabs>
          <w:tab w:leader="none" w:pos="452" w:val="left"/>
        </w:tabs>
        <w:numPr>
          <w:ilvl w:val="0"/>
          <w:numId w:val="179"/>
        </w:numPr>
        <w:rPr>
          <w:rFonts w:ascii="Arial" w:cs="Arial" w:eastAsia="Arial" w:hAnsi="Arial"/>
          <w:sz w:val="14"/>
          <w:szCs w:val="14"/>
          <w:color w:val="auto"/>
        </w:rPr>
      </w:pPr>
      <w:r>
        <w:rPr>
          <w:rFonts w:ascii="Arial" w:cs="Arial" w:eastAsia="Arial" w:hAnsi="Arial"/>
          <w:sz w:val="14"/>
          <w:szCs w:val="14"/>
          <w:color w:val="auto"/>
        </w:rPr>
        <w:t>[Reserved]</w:t>
      </w:r>
    </w:p>
    <w:p>
      <w:pPr>
        <w:ind w:left="452" w:hanging="452"/>
        <w:spacing w:after="0" w:line="221" w:lineRule="auto"/>
        <w:tabs>
          <w:tab w:leader="none" w:pos="452" w:val="left"/>
        </w:tabs>
        <w:numPr>
          <w:ilvl w:val="0"/>
          <w:numId w:val="179"/>
        </w:numPr>
        <w:rPr>
          <w:rFonts w:ascii="Arial" w:cs="Arial" w:eastAsia="Arial" w:hAnsi="Arial"/>
          <w:sz w:val="14"/>
          <w:szCs w:val="14"/>
          <w:color w:val="auto"/>
        </w:rPr>
      </w:pPr>
      <w:r>
        <w:rPr>
          <w:rFonts w:ascii="Arial" w:cs="Arial" w:eastAsia="Arial" w:hAnsi="Arial"/>
          <w:sz w:val="14"/>
          <w:szCs w:val="14"/>
          <w:color w:val="auto"/>
        </w:rPr>
        <w:t>Xerox Corporation indirectly owns 89.3% and 10.7% is privately held.</w:t>
      </w:r>
    </w:p>
    <w:p>
      <w:pPr>
        <w:ind w:left="452" w:hanging="452"/>
        <w:spacing w:after="0" w:line="221" w:lineRule="auto"/>
        <w:tabs>
          <w:tab w:leader="none" w:pos="452" w:val="left"/>
        </w:tabs>
        <w:numPr>
          <w:ilvl w:val="0"/>
          <w:numId w:val="179"/>
        </w:numPr>
        <w:rPr>
          <w:rFonts w:ascii="Arial" w:cs="Arial" w:eastAsia="Arial" w:hAnsi="Arial"/>
          <w:sz w:val="14"/>
          <w:szCs w:val="14"/>
          <w:color w:val="auto"/>
        </w:rPr>
      </w:pPr>
      <w:r>
        <w:rPr>
          <w:rFonts w:ascii="Arial" w:cs="Arial" w:eastAsia="Arial" w:hAnsi="Arial"/>
          <w:sz w:val="14"/>
          <w:szCs w:val="14"/>
          <w:color w:val="auto"/>
        </w:rPr>
        <w:t>Owned 99.9% by Xerox Corporation and .1% by Pacific Services and Development Corporation, a wholly-owned subsidiary of Xerox Corporation.</w:t>
      </w:r>
    </w:p>
    <w:p>
      <w:pPr>
        <w:ind w:left="452" w:hanging="452"/>
        <w:spacing w:after="0" w:line="221" w:lineRule="auto"/>
        <w:tabs>
          <w:tab w:leader="none" w:pos="452" w:val="left"/>
        </w:tabs>
        <w:numPr>
          <w:ilvl w:val="0"/>
          <w:numId w:val="179"/>
        </w:numPr>
        <w:rPr>
          <w:rFonts w:ascii="Arial" w:cs="Arial" w:eastAsia="Arial" w:hAnsi="Arial"/>
          <w:sz w:val="14"/>
          <w:szCs w:val="14"/>
          <w:color w:val="auto"/>
        </w:rPr>
      </w:pPr>
      <w:r>
        <w:rPr>
          <w:rFonts w:ascii="Arial" w:cs="Arial" w:eastAsia="Arial" w:hAnsi="Arial"/>
          <w:sz w:val="14"/>
          <w:szCs w:val="14"/>
          <w:color w:val="auto"/>
        </w:rPr>
        <w:t>Xerox International Partners is a California general partnership between FX Global, Inc. (49%) and Xerox International Joint Marketing, Inc. (51%).</w:t>
      </w:r>
    </w:p>
    <w:p>
      <w:pPr>
        <w:ind w:left="452" w:hanging="452"/>
        <w:spacing w:after="0" w:line="221" w:lineRule="auto"/>
        <w:tabs>
          <w:tab w:leader="none" w:pos="452" w:val="left"/>
        </w:tabs>
        <w:numPr>
          <w:ilvl w:val="0"/>
          <w:numId w:val="179"/>
        </w:numPr>
        <w:rPr>
          <w:rFonts w:ascii="Arial" w:cs="Arial" w:eastAsia="Arial" w:hAnsi="Arial"/>
          <w:sz w:val="14"/>
          <w:szCs w:val="14"/>
          <w:color w:val="auto"/>
        </w:rPr>
      </w:pPr>
      <w:r>
        <w:rPr>
          <w:rFonts w:ascii="Arial" w:cs="Arial" w:eastAsia="Arial" w:hAnsi="Arial"/>
          <w:sz w:val="14"/>
          <w:szCs w:val="14"/>
          <w:color w:val="auto"/>
        </w:rPr>
        <w:t>Xerox Capital Trust I is a Delaware statutory business trust which is 100% beneficially owned by Xerox Corporation. The Trust is a special purpose financing vehicle.</w:t>
      </w:r>
    </w:p>
    <w:p>
      <w:pPr>
        <w:ind w:left="452" w:hanging="452"/>
        <w:spacing w:after="0" w:line="221" w:lineRule="auto"/>
        <w:tabs>
          <w:tab w:leader="none" w:pos="452" w:val="left"/>
        </w:tabs>
        <w:numPr>
          <w:ilvl w:val="0"/>
          <w:numId w:val="179"/>
        </w:numPr>
        <w:rPr>
          <w:rFonts w:ascii="Arial" w:cs="Arial" w:eastAsia="Arial" w:hAnsi="Arial"/>
          <w:sz w:val="14"/>
          <w:szCs w:val="14"/>
          <w:color w:val="auto"/>
        </w:rPr>
      </w:pPr>
      <w:r>
        <w:rPr>
          <w:rFonts w:ascii="Arial" w:cs="Arial" w:eastAsia="Arial" w:hAnsi="Arial"/>
          <w:sz w:val="14"/>
          <w:szCs w:val="14"/>
          <w:color w:val="auto"/>
        </w:rPr>
        <w:t>[Reserved]</w:t>
      </w:r>
    </w:p>
    <w:p>
      <w:pPr>
        <w:ind w:left="452" w:hanging="452"/>
        <w:spacing w:after="0" w:line="221" w:lineRule="auto"/>
        <w:tabs>
          <w:tab w:leader="none" w:pos="452" w:val="left"/>
        </w:tabs>
        <w:numPr>
          <w:ilvl w:val="0"/>
          <w:numId w:val="179"/>
        </w:numPr>
        <w:rPr>
          <w:rFonts w:ascii="Arial" w:cs="Arial" w:eastAsia="Arial" w:hAnsi="Arial"/>
          <w:sz w:val="14"/>
          <w:szCs w:val="14"/>
          <w:color w:val="auto"/>
        </w:rPr>
      </w:pPr>
      <w:r>
        <w:rPr>
          <w:rFonts w:ascii="Arial" w:cs="Arial" w:eastAsia="Arial" w:hAnsi="Arial"/>
          <w:sz w:val="14"/>
          <w:szCs w:val="14"/>
          <w:color w:val="auto"/>
        </w:rPr>
        <w:t>[Reserved]</w:t>
      </w:r>
    </w:p>
    <w:p>
      <w:pPr>
        <w:ind w:left="452" w:hanging="452"/>
        <w:spacing w:after="0" w:line="221" w:lineRule="auto"/>
        <w:tabs>
          <w:tab w:leader="none" w:pos="452" w:val="left"/>
        </w:tabs>
        <w:numPr>
          <w:ilvl w:val="0"/>
          <w:numId w:val="179"/>
        </w:numPr>
        <w:rPr>
          <w:rFonts w:ascii="Arial" w:cs="Arial" w:eastAsia="Arial" w:hAnsi="Arial"/>
          <w:sz w:val="14"/>
          <w:szCs w:val="14"/>
          <w:color w:val="auto"/>
        </w:rPr>
      </w:pPr>
      <w:r>
        <w:rPr>
          <w:rFonts w:ascii="Arial" w:cs="Arial" w:eastAsia="Arial" w:hAnsi="Arial"/>
          <w:sz w:val="14"/>
          <w:szCs w:val="14"/>
          <w:color w:val="auto"/>
        </w:rPr>
        <w:t>Owned 88.27% by Xerox Canada Inc. and 11.73% by Xerox Corporation.</w:t>
      </w:r>
    </w:p>
    <w:p>
      <w:pPr>
        <w:ind w:left="452" w:right="120" w:hanging="452"/>
        <w:spacing w:after="0" w:line="221" w:lineRule="auto"/>
        <w:tabs>
          <w:tab w:leader="none" w:pos="452" w:val="left"/>
        </w:tabs>
        <w:numPr>
          <w:ilvl w:val="0"/>
          <w:numId w:val="179"/>
        </w:numPr>
        <w:rPr>
          <w:rFonts w:ascii="Arial" w:cs="Arial" w:eastAsia="Arial" w:hAnsi="Arial"/>
          <w:sz w:val="14"/>
          <w:szCs w:val="14"/>
          <w:color w:val="auto"/>
        </w:rPr>
      </w:pPr>
      <w:r>
        <w:rPr>
          <w:rFonts w:ascii="Arial" w:cs="Arial" w:eastAsia="Arial" w:hAnsi="Arial"/>
          <w:sz w:val="14"/>
          <w:szCs w:val="14"/>
          <w:color w:val="auto"/>
        </w:rPr>
        <w:t>This is a not-for-profit corporation which will act as a research and development consortium of businesses and universities. The initial members are Xerox, Corning, Kodak, University of Rochester, RIT and Cornell.</w:t>
      </w:r>
    </w:p>
    <w:p>
      <w:pPr>
        <w:ind w:left="452" w:hanging="452"/>
        <w:spacing w:after="0" w:line="221" w:lineRule="auto"/>
        <w:tabs>
          <w:tab w:leader="none" w:pos="452" w:val="left"/>
        </w:tabs>
        <w:numPr>
          <w:ilvl w:val="0"/>
          <w:numId w:val="179"/>
        </w:numPr>
        <w:rPr>
          <w:rFonts w:ascii="Arial" w:cs="Arial" w:eastAsia="Arial" w:hAnsi="Arial"/>
          <w:sz w:val="14"/>
          <w:szCs w:val="14"/>
          <w:color w:val="auto"/>
        </w:rPr>
      </w:pPr>
      <w:r>
        <w:rPr>
          <w:rFonts w:ascii="Arial" w:cs="Arial" w:eastAsia="Arial" w:hAnsi="Arial"/>
          <w:sz w:val="14"/>
          <w:szCs w:val="14"/>
          <w:color w:val="auto"/>
        </w:rPr>
        <w:t>Xerox Canada Leasing Partnership is an Ontario general partnership between Xerox Canada Inc. (99%) and Xerox Canada Finance Inc. (1%).</w:t>
      </w:r>
    </w:p>
    <w:p>
      <w:pPr>
        <w:ind w:left="452" w:hanging="452"/>
        <w:spacing w:after="0" w:line="221" w:lineRule="auto"/>
        <w:tabs>
          <w:tab w:leader="none" w:pos="452" w:val="left"/>
        </w:tabs>
        <w:numPr>
          <w:ilvl w:val="0"/>
          <w:numId w:val="179"/>
        </w:numPr>
        <w:rPr>
          <w:rFonts w:ascii="Arial" w:cs="Arial" w:eastAsia="Arial" w:hAnsi="Arial"/>
          <w:sz w:val="14"/>
          <w:szCs w:val="14"/>
          <w:color w:val="auto"/>
        </w:rPr>
      </w:pPr>
      <w:r>
        <w:rPr>
          <w:rFonts w:ascii="Arial" w:cs="Arial" w:eastAsia="Arial" w:hAnsi="Arial"/>
          <w:sz w:val="14"/>
          <w:szCs w:val="14"/>
          <w:color w:val="auto"/>
        </w:rPr>
        <w:t>[Reserved]</w:t>
      </w:r>
    </w:p>
    <w:p>
      <w:pPr>
        <w:ind w:left="452" w:hanging="452"/>
        <w:spacing w:after="0" w:line="221" w:lineRule="auto"/>
        <w:tabs>
          <w:tab w:leader="none" w:pos="452" w:val="left"/>
        </w:tabs>
        <w:numPr>
          <w:ilvl w:val="0"/>
          <w:numId w:val="179"/>
        </w:numPr>
        <w:rPr>
          <w:rFonts w:ascii="Arial" w:cs="Arial" w:eastAsia="Arial" w:hAnsi="Arial"/>
          <w:sz w:val="14"/>
          <w:szCs w:val="14"/>
          <w:color w:val="auto"/>
        </w:rPr>
      </w:pPr>
      <w:r>
        <w:rPr>
          <w:rFonts w:ascii="Arial" w:cs="Arial" w:eastAsia="Arial" w:hAnsi="Arial"/>
          <w:sz w:val="14"/>
          <w:szCs w:val="14"/>
          <w:color w:val="auto"/>
        </w:rPr>
        <w:t>Owned 66.995% by Xerox Canada Ltd. and 33.005% by Xerox Canada Inc. It was formerly known as Delphax Systems Partnership but changed to Ionographic Operations Partnership on 2/12/02. This name was registered under the Business Names Act in Ontario on 2/13/02.</w:t>
      </w:r>
    </w:p>
    <w:p>
      <w:pPr>
        <w:ind w:left="452" w:hanging="452"/>
        <w:spacing w:after="0" w:line="221" w:lineRule="auto"/>
        <w:tabs>
          <w:tab w:leader="none" w:pos="452" w:val="left"/>
        </w:tabs>
        <w:numPr>
          <w:ilvl w:val="0"/>
          <w:numId w:val="179"/>
        </w:numPr>
        <w:rPr>
          <w:rFonts w:ascii="Arial" w:cs="Arial" w:eastAsia="Arial" w:hAnsi="Arial"/>
          <w:sz w:val="14"/>
          <w:szCs w:val="14"/>
          <w:color w:val="auto"/>
        </w:rPr>
      </w:pPr>
      <w:r>
        <w:rPr>
          <w:rFonts w:ascii="Arial" w:cs="Arial" w:eastAsia="Arial" w:hAnsi="Arial"/>
          <w:sz w:val="14"/>
          <w:szCs w:val="14"/>
          <w:color w:val="auto"/>
        </w:rPr>
        <w:t>[Reserved]</w:t>
      </w:r>
    </w:p>
    <w:p>
      <w:pPr>
        <w:ind w:left="452" w:hanging="452"/>
        <w:spacing w:after="0" w:line="221" w:lineRule="auto"/>
        <w:tabs>
          <w:tab w:leader="none" w:pos="452" w:val="left"/>
        </w:tabs>
        <w:numPr>
          <w:ilvl w:val="0"/>
          <w:numId w:val="179"/>
        </w:numPr>
        <w:rPr>
          <w:rFonts w:ascii="Arial" w:cs="Arial" w:eastAsia="Arial" w:hAnsi="Arial"/>
          <w:sz w:val="14"/>
          <w:szCs w:val="14"/>
          <w:color w:val="auto"/>
        </w:rPr>
      </w:pPr>
      <w:r>
        <w:rPr>
          <w:rFonts w:ascii="Arial" w:cs="Arial" w:eastAsia="Arial" w:hAnsi="Arial"/>
          <w:sz w:val="14"/>
          <w:szCs w:val="14"/>
          <w:color w:val="auto"/>
        </w:rPr>
        <w:t>Xerox Europe Finance Limited Partnership is owned 99.9% by Xerox Export LLC and .1% by Xerox Corporation.</w:t>
      </w:r>
    </w:p>
    <w:p>
      <w:pPr>
        <w:ind w:left="452" w:hanging="452"/>
        <w:spacing w:after="0" w:line="221" w:lineRule="auto"/>
        <w:tabs>
          <w:tab w:leader="none" w:pos="452" w:val="left"/>
        </w:tabs>
        <w:numPr>
          <w:ilvl w:val="0"/>
          <w:numId w:val="179"/>
        </w:numPr>
        <w:rPr>
          <w:rFonts w:ascii="Arial" w:cs="Arial" w:eastAsia="Arial" w:hAnsi="Arial"/>
          <w:sz w:val="14"/>
          <w:szCs w:val="14"/>
          <w:color w:val="auto"/>
        </w:rPr>
      </w:pPr>
      <w:r>
        <w:rPr>
          <w:rFonts w:ascii="Arial" w:cs="Arial" w:eastAsia="Arial" w:hAnsi="Arial"/>
          <w:sz w:val="14"/>
          <w:szCs w:val="14"/>
          <w:color w:val="auto"/>
        </w:rPr>
        <w:t>Owned 74% by Xerox Limited and 26% by Xerox Property Services Limited.</w:t>
      </w:r>
    </w:p>
    <w:p>
      <w:pPr>
        <w:ind w:left="452" w:hanging="452"/>
        <w:spacing w:after="0" w:line="221" w:lineRule="auto"/>
        <w:tabs>
          <w:tab w:leader="none" w:pos="452" w:val="left"/>
        </w:tabs>
        <w:numPr>
          <w:ilvl w:val="0"/>
          <w:numId w:val="179"/>
        </w:numPr>
        <w:rPr>
          <w:rFonts w:ascii="Arial" w:cs="Arial" w:eastAsia="Arial" w:hAnsi="Arial"/>
          <w:sz w:val="14"/>
          <w:szCs w:val="14"/>
          <w:color w:val="auto"/>
        </w:rPr>
      </w:pPr>
      <w:r>
        <w:rPr>
          <w:rFonts w:ascii="Arial" w:cs="Arial" w:eastAsia="Arial" w:hAnsi="Arial"/>
          <w:sz w:val="14"/>
          <w:szCs w:val="14"/>
          <w:color w:val="auto"/>
        </w:rPr>
        <w:t>Remaining shares transferred in Xerox SAS to Xerox Overseas Holding Limited after share capital reduction exercise.</w:t>
      </w:r>
    </w:p>
    <w:p>
      <w:pPr>
        <w:ind w:left="452" w:hanging="452"/>
        <w:spacing w:after="0" w:line="221" w:lineRule="auto"/>
        <w:tabs>
          <w:tab w:leader="none" w:pos="452" w:val="left"/>
        </w:tabs>
        <w:numPr>
          <w:ilvl w:val="0"/>
          <w:numId w:val="179"/>
        </w:numPr>
        <w:rPr>
          <w:rFonts w:ascii="Arial" w:cs="Arial" w:eastAsia="Arial" w:hAnsi="Arial"/>
          <w:sz w:val="14"/>
          <w:szCs w:val="14"/>
          <w:color w:val="auto"/>
        </w:rPr>
      </w:pPr>
      <w:r>
        <w:rPr>
          <w:rFonts w:ascii="Arial" w:cs="Arial" w:eastAsia="Arial" w:hAnsi="Arial"/>
          <w:sz w:val="14"/>
          <w:szCs w:val="14"/>
          <w:color w:val="auto"/>
        </w:rPr>
        <w:t>Owned 87.5% by Xerobail SAS and 12.5% by Xerox SAS.</w:t>
      </w:r>
    </w:p>
    <w:p>
      <w:pPr>
        <w:ind w:left="452" w:hanging="452"/>
        <w:spacing w:after="0" w:line="221" w:lineRule="auto"/>
        <w:tabs>
          <w:tab w:leader="none" w:pos="452" w:val="left"/>
        </w:tabs>
        <w:numPr>
          <w:ilvl w:val="0"/>
          <w:numId w:val="179"/>
        </w:numPr>
        <w:rPr>
          <w:rFonts w:ascii="Arial" w:cs="Arial" w:eastAsia="Arial" w:hAnsi="Arial"/>
          <w:sz w:val="14"/>
          <w:szCs w:val="14"/>
          <w:color w:val="auto"/>
        </w:rPr>
      </w:pPr>
      <w:r>
        <w:rPr>
          <w:rFonts w:ascii="Arial" w:cs="Arial" w:eastAsia="Arial" w:hAnsi="Arial"/>
          <w:sz w:val="14"/>
          <w:szCs w:val="14"/>
          <w:color w:val="auto"/>
        </w:rPr>
        <w:t>Owned 99.99% by XEROX S.A.S. and .01% by Xerobail SAS.</w:t>
      </w:r>
    </w:p>
    <w:p>
      <w:pPr>
        <w:ind w:left="452" w:hanging="452"/>
        <w:spacing w:after="0" w:line="221" w:lineRule="auto"/>
        <w:tabs>
          <w:tab w:leader="none" w:pos="452" w:val="left"/>
        </w:tabs>
        <w:numPr>
          <w:ilvl w:val="0"/>
          <w:numId w:val="179"/>
        </w:numPr>
        <w:rPr>
          <w:rFonts w:ascii="Arial" w:cs="Arial" w:eastAsia="Arial" w:hAnsi="Arial"/>
          <w:sz w:val="14"/>
          <w:szCs w:val="14"/>
          <w:color w:val="auto"/>
        </w:rPr>
      </w:pPr>
      <w:r>
        <w:rPr>
          <w:rFonts w:ascii="Arial" w:cs="Arial" w:eastAsia="Arial" w:hAnsi="Arial"/>
          <w:sz w:val="14"/>
          <w:szCs w:val="14"/>
          <w:color w:val="auto"/>
        </w:rPr>
        <w:t>[Reserved]</w:t>
      </w:r>
    </w:p>
    <w:p>
      <w:pPr>
        <w:ind w:left="452" w:hanging="452"/>
        <w:spacing w:after="0" w:line="221" w:lineRule="auto"/>
        <w:tabs>
          <w:tab w:leader="none" w:pos="452" w:val="left"/>
        </w:tabs>
        <w:numPr>
          <w:ilvl w:val="0"/>
          <w:numId w:val="179"/>
        </w:numPr>
        <w:rPr>
          <w:rFonts w:ascii="Arial" w:cs="Arial" w:eastAsia="Arial" w:hAnsi="Arial"/>
          <w:sz w:val="14"/>
          <w:szCs w:val="14"/>
          <w:color w:val="auto"/>
        </w:rPr>
      </w:pPr>
      <w:r>
        <w:rPr>
          <w:rFonts w:ascii="Arial" w:cs="Arial" w:eastAsia="Arial" w:hAnsi="Arial"/>
          <w:sz w:val="14"/>
          <w:szCs w:val="14"/>
          <w:color w:val="auto"/>
        </w:rPr>
        <w:t>[Reserved]</w:t>
      </w:r>
    </w:p>
    <w:p>
      <w:pPr>
        <w:ind w:left="452" w:hanging="452"/>
        <w:spacing w:after="0" w:line="221" w:lineRule="auto"/>
        <w:tabs>
          <w:tab w:leader="none" w:pos="452" w:val="left"/>
        </w:tabs>
        <w:numPr>
          <w:ilvl w:val="0"/>
          <w:numId w:val="179"/>
        </w:numPr>
        <w:rPr>
          <w:rFonts w:ascii="Arial" w:cs="Arial" w:eastAsia="Arial" w:hAnsi="Arial"/>
          <w:sz w:val="14"/>
          <w:szCs w:val="14"/>
          <w:color w:val="auto"/>
        </w:rPr>
      </w:pPr>
      <w:r>
        <w:rPr>
          <w:rFonts w:ascii="Arial" w:cs="Arial" w:eastAsia="Arial" w:hAnsi="Arial"/>
          <w:sz w:val="14"/>
          <w:szCs w:val="14"/>
          <w:color w:val="auto"/>
        </w:rPr>
        <w:t>Owned 99% by NV Xerox SA and 1% by Xerox Financial Services Belux NV.</w:t>
      </w:r>
    </w:p>
    <w:p>
      <w:pPr>
        <w:ind w:left="452" w:hanging="452"/>
        <w:spacing w:after="0" w:line="221" w:lineRule="auto"/>
        <w:tabs>
          <w:tab w:leader="none" w:pos="452" w:val="left"/>
        </w:tabs>
        <w:numPr>
          <w:ilvl w:val="0"/>
          <w:numId w:val="179"/>
        </w:numPr>
        <w:rPr>
          <w:rFonts w:ascii="Arial" w:cs="Arial" w:eastAsia="Arial" w:hAnsi="Arial"/>
          <w:sz w:val="14"/>
          <w:szCs w:val="14"/>
          <w:color w:val="auto"/>
        </w:rPr>
      </w:pPr>
      <w:r>
        <w:rPr>
          <w:rFonts w:ascii="Arial" w:cs="Arial" w:eastAsia="Arial" w:hAnsi="Arial"/>
          <w:sz w:val="14"/>
          <w:szCs w:val="14"/>
          <w:color w:val="auto"/>
        </w:rPr>
        <w:t>Owned 99.99% by Xerox Corporation and .01% by Pacific Services and Development Corporation.</w:t>
      </w:r>
    </w:p>
    <w:p>
      <w:pPr>
        <w:ind w:left="452" w:hanging="452"/>
        <w:spacing w:after="0" w:line="221" w:lineRule="auto"/>
        <w:tabs>
          <w:tab w:leader="none" w:pos="452" w:val="left"/>
        </w:tabs>
        <w:numPr>
          <w:ilvl w:val="0"/>
          <w:numId w:val="179"/>
        </w:numPr>
        <w:rPr>
          <w:rFonts w:ascii="Arial" w:cs="Arial" w:eastAsia="Arial" w:hAnsi="Arial"/>
          <w:sz w:val="14"/>
          <w:szCs w:val="14"/>
          <w:color w:val="auto"/>
        </w:rPr>
      </w:pPr>
      <w:r>
        <w:rPr>
          <w:rFonts w:ascii="Arial" w:cs="Arial" w:eastAsia="Arial" w:hAnsi="Arial"/>
          <w:sz w:val="14"/>
          <w:szCs w:val="14"/>
          <w:color w:val="auto"/>
        </w:rPr>
        <w:t>Owned 94.24% by Xerox Corporation, 5.56% by Pacific Services and Development Corporation and .20% by a Minority owner.</w:t>
      </w:r>
    </w:p>
    <w:p>
      <w:pPr>
        <w:ind w:left="452" w:hanging="452"/>
        <w:spacing w:after="0" w:line="221" w:lineRule="auto"/>
        <w:tabs>
          <w:tab w:leader="none" w:pos="452" w:val="left"/>
        </w:tabs>
        <w:numPr>
          <w:ilvl w:val="0"/>
          <w:numId w:val="179"/>
        </w:numPr>
        <w:rPr>
          <w:rFonts w:ascii="Arial" w:cs="Arial" w:eastAsia="Arial" w:hAnsi="Arial"/>
          <w:sz w:val="14"/>
          <w:szCs w:val="14"/>
          <w:color w:val="auto"/>
        </w:rPr>
      </w:pPr>
      <w:r>
        <w:rPr>
          <w:rFonts w:ascii="Arial" w:cs="Arial" w:eastAsia="Arial" w:hAnsi="Arial"/>
          <w:sz w:val="14"/>
          <w:szCs w:val="14"/>
          <w:color w:val="auto"/>
        </w:rPr>
        <w:t>Owned 95.73% by Xerox Corporation and 4.27% by Pacific Services and Development Corporation.</w:t>
      </w:r>
    </w:p>
    <w:p>
      <w:pPr>
        <w:ind w:left="452" w:hanging="452"/>
        <w:spacing w:after="0" w:line="221" w:lineRule="auto"/>
        <w:tabs>
          <w:tab w:leader="none" w:pos="452" w:val="left"/>
        </w:tabs>
        <w:numPr>
          <w:ilvl w:val="0"/>
          <w:numId w:val="179"/>
        </w:numPr>
        <w:rPr>
          <w:rFonts w:ascii="Arial" w:cs="Arial" w:eastAsia="Arial" w:hAnsi="Arial"/>
          <w:sz w:val="14"/>
          <w:szCs w:val="14"/>
          <w:color w:val="auto"/>
        </w:rPr>
      </w:pPr>
      <w:r>
        <w:rPr>
          <w:rFonts w:ascii="Arial" w:cs="Arial" w:eastAsia="Arial" w:hAnsi="Arial"/>
          <w:sz w:val="14"/>
          <w:szCs w:val="14"/>
          <w:color w:val="auto"/>
        </w:rPr>
        <w:t>[Reserved]</w:t>
      </w:r>
    </w:p>
    <w:p>
      <w:pPr>
        <w:ind w:left="452" w:hanging="452"/>
        <w:spacing w:after="0" w:line="221" w:lineRule="auto"/>
        <w:tabs>
          <w:tab w:leader="none" w:pos="452" w:val="left"/>
        </w:tabs>
        <w:numPr>
          <w:ilvl w:val="0"/>
          <w:numId w:val="179"/>
        </w:numPr>
        <w:rPr>
          <w:rFonts w:ascii="Arial" w:cs="Arial" w:eastAsia="Arial" w:hAnsi="Arial"/>
          <w:sz w:val="14"/>
          <w:szCs w:val="14"/>
          <w:color w:val="auto"/>
        </w:rPr>
      </w:pPr>
      <w:r>
        <w:rPr>
          <w:rFonts w:ascii="Arial" w:cs="Arial" w:eastAsia="Arial" w:hAnsi="Arial"/>
          <w:sz w:val="14"/>
          <w:szCs w:val="14"/>
          <w:color w:val="auto"/>
        </w:rPr>
        <w:t>Owned 99.99% by Xerox Corporation and .01% by Pacific Services and Development Corporation. (PSDC owns only one share)</w:t>
      </w:r>
    </w:p>
    <w:p>
      <w:pPr>
        <w:ind w:left="452" w:hanging="452"/>
        <w:spacing w:after="0" w:line="221" w:lineRule="auto"/>
        <w:tabs>
          <w:tab w:leader="none" w:pos="452" w:val="left"/>
        </w:tabs>
        <w:numPr>
          <w:ilvl w:val="0"/>
          <w:numId w:val="179"/>
        </w:numPr>
        <w:rPr>
          <w:rFonts w:ascii="Arial" w:cs="Arial" w:eastAsia="Arial" w:hAnsi="Arial"/>
          <w:sz w:val="14"/>
          <w:szCs w:val="14"/>
          <w:color w:val="auto"/>
        </w:rPr>
      </w:pPr>
      <w:r>
        <w:rPr>
          <w:rFonts w:ascii="Arial" w:cs="Arial" w:eastAsia="Arial" w:hAnsi="Arial"/>
          <w:sz w:val="14"/>
          <w:szCs w:val="14"/>
          <w:color w:val="auto"/>
        </w:rPr>
        <w:t>[Reserved]</w:t>
      </w:r>
    </w:p>
    <w:p>
      <w:pPr>
        <w:ind w:left="452" w:hanging="452"/>
        <w:spacing w:after="0" w:line="221" w:lineRule="auto"/>
        <w:tabs>
          <w:tab w:leader="none" w:pos="452" w:val="left"/>
        </w:tabs>
        <w:numPr>
          <w:ilvl w:val="0"/>
          <w:numId w:val="179"/>
        </w:numPr>
        <w:rPr>
          <w:rFonts w:ascii="Arial" w:cs="Arial" w:eastAsia="Arial" w:hAnsi="Arial"/>
          <w:sz w:val="14"/>
          <w:szCs w:val="14"/>
          <w:color w:val="auto"/>
        </w:rPr>
      </w:pPr>
      <w:r>
        <w:rPr>
          <w:rFonts w:ascii="Arial" w:cs="Arial" w:eastAsia="Arial" w:hAnsi="Arial"/>
          <w:sz w:val="14"/>
          <w:szCs w:val="14"/>
          <w:color w:val="auto"/>
        </w:rPr>
        <w:t>Owned 99% by Conway Office Products, LLC (limited partner) and 1% by Global Imaging Systems, Inc. (general partner).</w:t>
      </w:r>
    </w:p>
    <w:p>
      <w:pPr>
        <w:ind w:left="452" w:hanging="452"/>
        <w:spacing w:after="0" w:line="221" w:lineRule="auto"/>
        <w:tabs>
          <w:tab w:leader="none" w:pos="452" w:val="left"/>
        </w:tabs>
        <w:numPr>
          <w:ilvl w:val="0"/>
          <w:numId w:val="179"/>
        </w:numPr>
        <w:rPr>
          <w:rFonts w:ascii="Arial" w:cs="Arial" w:eastAsia="Arial" w:hAnsi="Arial"/>
          <w:sz w:val="14"/>
          <w:szCs w:val="14"/>
          <w:color w:val="auto"/>
        </w:rPr>
      </w:pPr>
      <w:r>
        <w:rPr>
          <w:rFonts w:ascii="Arial" w:cs="Arial" w:eastAsia="Arial" w:hAnsi="Arial"/>
          <w:sz w:val="14"/>
          <w:szCs w:val="14"/>
          <w:color w:val="auto"/>
        </w:rPr>
        <w:t>[Reserved]</w:t>
      </w:r>
    </w:p>
    <w:p>
      <w:pPr>
        <w:ind w:left="452" w:hanging="452"/>
        <w:spacing w:after="0" w:line="221" w:lineRule="auto"/>
        <w:tabs>
          <w:tab w:leader="none" w:pos="452" w:val="left"/>
        </w:tabs>
        <w:numPr>
          <w:ilvl w:val="0"/>
          <w:numId w:val="179"/>
        </w:numPr>
        <w:rPr>
          <w:rFonts w:ascii="Arial" w:cs="Arial" w:eastAsia="Arial" w:hAnsi="Arial"/>
          <w:sz w:val="14"/>
          <w:szCs w:val="14"/>
          <w:color w:val="auto"/>
        </w:rPr>
      </w:pPr>
      <w:r>
        <w:rPr>
          <w:rFonts w:ascii="Arial" w:cs="Arial" w:eastAsia="Arial" w:hAnsi="Arial"/>
          <w:sz w:val="14"/>
          <w:szCs w:val="14"/>
          <w:color w:val="auto"/>
        </w:rPr>
        <w:t>[Reserved]</w:t>
      </w:r>
    </w:p>
    <w:p>
      <w:pPr>
        <w:ind w:left="452" w:hanging="452"/>
        <w:spacing w:after="0" w:line="221" w:lineRule="auto"/>
        <w:tabs>
          <w:tab w:leader="none" w:pos="452" w:val="left"/>
        </w:tabs>
        <w:numPr>
          <w:ilvl w:val="0"/>
          <w:numId w:val="179"/>
        </w:numPr>
        <w:rPr>
          <w:rFonts w:ascii="Arial" w:cs="Arial" w:eastAsia="Arial" w:hAnsi="Arial"/>
          <w:sz w:val="14"/>
          <w:szCs w:val="14"/>
          <w:color w:val="auto"/>
        </w:rPr>
      </w:pPr>
      <w:r>
        <w:rPr>
          <w:rFonts w:ascii="Arial" w:cs="Arial" w:eastAsia="Arial" w:hAnsi="Arial"/>
          <w:sz w:val="14"/>
          <w:szCs w:val="14"/>
          <w:color w:val="auto"/>
        </w:rPr>
        <w:t>[Reserved]</w:t>
      </w:r>
    </w:p>
    <w:p>
      <w:pPr>
        <w:ind w:left="452" w:hanging="452"/>
        <w:spacing w:after="0" w:line="221" w:lineRule="auto"/>
        <w:tabs>
          <w:tab w:leader="none" w:pos="452" w:val="left"/>
        </w:tabs>
        <w:numPr>
          <w:ilvl w:val="0"/>
          <w:numId w:val="179"/>
        </w:numPr>
        <w:rPr>
          <w:rFonts w:ascii="Arial" w:cs="Arial" w:eastAsia="Arial" w:hAnsi="Arial"/>
          <w:sz w:val="14"/>
          <w:szCs w:val="14"/>
          <w:color w:val="auto"/>
        </w:rPr>
      </w:pPr>
      <w:r>
        <w:rPr>
          <w:rFonts w:ascii="Arial" w:cs="Arial" w:eastAsia="Arial" w:hAnsi="Arial"/>
          <w:sz w:val="14"/>
          <w:szCs w:val="14"/>
          <w:color w:val="auto"/>
        </w:rPr>
        <w:t>Owned 99% by Xerox Limited and 1% by Xerox Property Services Limited.</w:t>
      </w:r>
    </w:p>
    <w:p>
      <w:pPr>
        <w:ind w:left="452" w:hanging="452"/>
        <w:spacing w:after="0" w:line="221" w:lineRule="auto"/>
        <w:tabs>
          <w:tab w:leader="none" w:pos="452" w:val="left"/>
        </w:tabs>
        <w:numPr>
          <w:ilvl w:val="0"/>
          <w:numId w:val="179"/>
        </w:numPr>
        <w:rPr>
          <w:rFonts w:ascii="Arial" w:cs="Arial" w:eastAsia="Arial" w:hAnsi="Arial"/>
          <w:sz w:val="14"/>
          <w:szCs w:val="14"/>
          <w:color w:val="auto"/>
        </w:rPr>
      </w:pPr>
      <w:r>
        <w:rPr>
          <w:rFonts w:ascii="Arial" w:cs="Arial" w:eastAsia="Arial" w:hAnsi="Arial"/>
          <w:sz w:val="14"/>
          <w:szCs w:val="14"/>
          <w:color w:val="auto"/>
        </w:rPr>
        <w:t>[Reserved]</w:t>
      </w:r>
    </w:p>
    <w:p>
      <w:pPr>
        <w:ind w:left="452" w:hanging="452"/>
        <w:spacing w:after="0" w:line="221" w:lineRule="auto"/>
        <w:tabs>
          <w:tab w:leader="none" w:pos="452" w:val="left"/>
        </w:tabs>
        <w:numPr>
          <w:ilvl w:val="0"/>
          <w:numId w:val="179"/>
        </w:numPr>
        <w:rPr>
          <w:rFonts w:ascii="Arial" w:cs="Arial" w:eastAsia="Arial" w:hAnsi="Arial"/>
          <w:sz w:val="14"/>
          <w:szCs w:val="14"/>
          <w:color w:val="auto"/>
        </w:rPr>
      </w:pPr>
      <w:r>
        <w:rPr>
          <w:rFonts w:ascii="Arial" w:cs="Arial" w:eastAsia="Arial" w:hAnsi="Arial"/>
          <w:sz w:val="14"/>
          <w:szCs w:val="14"/>
          <w:color w:val="auto"/>
        </w:rPr>
        <w:t>Owned 99.99% by Xerox Corporation and .01% by Pacific Services and Development Corporation.</w:t>
      </w:r>
    </w:p>
    <w:p>
      <w:pPr>
        <w:ind w:left="452" w:right="280" w:hanging="452"/>
        <w:spacing w:after="0" w:line="221" w:lineRule="auto"/>
        <w:tabs>
          <w:tab w:leader="none" w:pos="452" w:val="left"/>
        </w:tabs>
        <w:numPr>
          <w:ilvl w:val="0"/>
          <w:numId w:val="179"/>
        </w:numPr>
        <w:rPr>
          <w:rFonts w:ascii="Arial" w:cs="Arial" w:eastAsia="Arial" w:hAnsi="Arial"/>
          <w:sz w:val="14"/>
          <w:szCs w:val="14"/>
          <w:color w:val="auto"/>
        </w:rPr>
      </w:pPr>
      <w:r>
        <w:rPr>
          <w:rFonts w:ascii="Arial" w:cs="Arial" w:eastAsia="Arial" w:hAnsi="Arial"/>
          <w:sz w:val="14"/>
          <w:szCs w:val="14"/>
          <w:color w:val="auto"/>
        </w:rPr>
        <w:t>Owned 19% by Affiliated Computer Services, Inc.; 37% by ACS State &amp; Local Solutions, Inc.; 23% by Buck Consultants, LLC; 15% by ACS State Healthcare, LLC; 6% by ACS HR Solutions, LLC.</w:t>
      </w:r>
    </w:p>
    <w:p>
      <w:pPr>
        <w:ind w:left="452" w:hanging="452"/>
        <w:spacing w:after="0" w:line="221" w:lineRule="auto"/>
        <w:tabs>
          <w:tab w:leader="none" w:pos="452" w:val="left"/>
        </w:tabs>
        <w:numPr>
          <w:ilvl w:val="0"/>
          <w:numId w:val="179"/>
        </w:numPr>
        <w:rPr>
          <w:rFonts w:ascii="Arial" w:cs="Arial" w:eastAsia="Arial" w:hAnsi="Arial"/>
          <w:sz w:val="14"/>
          <w:szCs w:val="14"/>
          <w:color w:val="auto"/>
        </w:rPr>
      </w:pPr>
      <w:r>
        <w:rPr>
          <w:rFonts w:ascii="Arial" w:cs="Arial" w:eastAsia="Arial" w:hAnsi="Arial"/>
          <w:sz w:val="14"/>
          <w:szCs w:val="14"/>
          <w:color w:val="auto"/>
        </w:rPr>
        <w:t>Owned 99.9% by ACS Properties, Inc. and 0.1% by Affiliated Computer Services, Inc.</w:t>
      </w:r>
    </w:p>
    <w:p>
      <w:pPr>
        <w:ind w:left="452" w:hanging="452"/>
        <w:spacing w:after="0" w:line="221" w:lineRule="auto"/>
        <w:tabs>
          <w:tab w:leader="none" w:pos="452" w:val="left"/>
        </w:tabs>
        <w:numPr>
          <w:ilvl w:val="0"/>
          <w:numId w:val="179"/>
        </w:numPr>
        <w:rPr>
          <w:rFonts w:ascii="Arial" w:cs="Arial" w:eastAsia="Arial" w:hAnsi="Arial"/>
          <w:sz w:val="14"/>
          <w:szCs w:val="14"/>
          <w:color w:val="auto"/>
        </w:rPr>
      </w:pPr>
      <w:r>
        <w:rPr>
          <w:rFonts w:ascii="Arial" w:cs="Arial" w:eastAsia="Arial" w:hAnsi="Arial"/>
          <w:sz w:val="14"/>
          <w:szCs w:val="14"/>
          <w:color w:val="auto"/>
        </w:rPr>
        <w:t>[Reserved]</w:t>
      </w:r>
    </w:p>
    <w:p>
      <w:pPr>
        <w:ind w:left="452" w:hanging="452"/>
        <w:spacing w:after="0" w:line="221" w:lineRule="auto"/>
        <w:tabs>
          <w:tab w:leader="none" w:pos="452" w:val="left"/>
        </w:tabs>
        <w:numPr>
          <w:ilvl w:val="0"/>
          <w:numId w:val="179"/>
        </w:numPr>
        <w:rPr>
          <w:rFonts w:ascii="Arial" w:cs="Arial" w:eastAsia="Arial" w:hAnsi="Arial"/>
          <w:sz w:val="14"/>
          <w:szCs w:val="14"/>
          <w:color w:val="auto"/>
        </w:rPr>
      </w:pPr>
      <w:r>
        <w:rPr>
          <w:rFonts w:ascii="Arial" w:cs="Arial" w:eastAsia="Arial" w:hAnsi="Arial"/>
          <w:sz w:val="14"/>
          <w:szCs w:val="14"/>
          <w:color w:val="auto"/>
        </w:rPr>
        <w:t>Owned 79.884% by Buck Consultants, LLC and 20.116% by ACS Holdings (Germany) GmbH</w:t>
      </w:r>
    </w:p>
    <w:p>
      <w:pPr>
        <w:ind w:left="452" w:hanging="452"/>
        <w:spacing w:after="0" w:line="221" w:lineRule="auto"/>
        <w:tabs>
          <w:tab w:leader="none" w:pos="452" w:val="left"/>
        </w:tabs>
        <w:numPr>
          <w:ilvl w:val="0"/>
          <w:numId w:val="179"/>
        </w:numPr>
        <w:rPr>
          <w:rFonts w:ascii="Arial" w:cs="Arial" w:eastAsia="Arial" w:hAnsi="Arial"/>
          <w:sz w:val="14"/>
          <w:szCs w:val="14"/>
          <w:color w:val="auto"/>
        </w:rPr>
      </w:pPr>
      <w:r>
        <w:rPr>
          <w:rFonts w:ascii="Arial" w:cs="Arial" w:eastAsia="Arial" w:hAnsi="Arial"/>
          <w:sz w:val="14"/>
          <w:szCs w:val="14"/>
          <w:color w:val="auto"/>
        </w:rPr>
        <w:t>Owned 99.9% by Affiliated Computer Services, Inc. and 0.1% by ACS Business Services, LLC</w:t>
      </w:r>
    </w:p>
    <w:p>
      <w:pPr>
        <w:ind w:left="452" w:hanging="452"/>
        <w:spacing w:after="0" w:line="221" w:lineRule="auto"/>
        <w:tabs>
          <w:tab w:leader="none" w:pos="452" w:val="left"/>
        </w:tabs>
        <w:numPr>
          <w:ilvl w:val="0"/>
          <w:numId w:val="179"/>
        </w:numPr>
        <w:rPr>
          <w:rFonts w:ascii="Arial" w:cs="Arial" w:eastAsia="Arial" w:hAnsi="Arial"/>
          <w:sz w:val="14"/>
          <w:szCs w:val="14"/>
          <w:color w:val="auto"/>
        </w:rPr>
      </w:pPr>
      <w:r>
        <w:rPr>
          <w:rFonts w:ascii="Arial" w:cs="Arial" w:eastAsia="Arial" w:hAnsi="Arial"/>
          <w:sz w:val="14"/>
          <w:szCs w:val="14"/>
          <w:color w:val="auto"/>
        </w:rPr>
        <w:t>Owned 66% by ACS Transport Solutions, Inc.; 17% by Carter Brothers, LLC; and 17% by D&amp;D Electric, Inc.</w:t>
      </w:r>
    </w:p>
    <w:p>
      <w:pPr>
        <w:ind w:left="452" w:hanging="452"/>
        <w:spacing w:after="0" w:line="221" w:lineRule="auto"/>
        <w:tabs>
          <w:tab w:leader="none" w:pos="452" w:val="left"/>
        </w:tabs>
        <w:numPr>
          <w:ilvl w:val="0"/>
          <w:numId w:val="179"/>
        </w:numPr>
        <w:rPr>
          <w:rFonts w:ascii="Arial" w:cs="Arial" w:eastAsia="Arial" w:hAnsi="Arial"/>
          <w:sz w:val="14"/>
          <w:szCs w:val="14"/>
          <w:color w:val="auto"/>
        </w:rPr>
      </w:pPr>
      <w:r>
        <w:rPr>
          <w:rFonts w:ascii="Arial" w:cs="Arial" w:eastAsia="Arial" w:hAnsi="Arial"/>
          <w:sz w:val="14"/>
          <w:szCs w:val="14"/>
          <w:color w:val="auto"/>
        </w:rPr>
        <w:t>Owned 99.9998% by eServices Group (St. Lucia) Limited; 0.0002% by ACS Global Inc.</w:t>
      </w:r>
    </w:p>
    <w:p>
      <w:pPr>
        <w:ind w:left="452" w:hanging="452"/>
        <w:spacing w:after="0" w:line="221" w:lineRule="auto"/>
        <w:tabs>
          <w:tab w:leader="none" w:pos="452" w:val="left"/>
        </w:tabs>
        <w:numPr>
          <w:ilvl w:val="0"/>
          <w:numId w:val="179"/>
        </w:numPr>
        <w:rPr>
          <w:rFonts w:ascii="Arial" w:cs="Arial" w:eastAsia="Arial" w:hAnsi="Arial"/>
          <w:sz w:val="14"/>
          <w:szCs w:val="14"/>
          <w:color w:val="auto"/>
        </w:rPr>
      </w:pPr>
      <w:r>
        <w:rPr>
          <w:rFonts w:ascii="Arial" w:cs="Arial" w:eastAsia="Arial" w:hAnsi="Arial"/>
          <w:sz w:val="14"/>
          <w:szCs w:val="14"/>
          <w:color w:val="auto"/>
        </w:rPr>
        <w:t>Owned 92.05% by Xerox Corporation, 7.871% by ACS Commercial Solutions, Inc.; .079% by ACS State and Local Solutions, Inc.</w:t>
      </w:r>
    </w:p>
    <w:p>
      <w:pPr>
        <w:ind w:left="452" w:hanging="452"/>
        <w:spacing w:after="0" w:line="221" w:lineRule="auto"/>
        <w:tabs>
          <w:tab w:leader="none" w:pos="452" w:val="left"/>
        </w:tabs>
        <w:numPr>
          <w:ilvl w:val="0"/>
          <w:numId w:val="179"/>
        </w:numPr>
        <w:rPr>
          <w:rFonts w:ascii="Arial" w:cs="Arial" w:eastAsia="Arial" w:hAnsi="Arial"/>
          <w:sz w:val="14"/>
          <w:szCs w:val="14"/>
          <w:color w:val="auto"/>
        </w:rPr>
      </w:pPr>
      <w:r>
        <w:rPr>
          <w:rFonts w:ascii="Arial" w:cs="Arial" w:eastAsia="Arial" w:hAnsi="Arial"/>
          <w:sz w:val="14"/>
          <w:szCs w:val="14"/>
          <w:color w:val="auto"/>
        </w:rPr>
        <w:t>Owned 90% by ACS Global Inc; 10% by ACS Commercial Solutions, Inc.</w:t>
      </w:r>
    </w:p>
    <w:p>
      <w:pPr>
        <w:ind w:left="452" w:hanging="452"/>
        <w:spacing w:after="0"/>
        <w:tabs>
          <w:tab w:leader="none" w:pos="452" w:val="left"/>
        </w:tabs>
        <w:numPr>
          <w:ilvl w:val="0"/>
          <w:numId w:val="179"/>
        </w:numPr>
        <w:rPr>
          <w:rFonts w:ascii="Arial" w:cs="Arial" w:eastAsia="Arial" w:hAnsi="Arial"/>
          <w:sz w:val="14"/>
          <w:szCs w:val="14"/>
          <w:color w:val="auto"/>
        </w:rPr>
      </w:pPr>
      <w:r>
        <w:rPr>
          <w:rFonts w:ascii="Arial" w:cs="Arial" w:eastAsia="Arial" w:hAnsi="Arial"/>
          <w:sz w:val="14"/>
          <w:szCs w:val="14"/>
          <w:color w:val="auto"/>
        </w:rPr>
        <w:t>Owned 93.3750% by Market Line S.A. in Argentina; 6.6250% by ACS Global, Inc.</w:t>
      </w:r>
    </w:p>
    <w:p>
      <w:pPr>
        <w:spacing w:after="0" w:line="130"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392"/>
          </w:cols>
          <w:pgMar w:left="248" w:top="287" w:right="259" w:bottom="1440" w:gutter="0" w:footer="0" w:header="0"/>
        </w:sectPr>
      </w:pPr>
    </w:p>
    <w:bookmarkStart w:id="192" w:name="page193"/>
    <w:bookmarkEnd w:id="192"/>
    <w:p>
      <w:pPr>
        <w:ind w:left="452" w:hanging="452"/>
        <w:spacing w:after="0"/>
        <w:tabs>
          <w:tab w:leader="none" w:pos="452" w:val="left"/>
        </w:tabs>
        <w:numPr>
          <w:ilvl w:val="0"/>
          <w:numId w:val="180"/>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Owned 94.9% by ACS Global, Inc.; 2.1% ACS Commercial Solutions, Inc.; 1% LiveBridge, Inc.; 1% Market Line S.A. in Argentina; and 1% by ACS Middle East, Inc..</w:t>
      </w:r>
    </w:p>
    <w:p>
      <w:pPr>
        <w:ind w:left="452" w:hanging="452"/>
        <w:spacing w:after="0" w:line="221" w:lineRule="auto"/>
        <w:tabs>
          <w:tab w:leader="none" w:pos="452" w:val="left"/>
        </w:tabs>
        <w:numPr>
          <w:ilvl w:val="0"/>
          <w:numId w:val="180"/>
        </w:numPr>
        <w:rPr>
          <w:rFonts w:ascii="Arial" w:cs="Arial" w:eastAsia="Arial" w:hAnsi="Arial"/>
          <w:sz w:val="14"/>
          <w:szCs w:val="14"/>
          <w:color w:val="auto"/>
        </w:rPr>
      </w:pPr>
      <w:r>
        <w:rPr>
          <w:rFonts w:ascii="Arial" w:cs="Arial" w:eastAsia="Arial" w:hAnsi="Arial"/>
          <w:sz w:val="14"/>
          <w:szCs w:val="14"/>
          <w:color w:val="auto"/>
        </w:rPr>
        <w:t>Owned 90% by ACS Global, Inc.; 10% ACS Commercial Solutions, Inc.</w:t>
      </w:r>
    </w:p>
    <w:p>
      <w:pPr>
        <w:ind w:left="452" w:hanging="452"/>
        <w:spacing w:after="0" w:line="221" w:lineRule="auto"/>
        <w:tabs>
          <w:tab w:leader="none" w:pos="452" w:val="left"/>
        </w:tabs>
        <w:numPr>
          <w:ilvl w:val="0"/>
          <w:numId w:val="180"/>
        </w:numPr>
        <w:rPr>
          <w:rFonts w:ascii="Arial" w:cs="Arial" w:eastAsia="Arial" w:hAnsi="Arial"/>
          <w:sz w:val="14"/>
          <w:szCs w:val="14"/>
          <w:color w:val="auto"/>
        </w:rPr>
      </w:pPr>
      <w:r>
        <w:rPr>
          <w:rFonts w:ascii="Arial" w:cs="Arial" w:eastAsia="Arial" w:hAnsi="Arial"/>
          <w:sz w:val="14"/>
          <w:szCs w:val="14"/>
          <w:color w:val="auto"/>
        </w:rPr>
        <w:t>Owned 99.9090% by Affiliated Computer Services International (Barbados) Limited; .0910% by ACS Commercial Solutions, Inc</w:t>
      </w:r>
    </w:p>
    <w:p>
      <w:pPr>
        <w:ind w:left="452" w:right="520" w:hanging="452"/>
        <w:spacing w:after="0" w:line="258" w:lineRule="auto"/>
        <w:tabs>
          <w:tab w:leader="none" w:pos="452" w:val="left"/>
        </w:tabs>
        <w:numPr>
          <w:ilvl w:val="0"/>
          <w:numId w:val="180"/>
        </w:numPr>
        <w:rPr>
          <w:rFonts w:ascii="Arial" w:cs="Arial" w:eastAsia="Arial" w:hAnsi="Arial"/>
          <w:sz w:val="12"/>
          <w:szCs w:val="12"/>
          <w:color w:val="auto"/>
        </w:rPr>
      </w:pPr>
      <w:r>
        <w:rPr>
          <w:rFonts w:ascii="Arial" w:cs="Arial" w:eastAsia="Arial" w:hAnsi="Arial"/>
          <w:sz w:val="12"/>
          <w:szCs w:val="12"/>
          <w:color w:val="auto"/>
        </w:rPr>
        <w:t>Owned 99.9966 by Affiliated Computer Services International (Barbados) Limited; 0.0006% by ACS Business Services, LLC; .0006% by ACS Lending, Inc.; 0.0006% by ACS Outsourcing Solutions, Inc.; 0.0006% by ACS State &amp; Local Solutions, Inc.; 0.0006% by ACS State Healthcare, LLC; 0.0006% by Affiliated Computer Services, Inc.</w:t>
      </w:r>
    </w:p>
    <w:p>
      <w:pPr>
        <w:ind w:left="452" w:hanging="452"/>
        <w:spacing w:after="0" w:line="221" w:lineRule="auto"/>
        <w:tabs>
          <w:tab w:leader="none" w:pos="452" w:val="left"/>
        </w:tabs>
        <w:numPr>
          <w:ilvl w:val="0"/>
          <w:numId w:val="180"/>
        </w:numPr>
        <w:rPr>
          <w:rFonts w:ascii="Arial" w:cs="Arial" w:eastAsia="Arial" w:hAnsi="Arial"/>
          <w:sz w:val="14"/>
          <w:szCs w:val="14"/>
          <w:color w:val="auto"/>
        </w:rPr>
      </w:pPr>
      <w:r>
        <w:rPr>
          <w:rFonts w:ascii="Arial" w:cs="Arial" w:eastAsia="Arial" w:hAnsi="Arial"/>
          <w:sz w:val="14"/>
          <w:szCs w:val="14"/>
          <w:color w:val="auto"/>
        </w:rPr>
        <w:t>Owned 99.9997 by Affiliated Computer Services International B.V.; .0003% by Affiliated Computer Services Inc.</w:t>
      </w:r>
    </w:p>
    <w:p>
      <w:pPr>
        <w:ind w:left="452" w:hanging="452"/>
        <w:spacing w:after="0" w:line="221" w:lineRule="auto"/>
        <w:tabs>
          <w:tab w:leader="none" w:pos="452" w:val="left"/>
        </w:tabs>
        <w:numPr>
          <w:ilvl w:val="0"/>
          <w:numId w:val="180"/>
        </w:numPr>
        <w:rPr>
          <w:rFonts w:ascii="Arial" w:cs="Arial" w:eastAsia="Arial" w:hAnsi="Arial"/>
          <w:sz w:val="14"/>
          <w:szCs w:val="14"/>
          <w:color w:val="auto"/>
        </w:rPr>
      </w:pPr>
      <w:r>
        <w:rPr>
          <w:rFonts w:ascii="Arial" w:cs="Arial" w:eastAsia="Arial" w:hAnsi="Arial"/>
          <w:sz w:val="14"/>
          <w:szCs w:val="14"/>
          <w:color w:val="auto"/>
        </w:rPr>
        <w:t>Owned 99% by ACS Public Sector Solutions, Inc; 1% by ACS State and Local Solutions, Inc.</w:t>
      </w:r>
    </w:p>
    <w:p>
      <w:pPr>
        <w:ind w:left="452" w:hanging="452"/>
        <w:spacing w:after="0" w:line="221" w:lineRule="auto"/>
        <w:tabs>
          <w:tab w:leader="none" w:pos="452" w:val="left"/>
        </w:tabs>
        <w:numPr>
          <w:ilvl w:val="0"/>
          <w:numId w:val="180"/>
        </w:numPr>
        <w:rPr>
          <w:rFonts w:ascii="Arial" w:cs="Arial" w:eastAsia="Arial" w:hAnsi="Arial"/>
          <w:sz w:val="14"/>
          <w:szCs w:val="14"/>
          <w:color w:val="auto"/>
        </w:rPr>
      </w:pPr>
      <w:r>
        <w:rPr>
          <w:rFonts w:ascii="Arial" w:cs="Arial" w:eastAsia="Arial" w:hAnsi="Arial"/>
          <w:sz w:val="14"/>
          <w:szCs w:val="14"/>
          <w:color w:val="auto"/>
        </w:rPr>
        <w:t>Owned 99.5% by Affiliated Computer Services International B.V.; .5% by ACS State and Local Solutions, Inc.</w:t>
      </w:r>
    </w:p>
    <w:p>
      <w:pPr>
        <w:ind w:left="452" w:hanging="452"/>
        <w:spacing w:after="0" w:line="221" w:lineRule="auto"/>
        <w:tabs>
          <w:tab w:leader="none" w:pos="452" w:val="left"/>
        </w:tabs>
        <w:numPr>
          <w:ilvl w:val="0"/>
          <w:numId w:val="180"/>
        </w:numPr>
        <w:rPr>
          <w:rFonts w:ascii="Arial" w:cs="Arial" w:eastAsia="Arial" w:hAnsi="Arial"/>
          <w:sz w:val="14"/>
          <w:szCs w:val="14"/>
          <w:color w:val="auto"/>
        </w:rPr>
      </w:pPr>
      <w:r>
        <w:rPr>
          <w:rFonts w:ascii="Arial" w:cs="Arial" w:eastAsia="Arial" w:hAnsi="Arial"/>
          <w:sz w:val="14"/>
          <w:szCs w:val="14"/>
          <w:color w:val="auto"/>
        </w:rPr>
        <w:t>Owned 99.0% by ACS (Cyprus) Holdings Limited; 1.0% by ACS Commercial Solutions, Inc.</w:t>
      </w:r>
    </w:p>
    <w:p>
      <w:pPr>
        <w:ind w:left="452" w:hanging="452"/>
        <w:spacing w:after="0" w:line="221" w:lineRule="auto"/>
        <w:tabs>
          <w:tab w:leader="none" w:pos="452" w:val="left"/>
        </w:tabs>
        <w:numPr>
          <w:ilvl w:val="0"/>
          <w:numId w:val="180"/>
        </w:numPr>
        <w:rPr>
          <w:rFonts w:ascii="Arial" w:cs="Arial" w:eastAsia="Arial" w:hAnsi="Arial"/>
          <w:sz w:val="14"/>
          <w:szCs w:val="14"/>
          <w:color w:val="auto"/>
        </w:rPr>
      </w:pPr>
      <w:r>
        <w:rPr>
          <w:rFonts w:ascii="Arial" w:cs="Arial" w:eastAsia="Arial" w:hAnsi="Arial"/>
          <w:sz w:val="14"/>
          <w:szCs w:val="14"/>
          <w:color w:val="auto"/>
        </w:rPr>
        <w:t>Owned 99.9999% by Affiliated Computer Services International B.V.; .0001% by ACS State and Local Solutions, Inc.</w:t>
      </w:r>
    </w:p>
    <w:p>
      <w:pPr>
        <w:ind w:left="452" w:hanging="452"/>
        <w:spacing w:after="0" w:line="221" w:lineRule="auto"/>
        <w:tabs>
          <w:tab w:leader="none" w:pos="452" w:val="left"/>
        </w:tabs>
        <w:numPr>
          <w:ilvl w:val="0"/>
          <w:numId w:val="180"/>
        </w:numPr>
        <w:rPr>
          <w:rFonts w:ascii="Arial" w:cs="Arial" w:eastAsia="Arial" w:hAnsi="Arial"/>
          <w:sz w:val="14"/>
          <w:szCs w:val="14"/>
          <w:color w:val="auto"/>
        </w:rPr>
      </w:pPr>
      <w:r>
        <w:rPr>
          <w:rFonts w:ascii="Arial" w:cs="Arial" w:eastAsia="Arial" w:hAnsi="Arial"/>
          <w:sz w:val="14"/>
          <w:szCs w:val="14"/>
          <w:color w:val="auto"/>
        </w:rPr>
        <w:t>[Reserved]</w:t>
      </w:r>
    </w:p>
    <w:p>
      <w:pPr>
        <w:ind w:left="452" w:hanging="452"/>
        <w:spacing w:after="0" w:line="221" w:lineRule="auto"/>
        <w:tabs>
          <w:tab w:leader="none" w:pos="452" w:val="left"/>
        </w:tabs>
        <w:numPr>
          <w:ilvl w:val="0"/>
          <w:numId w:val="180"/>
        </w:numPr>
        <w:rPr>
          <w:rFonts w:ascii="Arial" w:cs="Arial" w:eastAsia="Arial" w:hAnsi="Arial"/>
          <w:sz w:val="14"/>
          <w:szCs w:val="14"/>
          <w:color w:val="auto"/>
        </w:rPr>
      </w:pPr>
      <w:r>
        <w:rPr>
          <w:rFonts w:ascii="Arial" w:cs="Arial" w:eastAsia="Arial" w:hAnsi="Arial"/>
          <w:sz w:val="14"/>
          <w:szCs w:val="14"/>
          <w:color w:val="auto"/>
        </w:rPr>
        <w:t>Owned 99% by Affiliated Computer Services International B.V.; 1% by ACS Commercial Solutions, Inc.</w:t>
      </w:r>
    </w:p>
    <w:p>
      <w:pPr>
        <w:ind w:left="452" w:hanging="452"/>
        <w:spacing w:after="0" w:line="221" w:lineRule="auto"/>
        <w:tabs>
          <w:tab w:leader="none" w:pos="452" w:val="left"/>
        </w:tabs>
        <w:numPr>
          <w:ilvl w:val="0"/>
          <w:numId w:val="180"/>
        </w:numPr>
        <w:rPr>
          <w:rFonts w:ascii="Arial" w:cs="Arial" w:eastAsia="Arial" w:hAnsi="Arial"/>
          <w:sz w:val="14"/>
          <w:szCs w:val="14"/>
          <w:color w:val="auto"/>
        </w:rPr>
      </w:pPr>
      <w:r>
        <w:rPr>
          <w:rFonts w:ascii="Arial" w:cs="Arial" w:eastAsia="Arial" w:hAnsi="Arial"/>
          <w:sz w:val="14"/>
          <w:szCs w:val="14"/>
          <w:color w:val="auto"/>
        </w:rPr>
        <w:t>Owned 99.9822 by Affiliated Computer Services International B.V.; .0178% by a minority</w:t>
      </w:r>
    </w:p>
    <w:p>
      <w:pPr>
        <w:ind w:left="452" w:hanging="452"/>
        <w:spacing w:after="0" w:line="221" w:lineRule="auto"/>
        <w:tabs>
          <w:tab w:leader="none" w:pos="452" w:val="left"/>
        </w:tabs>
        <w:numPr>
          <w:ilvl w:val="0"/>
          <w:numId w:val="180"/>
        </w:numPr>
        <w:rPr>
          <w:rFonts w:ascii="Arial" w:cs="Arial" w:eastAsia="Arial" w:hAnsi="Arial"/>
          <w:sz w:val="14"/>
          <w:szCs w:val="14"/>
          <w:color w:val="auto"/>
        </w:rPr>
      </w:pPr>
      <w:r>
        <w:rPr>
          <w:rFonts w:ascii="Arial" w:cs="Arial" w:eastAsia="Arial" w:hAnsi="Arial"/>
          <w:sz w:val="14"/>
          <w:szCs w:val="14"/>
          <w:color w:val="auto"/>
        </w:rPr>
        <w:t>Owned 99.9290% by Affiliated Computer Services International B.V.; .0710% by ACS Commercial Solutions, Inc.</w:t>
      </w:r>
    </w:p>
    <w:p>
      <w:pPr>
        <w:ind w:left="452" w:hanging="452"/>
        <w:spacing w:after="0"/>
        <w:tabs>
          <w:tab w:leader="none" w:pos="452" w:val="left"/>
        </w:tabs>
        <w:numPr>
          <w:ilvl w:val="0"/>
          <w:numId w:val="180"/>
        </w:numPr>
        <w:rPr>
          <w:rFonts w:ascii="Arial" w:cs="Arial" w:eastAsia="Arial" w:hAnsi="Arial"/>
          <w:sz w:val="12"/>
          <w:szCs w:val="12"/>
          <w:color w:val="auto"/>
        </w:rPr>
      </w:pPr>
      <w:r>
        <w:rPr>
          <w:rFonts w:ascii="Arial" w:cs="Arial" w:eastAsia="Arial" w:hAnsi="Arial"/>
          <w:sz w:val="12"/>
          <w:szCs w:val="12"/>
          <w:color w:val="auto"/>
        </w:rPr>
        <w:t>Owned 99.9383% by Affiliated Computer Services Holdings (France) S.A.R.L.; 0.0616% by Affiliated Computer Services International B.V.; 0.0001 by ACS Commercial Solutions, Inc.</w:t>
      </w:r>
    </w:p>
    <w:p>
      <w:pPr>
        <w:spacing w:after="0" w:line="10" w:lineRule="exact"/>
        <w:rPr>
          <w:rFonts w:ascii="Arial" w:cs="Arial" w:eastAsia="Arial" w:hAnsi="Arial"/>
          <w:sz w:val="12"/>
          <w:szCs w:val="12"/>
          <w:color w:val="auto"/>
        </w:rPr>
      </w:pPr>
    </w:p>
    <w:p>
      <w:pPr>
        <w:ind w:left="452" w:hanging="452"/>
        <w:spacing w:after="0" w:line="221" w:lineRule="auto"/>
        <w:tabs>
          <w:tab w:leader="none" w:pos="452" w:val="left"/>
        </w:tabs>
        <w:numPr>
          <w:ilvl w:val="0"/>
          <w:numId w:val="180"/>
        </w:numPr>
        <w:rPr>
          <w:rFonts w:ascii="Arial" w:cs="Arial" w:eastAsia="Arial" w:hAnsi="Arial"/>
          <w:sz w:val="14"/>
          <w:szCs w:val="14"/>
          <w:color w:val="auto"/>
        </w:rPr>
      </w:pPr>
      <w:r>
        <w:rPr>
          <w:rFonts w:ascii="Arial" w:cs="Arial" w:eastAsia="Arial" w:hAnsi="Arial"/>
          <w:sz w:val="14"/>
          <w:szCs w:val="14"/>
          <w:color w:val="auto"/>
        </w:rPr>
        <w:t>Owned 99% by Affiliated Computer Services Solutions France SAS; 1% by ACS State &amp; Local Solutions, Inc.</w:t>
      </w:r>
    </w:p>
    <w:p>
      <w:pPr>
        <w:ind w:left="452" w:hanging="452"/>
        <w:spacing w:after="0" w:line="221" w:lineRule="auto"/>
        <w:tabs>
          <w:tab w:leader="none" w:pos="452" w:val="left"/>
        </w:tabs>
        <w:numPr>
          <w:ilvl w:val="0"/>
          <w:numId w:val="180"/>
        </w:numPr>
        <w:rPr>
          <w:rFonts w:ascii="Arial" w:cs="Arial" w:eastAsia="Arial" w:hAnsi="Arial"/>
          <w:sz w:val="14"/>
          <w:szCs w:val="14"/>
          <w:color w:val="auto"/>
        </w:rPr>
      </w:pPr>
      <w:r>
        <w:rPr>
          <w:rFonts w:ascii="Arial" w:cs="Arial" w:eastAsia="Arial" w:hAnsi="Arial"/>
          <w:sz w:val="14"/>
          <w:szCs w:val="14"/>
          <w:color w:val="auto"/>
        </w:rPr>
        <w:t>Owned 99.8% by ACS Business Process Solutions Limited; 0.2% by ACS Commercial Solutions, Inc.</w:t>
      </w:r>
    </w:p>
    <w:p>
      <w:pPr>
        <w:ind w:left="452" w:hanging="452"/>
        <w:spacing w:after="0" w:line="221" w:lineRule="auto"/>
        <w:tabs>
          <w:tab w:leader="none" w:pos="452" w:val="left"/>
        </w:tabs>
        <w:numPr>
          <w:ilvl w:val="0"/>
          <w:numId w:val="180"/>
        </w:numPr>
        <w:rPr>
          <w:rFonts w:ascii="Arial" w:cs="Arial" w:eastAsia="Arial" w:hAnsi="Arial"/>
          <w:sz w:val="14"/>
          <w:szCs w:val="14"/>
          <w:color w:val="auto"/>
        </w:rPr>
      </w:pPr>
      <w:r>
        <w:rPr>
          <w:rFonts w:ascii="Arial" w:cs="Arial" w:eastAsia="Arial" w:hAnsi="Arial"/>
          <w:sz w:val="14"/>
          <w:szCs w:val="14"/>
          <w:color w:val="auto"/>
        </w:rPr>
        <w:t>Owned 99% by ACS HR Solutions LLC; 1% by ACS Human Resource Solutions, Inc.</w:t>
      </w:r>
    </w:p>
    <w:p>
      <w:pPr>
        <w:ind w:left="452" w:hanging="452"/>
        <w:spacing w:after="0" w:line="221" w:lineRule="auto"/>
        <w:tabs>
          <w:tab w:leader="none" w:pos="452" w:val="left"/>
        </w:tabs>
        <w:numPr>
          <w:ilvl w:val="0"/>
          <w:numId w:val="180"/>
        </w:numPr>
        <w:rPr>
          <w:rFonts w:ascii="Arial" w:cs="Arial" w:eastAsia="Arial" w:hAnsi="Arial"/>
          <w:sz w:val="14"/>
          <w:szCs w:val="14"/>
          <w:color w:val="auto"/>
        </w:rPr>
      </w:pPr>
      <w:r>
        <w:rPr>
          <w:rFonts w:ascii="Arial" w:cs="Arial" w:eastAsia="Arial" w:hAnsi="Arial"/>
          <w:sz w:val="14"/>
          <w:szCs w:val="14"/>
          <w:color w:val="auto"/>
        </w:rPr>
        <w:t>Owned 99% by ASC Transport Solutions, Inc.; 1% by ACS State &amp; Local Solutions, Inc.</w:t>
      </w:r>
    </w:p>
    <w:p>
      <w:pPr>
        <w:ind w:left="452" w:hanging="452"/>
        <w:spacing w:after="0" w:line="221" w:lineRule="auto"/>
        <w:tabs>
          <w:tab w:leader="none" w:pos="452" w:val="left"/>
        </w:tabs>
        <w:numPr>
          <w:ilvl w:val="0"/>
          <w:numId w:val="180"/>
        </w:numPr>
        <w:rPr>
          <w:rFonts w:ascii="Arial" w:cs="Arial" w:eastAsia="Arial" w:hAnsi="Arial"/>
          <w:sz w:val="14"/>
          <w:szCs w:val="14"/>
          <w:color w:val="auto"/>
        </w:rPr>
      </w:pPr>
      <w:r>
        <w:rPr>
          <w:rFonts w:ascii="Arial" w:cs="Arial" w:eastAsia="Arial" w:hAnsi="Arial"/>
          <w:sz w:val="14"/>
          <w:szCs w:val="14"/>
          <w:color w:val="auto"/>
        </w:rPr>
        <w:t>[Reserved]</w:t>
      </w:r>
    </w:p>
    <w:p>
      <w:pPr>
        <w:ind w:left="452" w:hanging="452"/>
        <w:spacing w:after="0" w:line="221" w:lineRule="auto"/>
        <w:tabs>
          <w:tab w:leader="none" w:pos="452" w:val="left"/>
        </w:tabs>
        <w:numPr>
          <w:ilvl w:val="0"/>
          <w:numId w:val="180"/>
        </w:numPr>
        <w:rPr>
          <w:rFonts w:ascii="Arial" w:cs="Arial" w:eastAsia="Arial" w:hAnsi="Arial"/>
          <w:sz w:val="14"/>
          <w:szCs w:val="14"/>
          <w:color w:val="auto"/>
        </w:rPr>
      </w:pPr>
      <w:r>
        <w:rPr>
          <w:rFonts w:ascii="Arial" w:cs="Arial" w:eastAsia="Arial" w:hAnsi="Arial"/>
          <w:sz w:val="14"/>
          <w:szCs w:val="14"/>
          <w:color w:val="auto"/>
        </w:rPr>
        <w:t>[Reserved]</w:t>
      </w:r>
    </w:p>
    <w:p>
      <w:pPr>
        <w:ind w:left="452" w:hanging="452"/>
        <w:spacing w:after="0" w:line="221" w:lineRule="auto"/>
        <w:tabs>
          <w:tab w:leader="none" w:pos="452" w:val="left"/>
        </w:tabs>
        <w:numPr>
          <w:ilvl w:val="0"/>
          <w:numId w:val="180"/>
        </w:numPr>
        <w:rPr>
          <w:rFonts w:ascii="Arial" w:cs="Arial" w:eastAsia="Arial" w:hAnsi="Arial"/>
          <w:sz w:val="14"/>
          <w:szCs w:val="14"/>
          <w:color w:val="auto"/>
        </w:rPr>
      </w:pPr>
      <w:r>
        <w:rPr>
          <w:rFonts w:ascii="Arial" w:cs="Arial" w:eastAsia="Arial" w:hAnsi="Arial"/>
          <w:sz w:val="14"/>
          <w:szCs w:val="14"/>
          <w:color w:val="auto"/>
        </w:rPr>
        <w:t>[Reserved]</w:t>
      </w:r>
    </w:p>
    <w:p>
      <w:pPr>
        <w:ind w:left="452" w:hanging="452"/>
        <w:spacing w:after="0"/>
        <w:tabs>
          <w:tab w:leader="none" w:pos="452" w:val="left"/>
        </w:tabs>
        <w:numPr>
          <w:ilvl w:val="0"/>
          <w:numId w:val="180"/>
        </w:numPr>
        <w:rPr>
          <w:rFonts w:ascii="Arial" w:cs="Arial" w:eastAsia="Arial" w:hAnsi="Arial"/>
          <w:sz w:val="14"/>
          <w:szCs w:val="14"/>
          <w:color w:val="auto"/>
        </w:rPr>
      </w:pPr>
      <w:r>
        <w:rPr>
          <w:rFonts w:ascii="Arial" w:cs="Arial" w:eastAsia="Arial" w:hAnsi="Arial"/>
          <w:sz w:val="14"/>
          <w:szCs w:val="14"/>
          <w:color w:val="auto"/>
        </w:rPr>
        <w:t>Owned 99% by ACS HR Solutions, LLP; 1% by ACS HR Solutions World Services, LLC.</w:t>
      </w:r>
    </w:p>
    <w:p>
      <w:pPr>
        <w:spacing w:after="0" w:line="130" w:lineRule="exact"/>
        <w:rPr>
          <w:sz w:val="20"/>
          <w:szCs w:val="20"/>
          <w:color w:val="auto"/>
        </w:rPr>
      </w:pPr>
    </w:p>
    <w:p>
      <w:pPr>
        <w:jc w:val="center"/>
        <w:ind w:right="-111"/>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312"/>
          </w:cols>
          <w:pgMar w:left="248" w:top="275" w:right="339" w:bottom="1440" w:gutter="0" w:footer="0" w:header="0"/>
        </w:sectPr>
      </w:pPr>
    </w:p>
    <w:bookmarkStart w:id="193" w:name="page194"/>
    <w:bookmarkEnd w:id="193"/>
    <w:p>
      <w:pPr>
        <w:jc w:val="right"/>
        <w:spacing w:after="0"/>
        <w:rPr>
          <w:sz w:val="20"/>
          <w:szCs w:val="20"/>
          <w:color w:val="auto"/>
        </w:rPr>
      </w:pPr>
      <w:r>
        <w:rPr>
          <w:rFonts w:ascii="Arial" w:cs="Arial" w:eastAsia="Arial" w:hAnsi="Arial"/>
          <w:sz w:val="22"/>
          <w:szCs w:val="22"/>
          <w:b w:val="1"/>
          <w:bCs w:val="1"/>
          <w:color w:val="6DAF3D"/>
        </w:rPr>
        <w:t>EXHIBIT 23</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6DAF3D"/>
        </w:rPr>
        <w:t>CONSENT OF INDEPENDENT REGISTERED PUBLIC ACCOUNTING FIRM</w:t>
      </w:r>
    </w:p>
    <w:p>
      <w:pPr>
        <w:spacing w:after="0" w:line="26" w:lineRule="exact"/>
        <w:rPr>
          <w:sz w:val="20"/>
          <w:szCs w:val="20"/>
          <w:color w:val="auto"/>
        </w:rPr>
      </w:pPr>
    </w:p>
    <w:p>
      <w:pPr>
        <w:ind w:right="100"/>
        <w:spacing w:after="0" w:line="273" w:lineRule="auto"/>
        <w:rPr>
          <w:sz w:val="20"/>
          <w:szCs w:val="20"/>
          <w:color w:val="auto"/>
        </w:rPr>
      </w:pPr>
      <w:r>
        <w:rPr>
          <w:rFonts w:ascii="Arial" w:cs="Arial" w:eastAsia="Arial" w:hAnsi="Arial"/>
          <w:sz w:val="16"/>
          <w:szCs w:val="16"/>
          <w:color w:val="auto"/>
        </w:rPr>
        <w:t>We hereby consent to the incorporation by reference in the Registration Statements on Form S-3 (No. 333-166431 and Form S-8 (Nos. 333-162639, 333-164766, 333-160264, 333-142417, 333-125250, 333-93269, 333-09821, 333-22313, 33-65269, 33-44314 and 333-167922) of Xerox Corporation of our report dated February 23, 2011 relating to the financial statements and the effectiveness of internal control over financial reporting, which appears in the Annual Report to Shareholders, which is incorporated in this Annual Report on Form 10-K. We also consent to the incorporation by reference of our report dated February 23, 2011 relating to the financial statement schedule, which appears in this Form 10-K.</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P</w:t>
      </w:r>
      <w:r>
        <w:rPr>
          <w:rFonts w:ascii="Arial" w:cs="Arial" w:eastAsia="Arial" w:hAnsi="Arial"/>
          <w:sz w:val="14"/>
          <w:szCs w:val="14"/>
          <w:color w:val="auto"/>
        </w:rPr>
        <w:t>RICEWATERHOUSE</w:t>
      </w:r>
      <w:r>
        <w:rPr>
          <w:rFonts w:ascii="Arial" w:cs="Arial" w:eastAsia="Arial" w:hAnsi="Arial"/>
          <w:sz w:val="18"/>
          <w:szCs w:val="18"/>
          <w:color w:val="auto"/>
        </w:rPr>
        <w:t>C</w:t>
      </w:r>
      <w:r>
        <w:rPr>
          <w:rFonts w:ascii="Arial" w:cs="Arial" w:eastAsia="Arial" w:hAnsi="Arial"/>
          <w:sz w:val="14"/>
          <w:szCs w:val="14"/>
          <w:color w:val="auto"/>
        </w:rPr>
        <w:t>OOPERS</w:t>
      </w:r>
      <w:r>
        <w:rPr>
          <w:rFonts w:ascii="Arial" w:cs="Arial" w:eastAsia="Arial" w:hAnsi="Arial"/>
          <w:sz w:val="18"/>
          <w:szCs w:val="18"/>
          <w:color w:val="auto"/>
        </w:rPr>
        <w:t xml:space="preserv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289877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PricewaterhouseCoopers LLP</w:t>
      </w:r>
    </w:p>
    <w:p>
      <w:pPr>
        <w:spacing w:after="0" w:line="225" w:lineRule="auto"/>
        <w:rPr>
          <w:sz w:val="20"/>
          <w:szCs w:val="20"/>
          <w:color w:val="auto"/>
        </w:rPr>
      </w:pPr>
      <w:r>
        <w:rPr>
          <w:rFonts w:ascii="Arial" w:cs="Arial" w:eastAsia="Arial" w:hAnsi="Arial"/>
          <w:sz w:val="14"/>
          <w:szCs w:val="14"/>
          <w:b w:val="1"/>
          <w:bCs w:val="1"/>
          <w:color w:val="auto"/>
        </w:rPr>
        <w:t>Stamford, CT</w:t>
      </w:r>
    </w:p>
    <w:p>
      <w:pPr>
        <w:spacing w:after="0"/>
        <w:rPr>
          <w:sz w:val="20"/>
          <w:szCs w:val="20"/>
          <w:color w:val="auto"/>
        </w:rPr>
      </w:pPr>
      <w:r>
        <w:rPr>
          <w:rFonts w:ascii="Arial" w:cs="Arial" w:eastAsia="Arial" w:hAnsi="Arial"/>
          <w:sz w:val="14"/>
          <w:szCs w:val="14"/>
          <w:b w:val="1"/>
          <w:bCs w:val="1"/>
          <w:color w:val="auto"/>
        </w:rPr>
        <w:t>February 23, 2011</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06" w:right="239" w:bottom="1440" w:gutter="0" w:footer="0" w:header="0"/>
        </w:sectPr>
      </w:pPr>
    </w:p>
    <w:bookmarkStart w:id="194" w:name="page195"/>
    <w:bookmarkEnd w:id="194"/>
    <w:p>
      <w:pPr>
        <w:jc w:val="right"/>
        <w:spacing w:after="0"/>
        <w:rPr>
          <w:sz w:val="20"/>
          <w:szCs w:val="20"/>
          <w:color w:val="auto"/>
        </w:rPr>
      </w:pPr>
      <w:r>
        <w:rPr>
          <w:rFonts w:ascii="Arial" w:cs="Arial" w:eastAsia="Arial" w:hAnsi="Arial"/>
          <w:sz w:val="22"/>
          <w:szCs w:val="22"/>
          <w:b w:val="1"/>
          <w:bCs w:val="1"/>
          <w:color w:val="6DAF3D"/>
        </w:rPr>
        <w:t>EXHIBIT 31(a)</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6DAF3D"/>
        </w:rPr>
        <w:t>CEO CERTIFICATIONS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 Ursula M. Burns, certify that:</w:t>
      </w:r>
    </w:p>
    <w:p>
      <w:pPr>
        <w:spacing w:after="0" w:line="77" w:lineRule="exact"/>
        <w:rPr>
          <w:sz w:val="20"/>
          <w:szCs w:val="20"/>
          <w:color w:val="auto"/>
        </w:rPr>
      </w:pPr>
    </w:p>
    <w:p>
      <w:pPr>
        <w:ind w:left="460" w:hanging="452"/>
        <w:spacing w:after="0"/>
        <w:tabs>
          <w:tab w:leader="none" w:pos="4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Xerox Corporation;</w:t>
      </w:r>
    </w:p>
    <w:p>
      <w:pPr>
        <w:spacing w:after="0" w:line="76" w:lineRule="exact"/>
        <w:rPr>
          <w:rFonts w:ascii="Arial" w:cs="Arial" w:eastAsia="Arial" w:hAnsi="Arial"/>
          <w:sz w:val="18"/>
          <w:szCs w:val="18"/>
          <w:color w:val="auto"/>
        </w:rPr>
      </w:pPr>
    </w:p>
    <w:p>
      <w:pPr>
        <w:ind w:left="460" w:right="100" w:hanging="452"/>
        <w:spacing w:after="0" w:line="238" w:lineRule="auto"/>
        <w:tabs>
          <w:tab w:leader="none" w:pos="4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2" w:lineRule="exact"/>
        <w:rPr>
          <w:rFonts w:ascii="Arial" w:cs="Arial" w:eastAsia="Arial" w:hAnsi="Arial"/>
          <w:sz w:val="18"/>
          <w:szCs w:val="18"/>
          <w:color w:val="auto"/>
        </w:rPr>
      </w:pPr>
    </w:p>
    <w:p>
      <w:pPr>
        <w:ind w:left="460" w:right="40" w:hanging="452"/>
        <w:spacing w:after="0" w:line="239" w:lineRule="auto"/>
        <w:tabs>
          <w:tab w:leader="none" w:pos="4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ind w:left="460" w:right="140" w:hanging="452"/>
        <w:spacing w:after="0" w:line="238" w:lineRule="auto"/>
        <w:tabs>
          <w:tab w:leader="none" w:pos="4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2" w:lineRule="exact"/>
        <w:rPr>
          <w:rFonts w:ascii="Arial" w:cs="Arial" w:eastAsia="Arial" w:hAnsi="Arial"/>
          <w:sz w:val="18"/>
          <w:szCs w:val="18"/>
          <w:color w:val="auto"/>
        </w:rPr>
      </w:pPr>
    </w:p>
    <w:p>
      <w:pPr>
        <w:ind w:left="900" w:right="20" w:hanging="446"/>
        <w:spacing w:after="0" w:line="238" w:lineRule="auto"/>
        <w:tabs>
          <w:tab w:leader="none" w:pos="90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2" w:lineRule="exact"/>
        <w:rPr>
          <w:rFonts w:ascii="Arial" w:cs="Arial" w:eastAsia="Arial" w:hAnsi="Arial"/>
          <w:sz w:val="18"/>
          <w:szCs w:val="18"/>
          <w:color w:val="auto"/>
        </w:rPr>
      </w:pPr>
    </w:p>
    <w:p>
      <w:pPr>
        <w:ind w:left="900" w:right="20" w:hanging="446"/>
        <w:spacing w:after="0" w:line="238" w:lineRule="auto"/>
        <w:tabs>
          <w:tab w:leader="none" w:pos="90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2" w:lineRule="exact"/>
        <w:rPr>
          <w:rFonts w:ascii="Arial" w:cs="Arial" w:eastAsia="Arial" w:hAnsi="Arial"/>
          <w:sz w:val="18"/>
          <w:szCs w:val="18"/>
          <w:color w:val="auto"/>
        </w:rPr>
      </w:pPr>
    </w:p>
    <w:p>
      <w:pPr>
        <w:ind w:left="900" w:right="280" w:hanging="446"/>
        <w:spacing w:after="0" w:line="238" w:lineRule="auto"/>
        <w:tabs>
          <w:tab w:leader="none" w:pos="90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2" w:lineRule="exact"/>
        <w:rPr>
          <w:rFonts w:ascii="Arial" w:cs="Arial" w:eastAsia="Arial" w:hAnsi="Arial"/>
          <w:sz w:val="18"/>
          <w:szCs w:val="18"/>
          <w:color w:val="auto"/>
        </w:rPr>
      </w:pPr>
    </w:p>
    <w:p>
      <w:pPr>
        <w:ind w:left="900" w:right="140" w:hanging="446"/>
        <w:spacing w:after="0" w:line="238" w:lineRule="auto"/>
        <w:tabs>
          <w:tab w:leader="none" w:pos="90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2" w:lineRule="exact"/>
        <w:rPr>
          <w:rFonts w:ascii="Arial" w:cs="Arial" w:eastAsia="Arial" w:hAnsi="Arial"/>
          <w:sz w:val="18"/>
          <w:szCs w:val="18"/>
          <w:color w:val="auto"/>
        </w:rPr>
      </w:pPr>
    </w:p>
    <w:p>
      <w:pPr>
        <w:ind w:left="460" w:right="180" w:hanging="452"/>
        <w:spacing w:after="0" w:line="299" w:lineRule="auto"/>
        <w:tabs>
          <w:tab w:leader="none" w:pos="46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7" w:lineRule="exact"/>
        <w:rPr>
          <w:rFonts w:ascii="Arial" w:cs="Arial" w:eastAsia="Arial" w:hAnsi="Arial"/>
          <w:sz w:val="16"/>
          <w:szCs w:val="16"/>
          <w:color w:val="auto"/>
        </w:rPr>
      </w:pPr>
    </w:p>
    <w:p>
      <w:pPr>
        <w:ind w:left="900" w:right="460" w:hanging="446"/>
        <w:spacing w:after="0" w:line="299" w:lineRule="auto"/>
        <w:tabs>
          <w:tab w:leader="none" w:pos="900" w:val="left"/>
        </w:tabs>
        <w:numPr>
          <w:ilvl w:val="1"/>
          <w:numId w:val="18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 w:lineRule="exact"/>
        <w:rPr>
          <w:rFonts w:ascii="Arial" w:cs="Arial" w:eastAsia="Arial" w:hAnsi="Arial"/>
          <w:sz w:val="16"/>
          <w:szCs w:val="16"/>
          <w:color w:val="auto"/>
        </w:rPr>
      </w:pPr>
    </w:p>
    <w:p>
      <w:pPr>
        <w:ind w:left="900" w:right="60" w:hanging="446"/>
        <w:spacing w:after="0" w:line="239" w:lineRule="auto"/>
        <w:tabs>
          <w:tab w:leader="none" w:pos="90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U</w:t>
      </w:r>
      <w:r>
        <w:rPr>
          <w:rFonts w:ascii="Arial" w:cs="Arial" w:eastAsia="Arial" w:hAnsi="Arial"/>
          <w:sz w:val="14"/>
          <w:szCs w:val="14"/>
          <w:color w:val="auto"/>
        </w:rPr>
        <w:t>RSULA</w:t>
      </w:r>
      <w:r>
        <w:rPr>
          <w:rFonts w:ascii="Arial" w:cs="Arial" w:eastAsia="Arial" w:hAnsi="Arial"/>
          <w:sz w:val="18"/>
          <w:szCs w:val="18"/>
          <w:color w:val="auto"/>
        </w:rPr>
        <w:t xml:space="preserve"> M. B</w:t>
      </w:r>
      <w:r>
        <w:rPr>
          <w:rFonts w:ascii="Arial" w:cs="Arial" w:eastAsia="Arial" w:hAnsi="Arial"/>
          <w:sz w:val="14"/>
          <w:szCs w:val="14"/>
          <w:color w:val="auto"/>
        </w:rPr>
        <w: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289877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Ursula M. Burns</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Principal Executive Officer</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06" w:right="239" w:bottom="1440" w:gutter="0" w:footer="0" w:header="0"/>
        </w:sectPr>
      </w:pPr>
    </w:p>
    <w:bookmarkStart w:id="195" w:name="page196"/>
    <w:bookmarkEnd w:id="195"/>
    <w:p>
      <w:pPr>
        <w:jc w:val="right"/>
        <w:spacing w:after="0"/>
        <w:rPr>
          <w:sz w:val="20"/>
          <w:szCs w:val="20"/>
          <w:color w:val="auto"/>
        </w:rPr>
      </w:pPr>
      <w:r>
        <w:rPr>
          <w:rFonts w:ascii="Arial" w:cs="Arial" w:eastAsia="Arial" w:hAnsi="Arial"/>
          <w:sz w:val="22"/>
          <w:szCs w:val="22"/>
          <w:b w:val="1"/>
          <w:bCs w:val="1"/>
          <w:color w:val="6DAF3D"/>
        </w:rPr>
        <w:t>EXHIBIT 31(b)</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6DAF3D"/>
        </w:rPr>
        <w:t>CFO CERTIFICATIONS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 Luca Maestri, certify that:</w:t>
      </w:r>
    </w:p>
    <w:p>
      <w:pPr>
        <w:spacing w:after="0" w:line="77" w:lineRule="exact"/>
        <w:rPr>
          <w:sz w:val="20"/>
          <w:szCs w:val="20"/>
          <w:color w:val="auto"/>
        </w:rPr>
      </w:pPr>
    </w:p>
    <w:p>
      <w:pPr>
        <w:ind w:left="460" w:hanging="452"/>
        <w:spacing w:after="0"/>
        <w:tabs>
          <w:tab w:leader="none" w:pos="4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Xerox Corporation;</w:t>
      </w:r>
    </w:p>
    <w:p>
      <w:pPr>
        <w:spacing w:after="0" w:line="76" w:lineRule="exact"/>
        <w:rPr>
          <w:rFonts w:ascii="Arial" w:cs="Arial" w:eastAsia="Arial" w:hAnsi="Arial"/>
          <w:sz w:val="18"/>
          <w:szCs w:val="18"/>
          <w:color w:val="auto"/>
        </w:rPr>
      </w:pPr>
    </w:p>
    <w:p>
      <w:pPr>
        <w:ind w:left="460" w:right="100" w:hanging="452"/>
        <w:spacing w:after="0" w:line="238" w:lineRule="auto"/>
        <w:tabs>
          <w:tab w:leader="none" w:pos="4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2" w:lineRule="exact"/>
        <w:rPr>
          <w:rFonts w:ascii="Arial" w:cs="Arial" w:eastAsia="Arial" w:hAnsi="Arial"/>
          <w:sz w:val="18"/>
          <w:szCs w:val="18"/>
          <w:color w:val="auto"/>
        </w:rPr>
      </w:pPr>
    </w:p>
    <w:p>
      <w:pPr>
        <w:ind w:left="460" w:right="40" w:hanging="452"/>
        <w:spacing w:after="0" w:line="239" w:lineRule="auto"/>
        <w:tabs>
          <w:tab w:leader="none" w:pos="4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ind w:left="460" w:right="140" w:hanging="452"/>
        <w:spacing w:after="0" w:line="238" w:lineRule="auto"/>
        <w:tabs>
          <w:tab w:leader="none" w:pos="4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2" w:lineRule="exact"/>
        <w:rPr>
          <w:rFonts w:ascii="Arial" w:cs="Arial" w:eastAsia="Arial" w:hAnsi="Arial"/>
          <w:sz w:val="18"/>
          <w:szCs w:val="18"/>
          <w:color w:val="auto"/>
        </w:rPr>
      </w:pPr>
    </w:p>
    <w:p>
      <w:pPr>
        <w:ind w:left="900" w:right="20" w:hanging="446"/>
        <w:spacing w:after="0" w:line="238" w:lineRule="auto"/>
        <w:tabs>
          <w:tab w:leader="none" w:pos="90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2" w:lineRule="exact"/>
        <w:rPr>
          <w:rFonts w:ascii="Arial" w:cs="Arial" w:eastAsia="Arial" w:hAnsi="Arial"/>
          <w:sz w:val="18"/>
          <w:szCs w:val="18"/>
          <w:color w:val="auto"/>
        </w:rPr>
      </w:pPr>
    </w:p>
    <w:p>
      <w:pPr>
        <w:ind w:left="900" w:right="20" w:hanging="446"/>
        <w:spacing w:after="0" w:line="238" w:lineRule="auto"/>
        <w:tabs>
          <w:tab w:leader="none" w:pos="90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2" w:lineRule="exact"/>
        <w:rPr>
          <w:rFonts w:ascii="Arial" w:cs="Arial" w:eastAsia="Arial" w:hAnsi="Arial"/>
          <w:sz w:val="18"/>
          <w:szCs w:val="18"/>
          <w:color w:val="auto"/>
        </w:rPr>
      </w:pPr>
    </w:p>
    <w:p>
      <w:pPr>
        <w:ind w:left="900" w:right="280" w:hanging="446"/>
        <w:spacing w:after="0" w:line="238" w:lineRule="auto"/>
        <w:tabs>
          <w:tab w:leader="none" w:pos="90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2" w:lineRule="exact"/>
        <w:rPr>
          <w:rFonts w:ascii="Arial" w:cs="Arial" w:eastAsia="Arial" w:hAnsi="Arial"/>
          <w:sz w:val="18"/>
          <w:szCs w:val="18"/>
          <w:color w:val="auto"/>
        </w:rPr>
      </w:pPr>
    </w:p>
    <w:p>
      <w:pPr>
        <w:ind w:left="900" w:right="140" w:hanging="446"/>
        <w:spacing w:after="0" w:line="238" w:lineRule="auto"/>
        <w:tabs>
          <w:tab w:leader="none" w:pos="90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2" w:lineRule="exact"/>
        <w:rPr>
          <w:rFonts w:ascii="Arial" w:cs="Arial" w:eastAsia="Arial" w:hAnsi="Arial"/>
          <w:sz w:val="18"/>
          <w:szCs w:val="18"/>
          <w:color w:val="auto"/>
        </w:rPr>
      </w:pPr>
    </w:p>
    <w:p>
      <w:pPr>
        <w:ind w:left="460" w:right="180" w:hanging="452"/>
        <w:spacing w:after="0" w:line="299" w:lineRule="auto"/>
        <w:tabs>
          <w:tab w:leader="none" w:pos="46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7" w:lineRule="exact"/>
        <w:rPr>
          <w:rFonts w:ascii="Arial" w:cs="Arial" w:eastAsia="Arial" w:hAnsi="Arial"/>
          <w:sz w:val="16"/>
          <w:szCs w:val="16"/>
          <w:color w:val="auto"/>
        </w:rPr>
      </w:pPr>
    </w:p>
    <w:p>
      <w:pPr>
        <w:ind w:left="900" w:right="460" w:hanging="446"/>
        <w:spacing w:after="0" w:line="299" w:lineRule="auto"/>
        <w:tabs>
          <w:tab w:leader="none" w:pos="900" w:val="left"/>
        </w:tabs>
        <w:numPr>
          <w:ilvl w:val="1"/>
          <w:numId w:val="18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 w:lineRule="exact"/>
        <w:rPr>
          <w:rFonts w:ascii="Arial" w:cs="Arial" w:eastAsia="Arial" w:hAnsi="Arial"/>
          <w:sz w:val="16"/>
          <w:szCs w:val="16"/>
          <w:color w:val="auto"/>
        </w:rPr>
      </w:pPr>
    </w:p>
    <w:p>
      <w:pPr>
        <w:ind w:left="900" w:right="60" w:hanging="446"/>
        <w:spacing w:after="0" w:line="239" w:lineRule="auto"/>
        <w:tabs>
          <w:tab w:leader="none" w:pos="90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L</w:t>
      </w:r>
      <w:r>
        <w:rPr>
          <w:rFonts w:ascii="Arial" w:cs="Arial" w:eastAsia="Arial" w:hAnsi="Arial"/>
          <w:sz w:val="14"/>
          <w:szCs w:val="14"/>
          <w:color w:val="auto"/>
        </w:rPr>
        <w:t>UCA</w:t>
      </w:r>
      <w:r>
        <w:rPr>
          <w:rFonts w:ascii="Arial" w:cs="Arial" w:eastAsia="Arial" w:hAnsi="Arial"/>
          <w:sz w:val="18"/>
          <w:szCs w:val="18"/>
          <w:color w:val="auto"/>
        </w:rPr>
        <w:t xml:space="preserve"> M</w:t>
      </w:r>
      <w:r>
        <w:rPr>
          <w:rFonts w:ascii="Arial" w:cs="Arial" w:eastAsia="Arial" w:hAnsi="Arial"/>
          <w:sz w:val="14"/>
          <w:szCs w:val="14"/>
          <w:color w:val="auto"/>
        </w:rPr>
        <w:t>AESTRI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289877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Luca Maestri</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Principal Financial Officer</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06" w:right="239" w:bottom="1440" w:gutter="0" w:footer="0" w:header="0"/>
        </w:sectPr>
      </w:pPr>
    </w:p>
    <w:bookmarkStart w:id="196" w:name="page197"/>
    <w:bookmarkEnd w:id="196"/>
    <w:p>
      <w:pPr>
        <w:ind w:left="10260"/>
        <w:spacing w:after="0"/>
        <w:rPr>
          <w:sz w:val="20"/>
          <w:szCs w:val="20"/>
          <w:color w:val="auto"/>
        </w:rPr>
      </w:pPr>
      <w:r>
        <w:rPr>
          <w:rFonts w:ascii="Arial" w:cs="Arial" w:eastAsia="Arial" w:hAnsi="Arial"/>
          <w:sz w:val="21"/>
          <w:szCs w:val="21"/>
          <w:b w:val="1"/>
          <w:bCs w:val="1"/>
          <w:color w:val="6DAF3D"/>
        </w:rPr>
        <w:t>EXHIBIT 32</w:t>
      </w:r>
    </w:p>
    <w:p>
      <w:pPr>
        <w:spacing w:after="0" w:line="179"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b w:val="1"/>
          <w:bCs w:val="1"/>
          <w:color w:val="6DAF3D"/>
        </w:rPr>
        <w:t>CERTIFICATION OF CEO AND CFO PURSUANT TO 18 U.S.C. § 1350, AS ADOPTED PURSUANT TO § 906 OF THE SARBANES-OXLEY ACT OF 2002</w:t>
      </w:r>
    </w:p>
    <w:p>
      <w:pPr>
        <w:spacing w:after="0" w:line="134"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In connection with the Form 10-K of Xerox Corporation, a New York corporation (the “Company”), for the year ending December 31, 2010, as filed with the Securities and Exchange Commission on the date hereof (the “Report”), Ursula M. Burns, Chairman of the Board and Chief Executive Officer of the Company, and Luca Maestri, Executive Vice President and Chief Financial Officer of the Company, each hereby certifies, pursuant to 18 U.S.C. § 1350, as adopted pursuant to § 906 of the Sarbanes-Oxley Act of 2002, to the best of his/her knowledge, that:</w:t>
      </w:r>
    </w:p>
    <w:p>
      <w:pPr>
        <w:spacing w:after="0" w:line="48" w:lineRule="exact"/>
        <w:rPr>
          <w:sz w:val="20"/>
          <w:szCs w:val="20"/>
          <w:color w:val="auto"/>
        </w:rPr>
      </w:pPr>
    </w:p>
    <w:p>
      <w:pPr>
        <w:ind w:left="280" w:hanging="272"/>
        <w:spacing w:after="0"/>
        <w:tabs>
          <w:tab w:leader="none" w:pos="2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76" w:lineRule="exact"/>
        <w:rPr>
          <w:rFonts w:ascii="Arial" w:cs="Arial" w:eastAsia="Arial" w:hAnsi="Arial"/>
          <w:sz w:val="18"/>
          <w:szCs w:val="18"/>
          <w:color w:val="auto"/>
        </w:rPr>
      </w:pPr>
    </w:p>
    <w:p>
      <w:pPr>
        <w:ind w:right="840" w:firstLine="8"/>
        <w:spacing w:after="0" w:line="239" w:lineRule="auto"/>
        <w:tabs>
          <w:tab w:leader="none" w:pos="263"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U</w:t>
      </w:r>
      <w:r>
        <w:rPr>
          <w:rFonts w:ascii="Arial" w:cs="Arial" w:eastAsia="Arial" w:hAnsi="Arial"/>
          <w:sz w:val="14"/>
          <w:szCs w:val="14"/>
          <w:color w:val="auto"/>
        </w:rPr>
        <w:t>RSULA</w:t>
      </w:r>
      <w:r>
        <w:rPr>
          <w:rFonts w:ascii="Arial" w:cs="Arial" w:eastAsia="Arial" w:hAnsi="Arial"/>
          <w:sz w:val="18"/>
          <w:szCs w:val="18"/>
          <w:color w:val="auto"/>
        </w:rPr>
        <w:t xml:space="preserve"> M. B</w:t>
      </w:r>
      <w:r>
        <w:rPr>
          <w:rFonts w:ascii="Arial" w:cs="Arial" w:eastAsia="Arial" w:hAnsi="Arial"/>
          <w:sz w:val="14"/>
          <w:szCs w:val="14"/>
          <w:color w:val="auto"/>
        </w:rPr>
        <w: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289877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Ursula M. Burns</w:t>
      </w:r>
    </w:p>
    <w:p>
      <w:pPr>
        <w:spacing w:after="0" w:line="225" w:lineRule="auto"/>
        <w:rPr>
          <w:sz w:val="20"/>
          <w:szCs w:val="20"/>
          <w:color w:val="auto"/>
        </w:rPr>
      </w:pPr>
      <w:r>
        <w:rPr>
          <w:rFonts w:ascii="Arial" w:cs="Arial" w:eastAsia="Arial" w:hAnsi="Arial"/>
          <w:sz w:val="14"/>
          <w:szCs w:val="14"/>
          <w:b w:val="1"/>
          <w:bCs w:val="1"/>
          <w:color w:val="auto"/>
        </w:rPr>
        <w:t>Chief Executive Officer</w:t>
      </w:r>
    </w:p>
    <w:p>
      <w:pPr>
        <w:spacing w:after="0"/>
        <w:rPr>
          <w:sz w:val="20"/>
          <w:szCs w:val="20"/>
          <w:color w:val="auto"/>
        </w:rPr>
      </w:pPr>
      <w:r>
        <w:rPr>
          <w:rFonts w:ascii="Arial" w:cs="Arial" w:eastAsia="Arial" w:hAnsi="Arial"/>
          <w:sz w:val="14"/>
          <w:szCs w:val="14"/>
          <w:b w:val="1"/>
          <w:bCs w:val="1"/>
          <w:color w:val="auto"/>
        </w:rPr>
        <w:t>February 23, 2011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L</w:t>
      </w:r>
      <w:r>
        <w:rPr>
          <w:rFonts w:ascii="Arial" w:cs="Arial" w:eastAsia="Arial" w:hAnsi="Arial"/>
          <w:sz w:val="14"/>
          <w:szCs w:val="14"/>
          <w:color w:val="auto"/>
        </w:rPr>
        <w:t>UCA</w:t>
      </w:r>
      <w:r>
        <w:rPr>
          <w:rFonts w:ascii="Arial" w:cs="Arial" w:eastAsia="Arial" w:hAnsi="Arial"/>
          <w:sz w:val="18"/>
          <w:szCs w:val="18"/>
          <w:color w:val="auto"/>
        </w:rPr>
        <w:t xml:space="preserve"> M</w:t>
      </w:r>
      <w:r>
        <w:rPr>
          <w:rFonts w:ascii="Arial" w:cs="Arial" w:eastAsia="Arial" w:hAnsi="Arial"/>
          <w:sz w:val="14"/>
          <w:szCs w:val="14"/>
          <w:color w:val="auto"/>
        </w:rPr>
        <w:t>AESTRI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289877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Luca Maestri</w:t>
      </w:r>
    </w:p>
    <w:p>
      <w:pPr>
        <w:spacing w:after="0" w:line="225" w:lineRule="auto"/>
        <w:rPr>
          <w:sz w:val="20"/>
          <w:szCs w:val="20"/>
          <w:color w:val="auto"/>
        </w:rPr>
      </w:pPr>
      <w:r>
        <w:rPr>
          <w:rFonts w:ascii="Arial" w:cs="Arial" w:eastAsia="Arial" w:hAnsi="Arial"/>
          <w:sz w:val="14"/>
          <w:szCs w:val="14"/>
          <w:b w:val="1"/>
          <w:bCs w:val="1"/>
          <w:color w:val="auto"/>
        </w:rPr>
        <w:t>Chief Financial Officer</w:t>
      </w:r>
    </w:p>
    <w:p>
      <w:pPr>
        <w:spacing w:after="0"/>
        <w:rPr>
          <w:sz w:val="20"/>
          <w:szCs w:val="20"/>
          <w:color w:val="auto"/>
        </w:rPr>
      </w:pPr>
      <w:r>
        <w:rPr>
          <w:rFonts w:ascii="Arial" w:cs="Arial" w:eastAsia="Arial" w:hAnsi="Arial"/>
          <w:sz w:val="14"/>
          <w:szCs w:val="14"/>
          <w:b w:val="1"/>
          <w:bCs w:val="1"/>
          <w:color w:val="auto"/>
        </w:rPr>
        <w:t>February 23, 2011</w:t>
      </w:r>
    </w:p>
    <w:p>
      <w:pPr>
        <w:spacing w:after="0" w:line="167"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This certification accompanies this Report pursuant to § 906 of the Sarbanes-Oxley Act of 2002 and shall not, except to the extent required by the Sarbanes-Oxley Act of 2002, be deemed filed by the Company for purposes of § 18 of the Securities Exchange Act of 1934, as amended.</w:t>
      </w:r>
    </w:p>
    <w:p>
      <w:pPr>
        <w:spacing w:after="0" w:line="155"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A signed original of this written statement required by § 906 has been provided to Xerox Corporation and will be retained by Xerox Corporation and furnished to the Securities and Exchange Commission or its staff upon request.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sectPr>
      <w:pgSz w:w="11900" w:h="16838" w:orient="portrait"/>
      <w:cols w:equalWidth="0" w:num="1">
        <w:col w:w="11420"/>
      </w:cols>
      <w:pgMar w:left="240" w:top="10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9EE015C"/>
    <w:multiLevelType w:val="hybridMultilevel"/>
    <w:lvl w:ilvl="0">
      <w:lvlJc w:val="left"/>
      <w:lvlText w:val="☒"/>
      <w:numFmt w:val="bullet"/>
      <w:start w:val="1"/>
    </w:lvl>
  </w:abstractNum>
  <w:abstractNum w:abstractNumId="1">
    <w:nsid w:val="57FC4FBB"/>
    <w:multiLevelType w:val="hybridMultilevel"/>
    <w:lvl w:ilvl="0">
      <w:lvlJc w:val="left"/>
      <w:lvlText w:val="☐"/>
      <w:numFmt w:val="bullet"/>
      <w:start w:val="1"/>
    </w:lvl>
  </w:abstractNum>
  <w:abstractNum w:abstractNumId="2">
    <w:nsid w:val="CC1016F"/>
    <w:multiLevelType w:val="hybridMultilevel"/>
    <w:lvl w:ilvl="0">
      <w:lvlJc w:val="left"/>
      <w:lvlText w:val="\endash "/>
      <w:numFmt w:val="bullet"/>
      <w:start w:val="1"/>
    </w:lvl>
  </w:abstractNum>
  <w:abstractNum w:abstractNumId="3">
    <w:nsid w:val="43F18422"/>
    <w:multiLevelType w:val="hybridMultilevel"/>
    <w:lvl w:ilvl="0">
      <w:lvlJc w:val="left"/>
      <w:lvlText w:val="\endash "/>
      <w:numFmt w:val="bullet"/>
      <w:start w:val="1"/>
    </w:lvl>
  </w:abstractNum>
  <w:abstractNum w:abstractNumId="4">
    <w:nsid w:val="60EF0119"/>
    <w:multiLevelType w:val="hybridMultilevel"/>
    <w:lvl w:ilvl="0">
      <w:lvlJc w:val="left"/>
      <w:lvlText w:val="\endash "/>
      <w:numFmt w:val="bullet"/>
      <w:start w:val="1"/>
    </w:lvl>
  </w:abstractNum>
  <w:abstractNum w:abstractNumId="5">
    <w:nsid w:val="26F324BA"/>
    <w:multiLevelType w:val="hybridMultilevel"/>
    <w:lvl w:ilvl="0">
      <w:lvlJc w:val="left"/>
      <w:lvlText w:val="\endash "/>
      <w:numFmt w:val="bullet"/>
      <w:start w:val="1"/>
    </w:lvl>
  </w:abstractNum>
  <w:abstractNum w:abstractNumId="6">
    <w:nsid w:val="7F01579B"/>
    <w:multiLevelType w:val="hybridMultilevel"/>
    <w:lvl w:ilvl="0">
      <w:lvlJc w:val="left"/>
      <w:lvlText w:val="\endash "/>
      <w:numFmt w:val="bullet"/>
      <w:start w:val="1"/>
    </w:lvl>
  </w:abstractNum>
  <w:abstractNum w:abstractNumId="7">
    <w:nsid w:val="49DA307D"/>
    <w:multiLevelType w:val="hybridMultilevel"/>
    <w:lvl w:ilvl="0">
      <w:lvlJc w:val="left"/>
      <w:lvlText w:val="\endash "/>
      <w:numFmt w:val="bullet"/>
      <w:start w:val="1"/>
    </w:lvl>
  </w:abstractNum>
  <w:abstractNum w:abstractNumId="8">
    <w:nsid w:val="7055A5F5"/>
    <w:multiLevelType w:val="hybridMultilevel"/>
    <w:lvl w:ilvl="0">
      <w:lvlJc w:val="left"/>
      <w:lvlText w:val="\endash "/>
      <w:numFmt w:val="bullet"/>
      <w:start w:val="1"/>
    </w:lvl>
  </w:abstractNum>
  <w:abstractNum w:abstractNumId="9">
    <w:nsid w:val="5FB8370B"/>
    <w:multiLevelType w:val="hybridMultilevel"/>
    <w:lvl w:ilvl="0">
      <w:lvlJc w:val="left"/>
      <w:lvlText w:val="\endash "/>
      <w:numFmt w:val="bullet"/>
      <w:start w:val="1"/>
    </w:lvl>
  </w:abstractNum>
  <w:abstractNum w:abstractNumId="10">
    <w:nsid w:val="50801EE1"/>
    <w:multiLevelType w:val="hybridMultilevel"/>
    <w:lvl w:ilvl="0">
      <w:lvlJc w:val="left"/>
      <w:lvlText w:val="\endash "/>
      <w:numFmt w:val="bullet"/>
      <w:start w:val="1"/>
    </w:lvl>
  </w:abstractNum>
  <w:abstractNum w:abstractNumId="11">
    <w:nsid w:val="488AC1A"/>
    <w:multiLevelType w:val="hybridMultilevel"/>
    <w:lvl w:ilvl="0">
      <w:lvlJc w:val="left"/>
      <w:lvlText w:val="\endash "/>
      <w:numFmt w:val="bullet"/>
      <w:start w:val="1"/>
    </w:lvl>
  </w:abstractNum>
  <w:abstractNum w:abstractNumId="12">
    <w:nsid w:val="5FB8011C"/>
    <w:multiLevelType w:val="hybridMultilevel"/>
    <w:lvl w:ilvl="0">
      <w:lvlJc w:val="left"/>
      <w:lvlText w:val="\endash "/>
      <w:numFmt w:val="bullet"/>
      <w:start w:val="1"/>
    </w:lvl>
  </w:abstractNum>
  <w:abstractNum w:abstractNumId="13">
    <w:nsid w:val="6AA78F7F"/>
    <w:multiLevelType w:val="hybridMultilevel"/>
    <w:lvl w:ilvl="0">
      <w:lvlJc w:val="left"/>
      <w:lvlText w:val="\endash "/>
      <w:numFmt w:val="bullet"/>
      <w:start w:val="1"/>
    </w:lvl>
  </w:abstractNum>
  <w:abstractNum w:abstractNumId="14">
    <w:nsid w:val="7672BD23"/>
    <w:multiLevelType w:val="hybridMultilevel"/>
    <w:lvl w:ilvl="0">
      <w:lvlJc w:val="left"/>
      <w:lvlText w:val="\endash "/>
      <w:numFmt w:val="bullet"/>
      <w:start w:val="1"/>
    </w:lvl>
  </w:abstractNum>
  <w:abstractNum w:abstractNumId="15">
    <w:nsid w:val="6FC75AF8"/>
    <w:multiLevelType w:val="hybridMultilevel"/>
    <w:lvl w:ilvl="0">
      <w:lvlJc w:val="left"/>
      <w:lvlText w:val="\endash "/>
      <w:numFmt w:val="bullet"/>
      <w:start w:val="1"/>
    </w:lvl>
  </w:abstractNum>
  <w:abstractNum w:abstractNumId="16">
    <w:nsid w:val="6A5F7029"/>
    <w:multiLevelType w:val="hybridMultilevel"/>
    <w:lvl w:ilvl="0">
      <w:lvlJc w:val="left"/>
      <w:lvlText w:val="\endash "/>
      <w:numFmt w:val="bullet"/>
      <w:start w:val="1"/>
    </w:lvl>
  </w:abstractNum>
  <w:abstractNum w:abstractNumId="17">
    <w:nsid w:val="7D5E18F8"/>
    <w:multiLevelType w:val="hybridMultilevel"/>
    <w:lvl w:ilvl="0">
      <w:lvlJc w:val="left"/>
      <w:lvlText w:val="\endash "/>
      <w:numFmt w:val="bullet"/>
      <w:start w:val="1"/>
    </w:lvl>
  </w:abstractNum>
  <w:abstractNum w:abstractNumId="18">
    <w:nsid w:val="5F3534A4"/>
    <w:multiLevelType w:val="hybridMultilevel"/>
    <w:lvl w:ilvl="0">
      <w:lvlJc w:val="left"/>
      <w:lvlText w:val="\endash "/>
      <w:numFmt w:val="bullet"/>
      <w:start w:val="1"/>
    </w:lvl>
  </w:abstractNum>
  <w:abstractNum w:abstractNumId="19">
    <w:nsid w:val="73A1821B"/>
    <w:multiLevelType w:val="hybridMultilevel"/>
    <w:lvl w:ilvl="0">
      <w:lvlJc w:val="left"/>
      <w:lvlText w:val="\endash "/>
      <w:numFmt w:val="bullet"/>
      <w:start w:val="1"/>
    </w:lvl>
    <w:lvl w:ilvl="1">
      <w:lvlJc w:val="left"/>
      <w:lvlText w:val="•"/>
      <w:numFmt w:val="bullet"/>
      <w:start w:val="1"/>
    </w:lvl>
  </w:abstractNum>
  <w:abstractNum w:abstractNumId="20">
    <w:nsid w:val="7DE67713"/>
    <w:multiLevelType w:val="hybridMultilevel"/>
    <w:lvl w:ilvl="0">
      <w:lvlJc w:val="left"/>
      <w:lvlText w:val="\endash "/>
      <w:numFmt w:val="bullet"/>
      <w:start w:val="1"/>
    </w:lvl>
    <w:lvl w:ilvl="1">
      <w:lvlJc w:val="left"/>
      <w:lvlText w:val="•"/>
      <w:numFmt w:val="bullet"/>
      <w:start w:val="1"/>
    </w:lvl>
  </w:abstractNum>
  <w:abstractNum w:abstractNumId="21">
    <w:nsid w:val="555C55B5"/>
    <w:multiLevelType w:val="hybridMultilevel"/>
    <w:lvl w:ilvl="0">
      <w:lvlJc w:val="left"/>
      <w:lvlText w:val="\endash "/>
      <w:numFmt w:val="bullet"/>
      <w:start w:val="1"/>
    </w:lvl>
  </w:abstractNum>
  <w:abstractNum w:abstractNumId="22">
    <w:nsid w:val="3FA62ACA"/>
    <w:multiLevelType w:val="hybridMultilevel"/>
    <w:lvl w:ilvl="0">
      <w:lvlJc w:val="left"/>
      <w:lvlText w:val="\endash "/>
      <w:numFmt w:val="bullet"/>
      <w:start w:val="1"/>
    </w:lvl>
  </w:abstractNum>
  <w:abstractNum w:abstractNumId="23">
    <w:nsid w:val="14FCE74E"/>
    <w:multiLevelType w:val="hybridMultilevel"/>
    <w:lvl w:ilvl="0">
      <w:lvlJc w:val="left"/>
      <w:lvlText w:val="\endash "/>
      <w:numFmt w:val="bullet"/>
      <w:start w:val="1"/>
    </w:lvl>
  </w:abstractNum>
  <w:abstractNum w:abstractNumId="24">
    <w:nsid w:val="6A3DD3E8"/>
    <w:multiLevelType w:val="hybridMultilevel"/>
    <w:lvl w:ilvl="0">
      <w:lvlJc w:val="left"/>
      <w:lvlText w:val="\endash "/>
      <w:numFmt w:val="bullet"/>
      <w:start w:val="1"/>
    </w:lvl>
  </w:abstractNum>
  <w:abstractNum w:abstractNumId="25">
    <w:nsid w:val="71C91298"/>
    <w:multiLevelType w:val="hybridMultilevel"/>
    <w:lvl w:ilvl="0">
      <w:lvlJc w:val="left"/>
      <w:lvlText w:val="\endash "/>
      <w:numFmt w:val="bullet"/>
      <w:start w:val="1"/>
    </w:lvl>
  </w:abstractNum>
  <w:abstractNum w:abstractNumId="26">
    <w:nsid w:val="9DAF632"/>
    <w:multiLevelType w:val="hybridMultilevel"/>
    <w:lvl w:ilvl="0">
      <w:lvlJc w:val="left"/>
      <w:lvlText w:val="(%1)"/>
      <w:numFmt w:val="lowerLetter"/>
      <w:start w:val="1"/>
    </w:lvl>
  </w:abstractNum>
  <w:abstractNum w:abstractNumId="27">
    <w:nsid w:val="53299938"/>
    <w:multiLevelType w:val="hybridMultilevel"/>
    <w:lvl w:ilvl="0">
      <w:lvlJc w:val="left"/>
      <w:lvlText w:val="(%1)"/>
      <w:numFmt w:val="lowerLetter"/>
      <w:start w:val="1"/>
    </w:lvl>
  </w:abstractNum>
  <w:abstractNum w:abstractNumId="28">
    <w:nsid w:val="1FBFE8E0"/>
    <w:multiLevelType w:val="hybridMultilevel"/>
    <w:lvl w:ilvl="0">
      <w:lvlJc w:val="left"/>
      <w:lvlText w:val="(%1)"/>
      <w:numFmt w:val="lowerLetter"/>
      <w:start w:val="2"/>
    </w:lvl>
  </w:abstractNum>
  <w:abstractNum w:abstractNumId="29">
    <w:nsid w:val="5092CA79"/>
    <w:multiLevelType w:val="hybridMultilevel"/>
    <w:lvl w:ilvl="0">
      <w:lvlJc w:val="left"/>
      <w:lvlText w:val="(%1)"/>
      <w:numFmt w:val="decimal"/>
      <w:start w:val="1"/>
    </w:lvl>
  </w:abstractNum>
  <w:abstractNum w:abstractNumId="30">
    <w:nsid w:val="1D545C4D"/>
    <w:multiLevelType w:val="hybridMultilevel"/>
    <w:lvl w:ilvl="0">
      <w:lvlJc w:val="left"/>
      <w:lvlText w:val="(%1)"/>
      <w:numFmt w:val="lowerLetter"/>
      <w:start w:val="1"/>
    </w:lvl>
  </w:abstractNum>
  <w:abstractNum w:abstractNumId="31">
    <w:nsid w:val="59ADEA3D"/>
    <w:multiLevelType w:val="hybridMultilevel"/>
    <w:lvl w:ilvl="0">
      <w:lvlJc w:val="left"/>
      <w:lvlText w:val="%1"/>
      <w:numFmt w:val="lowerLetter"/>
      <w:start w:val="1"/>
    </w:lvl>
    <w:lvl w:ilvl="1">
      <w:lvlJc w:val="left"/>
      <w:lvlText w:val="(%2)"/>
      <w:numFmt w:val="decimal"/>
      <w:start w:val="2"/>
    </w:lvl>
  </w:abstractNum>
  <w:abstractNum w:abstractNumId="32">
    <w:nsid w:val="288F1A34"/>
    <w:multiLevelType w:val="hybridMultilevel"/>
    <w:lvl w:ilvl="0">
      <w:lvlJc w:val="left"/>
      <w:lvlText w:val="(%1)"/>
      <w:numFmt w:val="lowerLetter"/>
      <w:start w:val="2"/>
    </w:lvl>
    <w:lvl w:ilvl="1">
      <w:lvlJc w:val="left"/>
      <w:lvlText w:val="%2"/>
      <w:numFmt w:val="decimal"/>
      <w:start w:val="1"/>
    </w:lvl>
  </w:abstractNum>
  <w:abstractNum w:abstractNumId="33">
    <w:nsid w:val="2A155DBC"/>
    <w:multiLevelType w:val="hybridMultilevel"/>
    <w:lvl w:ilvl="0">
      <w:lvlJc w:val="left"/>
      <w:lvlText w:val="(%1)"/>
      <w:numFmt w:val="decimal"/>
      <w:start w:val="1"/>
    </w:lvl>
  </w:abstractNum>
  <w:abstractNum w:abstractNumId="34">
    <w:nsid w:val="1D9F6E5F"/>
    <w:multiLevelType w:val="hybridMultilevel"/>
    <w:lvl w:ilvl="0">
      <w:lvlJc w:val="left"/>
      <w:lvlText w:val="%1"/>
      <w:numFmt w:val="decimal"/>
      <w:start w:val="10"/>
    </w:lvl>
  </w:abstractNum>
  <w:abstractNum w:abstractNumId="35">
    <w:nsid w:val="97E1B4E"/>
    <w:multiLevelType w:val="hybridMultilevel"/>
    <w:lvl w:ilvl="0">
      <w:lvlJc w:val="left"/>
      <w:lvlText w:val="%1"/>
      <w:numFmt w:val="decimal"/>
      <w:start w:val="12"/>
    </w:lvl>
  </w:abstractNum>
  <w:abstractNum w:abstractNumId="36">
    <w:nsid w:val="51088277"/>
    <w:multiLevelType w:val="hybridMultilevel"/>
    <w:lvl w:ilvl="0">
      <w:lvlJc w:val="left"/>
      <w:lvlText w:val="**"/>
      <w:numFmt w:val="bullet"/>
      <w:start w:val="1"/>
    </w:lvl>
  </w:abstractNum>
  <w:abstractNum w:abstractNumId="37">
    <w:nsid w:val="1CA0C5FA"/>
    <w:multiLevelType w:val="hybridMultilevel"/>
    <w:lvl w:ilvl="0">
      <w:lvlJc w:val="left"/>
      <w:lvlText w:val="*"/>
      <w:numFmt w:val="bullet"/>
      <w:start w:val="1"/>
    </w:lvl>
  </w:abstractNum>
  <w:abstractNum w:abstractNumId="38">
    <w:nsid w:val="53584BCB"/>
    <w:multiLevelType w:val="hybridMultilevel"/>
    <w:lvl w:ilvl="0">
      <w:lvlJc w:val="left"/>
      <w:lvlText w:val="%1."/>
      <w:numFmt w:val="decimal"/>
      <w:start w:val="1"/>
    </w:lvl>
  </w:abstractNum>
  <w:abstractNum w:abstractNumId="39">
    <w:nsid w:val="415E286C"/>
    <w:multiLevelType w:val="hybridMultilevel"/>
    <w:lvl w:ilvl="0">
      <w:lvlJc w:val="left"/>
      <w:lvlText w:val="%1."/>
      <w:numFmt w:val="decimal"/>
      <w:start w:val="2"/>
    </w:lvl>
  </w:abstractNum>
  <w:abstractNum w:abstractNumId="40">
    <w:nsid w:val="7C58FD05"/>
    <w:multiLevelType w:val="hybridMultilevel"/>
    <w:lvl w:ilvl="0">
      <w:lvlJc w:val="left"/>
      <w:lvlText w:val="%1."/>
      <w:numFmt w:val="decimal"/>
      <w:start w:val="3"/>
    </w:lvl>
  </w:abstractNum>
  <w:abstractNum w:abstractNumId="41">
    <w:nsid w:val="23D86AAC"/>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42">
    <w:nsid w:val="45E6D486"/>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3"/>
    </w:lvl>
  </w:abstractNum>
  <w:abstractNum w:abstractNumId="43">
    <w:nsid w:val="5C10FE21"/>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44">
    <w:nsid w:val="E7FFA2B"/>
    <w:multiLevelType w:val="hybridMultilevel"/>
    <w:lvl w:ilvl="0">
      <w:lvlJc w:val="left"/>
      <w:lvlText w:val="(%1)"/>
      <w:numFmt w:val="lowerRoman"/>
      <w:start w:val="5"/>
    </w:lvl>
    <w:lvl w:ilvl="1">
      <w:lvlJc w:val="left"/>
      <w:lvlText w:val="%2"/>
      <w:numFmt w:val="lowerLetter"/>
      <w:start w:val="1"/>
    </w:lvl>
    <w:lvl w:ilvl="2">
      <w:lvlJc w:val="left"/>
      <w:lvlText w:val="%3"/>
      <w:numFmt w:val="lowerRoman"/>
      <w:start w:val="1"/>
    </w:lvl>
  </w:abstractNum>
  <w:abstractNum w:abstractNumId="45">
    <w:nsid w:val="3C5991AA"/>
    <w:multiLevelType w:val="hybridMultilevel"/>
    <w:lvl w:ilvl="0">
      <w:lvlJc w:val="left"/>
      <w:lvlText w:val="%1."/>
      <w:numFmt w:val="decimal"/>
      <w:start w:val="9"/>
    </w:lvl>
    <w:lvl w:ilvl="1">
      <w:lvlJc w:val="left"/>
      <w:lvlText w:val="(%2)"/>
      <w:numFmt w:val="lowerLetter"/>
      <w:start w:val="1"/>
    </w:lvl>
  </w:abstractNum>
  <w:abstractNum w:abstractNumId="46">
    <w:nsid w:val="4BD8591A"/>
    <w:multiLevelType w:val="hybridMultilevel"/>
    <w:lvl w:ilvl="0">
      <w:lvlJc w:val="left"/>
      <w:lvlText w:val="%1"/>
      <w:numFmt w:val="decimal"/>
      <w:start w:val="1"/>
    </w:lvl>
    <w:lvl w:ilvl="1">
      <w:lvlJc w:val="left"/>
      <w:lvlText w:val="(%2)"/>
      <w:numFmt w:val="lowerLetter"/>
      <w:start w:val="4"/>
    </w:lvl>
  </w:abstractNum>
  <w:abstractNum w:abstractNumId="47">
    <w:nsid w:val="78DF6A55"/>
    <w:multiLevelType w:val="hybridMultilevel"/>
    <w:lvl w:ilvl="0">
      <w:lvlJc w:val="left"/>
      <w:lvlText w:val="%1."/>
      <w:numFmt w:val="decimal"/>
      <w:start w:val="12"/>
    </w:lvl>
    <w:lvl w:ilvl="1">
      <w:lvlJc w:val="left"/>
      <w:lvlText w:val="(%2)"/>
      <w:numFmt w:val="lowerLetter"/>
      <w:start w:val="1"/>
    </w:lvl>
  </w:abstractNum>
  <w:abstractNum w:abstractNumId="48">
    <w:nsid w:val="39B7AAA2"/>
    <w:multiLevelType w:val="hybridMultilevel"/>
    <w:lvl w:ilvl="0">
      <w:lvlJc w:val="left"/>
      <w:lvlText w:val="(%1)"/>
      <w:numFmt w:val="lowerRoman"/>
      <w:start w:val="1"/>
    </w:lvl>
  </w:abstractNum>
  <w:abstractNum w:abstractNumId="49">
    <w:nsid w:val="2B0D8DB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50">
    <w:nsid w:val="6C80EC70"/>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51">
    <w:nsid w:val="379E21B5"/>
    <w:multiLevelType w:val="hybridMultilevel"/>
    <w:lvl w:ilvl="0">
      <w:lvlJc w:val="left"/>
      <w:lvlText w:val="%1."/>
      <w:numFmt w:val="decimal"/>
      <w:start w:val="17"/>
    </w:lvl>
    <w:lvl w:ilvl="1">
      <w:lvlJc w:val="left"/>
      <w:lvlText w:val="(%2)"/>
      <w:numFmt w:val="lowerLetter"/>
      <w:start w:val="1"/>
    </w:lvl>
    <w:lvl w:ilvl="2">
      <w:lvlJc w:val="left"/>
      <w:lvlText w:val="%3"/>
      <w:numFmt w:val="lowerRoman"/>
      <w:start w:val="1"/>
    </w:lvl>
  </w:abstractNum>
  <w:abstractNum w:abstractNumId="52">
    <w:nsid w:val="69E373"/>
    <w:multiLevelType w:val="hybridMultilevel"/>
    <w:lvl w:ilvl="0">
      <w:lvlJc w:val="left"/>
      <w:lvlText w:val="%1."/>
      <w:numFmt w:val="decimal"/>
      <w:start w:val="20"/>
    </w:lvl>
  </w:abstractNum>
  <w:abstractNum w:abstractNumId="53">
    <w:nsid w:val="2C27173B"/>
    <w:multiLevelType w:val="hybridMultilevel"/>
    <w:lvl w:ilvl="0">
      <w:lvlJc w:val="left"/>
      <w:lvlText w:val="%1."/>
      <w:numFmt w:val="decimal"/>
      <w:start w:val="24"/>
    </w:lvl>
  </w:abstractNum>
  <w:abstractNum w:abstractNumId="54">
    <w:nsid w:val="4C9B090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5">
    <w:nsid w:val="6AA7B75C"/>
    <w:multiLevelType w:val="hybridMultilevel"/>
    <w:lvl w:ilvl="0">
      <w:lvlJc w:val="left"/>
      <w:lvlText w:val="%1"/>
      <w:numFmt w:val="lowerLetter"/>
      <w:start w:val="1"/>
    </w:lvl>
    <w:lvl w:ilvl="1">
      <w:lvlJc w:val="left"/>
      <w:lvlText w:val="(%2)"/>
      <w:numFmt w:val="lowerRoman"/>
      <w:start w:val="3"/>
    </w:lvl>
  </w:abstractNum>
  <w:abstractNum w:abstractNumId="56">
    <w:nsid w:val="1DF029D3"/>
    <w:multiLevelType w:val="hybridMultilevel"/>
    <w:lvl w:ilvl="0">
      <w:lvlJc w:val="left"/>
      <w:lvlText w:val="(%1)"/>
      <w:numFmt w:val="lowerLetter"/>
      <w:start w:val="4"/>
    </w:lvl>
    <w:lvl w:ilvl="1">
      <w:lvlJc w:val="left"/>
      <w:lvlText w:val="%2"/>
      <w:numFmt w:val="lowerRoman"/>
      <w:start w:val="1"/>
    </w:lvl>
  </w:abstractNum>
  <w:abstractNum w:abstractNumId="57">
    <w:nsid w:val="5675FF36"/>
    <w:multiLevelType w:val="hybridMultilevel"/>
    <w:lvl w:ilvl="0">
      <w:lvlJc w:val="left"/>
      <w:lvlText w:val="(%1)"/>
      <w:numFmt w:val="lowerLetter"/>
      <w:start w:val="5"/>
    </w:lvl>
    <w:lvl w:ilvl="1">
      <w:lvlJc w:val="left"/>
      <w:lvlText w:val="(%2)"/>
      <w:numFmt w:val="lowerRoman"/>
      <w:start w:val="1"/>
    </w:lvl>
  </w:abstractNum>
  <w:abstractNum w:abstractNumId="58">
    <w:nsid w:val="3DD15094"/>
    <w:multiLevelType w:val="hybridMultilevel"/>
    <w:lvl w:ilvl="0">
      <w:lvlJc w:val="left"/>
      <w:lvlText w:val="(%1)"/>
      <w:numFmt w:val="lowerLetter"/>
      <w:start w:val="10"/>
    </w:lvl>
    <w:lvl w:ilvl="1">
      <w:lvlJc w:val="left"/>
      <w:lvlText w:val="(%2)"/>
      <w:numFmt w:val="lowerLetter"/>
      <w:start w:val="9"/>
    </w:lvl>
  </w:abstractNum>
  <w:abstractNum w:abstractNumId="59">
    <w:nsid w:val="3DB012B3"/>
    <w:multiLevelType w:val="hybridMultilevel"/>
    <w:lvl w:ilvl="0">
      <w:lvlJc w:val="left"/>
      <w:lvlText w:val="%1"/>
      <w:numFmt w:val="lowerLetter"/>
      <w:start w:val="1"/>
    </w:lvl>
    <w:lvl w:ilvl="1">
      <w:lvlJc w:val="left"/>
      <w:lvlText w:val="(%2)"/>
      <w:numFmt w:val="lowerRoman"/>
      <w:start w:val="2"/>
    </w:lvl>
  </w:abstractNum>
  <w:abstractNum w:abstractNumId="60">
    <w:nsid w:val="2708C9AF"/>
    <w:multiLevelType w:val="hybridMultilevel"/>
    <w:lvl w:ilvl="0">
      <w:lvlJc w:val="left"/>
      <w:lvlText w:val="(%1)"/>
      <w:numFmt w:val="lowerLetter"/>
      <w:start w:val="11"/>
    </w:lvl>
    <w:lvl w:ilvl="1">
      <w:lvlJc w:val="left"/>
      <w:lvlText w:val="%2"/>
      <w:numFmt w:val="lowerRoman"/>
      <w:start w:val="1"/>
    </w:lvl>
  </w:abstractNum>
  <w:abstractNum w:abstractNumId="61">
    <w:nsid w:val="5B25ACE2"/>
    <w:multiLevelType w:val="hybridMultilevel"/>
    <w:lvl w:ilvl="0">
      <w:lvlJc w:val="left"/>
      <w:lvlText w:val="(%1)"/>
      <w:numFmt w:val="lowerRoman"/>
      <w:start w:val="1"/>
    </w:lvl>
  </w:abstractNum>
  <w:abstractNum w:abstractNumId="62">
    <w:nsid w:val="175DFCF0"/>
    <w:multiLevelType w:val="hybridMultilevel"/>
    <w:lvl w:ilvl="0">
      <w:lvlJc w:val="left"/>
      <w:lvlText w:val="(%1)"/>
      <w:numFmt w:val="lowerRoman"/>
      <w:start w:val="2"/>
    </w:lvl>
  </w:abstractNum>
  <w:abstractNum w:abstractNumId="63">
    <w:nsid w:val="4F97E3E4"/>
    <w:multiLevelType w:val="hybridMultilevel"/>
    <w:lvl w:ilvl="0">
      <w:lvlJc w:val="left"/>
      <w:lvlText w:val="%1"/>
      <w:numFmt w:val="lowerLetter"/>
      <w:start w:val="1"/>
    </w:lvl>
    <w:lvl w:ilvl="1">
      <w:lvlJc w:val="left"/>
      <w:lvlText w:val="(%2)"/>
      <w:numFmt w:val="lowerRoman"/>
      <w:start w:val="3"/>
    </w:lvl>
  </w:abstractNum>
  <w:abstractNum w:abstractNumId="64">
    <w:nsid w:val="53B0A9E"/>
    <w:multiLevelType w:val="hybridMultilevel"/>
    <w:lvl w:ilvl="0">
      <w:lvlJc w:val="left"/>
      <w:lvlText w:val="(%1)"/>
      <w:numFmt w:val="lowerLetter"/>
      <w:start w:val="12"/>
    </w:lvl>
    <w:lvl w:ilvl="1">
      <w:lvlJc w:val="left"/>
      <w:lvlText w:val="(%2)"/>
      <w:numFmt w:val="lowerRoman"/>
      <w:start w:val="1"/>
    </w:lvl>
  </w:abstractNum>
  <w:abstractNum w:abstractNumId="65">
    <w:nsid w:val="34FD6B4F"/>
    <w:multiLevelType w:val="hybridMultilevel"/>
    <w:lvl w:ilvl="0">
      <w:lvlJc w:val="left"/>
      <w:lvlText w:val="(%1)"/>
      <w:numFmt w:val="lowerRoman"/>
      <w:start w:val="2"/>
    </w:lvl>
  </w:abstractNum>
  <w:abstractNum w:abstractNumId="66">
    <w:nsid w:val="5915FF32"/>
    <w:multiLevelType w:val="hybridMultilevel"/>
    <w:lvl w:ilvl="0">
      <w:lvlJc w:val="left"/>
      <w:lvlText w:val="(%1)"/>
      <w:numFmt w:val="lowerLetter"/>
      <w:start w:val="14"/>
    </w:lvl>
  </w:abstractNum>
  <w:abstractNum w:abstractNumId="67">
    <w:nsid w:val="56438D15"/>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lvl w:ilvl="3">
      <w:lvlJc w:val="left"/>
      <w:lvlText w:val="%4"/>
      <w:numFmt w:val="lowerLetter"/>
      <w:start w:val="1"/>
    </w:lvl>
  </w:abstractNum>
  <w:abstractNum w:abstractNumId="68">
    <w:nsid w:val="519E3149"/>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2"/>
    </w:lvl>
    <w:lvl w:ilvl="3">
      <w:lvlJc w:val="left"/>
      <w:lvlText w:val="(%4)"/>
      <w:numFmt w:val="lowerLetter"/>
      <w:start w:val="9"/>
    </w:lvl>
  </w:abstractNum>
  <w:abstractNum w:abstractNumId="69">
    <w:nsid w:val="2C6E4AFD"/>
    <w:multiLevelType w:val="hybridMultilevel"/>
    <w:lvl w:ilvl="0">
      <w:lvlJc w:val="left"/>
      <w:lvlText w:val="%1"/>
      <w:numFmt w:val="lowerLetter"/>
      <w:start w:val="1"/>
    </w:lvl>
    <w:lvl w:ilvl="1">
      <w:lvlJc w:val="left"/>
      <w:lvlText w:val="(%2)"/>
      <w:numFmt w:val="lowerLetter"/>
      <w:start w:val="35"/>
    </w:lvl>
  </w:abstractNum>
  <w:abstractNum w:abstractNumId="70">
    <w:nsid w:val="17A1B582"/>
    <w:multiLevelType w:val="hybridMultilevel"/>
    <w:lvl w:ilvl="0">
      <w:lvlJc w:val="left"/>
      <w:lvlText w:val="(%1)"/>
      <w:numFmt w:val="lowerLetter"/>
      <w:start w:val="4"/>
    </w:lvl>
    <w:lvl w:ilvl="1">
      <w:lvlJc w:val="left"/>
      <w:lvlText w:val="(%2)"/>
      <w:numFmt w:val="lowerLetter"/>
      <w:start w:val="9"/>
    </w:lvl>
  </w:abstractNum>
  <w:abstractNum w:abstractNumId="71">
    <w:nsid w:val="4DF72E4E"/>
    <w:multiLevelType w:val="hybridMultilevel"/>
    <w:lvl w:ilvl="0">
      <w:lvlJc w:val="left"/>
      <w:lvlText w:val="(%1)"/>
      <w:numFmt w:val="lowerRoman"/>
      <w:start w:val="2"/>
    </w:lvl>
  </w:abstractNum>
  <w:abstractNum w:abstractNumId="72">
    <w:nsid w:val="5046B5A9"/>
    <w:multiLevelType w:val="hybridMultilevel"/>
    <w:lvl w:ilvl="0">
      <w:lvlJc w:val="left"/>
      <w:lvlText w:val="%1"/>
      <w:numFmt w:val="decimal"/>
      <w:start w:val="1"/>
    </w:lvl>
    <w:lvl w:ilvl="1">
      <w:lvlJc w:val="left"/>
      <w:lvlText w:val="(%2)"/>
      <w:numFmt w:val="lowerLetter"/>
      <w:start w:val="8"/>
    </w:lvl>
  </w:abstractNum>
  <w:abstractNum w:abstractNumId="73">
    <w:nsid w:val="5D888A08"/>
    <w:multiLevelType w:val="hybridMultilevel"/>
    <w:lvl w:ilvl="0">
      <w:lvlJc w:val="left"/>
      <w:lvlText w:val="%1."/>
      <w:numFmt w:val="decimal"/>
      <w:start w:val="5"/>
    </w:lvl>
    <w:lvl w:ilvl="1">
      <w:lvlJc w:val="left"/>
      <w:lvlText w:val="(%2)"/>
      <w:numFmt w:val="lowerLetter"/>
      <w:start w:val="1"/>
    </w:lvl>
  </w:abstractNum>
  <w:abstractNum w:abstractNumId="74">
    <w:nsid w:val="2A082C70"/>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75">
    <w:nsid w:val="5EC6AFD4"/>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76">
    <w:nsid w:val="19E21BB2"/>
    <w:multiLevelType w:val="hybridMultilevel"/>
    <w:lvl w:ilvl="0">
      <w:lvlJc w:val="left"/>
      <w:lvlText w:val="%1"/>
      <w:numFmt w:val="decimal"/>
      <w:start w:val="1"/>
    </w:lvl>
    <w:lvl w:ilvl="1">
      <w:lvlJc w:val="left"/>
      <w:lvlText w:val="(%2)"/>
      <w:numFmt w:val="lowerLetter"/>
      <w:start w:val="2"/>
    </w:lvl>
  </w:abstractNum>
  <w:abstractNum w:abstractNumId="77">
    <w:nsid w:val="75E0858A"/>
    <w:multiLevelType w:val="hybridMultilevel"/>
    <w:lvl w:ilvl="0">
      <w:lvlJc w:val="left"/>
      <w:lvlText w:val="%1."/>
      <w:numFmt w:val="decimal"/>
      <w:start w:val="11"/>
    </w:lvl>
    <w:lvl w:ilvl="1">
      <w:lvlJc w:val="left"/>
      <w:lvlText w:val="(%2)"/>
      <w:numFmt w:val="lowerLetter"/>
      <w:start w:val="1"/>
    </w:lvl>
  </w:abstractNum>
  <w:abstractNum w:abstractNumId="78">
    <w:nsid w:val="57A61A29"/>
    <w:multiLevelType w:val="hybridMultilevel"/>
    <w:lvl w:ilvl="0">
      <w:lvlJc w:val="left"/>
      <w:lvlText w:val="%1."/>
      <w:numFmt w:val="decimal"/>
      <w:start w:val="13"/>
    </w:lvl>
  </w:abstractNum>
  <w:abstractNum w:abstractNumId="79">
    <w:nsid w:val="5399C654"/>
    <w:multiLevelType w:val="hybridMultilevel"/>
    <w:lvl w:ilvl="0">
      <w:lvlJc w:val="left"/>
      <w:lvlText w:val="%1."/>
      <w:numFmt w:val="decimal"/>
      <w:start w:val="15"/>
    </w:lvl>
    <w:lvl w:ilvl="1">
      <w:lvlJc w:val="left"/>
      <w:lvlText w:val="(%2)"/>
      <w:numFmt w:val="lowerLetter"/>
      <w:start w:val="1"/>
    </w:lvl>
  </w:abstractNum>
  <w:abstractNum w:abstractNumId="80">
    <w:nsid w:val="20EE1348"/>
    <w:multiLevelType w:val="hybridMultilevel"/>
    <w:lvl w:ilvl="0">
      <w:lvlJc w:val="left"/>
      <w:lvlText w:val="%1"/>
      <w:numFmt w:val="decimal"/>
      <w:start w:val="1"/>
    </w:lvl>
    <w:lvl w:ilvl="1">
      <w:lvlJc w:val="left"/>
      <w:lvlText w:val="(%2)"/>
      <w:numFmt w:val="lowerLetter"/>
      <w:start w:val="3"/>
    </w:lvl>
  </w:abstractNum>
  <w:abstractNum w:abstractNumId="81">
    <w:nsid w:val="4427069A"/>
    <w:multiLevelType w:val="hybridMultilevel"/>
    <w:lvl w:ilvl="0">
      <w:lvlJc w:val="left"/>
      <w:lvlText w:val="%1."/>
      <w:numFmt w:val="decimal"/>
      <w:start w:val="16"/>
    </w:lvl>
    <w:lvl w:ilvl="1">
      <w:lvlJc w:val="left"/>
      <w:lvlText w:val="%2"/>
      <w:numFmt w:val="lowerLetter"/>
      <w:start w:val="1"/>
    </w:lvl>
  </w:abstractNum>
  <w:abstractNum w:abstractNumId="82">
    <w:nsid w:val="B37E80A"/>
    <w:multiLevelType w:val="hybridMultilevel"/>
    <w:lvl w:ilvl="0">
      <w:lvlJc w:val="left"/>
      <w:lvlText w:val="•"/>
      <w:numFmt w:val="bullet"/>
      <w:start w:val="1"/>
    </w:lvl>
  </w:abstractNum>
  <w:abstractNum w:abstractNumId="83">
    <w:nsid w:val="2157F6BC"/>
    <w:multiLevelType w:val="hybridMultilevel"/>
    <w:lvl w:ilvl="0">
      <w:lvlJc w:val="left"/>
      <w:lvlText w:val="•"/>
      <w:numFmt w:val="bullet"/>
      <w:start w:val="1"/>
    </w:lvl>
  </w:abstractNum>
  <w:abstractNum w:abstractNumId="84">
    <w:nsid w:val="704E1DD5"/>
    <w:multiLevelType w:val="hybridMultilevel"/>
    <w:lvl w:ilvl="0">
      <w:lvlJc w:val="left"/>
      <w:lvlText w:val="•"/>
      <w:numFmt w:val="bullet"/>
      <w:start w:val="1"/>
    </w:lvl>
  </w:abstractNum>
  <w:abstractNum w:abstractNumId="85">
    <w:nsid w:val="57D2F10E"/>
    <w:multiLevelType w:val="hybridMultilevel"/>
    <w:lvl w:ilvl="0">
      <w:lvlJc w:val="left"/>
      <w:lvlText w:val="•"/>
      <w:numFmt w:val="bullet"/>
      <w:start w:val="1"/>
    </w:lvl>
  </w:abstractNum>
  <w:abstractNum w:abstractNumId="86">
    <w:nsid w:val="BFFAE18"/>
    <w:multiLevelType w:val="hybridMultilevel"/>
    <w:lvl w:ilvl="0">
      <w:lvlJc w:val="left"/>
      <w:lvlText w:val="•"/>
      <w:numFmt w:val="bullet"/>
      <w:start w:val="1"/>
    </w:lvl>
  </w:abstractNum>
  <w:abstractNum w:abstractNumId="87">
    <w:nsid w:val="E3E47A8"/>
    <w:multiLevelType w:val="hybridMultilevel"/>
    <w:lvl w:ilvl="0">
      <w:lvlJc w:val="left"/>
      <w:lvlText w:val="•"/>
      <w:numFmt w:val="bullet"/>
      <w:start w:val="1"/>
    </w:lvl>
  </w:abstractNum>
  <w:abstractNum w:abstractNumId="88">
    <w:nsid w:val="2E48F044"/>
    <w:multiLevelType w:val="hybridMultilevel"/>
    <w:lvl w:ilvl="0">
      <w:lvlJc w:val="left"/>
      <w:lvlText w:val="(%1)"/>
      <w:numFmt w:val="decimal"/>
      <w:start w:val="1"/>
    </w:lvl>
  </w:abstractNum>
  <w:abstractNum w:abstractNumId="89">
    <w:nsid w:val="49D0FEAC"/>
    <w:multiLevelType w:val="hybridMultilevel"/>
    <w:lvl w:ilvl="0">
      <w:lvlJc w:val="left"/>
      <w:lvlText w:val="•"/>
      <w:numFmt w:val="bullet"/>
      <w:start w:val="1"/>
    </w:lvl>
    <w:lvl w:ilvl="1">
      <w:lvlJc w:val="left"/>
      <w:lvlText w:val="\endash "/>
      <w:numFmt w:val="bullet"/>
      <w:start w:val="1"/>
    </w:lvl>
  </w:abstractNum>
  <w:abstractNum w:abstractNumId="90">
    <w:nsid w:val="4BEE5A5B"/>
    <w:multiLevelType w:val="hybridMultilevel"/>
    <w:lvl w:ilvl="0">
      <w:lvlJc w:val="left"/>
      <w:lvlText w:val="•"/>
      <w:numFmt w:val="bullet"/>
      <w:start w:val="1"/>
    </w:lvl>
    <w:lvl w:ilvl="1">
      <w:lvlJc w:val="left"/>
      <w:lvlText w:val="\endash "/>
      <w:numFmt w:val="bullet"/>
      <w:start w:val="1"/>
    </w:lvl>
  </w:abstractNum>
  <w:abstractNum w:abstractNumId="91">
    <w:nsid w:val="5551B9F3"/>
    <w:multiLevelType w:val="hybridMultilevel"/>
    <w:lvl w:ilvl="0">
      <w:lvlJc w:val="left"/>
      <w:lvlText w:val="(%1)"/>
      <w:numFmt w:val="decimal"/>
      <w:start w:val="1"/>
    </w:lvl>
  </w:abstractNum>
  <w:abstractNum w:abstractNumId="92">
    <w:nsid w:val="24F6AB8E"/>
    <w:multiLevelType w:val="hybridMultilevel"/>
    <w:lvl w:ilvl="0">
      <w:lvlJc w:val="left"/>
      <w:lvlText w:val="(%1)"/>
      <w:numFmt w:val="decimal"/>
      <w:start w:val="1"/>
    </w:lvl>
  </w:abstractNum>
  <w:abstractNum w:abstractNumId="93">
    <w:nsid w:val="634C574C"/>
    <w:multiLevelType w:val="hybridMultilevel"/>
    <w:lvl w:ilvl="0">
      <w:lvlJc w:val="left"/>
      <w:lvlText w:val="(%1)"/>
      <w:numFmt w:val="decimal"/>
      <w:start w:val="1"/>
    </w:lvl>
  </w:abstractNum>
  <w:abstractNum w:abstractNumId="94">
    <w:nsid w:val="24E99DD7"/>
    <w:multiLevelType w:val="hybridMultilevel"/>
    <w:lvl w:ilvl="0">
      <w:lvlJc w:val="left"/>
      <w:lvlText w:val="•"/>
      <w:numFmt w:val="bullet"/>
      <w:start w:val="1"/>
    </w:lvl>
  </w:abstractNum>
  <w:abstractNum w:abstractNumId="95">
    <w:nsid w:val="2A31B62D"/>
    <w:multiLevelType w:val="hybridMultilevel"/>
    <w:lvl w:ilvl="0">
      <w:lvlJc w:val="left"/>
      <w:lvlText w:val="•"/>
      <w:numFmt w:val="bullet"/>
      <w:start w:val="1"/>
    </w:lvl>
  </w:abstractNum>
  <w:abstractNum w:abstractNumId="96">
    <w:nsid w:val="1849C29B"/>
    <w:multiLevelType w:val="hybridMultilevel"/>
    <w:lvl w:ilvl="0">
      <w:lvlJc w:val="left"/>
      <w:lvlText w:val="•"/>
      <w:numFmt w:val="bullet"/>
      <w:start w:val="1"/>
    </w:lvl>
  </w:abstractNum>
  <w:abstractNum w:abstractNumId="97">
    <w:nsid w:val="7DFF9D09"/>
    <w:multiLevelType w:val="hybridMultilevel"/>
    <w:lvl w:ilvl="0">
      <w:lvlJc w:val="left"/>
      <w:lvlText w:val="•"/>
      <w:numFmt w:val="bullet"/>
      <w:start w:val="1"/>
    </w:lvl>
  </w:abstractNum>
  <w:abstractNum w:abstractNumId="98">
    <w:nsid w:val="754342"/>
    <w:multiLevelType w:val="hybridMultilevel"/>
    <w:lvl w:ilvl="0">
      <w:lvlJc w:val="left"/>
      <w:lvlText w:val="•"/>
      <w:numFmt w:val="bullet"/>
      <w:start w:val="1"/>
    </w:lvl>
  </w:abstractNum>
  <w:abstractNum w:abstractNumId="99">
    <w:nsid w:val="69E7F3E5"/>
    <w:multiLevelType w:val="hybridMultilevel"/>
    <w:lvl w:ilvl="0">
      <w:lvlJc w:val="left"/>
      <w:lvlText w:val="•"/>
      <w:numFmt w:val="bullet"/>
      <w:start w:val="1"/>
    </w:lvl>
  </w:abstractNum>
  <w:abstractNum w:abstractNumId="100">
    <w:nsid w:val="2A6DE806"/>
    <w:multiLevelType w:val="hybridMultilevel"/>
    <w:lvl w:ilvl="0">
      <w:lvlJc w:val="left"/>
      <w:lvlText w:val="•"/>
      <w:numFmt w:val="bullet"/>
      <w:start w:val="1"/>
    </w:lvl>
  </w:abstractNum>
  <w:abstractNum w:abstractNumId="101">
    <w:nsid w:val="1816F8C4"/>
    <w:multiLevelType w:val="hybridMultilevel"/>
    <w:lvl w:ilvl="0">
      <w:lvlJc w:val="left"/>
      <w:lvlText w:val="•"/>
      <w:numFmt w:val="bullet"/>
      <w:start w:val="1"/>
    </w:lvl>
  </w:abstractNum>
  <w:abstractNum w:abstractNumId="102">
    <w:nsid w:val="37DF2233"/>
    <w:multiLevelType w:val="hybridMultilevel"/>
    <w:lvl w:ilvl="0">
      <w:lvlJc w:val="left"/>
      <w:lvlText w:val="•"/>
      <w:numFmt w:val="bullet"/>
      <w:start w:val="1"/>
    </w:lvl>
  </w:abstractNum>
  <w:abstractNum w:abstractNumId="103">
    <w:nsid w:val="7AB49DAF"/>
    <w:multiLevelType w:val="hybridMultilevel"/>
    <w:lvl w:ilvl="0">
      <w:lvlJc w:val="left"/>
      <w:lvlText w:val="•"/>
      <w:numFmt w:val="bullet"/>
      <w:start w:val="1"/>
    </w:lvl>
  </w:abstractNum>
  <w:abstractNum w:abstractNumId="104">
    <w:nsid w:val="759F82CD"/>
    <w:multiLevelType w:val="hybridMultilevel"/>
    <w:lvl w:ilvl="0">
      <w:lvlJc w:val="left"/>
      <w:lvlText w:val="(%1)"/>
      <w:numFmt w:val="decimal"/>
      <w:start w:val="1"/>
    </w:lvl>
  </w:abstractNum>
  <w:abstractNum w:abstractNumId="105">
    <w:nsid w:val="61E74EA3"/>
    <w:multiLevelType w:val="hybridMultilevel"/>
    <w:lvl w:ilvl="0">
      <w:lvlJc w:val="left"/>
      <w:lvlText w:val="•"/>
      <w:numFmt w:val="bullet"/>
      <w:start w:val="1"/>
    </w:lvl>
  </w:abstractNum>
  <w:abstractNum w:abstractNumId="106">
    <w:nsid w:val="597B4D84"/>
    <w:multiLevelType w:val="hybridMultilevel"/>
    <w:lvl w:ilvl="0">
      <w:lvlJc w:val="left"/>
      <w:lvlText w:val="(%1)"/>
      <w:numFmt w:val="decimal"/>
      <w:start w:val="1"/>
    </w:lvl>
  </w:abstractNum>
  <w:abstractNum w:abstractNumId="107">
    <w:nsid w:val="F819E7F"/>
    <w:multiLevelType w:val="hybridMultilevel"/>
    <w:lvl w:ilvl="0">
      <w:lvlJc w:val="left"/>
      <w:lvlText w:val="•"/>
      <w:numFmt w:val="bullet"/>
      <w:start w:val="1"/>
    </w:lvl>
  </w:abstractNum>
  <w:abstractNum w:abstractNumId="108">
    <w:nsid w:val="57C7D42D"/>
    <w:multiLevelType w:val="hybridMultilevel"/>
    <w:lvl w:ilvl="0">
      <w:lvlJc w:val="left"/>
      <w:lvlText w:val="(%1)"/>
      <w:numFmt w:val="decimal"/>
      <w:start w:val="1"/>
    </w:lvl>
  </w:abstractNum>
  <w:abstractNum w:abstractNumId="109">
    <w:nsid w:val="312167AD"/>
    <w:multiLevelType w:val="hybridMultilevel"/>
    <w:lvl w:ilvl="0">
      <w:lvlJc w:val="left"/>
      <w:lvlText w:val="(%1)"/>
      <w:numFmt w:val="decimal"/>
      <w:start w:val="1"/>
    </w:lvl>
  </w:abstractNum>
  <w:abstractNum w:abstractNumId="110">
    <w:nsid w:val="631B64D4"/>
    <w:multiLevelType w:val="hybridMultilevel"/>
    <w:lvl w:ilvl="0">
      <w:lvlJc w:val="left"/>
      <w:lvlText w:val="•"/>
      <w:numFmt w:val="bullet"/>
      <w:start w:val="1"/>
    </w:lvl>
  </w:abstractNum>
  <w:abstractNum w:abstractNumId="111">
    <w:nsid w:val="78B5E776"/>
    <w:multiLevelType w:val="hybridMultilevel"/>
    <w:lvl w:ilvl="0">
      <w:lvlJc w:val="left"/>
      <w:lvlText w:val="•"/>
      <w:numFmt w:val="bullet"/>
      <w:start w:val="1"/>
    </w:lvl>
  </w:abstractNum>
  <w:abstractNum w:abstractNumId="112">
    <w:nsid w:val="75486E47"/>
    <w:multiLevelType w:val="hybridMultilevel"/>
    <w:lvl w:ilvl="0">
      <w:lvlJc w:val="left"/>
      <w:lvlText w:val="•"/>
      <w:numFmt w:val="bullet"/>
      <w:start w:val="1"/>
    </w:lvl>
    <w:lvl w:ilvl="1">
      <w:lvlJc w:val="left"/>
      <w:lvlText w:val="\endash "/>
      <w:numFmt w:val="bullet"/>
      <w:start w:val="1"/>
    </w:lvl>
  </w:abstractNum>
  <w:abstractNum w:abstractNumId="113">
    <w:nsid w:val="6E534CDE"/>
    <w:multiLevelType w:val="hybridMultilevel"/>
    <w:lvl w:ilvl="0">
      <w:lvlJc w:val="left"/>
      <w:lvlText w:val="•"/>
      <w:numFmt w:val="bullet"/>
      <w:start w:val="1"/>
    </w:lvl>
  </w:abstractNum>
  <w:abstractNum w:abstractNumId="114">
    <w:nsid w:val="1A0DDE32"/>
    <w:multiLevelType w:val="hybridMultilevel"/>
    <w:lvl w:ilvl="0">
      <w:lvlJc w:val="left"/>
      <w:lvlText w:val="•"/>
      <w:numFmt w:val="bullet"/>
      <w:start w:val="1"/>
    </w:lvl>
  </w:abstractNum>
  <w:abstractNum w:abstractNumId="115">
    <w:nsid w:val="65968C1C"/>
    <w:multiLevelType w:val="hybridMultilevel"/>
    <w:lvl w:ilvl="0">
      <w:lvlJc w:val="left"/>
      <w:lvlText w:val="(%1)"/>
      <w:numFmt w:val="decimal"/>
      <w:start w:val="1"/>
    </w:lvl>
  </w:abstractNum>
  <w:abstractNum w:abstractNumId="116">
    <w:nsid w:val="46263DEC"/>
    <w:multiLevelType w:val="hybridMultilevel"/>
    <w:lvl w:ilvl="0">
      <w:lvlJc w:val="left"/>
      <w:lvlText w:val="(%1)"/>
      <w:numFmt w:val="decimal"/>
      <w:start w:val="1"/>
    </w:lvl>
  </w:abstractNum>
  <w:abstractNum w:abstractNumId="117">
    <w:nsid w:val="260D8C4A"/>
    <w:multiLevelType w:val="hybridMultilevel"/>
    <w:lvl w:ilvl="0">
      <w:lvlJc w:val="left"/>
      <w:lvlText w:val="•"/>
      <w:numFmt w:val="bullet"/>
      <w:start w:val="1"/>
    </w:lvl>
  </w:abstractNum>
  <w:abstractNum w:abstractNumId="118">
    <w:nsid w:val="73D4D3C4"/>
    <w:multiLevelType w:val="hybridMultilevel"/>
    <w:lvl w:ilvl="0">
      <w:lvlJc w:val="left"/>
      <w:lvlText w:val="•"/>
      <w:numFmt w:val="bullet"/>
      <w:start w:val="1"/>
    </w:lvl>
  </w:abstractNum>
  <w:abstractNum w:abstractNumId="119">
    <w:nsid w:val="746F2E30"/>
    <w:multiLevelType w:val="hybridMultilevel"/>
    <w:lvl w:ilvl="0">
      <w:lvlJc w:val="left"/>
      <w:lvlText w:val="•"/>
      <w:numFmt w:val="bullet"/>
      <w:start w:val="1"/>
    </w:lvl>
  </w:abstractNum>
  <w:abstractNum w:abstractNumId="120">
    <w:nsid w:val="6FDE8AF6"/>
    <w:multiLevelType w:val="hybridMultilevel"/>
    <w:lvl w:ilvl="0">
      <w:lvlJc w:val="left"/>
      <w:lvlText w:val="•"/>
      <w:numFmt w:val="bullet"/>
      <w:start w:val="1"/>
    </w:lvl>
  </w:abstractNum>
  <w:abstractNum w:abstractNumId="121">
    <w:nsid w:val="3FC32E20"/>
    <w:multiLevelType w:val="hybridMultilevel"/>
    <w:lvl w:ilvl="0">
      <w:lvlJc w:val="left"/>
      <w:lvlText w:val="•"/>
      <w:numFmt w:val="bullet"/>
      <w:start w:val="1"/>
    </w:lvl>
  </w:abstractNum>
  <w:abstractNum w:abstractNumId="122">
    <w:nsid w:val="49C0E823"/>
    <w:multiLevelType w:val="hybridMultilevel"/>
    <w:lvl w:ilvl="0">
      <w:lvlJc w:val="left"/>
      <w:lvlText w:val="•"/>
      <w:numFmt w:val="bullet"/>
      <w:start w:val="1"/>
    </w:lvl>
  </w:abstractNum>
  <w:abstractNum w:abstractNumId="123">
    <w:nsid w:val="14D53685"/>
    <w:multiLevelType w:val="hybridMultilevel"/>
    <w:lvl w:ilvl="0">
      <w:lvlJc w:val="left"/>
      <w:lvlText w:val="(%1)"/>
      <w:numFmt w:val="decimal"/>
      <w:start w:val="1"/>
    </w:lvl>
  </w:abstractNum>
  <w:abstractNum w:abstractNumId="124">
    <w:nsid w:val="230F856C"/>
    <w:multiLevelType w:val="hybridMultilevel"/>
    <w:lvl w:ilvl="0">
      <w:lvlJc w:val="left"/>
      <w:lvlText w:val="(%1)"/>
      <w:numFmt w:val="decimal"/>
      <w:start w:val="1"/>
    </w:lvl>
  </w:abstractNum>
  <w:abstractNum w:abstractNumId="125">
    <w:nsid w:val="6EAA85FB"/>
    <w:multiLevelType w:val="hybridMultilevel"/>
    <w:lvl w:ilvl="0">
      <w:lvlJc w:val="left"/>
      <w:lvlText w:val="(%1)"/>
      <w:numFmt w:val="decimal"/>
      <w:start w:val="1"/>
    </w:lvl>
  </w:abstractNum>
  <w:abstractNum w:abstractNumId="126">
    <w:nsid w:val="3F06ECB2"/>
    <w:multiLevelType w:val="hybridMultilevel"/>
    <w:lvl w:ilvl="0">
      <w:lvlJc w:val="left"/>
      <w:lvlText w:val="•"/>
      <w:numFmt w:val="bullet"/>
      <w:start w:val="1"/>
    </w:lvl>
  </w:abstractNum>
  <w:abstractNum w:abstractNumId="127">
    <w:nsid w:val="3B594807"/>
    <w:multiLevelType w:val="hybridMultilevel"/>
    <w:lvl w:ilvl="0">
      <w:lvlJc w:val="left"/>
      <w:lvlText w:val="(%1)"/>
      <w:numFmt w:val="decimal"/>
      <w:start w:val="1"/>
    </w:lvl>
  </w:abstractNum>
  <w:abstractNum w:abstractNumId="128">
    <w:nsid w:val="6CAA2304"/>
    <w:multiLevelType w:val="hybridMultilevel"/>
    <w:lvl w:ilvl="0">
      <w:lvlJc w:val="left"/>
      <w:lvlText w:val="•"/>
      <w:numFmt w:val="bullet"/>
      <w:start w:val="1"/>
    </w:lvl>
  </w:abstractNum>
  <w:abstractNum w:abstractNumId="129">
    <w:nsid w:val="3F7C2FF4"/>
    <w:multiLevelType w:val="hybridMultilevel"/>
    <w:lvl w:ilvl="0">
      <w:lvlJc w:val="left"/>
      <w:lvlText w:val="•"/>
      <w:numFmt w:val="bullet"/>
      <w:start w:val="1"/>
    </w:lvl>
  </w:abstractNum>
  <w:abstractNum w:abstractNumId="130">
    <w:nsid w:val="25413BEC"/>
    <w:multiLevelType w:val="hybridMultilevel"/>
    <w:lvl w:ilvl="0">
      <w:lvlJc w:val="left"/>
      <w:lvlText w:val="•"/>
      <w:numFmt w:val="bullet"/>
      <w:start w:val="1"/>
    </w:lvl>
    <w:lvl w:ilvl="1">
      <w:lvlJc w:val="left"/>
      <w:lvlText w:val="\endash "/>
      <w:numFmt w:val="bullet"/>
      <w:start w:val="1"/>
    </w:lvl>
  </w:abstractNum>
  <w:abstractNum w:abstractNumId="131">
    <w:nsid w:val="17180B0B"/>
    <w:multiLevelType w:val="hybridMultilevel"/>
    <w:lvl w:ilvl="0">
      <w:lvlJc w:val="left"/>
      <w:lvlText w:val="*"/>
      <w:numFmt w:val="bullet"/>
      <w:start w:val="1"/>
    </w:lvl>
  </w:abstractNum>
  <w:abstractNum w:abstractNumId="132">
    <w:nsid w:val="579328B9"/>
    <w:multiLevelType w:val="hybridMultilevel"/>
    <w:lvl w:ilvl="0">
      <w:lvlJc w:val="left"/>
      <w:lvlText w:val="(%1)"/>
      <w:numFmt w:val="decimal"/>
      <w:start w:val="1"/>
    </w:lvl>
  </w:abstractNum>
  <w:abstractNum w:abstractNumId="133">
    <w:nsid w:val="5D205E20"/>
    <w:multiLevelType w:val="hybridMultilevel"/>
    <w:lvl w:ilvl="0">
      <w:lvlJc w:val="left"/>
      <w:lvlText w:val="(%1)"/>
      <w:numFmt w:val="decimal"/>
      <w:start w:val="1"/>
    </w:lvl>
  </w:abstractNum>
  <w:abstractNum w:abstractNumId="134">
    <w:nsid w:val="11CCA8BA"/>
    <w:multiLevelType w:val="hybridMultilevel"/>
    <w:lvl w:ilvl="0">
      <w:lvlJc w:val="left"/>
      <w:lvlText w:val="(%1)"/>
      <w:numFmt w:val="decimal"/>
      <w:start w:val="1"/>
    </w:lvl>
  </w:abstractNum>
  <w:abstractNum w:abstractNumId="135">
    <w:nsid w:val="4D32AB86"/>
    <w:multiLevelType w:val="hybridMultilevel"/>
    <w:lvl w:ilvl="0">
      <w:lvlJc w:val="left"/>
      <w:lvlText w:val="(%1)"/>
      <w:numFmt w:val="decimal"/>
      <w:start w:val="1"/>
    </w:lvl>
  </w:abstractNum>
  <w:abstractNum w:abstractNumId="136">
    <w:nsid w:val="3F07ACC3"/>
    <w:multiLevelType w:val="hybridMultilevel"/>
    <w:lvl w:ilvl="0">
      <w:lvlJc w:val="left"/>
      <w:lvlText w:val="•"/>
      <w:numFmt w:val="bullet"/>
      <w:start w:val="1"/>
    </w:lvl>
  </w:abstractNum>
  <w:abstractNum w:abstractNumId="137">
    <w:nsid w:val="6B47F63E"/>
    <w:multiLevelType w:val="hybridMultilevel"/>
    <w:lvl w:ilvl="0">
      <w:lvlJc w:val="left"/>
      <w:lvlText w:val="•"/>
      <w:numFmt w:val="bullet"/>
      <w:start w:val="1"/>
    </w:lvl>
  </w:abstractNum>
  <w:abstractNum w:abstractNumId="138">
    <w:nsid w:val="5CB44A05"/>
    <w:multiLevelType w:val="hybridMultilevel"/>
    <w:lvl w:ilvl="0">
      <w:lvlJc w:val="left"/>
      <w:lvlText w:val="•"/>
      <w:numFmt w:val="bullet"/>
      <w:start w:val="1"/>
    </w:lvl>
  </w:abstractNum>
  <w:abstractNum w:abstractNumId="139">
    <w:nsid w:val="16CF80F1"/>
    <w:multiLevelType w:val="hybridMultilevel"/>
    <w:lvl w:ilvl="0">
      <w:lvlJc w:val="left"/>
      <w:lvlText w:val="•"/>
      <w:numFmt w:val="bullet"/>
      <w:start w:val="1"/>
    </w:lvl>
  </w:abstractNum>
  <w:abstractNum w:abstractNumId="140">
    <w:nsid w:val="1C695DEC"/>
    <w:multiLevelType w:val="hybridMultilevel"/>
    <w:lvl w:ilvl="0">
      <w:lvlJc w:val="left"/>
      <w:lvlText w:val="•"/>
      <w:numFmt w:val="bullet"/>
      <w:start w:val="1"/>
    </w:lvl>
  </w:abstractNum>
  <w:abstractNum w:abstractNumId="141">
    <w:nsid w:val="3FCFAED9"/>
    <w:multiLevelType w:val="hybridMultilevel"/>
    <w:lvl w:ilvl="0">
      <w:lvlJc w:val="left"/>
      <w:lvlText w:val="•"/>
      <w:numFmt w:val="bullet"/>
      <w:start w:val="1"/>
    </w:lvl>
  </w:abstractNum>
  <w:abstractNum w:abstractNumId="142">
    <w:nsid w:val="F856867"/>
    <w:multiLevelType w:val="hybridMultilevel"/>
    <w:lvl w:ilvl="0">
      <w:lvlJc w:val="left"/>
      <w:lvlText w:val="•"/>
      <w:numFmt w:val="bullet"/>
      <w:start w:val="1"/>
    </w:lvl>
  </w:abstractNum>
  <w:abstractNum w:abstractNumId="143">
    <w:nsid w:val="11B1CC33"/>
    <w:multiLevelType w:val="hybridMultilevel"/>
    <w:lvl w:ilvl="0">
      <w:lvlJc w:val="left"/>
      <w:lvlText w:val="•"/>
      <w:numFmt w:val="bullet"/>
      <w:start w:val="1"/>
    </w:lvl>
  </w:abstractNum>
  <w:abstractNum w:abstractNumId="144">
    <w:nsid w:val="2E22FBB7"/>
    <w:multiLevelType w:val="hybridMultilevel"/>
    <w:lvl w:ilvl="0">
      <w:lvlJc w:val="left"/>
      <w:lvlText w:val="(%1)"/>
      <w:numFmt w:val="decimal"/>
      <w:start w:val="1"/>
    </w:lvl>
  </w:abstractNum>
  <w:abstractNum w:abstractNumId="145">
    <w:nsid w:val="29934699"/>
    <w:multiLevelType w:val="hybridMultilevel"/>
    <w:lvl w:ilvl="0">
      <w:lvlJc w:val="left"/>
      <w:lvlText w:val="(%1)"/>
      <w:numFmt w:val="decimal"/>
      <w:start w:val="1"/>
    </w:lvl>
  </w:abstractNum>
  <w:abstractNum w:abstractNumId="146">
    <w:nsid w:val="77485850"/>
    <w:multiLevelType w:val="hybridMultilevel"/>
    <w:lvl w:ilvl="0">
      <w:lvlJc w:val="left"/>
      <w:lvlText w:val="(%1)"/>
      <w:numFmt w:val="decimal"/>
      <w:start w:val="1"/>
    </w:lvl>
  </w:abstractNum>
  <w:abstractNum w:abstractNumId="147">
    <w:nsid w:val="744939A3"/>
    <w:multiLevelType w:val="hybridMultilevel"/>
    <w:lvl w:ilvl="0">
      <w:lvlJc w:val="left"/>
      <w:lvlText w:val="(%1)"/>
      <w:numFmt w:val="decimal"/>
      <w:start w:val="1"/>
    </w:lvl>
  </w:abstractNum>
  <w:abstractNum w:abstractNumId="148">
    <w:nsid w:val="4FA0D2E3"/>
    <w:multiLevelType w:val="hybridMultilevel"/>
    <w:lvl w:ilvl="0">
      <w:lvlJc w:val="left"/>
      <w:lvlText w:val="•"/>
      <w:numFmt w:val="bullet"/>
      <w:start w:val="1"/>
    </w:lvl>
  </w:abstractNum>
  <w:abstractNum w:abstractNumId="149">
    <w:nsid w:val="6B1D2C14"/>
    <w:multiLevelType w:val="hybridMultilevel"/>
    <w:lvl w:ilvl="0">
      <w:lvlJc w:val="left"/>
      <w:lvlText w:val="(%1)"/>
      <w:numFmt w:val="decimal"/>
      <w:start w:val="1"/>
    </w:lvl>
  </w:abstractNum>
  <w:abstractNum w:abstractNumId="150">
    <w:nsid w:val="68B867D3"/>
    <w:multiLevelType w:val="hybridMultilevel"/>
    <w:lvl w:ilvl="0">
      <w:lvlJc w:val="left"/>
      <w:lvlText w:val="•"/>
      <w:numFmt w:val="bullet"/>
      <w:start w:val="1"/>
    </w:lvl>
  </w:abstractNum>
  <w:abstractNum w:abstractNumId="151">
    <w:nsid w:val="3F7F5DD9"/>
    <w:multiLevelType w:val="hybridMultilevel"/>
    <w:lvl w:ilvl="0">
      <w:lvlJc w:val="left"/>
      <w:lvlText w:val="(%1)"/>
      <w:numFmt w:val="decimal"/>
      <w:start w:val="1"/>
    </w:lvl>
  </w:abstractNum>
  <w:abstractNum w:abstractNumId="152">
    <w:nsid w:val="2AE05A34"/>
    <w:multiLevelType w:val="hybridMultilevel"/>
    <w:lvl w:ilvl="0">
      <w:lvlJc w:val="left"/>
      <w:lvlText w:val="(%1)"/>
      <w:numFmt w:val="decimal"/>
      <w:start w:val="1"/>
    </w:lvl>
  </w:abstractNum>
  <w:abstractNum w:abstractNumId="153">
    <w:nsid w:val="32794FF7"/>
    <w:multiLevelType w:val="hybridMultilevel"/>
    <w:lvl w:ilvl="0">
      <w:lvlJc w:val="left"/>
      <w:lvlText w:val="(%1)"/>
      <w:numFmt w:val="decimal"/>
      <w:start w:val="1"/>
    </w:lvl>
  </w:abstractNum>
  <w:abstractNum w:abstractNumId="154">
    <w:nsid w:val="5454945E"/>
    <w:multiLevelType w:val="hybridMultilevel"/>
    <w:lvl w:ilvl="0">
      <w:lvlJc w:val="left"/>
      <w:lvlText w:val="(%1)"/>
      <w:numFmt w:val="decimal"/>
      <w:start w:val="1"/>
    </w:lvl>
  </w:abstractNum>
  <w:abstractNum w:abstractNumId="155">
    <w:nsid w:val="4DEFDFA0"/>
    <w:multiLevelType w:val="hybridMultilevel"/>
    <w:lvl w:ilvl="0">
      <w:lvlJc w:val="left"/>
      <w:lvlText w:val="(%1)"/>
      <w:numFmt w:val="decimal"/>
      <w:start w:val="1"/>
    </w:lvl>
  </w:abstractNum>
  <w:abstractNum w:abstractNumId="156">
    <w:nsid w:val="2123D5F2"/>
    <w:multiLevelType w:val="hybridMultilevel"/>
    <w:lvl w:ilvl="0">
      <w:lvlJc w:val="left"/>
      <w:lvlText w:val="•"/>
      <w:numFmt w:val="bullet"/>
      <w:start w:val="1"/>
    </w:lvl>
    <w:lvl w:ilvl="1">
      <w:lvlJc w:val="left"/>
      <w:lvlText w:val="\endash "/>
      <w:numFmt w:val="bullet"/>
      <w:start w:val="1"/>
    </w:lvl>
  </w:abstractNum>
  <w:abstractNum w:abstractNumId="157">
    <w:nsid w:val="135B8110"/>
    <w:multiLevelType w:val="hybridMultilevel"/>
    <w:lvl w:ilvl="0">
      <w:lvlJc w:val="left"/>
      <w:lvlText w:val="•"/>
      <w:numFmt w:val="bullet"/>
      <w:start w:val="1"/>
    </w:lvl>
  </w:abstractNum>
  <w:abstractNum w:abstractNumId="158">
    <w:nsid w:val="94927A8"/>
    <w:multiLevelType w:val="hybridMultilevel"/>
    <w:lvl w:ilvl="0">
      <w:lvlJc w:val="left"/>
      <w:lvlText w:val="(%1)"/>
      <w:numFmt w:val="decimal"/>
      <w:start w:val="1"/>
    </w:lvl>
  </w:abstractNum>
  <w:abstractNum w:abstractNumId="159">
    <w:nsid w:val="DCDF8F6"/>
    <w:multiLevelType w:val="hybridMultilevel"/>
    <w:lvl w:ilvl="0">
      <w:lvlJc w:val="left"/>
      <w:lvlText w:val="(%1)"/>
      <w:numFmt w:val="decimal"/>
      <w:start w:val="1"/>
    </w:lvl>
  </w:abstractNum>
  <w:abstractNum w:abstractNumId="160">
    <w:nsid w:val="52D7B105"/>
    <w:multiLevelType w:val="hybridMultilevel"/>
    <w:lvl w:ilvl="0">
      <w:lvlJc w:val="left"/>
      <w:lvlText w:val="(%1)"/>
      <w:numFmt w:val="decimal"/>
      <w:start w:val="1"/>
    </w:lvl>
  </w:abstractNum>
  <w:abstractNum w:abstractNumId="161">
    <w:nsid w:val="2E8A6394"/>
    <w:multiLevelType w:val="hybridMultilevel"/>
    <w:lvl w:ilvl="0">
      <w:lvlJc w:val="left"/>
      <w:lvlText w:val="•"/>
      <w:numFmt w:val="bullet"/>
      <w:start w:val="1"/>
    </w:lvl>
  </w:abstractNum>
  <w:abstractNum w:abstractNumId="162">
    <w:nsid w:val="24E60401"/>
    <w:multiLevelType w:val="hybridMultilevel"/>
    <w:lvl w:ilvl="0">
      <w:lvlJc w:val="left"/>
      <w:lvlText w:val="(%1)"/>
      <w:numFmt w:val="decimal"/>
      <w:start w:val="1"/>
    </w:lvl>
  </w:abstractNum>
  <w:abstractNum w:abstractNumId="163">
    <w:nsid w:val="2A6AD9BE"/>
    <w:multiLevelType w:val="hybridMultilevel"/>
    <w:lvl w:ilvl="0">
      <w:lvlJc w:val="left"/>
      <w:lvlText w:val="•"/>
      <w:numFmt w:val="bullet"/>
      <w:start w:val="1"/>
    </w:lvl>
  </w:abstractNum>
  <w:abstractNum w:abstractNumId="164">
    <w:nsid w:val="BAAC1B4"/>
    <w:multiLevelType w:val="hybridMultilevel"/>
    <w:lvl w:ilvl="0">
      <w:lvlJc w:val="left"/>
      <w:lvlText w:val="(%1)"/>
      <w:numFmt w:val="decimal"/>
      <w:start w:val="1"/>
    </w:lvl>
  </w:abstractNum>
  <w:abstractNum w:abstractNumId="165">
    <w:nsid w:val="36B2ACBC"/>
    <w:multiLevelType w:val="hybridMultilevel"/>
    <w:lvl w:ilvl="0">
      <w:lvlJc w:val="left"/>
      <w:lvlText w:val="(%1)"/>
      <w:numFmt w:val="decimal"/>
      <w:start w:val="1"/>
    </w:lvl>
  </w:abstractNum>
  <w:abstractNum w:abstractNumId="166">
    <w:nsid w:val="779D8544"/>
    <w:multiLevelType w:val="hybridMultilevel"/>
    <w:lvl w:ilvl="0">
      <w:lvlJc w:val="left"/>
      <w:lvlText w:val="(%1)"/>
      <w:numFmt w:val="decimal"/>
      <w:start w:val="1"/>
    </w:lvl>
  </w:abstractNum>
  <w:abstractNum w:abstractNumId="167">
    <w:nsid w:val="4AB26E78"/>
    <w:multiLevelType w:val="hybridMultilevel"/>
    <w:lvl w:ilvl="0">
      <w:lvlJc w:val="left"/>
      <w:lvlText w:val="(%1)"/>
      <w:numFmt w:val="decimal"/>
      <w:start w:val="1"/>
    </w:lvl>
  </w:abstractNum>
  <w:abstractNum w:abstractNumId="168">
    <w:nsid w:val="21FAA2FA"/>
    <w:multiLevelType w:val="hybridMultilevel"/>
    <w:lvl w:ilvl="0">
      <w:lvlJc w:val="left"/>
      <w:lvlText w:val="(%1)"/>
      <w:numFmt w:val="decimal"/>
      <w:start w:val="1"/>
    </w:lvl>
  </w:abstractNum>
  <w:abstractNum w:abstractNumId="169">
    <w:nsid w:val="5451CF49"/>
    <w:multiLevelType w:val="hybridMultilevel"/>
    <w:lvl w:ilvl="0">
      <w:lvlJc w:val="left"/>
      <w:lvlText w:val="(%1)"/>
      <w:numFmt w:val="decimal"/>
      <w:start w:val="1"/>
    </w:lvl>
  </w:abstractNum>
  <w:abstractNum w:abstractNumId="170">
    <w:nsid w:val="6181EF69"/>
    <w:multiLevelType w:val="hybridMultilevel"/>
    <w:lvl w:ilvl="0">
      <w:lvlJc w:val="left"/>
      <w:lvlText w:val="(%1)"/>
      <w:numFmt w:val="decimal"/>
      <w:start w:val="1"/>
    </w:lvl>
  </w:abstractNum>
  <w:abstractNum w:abstractNumId="171">
    <w:nsid w:val="3E6400E6"/>
    <w:multiLevelType w:val="hybridMultilevel"/>
    <w:lvl w:ilvl="0">
      <w:lvlJc w:val="left"/>
      <w:lvlText w:val="(%1)"/>
      <w:numFmt w:val="decimal"/>
      <w:start w:val="1"/>
    </w:lvl>
  </w:abstractNum>
  <w:abstractNum w:abstractNumId="172">
    <w:nsid w:val="14217E23"/>
    <w:multiLevelType w:val="hybridMultilevel"/>
    <w:lvl w:ilvl="0">
      <w:lvlJc w:val="left"/>
      <w:lvlText w:val="(%1)"/>
      <w:numFmt w:val="lowerRoman"/>
      <w:start w:val="1"/>
    </w:lvl>
  </w:abstractNum>
  <w:abstractNum w:abstractNumId="173">
    <w:nsid w:val="710757D0"/>
    <w:multiLevelType w:val="hybridMultilevel"/>
    <w:lvl w:ilvl="0">
      <w:lvlJc w:val="left"/>
      <w:lvlText w:val="•"/>
      <w:numFmt w:val="bullet"/>
      <w:start w:val="1"/>
    </w:lvl>
  </w:abstractNum>
  <w:abstractNum w:abstractNumId="174">
    <w:nsid w:val="5015CD1A"/>
    <w:multiLevelType w:val="hybridMultilevel"/>
    <w:lvl w:ilvl="0">
      <w:lvlJc w:val="left"/>
      <w:lvlText w:val="•"/>
      <w:numFmt w:val="bullet"/>
      <w:start w:val="1"/>
    </w:lvl>
  </w:abstractNum>
  <w:abstractNum w:abstractNumId="175">
    <w:nsid w:val="424479DA"/>
    <w:multiLevelType w:val="hybridMultilevel"/>
    <w:lvl w:ilvl="0">
      <w:lvlJc w:val="left"/>
      <w:lvlText w:val="(%1)"/>
      <w:numFmt w:val="decimal"/>
      <w:start w:val="1"/>
    </w:lvl>
  </w:abstractNum>
  <w:abstractNum w:abstractNumId="176">
    <w:nsid w:val="1A9A9E69"/>
    <w:multiLevelType w:val="hybridMultilevel"/>
    <w:lvl w:ilvl="0">
      <w:lvlJc w:val="left"/>
      <w:lvlText w:val="(%1)"/>
      <w:numFmt w:val="decimal"/>
      <w:start w:val="1"/>
    </w:lvl>
  </w:abstractNum>
  <w:abstractNum w:abstractNumId="177">
    <w:nsid w:val="475E256A"/>
    <w:multiLevelType w:val="hybridMultilevel"/>
    <w:lvl w:ilvl="0">
      <w:lvlJc w:val="left"/>
      <w:lvlText w:val="(%1)"/>
      <w:numFmt w:val="decimal"/>
      <w:start w:val="1"/>
    </w:lvl>
  </w:abstractNum>
  <w:abstractNum w:abstractNumId="178">
    <w:nsid w:val="368DB37E"/>
    <w:multiLevelType w:val="hybridMultilevel"/>
    <w:lvl w:ilvl="0">
      <w:lvlJc w:val="left"/>
      <w:lvlText w:val="(%1)"/>
      <w:numFmt w:val="decimal"/>
      <w:start w:val="1"/>
    </w:lvl>
  </w:abstractNum>
  <w:abstractNum w:abstractNumId="179">
    <w:nsid w:val="6A3B714C"/>
    <w:multiLevelType w:val="hybridMultilevel"/>
    <w:lvl w:ilvl="0">
      <w:lvlJc w:val="left"/>
      <w:lvlText w:val="(%1)"/>
      <w:numFmt w:val="decimal"/>
      <w:start w:val="51"/>
    </w:lvl>
  </w:abstractNum>
  <w:abstractNum w:abstractNumId="180">
    <w:nsid w:val="327B517E"/>
    <w:multiLevelType w:val="hybridMultilevel"/>
    <w:lvl w:ilvl="0">
      <w:lvlJc w:val="left"/>
      <w:lvlText w:val="%1."/>
      <w:numFmt w:val="decimal"/>
      <w:start w:val="1"/>
    </w:lvl>
    <w:lvl w:ilvl="1">
      <w:lvlJc w:val="left"/>
      <w:lvlText w:val="(%2)"/>
      <w:numFmt w:val="lowerLetter"/>
      <w:start w:val="1"/>
    </w:lvl>
  </w:abstractNum>
  <w:abstractNum w:abstractNumId="181">
    <w:nsid w:val="1F461B51"/>
    <w:multiLevelType w:val="hybridMultilevel"/>
    <w:lvl w:ilvl="0">
      <w:lvlJc w:val="left"/>
      <w:lvlText w:val="%1."/>
      <w:numFmt w:val="decimal"/>
      <w:start w:val="1"/>
    </w:lvl>
    <w:lvl w:ilvl="1">
      <w:lvlJc w:val="left"/>
      <w:lvlText w:val="(%2)"/>
      <w:numFmt w:val="lowerLetter"/>
      <w:start w:val="1"/>
    </w:lvl>
  </w:abstractNum>
  <w:abstractNum w:abstractNumId="182">
    <w:nsid w:val="29BACF2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2019-12-10T04:33:29Z</dcterms:created>
  <dcterms:modified xsi:type="dcterms:W3CDTF">2019-12-10T04:33:29Z</dcterms:modified>
</cp:coreProperties>
</file>