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______________________________________________________________________________________________________</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7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Date of Report (date of earliest event reported): April 25, 2019</w:t>
      </w:r>
    </w:p>
    <w:p>
      <w:pPr>
        <w:spacing w:after="0" w:line="46"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3023870</wp:posOffset>
            </wp:positionH>
            <wp:positionV relativeFrom="paragraph">
              <wp:posOffset>264160</wp:posOffset>
            </wp:positionV>
            <wp:extent cx="120904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XEROX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______________________________________________________________________________________________________</w:t>
      </w:r>
    </w:p>
    <w:p>
      <w:pPr>
        <w:spacing w:after="0" w:line="200" w:lineRule="exact"/>
        <w:rPr>
          <w:sz w:val="24"/>
          <w:szCs w:val="24"/>
          <w:color w:val="auto"/>
        </w:rPr>
      </w:pPr>
    </w:p>
    <w:p>
      <w:pPr>
        <w:spacing w:after="0" w:line="269" w:lineRule="exact"/>
        <w:rPr>
          <w:sz w:val="24"/>
          <w:szCs w:val="24"/>
          <w:color w:val="auto"/>
        </w:rPr>
      </w:pPr>
    </w:p>
    <w:tbl>
      <w:tblPr>
        <w:tblLayout w:type="fixed"/>
        <w:tblInd w:w="460" w:type="dxa"/>
        <w:tblCellMar>
          <w:top w:w="0" w:type="dxa"/>
          <w:left w:w="0" w:type="dxa"/>
          <w:bottom w:w="0" w:type="dxa"/>
          <w:right w:w="0" w:type="dxa"/>
        </w:tblCellMar>
      </w:tblPr>
      <w:tr>
        <w:trPr>
          <w:trHeight w:val="253"/>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w w:val="99"/>
              </w:rPr>
              <w:t>New York</w:t>
            </w:r>
          </w:p>
        </w:tc>
        <w:tc>
          <w:tcPr>
            <w:tcW w:w="4260" w:type="dxa"/>
            <w:vAlign w:val="bottom"/>
          </w:tcPr>
          <w:p>
            <w:pPr>
              <w:jc w:val="right"/>
              <w:ind w:right="1690"/>
              <w:spacing w:after="0"/>
              <w:rPr>
                <w:sz w:val="20"/>
                <w:szCs w:val="20"/>
                <w:color w:val="auto"/>
              </w:rPr>
            </w:pPr>
            <w:r>
              <w:rPr>
                <w:rFonts w:ascii="Arial" w:cs="Arial" w:eastAsia="Arial" w:hAnsi="Arial"/>
                <w:sz w:val="18"/>
                <w:szCs w:val="18"/>
                <w:b w:val="1"/>
                <w:bCs w:val="1"/>
                <w:color w:val="auto"/>
              </w:rPr>
              <w:t>001-04471</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16-0468020</w:t>
            </w:r>
          </w:p>
        </w:tc>
      </w:tr>
      <w:tr>
        <w:trPr>
          <w:trHeight w:val="206"/>
        </w:trPr>
        <w:tc>
          <w:tcPr>
            <w:tcW w:w="3140" w:type="dxa"/>
            <w:vAlign w:val="bottom"/>
          </w:tcPr>
          <w:p>
            <w:pPr>
              <w:jc w:val="center"/>
              <w:ind w:right="790"/>
              <w:spacing w:after="0"/>
              <w:rPr>
                <w:sz w:val="20"/>
                <w:szCs w:val="20"/>
                <w:color w:val="auto"/>
              </w:rPr>
            </w:pPr>
            <w:r>
              <w:rPr>
                <w:rFonts w:ascii="Arial" w:cs="Arial" w:eastAsia="Arial" w:hAnsi="Arial"/>
                <w:sz w:val="18"/>
                <w:szCs w:val="18"/>
                <w:b w:val="1"/>
                <w:bCs w:val="1"/>
                <w:color w:val="auto"/>
              </w:rPr>
              <w:t>(State or other jurisdiction</w:t>
            </w:r>
          </w:p>
        </w:tc>
        <w:tc>
          <w:tcPr>
            <w:tcW w:w="4260" w:type="dxa"/>
            <w:vAlign w:val="bottom"/>
          </w:tcPr>
          <w:p>
            <w:pPr>
              <w:jc w:val="center"/>
              <w:ind w:right="70"/>
              <w:spacing w:after="0"/>
              <w:rPr>
                <w:sz w:val="20"/>
                <w:szCs w:val="20"/>
                <w:color w:val="auto"/>
              </w:rPr>
            </w:pPr>
            <w:r>
              <w:rPr>
                <w:rFonts w:ascii="Arial" w:cs="Arial" w:eastAsia="Arial" w:hAnsi="Arial"/>
                <w:sz w:val="18"/>
                <w:szCs w:val="18"/>
                <w:b w:val="1"/>
                <w:bCs w:val="1"/>
                <w:color w:val="auto"/>
              </w:rPr>
              <w:t>(Commission File Number)</w:t>
            </w: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rPr>
              <w:t>(IRS Employer</w:t>
            </w:r>
          </w:p>
        </w:tc>
      </w:tr>
      <w:tr>
        <w:trPr>
          <w:trHeight w:val="253"/>
        </w:trPr>
        <w:tc>
          <w:tcPr>
            <w:tcW w:w="3140" w:type="dxa"/>
            <w:vAlign w:val="bottom"/>
          </w:tcPr>
          <w:p>
            <w:pPr>
              <w:jc w:val="center"/>
              <w:ind w:right="810"/>
              <w:spacing w:after="0"/>
              <w:rPr>
                <w:sz w:val="20"/>
                <w:szCs w:val="20"/>
                <w:color w:val="auto"/>
              </w:rPr>
            </w:pPr>
            <w:r>
              <w:rPr>
                <w:rFonts w:ascii="Arial" w:cs="Arial" w:eastAsia="Arial" w:hAnsi="Arial"/>
                <w:sz w:val="18"/>
                <w:szCs w:val="18"/>
                <w:b w:val="1"/>
                <w:bCs w:val="1"/>
                <w:color w:val="auto"/>
                <w:w w:val="99"/>
              </w:rPr>
              <w:t>of incorporation)</w:t>
            </w:r>
          </w:p>
        </w:tc>
        <w:tc>
          <w:tcPr>
            <w:tcW w:w="4260" w:type="dxa"/>
            <w:vAlign w:val="bottom"/>
          </w:tcPr>
          <w:p>
            <w:pPr>
              <w:spacing w:after="0"/>
              <w:rPr>
                <w:sz w:val="21"/>
                <w:szCs w:val="21"/>
                <w:color w:val="auto"/>
              </w:rPr>
            </w:pPr>
          </w:p>
        </w:tc>
        <w:tc>
          <w:tcPr>
            <w:tcW w:w="258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Identification No.)</w:t>
            </w:r>
          </w:p>
        </w:tc>
      </w:tr>
    </w:tbl>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w:t>
      </w:r>
    </w:p>
    <w:p>
      <w:pPr>
        <w:spacing w:after="0" w:line="39"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right="60"/>
        <w:spacing w:after="0" w:line="28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Times New Roman" w:cs="Times New Roman" w:eastAsia="Times New Roman" w:hAnsi="Times New Roman"/>
          <w:sz w:val="14"/>
          <w:szCs w:val="14"/>
          <w:color w:val="auto"/>
        </w:rPr>
        <w:t>o</w:t>
      </w:r>
    </w:p>
    <w:p>
      <w:pPr>
        <w:spacing w:after="0" w:line="77" w:lineRule="exact"/>
        <w:rPr>
          <w:sz w:val="24"/>
          <w:szCs w:val="24"/>
          <w:color w:val="auto"/>
        </w:rPr>
      </w:pPr>
    </w:p>
    <w:p>
      <w:pPr>
        <w:ind w:right="300"/>
        <w:spacing w:after="0" w:line="266"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o</w:t>
      </w:r>
    </w:p>
    <w:p>
      <w:pPr>
        <w:ind w:left="1080"/>
        <w:spacing w:after="0"/>
        <w:rPr>
          <w:sz w:val="20"/>
          <w:szCs w:val="20"/>
          <w:color w:val="auto"/>
        </w:rPr>
      </w:pPr>
      <w:r>
        <w:rPr>
          <w:rFonts w:ascii="Times New Roman" w:cs="Times New Roman" w:eastAsia="Times New Roman" w:hAnsi="Times New Roman"/>
          <w:sz w:val="18"/>
          <w:szCs w:val="18"/>
          <w:color w:val="7F160E"/>
        </w:rPr>
        <w:t>______________________________________________________________________________________________________</w:t>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4"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On April 25, 2019, Registrant released its first quarter 2019 earnings and is furnishing to the Securities and Exchange Commission ("SEC") a copy of the earnings press release as Exhibit 99.1 to this Report under Item 2.02 of Form 8-K.</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3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160" w:type="dxa"/>
            <w:vAlign w:val="bottom"/>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04"/>
        </w:trPr>
        <w:tc>
          <w:tcPr>
            <w:tcW w:w="340" w:type="dxa"/>
            <w:vAlign w:val="bottom"/>
            <w:tcBorders>
              <w:bottom w:val="single" w:sz="8" w:color="0000FF"/>
            </w:tcBorders>
          </w:tcPr>
          <w:p>
            <w:pPr>
              <w:spacing w:after="0" w:line="204"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860" w:type="dxa"/>
            <w:vAlign w:val="bottom"/>
          </w:tcPr>
          <w:p>
            <w:pPr>
              <w:spacing w:after="0"/>
              <w:rPr>
                <w:sz w:val="17"/>
                <w:szCs w:val="17"/>
                <w:color w:val="auto"/>
              </w:rPr>
            </w:pPr>
          </w:p>
        </w:tc>
        <w:tc>
          <w:tcPr>
            <w:tcW w:w="6160" w:type="dxa"/>
            <w:vAlign w:val="bottom"/>
          </w:tcPr>
          <w:p>
            <w:pPr>
              <w:ind w:left="260"/>
              <w:spacing w:after="0" w:line="204" w:lineRule="exact"/>
              <w:rPr>
                <w:sz w:val="20"/>
                <w:szCs w:val="20"/>
                <w:color w:val="auto"/>
              </w:rPr>
            </w:pPr>
            <w:r>
              <w:rPr>
                <w:rFonts w:ascii="Arial" w:cs="Arial" w:eastAsia="Arial" w:hAnsi="Arial"/>
                <w:sz w:val="18"/>
                <w:szCs w:val="18"/>
                <w:color w:val="auto"/>
                <w:w w:val="99"/>
              </w:rPr>
              <w:t>Registrant’s first quarter 2019 earnings press release dated April 25, 2019</w:t>
            </w:r>
          </w:p>
        </w:tc>
      </w:tr>
    </w:tbl>
    <w:p>
      <w:pPr>
        <w:sectPr>
          <w:pgSz w:w="11900" w:h="16838" w:orient="portrait"/>
          <w:cols w:equalWidth="0" w:num="1">
            <w:col w:w="11380"/>
          </w:cols>
          <w:pgMar w:left="240" w:top="743" w:right="27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Forward-Looking Statements</w:t>
      </w:r>
    </w:p>
    <w:p>
      <w:pPr>
        <w:spacing w:after="0" w:line="1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proposed holding company reorganization; the occurrence and timing of any closing of the proposed holding company reorganization; the shared services arrangements entered into by the Company as part of Project Own It; any potential strategic transaction involving our customer financing business and/or related assets; and other factors that are set forth in the “Risk Factors” section, the “Legal Proceedings” section, the “Management’s Discussion and Analysis of Financial Condition and Results of Operations” section and other sections of our 2018 Annual Report on Form 10-K, as well as in our Quarterly Reports on Form 10-Q and our Current Reports on Form 8-K filed with the SEC. Our forward-looking statements are also subject to the factors and other information set forth in the “Summary of the Holding Company Reorganization Proposal” section, the “Risk Factors” section and the “Proposal 1 - Approval of the Holding Company Reorganization” section of our definitive Joint Proxy Statement/Prospectus dated April 22, 2019 filed on Schedule 14A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ectPr>
          <w:pgSz w:w="11900" w:h="16838" w:orient="portrait"/>
          <w:cols w:equalWidth="0" w:num="1">
            <w:col w:w="11420"/>
          </w:cols>
          <w:pgMar w:left="240" w:top="675"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18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authorized this Report to be signed on its behalf by the undersigned duly authorized.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XEROX CORPORATION</w:t>
      </w:r>
    </w:p>
    <w:p>
      <w:pPr>
        <w:spacing w:after="0" w:line="50"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Joseph H. Mancini,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28575</wp:posOffset>
            </wp:positionV>
            <wp:extent cx="295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Joseph H. Mancini, Jr.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Vice President and Chief Accounting Officer</w:t>
      </w:r>
    </w:p>
    <w:p>
      <w:pPr>
        <w:sectPr>
          <w:pgSz w:w="11900" w:h="16838" w:orient="portrait"/>
          <w:cols w:equalWidth="0" w:num="1">
            <w:col w:w="11280"/>
          </w:cols>
          <w:pgMar w:left="240" w:top="56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0" w:type="dxa"/>
            <w:vAlign w:val="bottom"/>
          </w:tcPr>
          <w:p>
            <w:pPr>
              <w:ind w:left="3380"/>
              <w:spacing w:after="0"/>
              <w:rPr>
                <w:sz w:val="20"/>
                <w:szCs w:val="20"/>
                <w:color w:val="auto"/>
              </w:rPr>
            </w:pPr>
            <w:r>
              <w:rPr>
                <w:rFonts w:ascii="Arial" w:cs="Arial" w:eastAsia="Arial" w:hAnsi="Arial"/>
                <w:sz w:val="20"/>
                <w:szCs w:val="20"/>
                <w:b w:val="1"/>
                <w:bCs w:val="1"/>
                <w:color w:val="auto"/>
              </w:rPr>
              <w:t>EXHIBIT INDEX</w:t>
            </w:r>
          </w:p>
        </w:tc>
      </w:tr>
      <w:tr>
        <w:trPr>
          <w:trHeight w:val="587"/>
        </w:trPr>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97"/>
        </w:trPr>
        <w:tc>
          <w:tcPr>
            <w:tcW w:w="520" w:type="dxa"/>
            <w:vAlign w:val="bottom"/>
            <w:tcBorders>
              <w:top w:val="single" w:sz="8" w:color="auto"/>
            </w:tcBorders>
            <w:gridSpan w:val="2"/>
          </w:tcPr>
          <w:p>
            <w:pPr>
              <w:jc w:val="right"/>
              <w:spacing w:after="0" w:line="197" w:lineRule="exact"/>
              <w:rPr>
                <w:rFonts w:ascii="Arial" w:cs="Arial" w:eastAsia="Arial" w:hAnsi="Arial"/>
                <w:sz w:val="18"/>
                <w:szCs w:val="18"/>
                <w:color w:val="0000FF"/>
              </w:rPr>
            </w:pPr>
            <w:hyperlink w:anchor="page6">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color w:val="auto"/>
              </w:rPr>
              <w:t>Registrant’s first quarter 2019 earnings press release dated April 25, 2019</w:t>
            </w: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56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color w:val="006EBF"/>
        </w:rPr>
        <w:t>News from Xerox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33020</wp:posOffset>
            </wp:positionV>
            <wp:extent cx="120904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2400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909294"/>
        </w:rPr>
        <w:t>For Immediate Release</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Xerox Corporation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909294"/>
        </w:rPr>
        <w:t>201 Merritt 7</w:t>
      </w:r>
    </w:p>
    <w:p>
      <w:pPr>
        <w:spacing w:after="0" w:line="1" w:lineRule="exact"/>
        <w:rPr>
          <w:sz w:val="20"/>
          <w:szCs w:val="20"/>
          <w:color w:val="auto"/>
        </w:rPr>
      </w:pPr>
    </w:p>
    <w:p>
      <w:pPr>
        <w:jc w:val="right"/>
        <w:spacing w:after="0"/>
        <w:tabs>
          <w:tab w:leader="none" w:pos="740" w:val="left"/>
        </w:tabs>
        <w:rPr>
          <w:sz w:val="20"/>
          <w:szCs w:val="20"/>
          <w:color w:val="auto"/>
        </w:rPr>
      </w:pPr>
      <w:r>
        <w:rPr>
          <w:rFonts w:ascii="Arial" w:cs="Arial" w:eastAsia="Arial" w:hAnsi="Arial"/>
          <w:sz w:val="14"/>
          <w:szCs w:val="14"/>
          <w:color w:val="909294"/>
        </w:rPr>
        <w:t>Norwalk, CT</w:t>
        <w:tab/>
        <w:t>06851-1056</w:t>
      </w:r>
    </w:p>
    <w:p>
      <w:pPr>
        <w:spacing w:after="0" w:line="1" w:lineRule="exact"/>
        <w:rPr>
          <w:sz w:val="20"/>
          <w:szCs w:val="20"/>
          <w:color w:val="auto"/>
        </w:rPr>
      </w:pPr>
    </w:p>
    <w:p>
      <w:pPr>
        <w:jc w:val="both"/>
        <w:ind w:left="9960"/>
        <w:spacing w:after="0"/>
        <w:tabs>
          <w:tab w:leader="none" w:pos="10300" w:val="left"/>
        </w:tabs>
        <w:rPr>
          <w:sz w:val="20"/>
          <w:szCs w:val="20"/>
          <w:color w:val="auto"/>
        </w:rPr>
      </w:pPr>
      <w:r>
        <w:rPr>
          <w:rFonts w:ascii="Arial" w:cs="Arial" w:eastAsia="Arial" w:hAnsi="Arial"/>
          <w:sz w:val="14"/>
          <w:szCs w:val="14"/>
          <w:color w:val="909294"/>
        </w:rPr>
        <w:t>Tel</w:t>
        <w:tab/>
        <w:t>+1-203-968-3000</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Xerox Delivers EPS Growth and Margin Expansion, Raises 2019 EPS Guidance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First-Quarter 2019 Financial Highlights:</w:t>
      </w:r>
    </w:p>
    <w:p>
      <w:pPr>
        <w:spacing w:after="0" w:line="3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per share (EPS) of $0.55, up $0.47 year-over-year, and adjusted EPS of $0.91, up $0.23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$226 million of operating cash flow, up $10 million year-over-year, and $211 million of free cash flow, up $13 million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operating margin of 11.3%, up 140 basis points year-over-year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 billion of revenue in the quarter, a decrease of 9.4% year-over-year or 7% percent in constant currency</w:t>
      </w:r>
    </w:p>
    <w:p>
      <w:pPr>
        <w:spacing w:after="0" w:line="9" w:lineRule="exact"/>
        <w:rPr>
          <w:rFonts w:ascii="Arial" w:cs="Arial" w:eastAsia="Arial" w:hAnsi="Arial"/>
          <w:sz w:val="18"/>
          <w:szCs w:val="18"/>
          <w:color w:val="auto"/>
        </w:rPr>
      </w:pPr>
    </w:p>
    <w:p>
      <w:pPr>
        <w:ind w:left="340" w:right="60" w:hanging="332"/>
        <w:spacing w:after="0" w:line="26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Raising 2019 guidance for GAAP EPS to $2.90 to $3.05 and adjusted EPS to $3.80 to $3.95. Prior guidance was $2.60 to $2.70 and $3.70 to $3.80,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NORWALK, Conn., April 25, 2019 - Today </w:t>
      </w:r>
      <w:r>
        <w:rPr>
          <w:rFonts w:ascii="Arial" w:cs="Arial" w:eastAsia="Arial" w:hAnsi="Arial"/>
          <w:sz w:val="18"/>
          <w:szCs w:val="18"/>
          <w:u w:val="single" w:color="auto"/>
          <w:color w:val="D92130"/>
        </w:rPr>
        <w:t>Xerox</w:t>
      </w:r>
      <w:r>
        <w:rPr>
          <w:rFonts w:ascii="Arial" w:cs="Arial" w:eastAsia="Arial" w:hAnsi="Arial"/>
          <w:sz w:val="18"/>
          <w:szCs w:val="18"/>
          <w:color w:val="auto"/>
        </w:rPr>
        <w:t xml:space="preserve"> (NYSE: XRX) announced its first-quarter 2019 financial results.</w:t>
      </w:r>
    </w:p>
    <w:p>
      <w:pPr>
        <w:spacing w:after="0" w:line="22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“Our transformation initiatives are yielding results, which give us confidence to raise our full-year earnings guidance despite revenue declines. We are investing in our core business as well as new technologies that create value for our stakeholders and position us for long-term growth,” said Xerox Vice Chairman and CEO John Visentin.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ind w:left="40"/>
              <w:spacing w:after="0"/>
              <w:rPr>
                <w:sz w:val="20"/>
                <w:szCs w:val="20"/>
                <w:color w:val="auto"/>
              </w:rPr>
            </w:pPr>
            <w:r>
              <w:rPr>
                <w:rFonts w:ascii="Arial" w:cs="Arial" w:eastAsia="Arial" w:hAnsi="Arial"/>
                <w:sz w:val="14"/>
                <w:szCs w:val="14"/>
                <w:b w:val="1"/>
                <w:bCs w:val="1"/>
                <w:color w:val="DA2031"/>
              </w:rPr>
              <w:t>(in millions, except per share data)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DA2031"/>
              </w:rPr>
              <w:t>Q1 2019</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DA2031"/>
              </w:rPr>
              <w:t>Q1 2018</w:t>
            </w:r>
          </w:p>
        </w:tc>
        <w:tc>
          <w:tcPr>
            <w:tcW w:w="1500" w:type="dxa"/>
            <w:vAlign w:val="bottom"/>
          </w:tcPr>
          <w:p>
            <w:pPr>
              <w:jc w:val="center"/>
              <w:ind w:left="188"/>
              <w:spacing w:after="0"/>
              <w:rPr>
                <w:sz w:val="20"/>
                <w:szCs w:val="20"/>
                <w:color w:val="auto"/>
              </w:rPr>
            </w:pPr>
            <w:r>
              <w:rPr>
                <w:rFonts w:ascii="Arial" w:cs="Arial" w:eastAsia="Arial" w:hAnsi="Arial"/>
                <w:sz w:val="14"/>
                <w:szCs w:val="14"/>
                <w:b w:val="1"/>
                <w:bCs w:val="1"/>
                <w:color w:val="DA2031"/>
              </w:rPr>
              <w:t>B/(W) YOY</w:t>
            </w:r>
          </w:p>
        </w:tc>
        <w:tc>
          <w:tcPr>
            <w:tcW w:w="1860" w:type="dxa"/>
            <w:vAlign w:val="bottom"/>
          </w:tcPr>
          <w:p>
            <w:pPr>
              <w:jc w:val="center"/>
              <w:ind w:left="148"/>
              <w:spacing w:after="0"/>
              <w:rPr>
                <w:sz w:val="20"/>
                <w:szCs w:val="20"/>
                <w:color w:val="auto"/>
              </w:rPr>
            </w:pPr>
            <w:r>
              <w:rPr>
                <w:rFonts w:ascii="Arial" w:cs="Arial" w:eastAsia="Arial" w:hAnsi="Arial"/>
                <w:sz w:val="14"/>
                <w:szCs w:val="14"/>
                <w:b w:val="1"/>
                <w:bCs w:val="1"/>
                <w:color w:val="DA2031"/>
              </w:rPr>
              <w:t>% Change YOY</w:t>
            </w:r>
          </w:p>
        </w:tc>
      </w:tr>
      <w:tr>
        <w:trPr>
          <w:trHeight w:val="21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$2,206</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$2,435</w:t>
            </w:r>
          </w:p>
        </w:tc>
        <w:tc>
          <w:tcPr>
            <w:tcW w:w="1500" w:type="dxa"/>
            <w:vAlign w:val="bottom"/>
          </w:tcPr>
          <w:p>
            <w:pPr>
              <w:jc w:val="center"/>
              <w:ind w:left="168"/>
              <w:spacing w:after="0"/>
              <w:rPr>
                <w:sz w:val="20"/>
                <w:szCs w:val="20"/>
                <w:color w:val="auto"/>
              </w:rPr>
            </w:pPr>
            <w:r>
              <w:rPr>
                <w:rFonts w:ascii="Arial" w:cs="Arial" w:eastAsia="Arial" w:hAnsi="Arial"/>
                <w:sz w:val="14"/>
                <w:szCs w:val="14"/>
                <w:b w:val="1"/>
                <w:bCs w:val="1"/>
                <w:color w:val="auto"/>
              </w:rPr>
              <w:t>$(229)</w:t>
            </w: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rPr>
              <w:t>(9.4) % AC (7.0) % CC</w:t>
            </w:r>
            <w:r>
              <w:rPr>
                <w:rFonts w:ascii="Arial" w:cs="Arial" w:eastAsia="Arial" w:hAnsi="Arial"/>
                <w:sz w:val="17"/>
                <w:szCs w:val="17"/>
                <w:b w:val="1"/>
                <w:bCs w:val="1"/>
                <w:color w:val="auto"/>
                <w:vertAlign w:val="superscript"/>
              </w:rPr>
              <w:t>1</w:t>
            </w:r>
          </w:p>
        </w:tc>
      </w:tr>
      <w:tr>
        <w:trPr>
          <w:trHeight w:val="262"/>
        </w:trPr>
        <w:tc>
          <w:tcPr>
            <w:tcW w:w="4460" w:type="dxa"/>
            <w:vAlign w:val="bottom"/>
            <w:shd w:val="clear" w:color="auto" w:fill="E5E5E5"/>
          </w:tcPr>
          <w:p>
            <w:pPr>
              <w:ind w:left="160"/>
              <w:spacing w:after="0"/>
              <w:rPr>
                <w:sz w:val="20"/>
                <w:szCs w:val="20"/>
                <w:color w:val="auto"/>
              </w:rPr>
            </w:pPr>
            <w:r>
              <w:rPr>
                <w:rFonts w:ascii="Arial" w:cs="Arial" w:eastAsia="Arial" w:hAnsi="Arial"/>
                <w:sz w:val="14"/>
                <w:szCs w:val="14"/>
                <w:color w:val="auto"/>
              </w:rPr>
              <w:t>Gross Margin</w:t>
            </w:r>
          </w:p>
        </w:tc>
        <w:tc>
          <w:tcPr>
            <w:tcW w:w="16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40.3%</w:t>
            </w:r>
          </w:p>
        </w:tc>
        <w:tc>
          <w:tcPr>
            <w:tcW w:w="1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39.8%</w:t>
            </w:r>
          </w:p>
        </w:tc>
        <w:tc>
          <w:tcPr>
            <w:tcW w:w="150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w w:val="99"/>
              </w:rPr>
              <w:t>50 bps</w:t>
            </w:r>
          </w:p>
        </w:tc>
        <w:tc>
          <w:tcPr>
            <w:tcW w:w="1860" w:type="dxa"/>
            <w:vAlign w:val="bottom"/>
            <w:shd w:val="clear" w:color="auto" w:fill="E5E5E5"/>
          </w:tcPr>
          <w:p>
            <w:pPr>
              <w:spacing w:after="0"/>
              <w:rPr>
                <w:sz w:val="22"/>
                <w:szCs w:val="22"/>
                <w:color w:val="auto"/>
              </w:rPr>
            </w:pPr>
          </w:p>
        </w:tc>
      </w:tr>
      <w:tr>
        <w:trPr>
          <w:trHeight w:val="270"/>
        </w:trPr>
        <w:tc>
          <w:tcPr>
            <w:tcW w:w="4460" w:type="dxa"/>
            <w:vAlign w:val="bottom"/>
            <w:shd w:val="clear" w:color="auto" w:fill="E5E5E5"/>
          </w:tcPr>
          <w:p>
            <w:pPr>
              <w:ind w:left="160"/>
              <w:spacing w:after="0"/>
              <w:rPr>
                <w:sz w:val="20"/>
                <w:szCs w:val="20"/>
                <w:color w:val="auto"/>
              </w:rPr>
            </w:pPr>
            <w:r>
              <w:rPr>
                <w:rFonts w:ascii="Arial" w:cs="Arial" w:eastAsia="Arial" w:hAnsi="Arial"/>
                <w:sz w:val="14"/>
                <w:szCs w:val="14"/>
                <w:color w:val="auto"/>
              </w:rPr>
              <w:t>RD&amp;E %</w:t>
            </w:r>
          </w:p>
        </w:tc>
        <w:tc>
          <w:tcPr>
            <w:tcW w:w="16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4.2%</w:t>
            </w:r>
          </w:p>
        </w:tc>
        <w:tc>
          <w:tcPr>
            <w:tcW w:w="1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4.1%</w:t>
            </w:r>
          </w:p>
        </w:tc>
        <w:tc>
          <w:tcPr>
            <w:tcW w:w="150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(10) bps</w:t>
            </w:r>
          </w:p>
        </w:tc>
        <w:tc>
          <w:tcPr>
            <w:tcW w:w="1860" w:type="dxa"/>
            <w:vAlign w:val="bottom"/>
            <w:shd w:val="clear" w:color="auto" w:fill="E5E5E5"/>
          </w:tcPr>
          <w:p>
            <w:pPr>
              <w:spacing w:after="0"/>
              <w:rPr>
                <w:sz w:val="23"/>
                <w:szCs w:val="23"/>
                <w:color w:val="auto"/>
              </w:rPr>
            </w:pPr>
          </w:p>
        </w:tc>
      </w:tr>
      <w:tr>
        <w:trPr>
          <w:trHeight w:val="278"/>
        </w:trPr>
        <w:tc>
          <w:tcPr>
            <w:tcW w:w="4460" w:type="dxa"/>
            <w:vAlign w:val="bottom"/>
            <w:shd w:val="clear" w:color="auto" w:fill="E5E5E5"/>
          </w:tcPr>
          <w:p>
            <w:pPr>
              <w:ind w:left="160"/>
              <w:spacing w:after="0"/>
              <w:rPr>
                <w:sz w:val="20"/>
                <w:szCs w:val="20"/>
                <w:color w:val="auto"/>
              </w:rPr>
            </w:pPr>
            <w:r>
              <w:rPr>
                <w:rFonts w:ascii="Arial" w:cs="Arial" w:eastAsia="Arial" w:hAnsi="Arial"/>
                <w:sz w:val="14"/>
                <w:szCs w:val="14"/>
                <w:color w:val="auto"/>
              </w:rPr>
              <w:t>SAG %</w:t>
            </w:r>
          </w:p>
        </w:tc>
        <w:tc>
          <w:tcPr>
            <w:tcW w:w="16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24.8%</w:t>
            </w:r>
          </w:p>
        </w:tc>
        <w:tc>
          <w:tcPr>
            <w:tcW w:w="1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25.8%</w:t>
            </w:r>
          </w:p>
        </w:tc>
        <w:tc>
          <w:tcPr>
            <w:tcW w:w="150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100 bps</w:t>
            </w:r>
          </w:p>
        </w:tc>
        <w:tc>
          <w:tcPr>
            <w:tcW w:w="1860" w:type="dxa"/>
            <w:vAlign w:val="bottom"/>
            <w:shd w:val="clear" w:color="auto" w:fill="E5E5E5"/>
          </w:tcPr>
          <w:p>
            <w:pPr>
              <w:spacing w:after="0"/>
              <w:rPr>
                <w:sz w:val="24"/>
                <w:szCs w:val="24"/>
                <w:color w:val="auto"/>
              </w:rPr>
            </w:pPr>
          </w:p>
        </w:tc>
      </w:tr>
      <w:tr>
        <w:trPr>
          <w:trHeight w:val="215"/>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Pre-Tax Income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$83</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$134</w:t>
            </w:r>
          </w:p>
        </w:tc>
        <w:tc>
          <w:tcPr>
            <w:tcW w:w="1500" w:type="dxa"/>
            <w:vAlign w:val="bottom"/>
          </w:tcPr>
          <w:p>
            <w:pPr>
              <w:jc w:val="center"/>
              <w:ind w:left="168"/>
              <w:spacing w:after="0"/>
              <w:rPr>
                <w:sz w:val="20"/>
                <w:szCs w:val="20"/>
                <w:color w:val="auto"/>
              </w:rPr>
            </w:pPr>
            <w:r>
              <w:rPr>
                <w:rFonts w:ascii="Arial" w:cs="Arial" w:eastAsia="Arial" w:hAnsi="Arial"/>
                <w:sz w:val="14"/>
                <w:szCs w:val="14"/>
                <w:b w:val="1"/>
                <w:bCs w:val="1"/>
                <w:color w:val="auto"/>
              </w:rPr>
              <w:t>$(51)</w:t>
            </w: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rPr>
              <w:t>(38)%</w:t>
            </w:r>
          </w:p>
        </w:tc>
      </w:tr>
      <w:tr>
        <w:trPr>
          <w:trHeight w:val="271"/>
        </w:trPr>
        <w:tc>
          <w:tcPr>
            <w:tcW w:w="4460" w:type="dxa"/>
            <w:vAlign w:val="bottom"/>
            <w:shd w:val="clear" w:color="auto" w:fill="E5E5E5"/>
          </w:tcPr>
          <w:p>
            <w:pPr>
              <w:ind w:left="160"/>
              <w:spacing w:after="0"/>
              <w:rPr>
                <w:sz w:val="20"/>
                <w:szCs w:val="20"/>
                <w:color w:val="auto"/>
              </w:rPr>
            </w:pPr>
            <w:r>
              <w:rPr>
                <w:rFonts w:ascii="Arial" w:cs="Arial" w:eastAsia="Arial" w:hAnsi="Arial"/>
                <w:sz w:val="14"/>
                <w:szCs w:val="14"/>
                <w:color w:val="auto"/>
              </w:rPr>
              <w:t>Pre-Tax Income Margin</w:t>
            </w:r>
          </w:p>
        </w:tc>
        <w:tc>
          <w:tcPr>
            <w:tcW w:w="16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3.8%</w:t>
            </w:r>
          </w:p>
        </w:tc>
        <w:tc>
          <w:tcPr>
            <w:tcW w:w="1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5.5%</w:t>
            </w:r>
          </w:p>
        </w:tc>
        <w:tc>
          <w:tcPr>
            <w:tcW w:w="150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(170) bps</w:t>
            </w:r>
          </w:p>
        </w:tc>
        <w:tc>
          <w:tcPr>
            <w:tcW w:w="1860" w:type="dxa"/>
            <w:vAlign w:val="bottom"/>
            <w:shd w:val="clear" w:color="auto" w:fill="E5E5E5"/>
          </w:tcPr>
          <w:p>
            <w:pPr>
              <w:spacing w:after="0"/>
              <w:rPr>
                <w:sz w:val="23"/>
                <w:szCs w:val="23"/>
                <w:color w:val="auto"/>
              </w:rPr>
            </w:pPr>
          </w:p>
        </w:tc>
      </w:tr>
      <w:tr>
        <w:trPr>
          <w:trHeight w:val="216"/>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Operating Income - Adjusted</w:t>
            </w:r>
            <w:r>
              <w:rPr>
                <w:rFonts w:ascii="Arial" w:cs="Arial" w:eastAsia="Arial" w:hAnsi="Arial"/>
                <w:sz w:val="17"/>
                <w:szCs w:val="17"/>
                <w:b w:val="1"/>
                <w:bCs w:val="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$249</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$242</w:t>
            </w:r>
          </w:p>
        </w:tc>
        <w:tc>
          <w:tcPr>
            <w:tcW w:w="1500" w:type="dxa"/>
            <w:vAlign w:val="bottom"/>
          </w:tcPr>
          <w:p>
            <w:pPr>
              <w:jc w:val="center"/>
              <w:ind w:left="188"/>
              <w:spacing w:after="0"/>
              <w:rPr>
                <w:sz w:val="20"/>
                <w:szCs w:val="20"/>
                <w:color w:val="auto"/>
              </w:rPr>
            </w:pPr>
            <w:r>
              <w:rPr>
                <w:rFonts w:ascii="Arial" w:cs="Arial" w:eastAsia="Arial" w:hAnsi="Arial"/>
                <w:sz w:val="14"/>
                <w:szCs w:val="14"/>
                <w:b w:val="1"/>
                <w:bCs w:val="1"/>
                <w:color w:val="auto"/>
              </w:rPr>
              <w:t>$7</w:t>
            </w: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rPr>
              <w:t>3%</w:t>
            </w:r>
          </w:p>
        </w:tc>
      </w:tr>
      <w:tr>
        <w:trPr>
          <w:trHeight w:val="270"/>
        </w:trPr>
        <w:tc>
          <w:tcPr>
            <w:tcW w:w="4460" w:type="dxa"/>
            <w:vAlign w:val="bottom"/>
            <w:shd w:val="clear" w:color="auto" w:fill="E5E5E5"/>
          </w:tcPr>
          <w:p>
            <w:pPr>
              <w:ind w:left="160"/>
              <w:spacing w:after="0"/>
              <w:rPr>
                <w:sz w:val="20"/>
                <w:szCs w:val="20"/>
                <w:color w:val="auto"/>
              </w:rPr>
            </w:pPr>
            <w:r>
              <w:rPr>
                <w:rFonts w:ascii="Arial" w:cs="Arial" w:eastAsia="Arial" w:hAnsi="Arial"/>
                <w:sz w:val="14"/>
                <w:szCs w:val="14"/>
                <w:color w:val="auto"/>
              </w:rPr>
              <w:t>Operating Margin - Adjusted</w:t>
            </w:r>
            <w:r>
              <w:rPr>
                <w:rFonts w:ascii="Arial" w:cs="Arial" w:eastAsia="Arial" w:hAnsi="Arial"/>
                <w:sz w:val="17"/>
                <w:szCs w:val="17"/>
                <w:color w:val="auto"/>
                <w:vertAlign w:val="superscript"/>
              </w:rPr>
              <w:t>1</w:t>
            </w:r>
          </w:p>
        </w:tc>
        <w:tc>
          <w:tcPr>
            <w:tcW w:w="16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11.3%</w:t>
            </w:r>
          </w:p>
        </w:tc>
        <w:tc>
          <w:tcPr>
            <w:tcW w:w="1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9.9%</w:t>
            </w:r>
          </w:p>
        </w:tc>
        <w:tc>
          <w:tcPr>
            <w:tcW w:w="1500" w:type="dxa"/>
            <w:vAlign w:val="bottom"/>
            <w:shd w:val="clear" w:color="auto" w:fill="E5E5E5"/>
          </w:tcPr>
          <w:p>
            <w:pPr>
              <w:jc w:val="center"/>
              <w:ind w:left="168"/>
              <w:spacing w:after="0"/>
              <w:rPr>
                <w:sz w:val="20"/>
                <w:szCs w:val="20"/>
                <w:color w:val="auto"/>
              </w:rPr>
            </w:pPr>
            <w:r>
              <w:rPr>
                <w:rFonts w:ascii="Arial" w:cs="Arial" w:eastAsia="Arial" w:hAnsi="Arial"/>
                <w:sz w:val="14"/>
                <w:szCs w:val="14"/>
                <w:color w:val="auto"/>
              </w:rPr>
              <w:t>140 bps</w:t>
            </w:r>
          </w:p>
        </w:tc>
        <w:tc>
          <w:tcPr>
            <w:tcW w:w="1860" w:type="dxa"/>
            <w:vAlign w:val="bottom"/>
            <w:shd w:val="clear" w:color="auto" w:fill="E5E5E5"/>
          </w:tcPr>
          <w:p>
            <w:pPr>
              <w:spacing w:after="0"/>
              <w:rPr>
                <w:sz w:val="23"/>
                <w:szCs w:val="23"/>
                <w:color w:val="auto"/>
              </w:rPr>
            </w:pPr>
          </w:p>
        </w:tc>
      </w:tr>
      <w:tr>
        <w:trPr>
          <w:trHeight w:val="214"/>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GAAP EPS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$0.55</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$0.08</w:t>
            </w:r>
          </w:p>
        </w:tc>
        <w:tc>
          <w:tcPr>
            <w:tcW w:w="1500" w:type="dxa"/>
            <w:vAlign w:val="bottom"/>
          </w:tcPr>
          <w:p>
            <w:pPr>
              <w:jc w:val="center"/>
              <w:ind w:left="188"/>
              <w:spacing w:after="0"/>
              <w:rPr>
                <w:sz w:val="20"/>
                <w:szCs w:val="20"/>
                <w:color w:val="auto"/>
              </w:rPr>
            </w:pPr>
            <w:r>
              <w:rPr>
                <w:rFonts w:ascii="Arial" w:cs="Arial" w:eastAsia="Arial" w:hAnsi="Arial"/>
                <w:sz w:val="14"/>
                <w:szCs w:val="14"/>
                <w:b w:val="1"/>
                <w:bCs w:val="1"/>
                <w:color w:val="auto"/>
              </w:rPr>
              <w:t>$0.47</w:t>
            </w: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rPr>
              <w:t>nm</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EPS - Adjusted</w:t>
            </w:r>
            <w:r>
              <w:rPr>
                <w:rFonts w:ascii="Arial" w:cs="Arial" w:eastAsia="Arial" w:hAnsi="Arial"/>
                <w:sz w:val="17"/>
                <w:szCs w:val="17"/>
                <w:b w:val="1"/>
                <w:bCs w:val="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$0.91</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$0.68</w:t>
            </w:r>
          </w:p>
        </w:tc>
        <w:tc>
          <w:tcPr>
            <w:tcW w:w="1500" w:type="dxa"/>
            <w:vAlign w:val="bottom"/>
          </w:tcPr>
          <w:p>
            <w:pPr>
              <w:jc w:val="center"/>
              <w:ind w:left="188"/>
              <w:spacing w:after="0"/>
              <w:rPr>
                <w:sz w:val="20"/>
                <w:szCs w:val="20"/>
                <w:color w:val="auto"/>
              </w:rPr>
            </w:pPr>
            <w:r>
              <w:rPr>
                <w:rFonts w:ascii="Arial" w:cs="Arial" w:eastAsia="Arial" w:hAnsi="Arial"/>
                <w:sz w:val="14"/>
                <w:szCs w:val="14"/>
                <w:b w:val="1"/>
                <w:bCs w:val="1"/>
                <w:color w:val="auto"/>
              </w:rPr>
              <w:t>$0.23</w:t>
            </w:r>
          </w:p>
        </w:tc>
        <w:tc>
          <w:tcPr>
            <w:tcW w:w="1860" w:type="dxa"/>
            <w:vAlign w:val="bottom"/>
          </w:tcPr>
          <w:p>
            <w:pPr>
              <w:jc w:val="center"/>
              <w:ind w:left="128"/>
              <w:spacing w:after="0"/>
              <w:rPr>
                <w:sz w:val="20"/>
                <w:szCs w:val="20"/>
                <w:color w:val="auto"/>
              </w:rPr>
            </w:pPr>
            <w:r>
              <w:rPr>
                <w:rFonts w:ascii="Arial" w:cs="Arial" w:eastAsia="Arial" w:hAnsi="Arial"/>
                <w:sz w:val="14"/>
                <w:szCs w:val="14"/>
                <w:b w:val="1"/>
                <w:bCs w:val="1"/>
                <w:color w:val="auto"/>
              </w:rPr>
              <w:t>34%</w:t>
            </w:r>
          </w:p>
        </w:tc>
      </w:tr>
    </w:tbl>
    <w:p>
      <w:pPr>
        <w:spacing w:after="0"/>
        <w:rPr>
          <w:sz w:val="20"/>
          <w:szCs w:val="20"/>
          <w:color w:val="auto"/>
        </w:rPr>
      </w:pPr>
      <w:r>
        <w:rPr>
          <w:rFonts w:ascii="Arial" w:cs="Arial" w:eastAsia="Arial" w:hAnsi="Arial"/>
          <w:sz w:val="11"/>
          <w:szCs w:val="11"/>
          <w:color w:val="auto"/>
        </w:rPr>
        <w:t>(1) Refer to the “Non-GAAP Financial Measures” section of this release for a discussion of these non-GAAP measures and their reconciliation to the reported GAAP measures.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Highlights:</w:t>
      </w:r>
    </w:p>
    <w:p>
      <w:pPr>
        <w:spacing w:after="0" w:line="33" w:lineRule="exact"/>
        <w:rPr>
          <w:sz w:val="20"/>
          <w:szCs w:val="20"/>
          <w:color w:val="auto"/>
        </w:rPr>
      </w:pPr>
    </w:p>
    <w:p>
      <w:pPr>
        <w:ind w:left="340" w:right="3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track to drive gross savings in 2019 of at least $640 million under Project Own It, Xerox’s enterprise-wide transformation initiative to create a simpler, more effective organization</w:t>
      </w:r>
    </w:p>
    <w:p>
      <w:pPr>
        <w:ind w:left="340" w:right="1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Introduced a new services portfolio to deepen the integration of Xerox’s software, services and technology to deliver differentiated, higher margin solutions</w:t>
      </w:r>
    </w:p>
    <w:p>
      <w:pPr>
        <w:ind w:left="340" w:right="2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Enabled mobile, on-the-go print services with the launch of Xerox Instant Print Kiosk, positioning Xerox for growth in the self-service print and document management market</w:t>
      </w:r>
    </w:p>
    <w:p>
      <w:pPr>
        <w:ind w:left="340" w:right="280" w:hanging="332"/>
        <w:spacing w:after="0" w:line="23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new Xerox Rialto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900 MP Inkjet Press, a roll-to-cut sheet platform designed to deliver maximum productivity per square meter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2" w:right="239" w:bottom="1440" w:gutter="0" w:footer="0" w:header="0"/>
        </w:sectPr>
      </w:pPr>
    </w:p>
    <w:bookmarkStart w:id="6" w:name="page7"/>
    <w:bookmarkEnd w:id="6"/>
    <w:p>
      <w:pPr>
        <w:ind w:left="340" w:right="240" w:hanging="332"/>
        <w:spacing w:after="0" w:line="25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software enhancements to the Xerox AltaLink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Multifunction Printers that enable clients to detect and neutralize cyber threats instantaneously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Xerox</w:t>
      </w:r>
    </w:p>
    <w:p>
      <w:pPr>
        <w:spacing w:after="0" w:line="3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In the era of intelligent work, we’re not just thinking about the future, we’re making it. </w:t>
      </w:r>
      <w:r>
        <w:rPr>
          <w:rFonts w:ascii="Arial" w:cs="Arial" w:eastAsia="Arial" w:hAnsi="Arial"/>
          <w:sz w:val="18"/>
          <w:szCs w:val="18"/>
          <w:u w:val="single" w:color="auto"/>
          <w:color w:val="D92130"/>
        </w:rPr>
        <w:t>Xerox Corporation</w:t>
      </w:r>
      <w:r>
        <w:rPr>
          <w:rFonts w:ascii="Arial" w:cs="Arial" w:eastAsia="Arial" w:hAnsi="Arial"/>
          <w:sz w:val="18"/>
          <w:szCs w:val="18"/>
          <w:color w:val="auto"/>
        </w:rPr>
        <w:t xml:space="preserve"> (NYSE: XRX) is a technology leader focused on the intersection of digital and physical. We use automation and next-generation personalization to redefine productivity, drive growth and make the world more secure. Every day, our innovative technologies and intelligent work solutions-Powered by Xerox</w:t>
      </w:r>
      <w:r>
        <w:rPr>
          <w:rFonts w:ascii="Arial" w:cs="Arial" w:eastAsia="Arial" w:hAnsi="Arial"/>
          <w:sz w:val="21"/>
          <w:szCs w:val="21"/>
          <w:color w:val="auto"/>
          <w:vertAlign w:val="superscript"/>
        </w:rPr>
        <w:t>®</w:t>
      </w:r>
      <w:r>
        <w:rPr>
          <w:rFonts w:ascii="Arial" w:cs="Arial" w:eastAsia="Arial" w:hAnsi="Arial"/>
          <w:sz w:val="18"/>
          <w:szCs w:val="18"/>
          <w:color w:val="auto"/>
        </w:rPr>
        <w:t xml:space="preserve">-help people communicate and work better. Discover more at </w:t>
      </w:r>
      <w:r>
        <w:rPr>
          <w:rFonts w:ascii="Arial" w:cs="Arial" w:eastAsia="Arial" w:hAnsi="Arial"/>
          <w:sz w:val="18"/>
          <w:szCs w:val="18"/>
          <w:u w:val="single" w:color="auto"/>
          <w:color w:val="D92130"/>
        </w:rPr>
        <w:t>www.xerox.com</w:t>
      </w:r>
      <w:r>
        <w:rPr>
          <w:rFonts w:ascii="Arial" w:cs="Arial" w:eastAsia="Arial" w:hAnsi="Arial"/>
          <w:sz w:val="18"/>
          <w:szCs w:val="18"/>
          <w:color w:val="auto"/>
        </w:rPr>
        <w:t xml:space="preserve"> and follow us on Twitter at </w:t>
      </w:r>
      <w:r>
        <w:rPr>
          <w:rFonts w:ascii="Arial" w:cs="Arial" w:eastAsia="Arial" w:hAnsi="Arial"/>
          <w:sz w:val="18"/>
          <w:szCs w:val="18"/>
          <w:u w:val="single" w:color="auto"/>
          <w:color w:val="D92130"/>
        </w:rPr>
        <w:t>@Xerox</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This release refers to the following non-GAAP financial measures for the first quarter 2019 and full-year 2019 guidance:</w:t>
      </w:r>
    </w:p>
    <w:p>
      <w:pPr>
        <w:spacing w:after="0" w:line="9" w:lineRule="exact"/>
        <w:rPr>
          <w:sz w:val="20"/>
          <w:szCs w:val="20"/>
          <w:color w:val="auto"/>
        </w:rPr>
      </w:pPr>
    </w:p>
    <w:p>
      <w:pPr>
        <w:ind w:left="340" w:right="80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EPS, which excludes restructuring and related costs (including our share of Fuji Xerox restructuring), the amortization of intangibles, non-service retirement-related costs and other discrete adjustments.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margin and income, which excludes the EPS adjustments noted above as well as the remainder of other expenses, net.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Constant currency (CC) revenue growth, which excludes the effects of currency translation.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which is cash flow from operations less capital expenditures.</w:t>
      </w:r>
    </w:p>
    <w:p>
      <w:pPr>
        <w:spacing w:after="0" w:line="20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Refer to the “Non-GAAP Financial Measures” section of this release for a discussion of these non-GAAP measures and their reconciliation to the reported GAAP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proposed holding company reorganization; the occurrence and timing of any closing of the proposed holding company reorganization; the shared services arrangements entered into by the Company as part of Project Own It; any potential strategic transaction involving our customer financing business and/or related assets; and other factors that are set forth in the “Risk Factors” section, the “Legal Proceedings” section, the “Management’s Discussion and Analysis of Financial Condition and Results of Operations” section and other sections of our 2018 Annual Report on Form 10-K, as well as in our Quarterly Reports on Form 10-Q and our Current Reports on Form 8-K filed with the SEC. Our forward-looking statements are also subject to the factors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7" w:name="page8"/>
    <w:bookmarkEnd w:id="7"/>
    <w:p>
      <w:pPr>
        <w:spacing w:after="0" w:line="260" w:lineRule="auto"/>
        <w:rPr>
          <w:sz w:val="20"/>
          <w:szCs w:val="20"/>
          <w:color w:val="auto"/>
        </w:rPr>
      </w:pPr>
      <w:r>
        <w:rPr>
          <w:rFonts w:ascii="Arial" w:cs="Arial" w:eastAsia="Arial" w:hAnsi="Arial"/>
          <w:sz w:val="18"/>
          <w:szCs w:val="18"/>
          <w:color w:val="auto"/>
        </w:rPr>
        <w:t>other information set forth in the “Summary of the Holding Company Reorganization Proposal” section, the “Risk Factors” section and the “Proposal 1 - Approval of the Holding Company Reorganization” section of our definitive Joint Proxy Statement/Prospectus dated April 22, 2019 filed on Schedule 14A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Caroline Gransee-Linsey, Xerox, +1-203-849-2359, </w:t>
      </w:r>
      <w:r>
        <w:rPr>
          <w:rFonts w:ascii="Arial" w:cs="Arial" w:eastAsia="Arial" w:hAnsi="Arial"/>
          <w:sz w:val="18"/>
          <w:szCs w:val="18"/>
          <w:u w:val="single" w:color="auto"/>
          <w:color w:val="D92130"/>
        </w:rPr>
        <w:t>Caroline.Gransee-Linsey@xerox.com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33" w:lineRule="exact"/>
        <w:rPr>
          <w:sz w:val="20"/>
          <w:szCs w:val="20"/>
          <w:color w:val="auto"/>
        </w:rPr>
      </w:pPr>
    </w:p>
    <w:p>
      <w:pPr>
        <w:ind w:right="5660"/>
        <w:spacing w:after="0" w:line="296" w:lineRule="auto"/>
        <w:rPr>
          <w:sz w:val="20"/>
          <w:szCs w:val="20"/>
          <w:color w:val="auto"/>
        </w:rPr>
      </w:pPr>
      <w:r>
        <w:rPr>
          <w:rFonts w:ascii="Arial" w:cs="Arial" w:eastAsia="Arial" w:hAnsi="Arial"/>
          <w:sz w:val="17"/>
          <w:szCs w:val="17"/>
          <w:color w:val="auto"/>
        </w:rPr>
        <w:t xml:space="preserve">Jennifer Horsley, Xerox, +1-203-849-2656, </w:t>
      </w:r>
      <w:r>
        <w:rPr>
          <w:rFonts w:ascii="Arial" w:cs="Arial" w:eastAsia="Arial" w:hAnsi="Arial"/>
          <w:sz w:val="17"/>
          <w:szCs w:val="17"/>
          <w:u w:val="single" w:color="auto"/>
          <w:color w:val="D92130"/>
        </w:rPr>
        <w:t>Jennifer.Horsley@xerox.com</w:t>
      </w:r>
      <w:r>
        <w:rPr>
          <w:rFonts w:ascii="Arial" w:cs="Arial" w:eastAsia="Arial" w:hAnsi="Arial"/>
          <w:sz w:val="17"/>
          <w:szCs w:val="17"/>
          <w:color w:val="auto"/>
        </w:rPr>
        <w:t xml:space="preserve"> Mafe Cala, Xerox, +1-203-849-2671, </w:t>
      </w:r>
      <w:r>
        <w:rPr>
          <w:rFonts w:ascii="Arial" w:cs="Arial" w:eastAsia="Arial" w:hAnsi="Arial"/>
          <w:sz w:val="17"/>
          <w:szCs w:val="17"/>
          <w:u w:val="single" w:color="auto"/>
          <w:color w:val="D92130"/>
        </w:rPr>
        <w:t>Maria.Cala@xerox.com</w:t>
      </w:r>
    </w:p>
    <w:p>
      <w:pPr>
        <w:spacing w:after="0" w:line="142"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receive RSS news feeds,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D92130"/>
        </w:rPr>
        <w:t>https://www.news.xerox.com</w:t>
      </w:r>
      <w:r>
        <w:rPr>
          <w:rFonts w:ascii="Arial" w:cs="Arial" w:eastAsia="Arial" w:hAnsi="Arial"/>
          <w:sz w:val="18"/>
          <w:szCs w:val="18"/>
          <w:color w:val="auto"/>
        </w:rPr>
        <w:t>. For open commentary, industry perspectives and views,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D92130"/>
        </w:rPr>
        <w:t>http://twitter.com/xerox, http://www.facebook.com/XeroxCorp</w:t>
      </w:r>
      <w:r>
        <w:rPr>
          <w:rFonts w:ascii="Arial" w:cs="Arial" w:eastAsia="Arial" w:hAnsi="Arial"/>
          <w:sz w:val="18"/>
          <w:szCs w:val="18"/>
          <w:color w:val="000000"/>
        </w:rPr>
        <w:t>,</w:t>
      </w:r>
      <w:r>
        <w:rPr>
          <w:rFonts w:ascii="Arial" w:cs="Arial" w:eastAsia="Arial" w:hAnsi="Arial"/>
          <w:sz w:val="18"/>
          <w:szCs w:val="18"/>
          <w:color w:val="D92130"/>
        </w:rPr>
        <w:t xml:space="preserve"> </w:t>
      </w:r>
      <w:r>
        <w:rPr>
          <w:rFonts w:ascii="Arial" w:cs="Arial" w:eastAsia="Arial" w:hAnsi="Arial"/>
          <w:sz w:val="18"/>
          <w:szCs w:val="18"/>
          <w:u w:val="single" w:color="auto"/>
          <w:color w:val="D92130"/>
        </w:rPr>
        <w:t>https://www.instagram.com/xerox/</w:t>
      </w:r>
      <w:r>
        <w:rPr>
          <w:rFonts w:ascii="Arial" w:cs="Arial" w:eastAsia="Arial" w:hAnsi="Arial"/>
          <w:sz w:val="18"/>
          <w:szCs w:val="18"/>
          <w:color w:val="000000"/>
        </w:rPr>
        <w:t>,</w:t>
      </w:r>
      <w:r>
        <w:rPr>
          <w:rFonts w:ascii="Arial" w:cs="Arial" w:eastAsia="Arial" w:hAnsi="Arial"/>
          <w:sz w:val="18"/>
          <w:szCs w:val="18"/>
          <w:color w:val="D92130"/>
        </w:rPr>
        <w:t xml:space="preserve"> </w:t>
      </w:r>
      <w:r>
        <w:rPr>
          <w:rFonts w:ascii="Arial" w:cs="Arial" w:eastAsia="Arial" w:hAnsi="Arial"/>
          <w:sz w:val="18"/>
          <w:szCs w:val="18"/>
          <w:u w:val="single" w:color="auto"/>
          <w:color w:val="D92130"/>
        </w:rPr>
        <w:t>http://www.linkedin.com/company/xerox</w:t>
      </w:r>
      <w:r>
        <w:rPr>
          <w:rFonts w:ascii="Arial" w:cs="Arial" w:eastAsia="Arial" w:hAnsi="Arial"/>
          <w:sz w:val="18"/>
          <w:szCs w:val="18"/>
          <w:color w:val="000000"/>
        </w:rPr>
        <w:t>,</w:t>
      </w:r>
      <w:r>
        <w:rPr>
          <w:rFonts w:ascii="Arial" w:cs="Arial" w:eastAsia="Arial" w:hAnsi="Arial"/>
          <w:sz w:val="18"/>
          <w:szCs w:val="18"/>
          <w:color w:val="D92130"/>
        </w:rPr>
        <w:t xml:space="preserve"> </w:t>
      </w:r>
      <w:r>
        <w:rPr>
          <w:rFonts w:ascii="Arial" w:cs="Arial" w:eastAsia="Arial" w:hAnsi="Arial"/>
          <w:sz w:val="18"/>
          <w:szCs w:val="18"/>
          <w:u w:val="single" w:color="auto"/>
          <w:color w:val="D92130"/>
        </w:rPr>
        <w:t>http://www.youtube.com/XeroxCorp</w:t>
      </w:r>
      <w:r>
        <w:rPr>
          <w:rFonts w:ascii="Arial" w:cs="Arial" w:eastAsia="Arial" w:hAnsi="Arial"/>
          <w:sz w:val="18"/>
          <w:szCs w:val="18"/>
          <w:color w:val="000000"/>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Xerox</w:t>
      </w:r>
      <w:r>
        <w:rPr>
          <w:rFonts w:ascii="Arial" w:cs="Arial" w:eastAsia="Arial" w:hAnsi="Arial"/>
          <w:sz w:val="21"/>
          <w:szCs w:val="21"/>
          <w:color w:val="auto"/>
          <w:vertAlign w:val="superscript"/>
        </w:rPr>
        <w:t>®</w:t>
      </w:r>
      <w:r>
        <w:rPr>
          <w:rFonts w:ascii="Arial" w:cs="Arial" w:eastAsia="Arial" w:hAnsi="Arial"/>
          <w:sz w:val="18"/>
          <w:szCs w:val="18"/>
          <w:color w:val="auto"/>
        </w:rPr>
        <w:t>, AltaLink</w:t>
      </w:r>
      <w:r>
        <w:rPr>
          <w:rFonts w:ascii="Arial" w:cs="Arial" w:eastAsia="Arial" w:hAnsi="Arial"/>
          <w:sz w:val="21"/>
          <w:szCs w:val="21"/>
          <w:color w:val="auto"/>
          <w:vertAlign w:val="superscript"/>
        </w:rPr>
        <w:t>®</w:t>
      </w:r>
      <w:r>
        <w:rPr>
          <w:rFonts w:ascii="Arial" w:cs="Arial" w:eastAsia="Arial" w:hAnsi="Arial"/>
          <w:sz w:val="18"/>
          <w:szCs w:val="18"/>
          <w:color w:val="auto"/>
        </w:rPr>
        <w:t>, Rialto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Powered by Xerox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Xerox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DA2031"/>
        </w:rPr>
        <w:t>XEROX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INCOME (UNAUDITED)</w:t>
      </w:r>
    </w:p>
    <w:p>
      <w:pPr>
        <w:spacing w:after="0" w:line="200" w:lineRule="exact"/>
        <w:rPr>
          <w:sz w:val="20"/>
          <w:szCs w:val="20"/>
          <w:color w:val="auto"/>
        </w:rPr>
      </w:pPr>
    </w:p>
    <w:p>
      <w:pPr>
        <w:spacing w:after="0" w:line="215"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260"/>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per-share data)</w:t>
            </w:r>
          </w:p>
        </w:tc>
        <w:tc>
          <w:tcPr>
            <w:tcW w:w="12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r>
      <w:tr>
        <w:trPr>
          <w:trHeight w:val="268"/>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r>
      <w:tr>
        <w:trPr>
          <w:trHeight w:val="270"/>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Sales</w:t>
            </w:r>
            <w:r>
              <w:rPr>
                <w:rFonts w:ascii="Arial" w:cs="Arial" w:eastAsia="Arial" w:hAnsi="Arial"/>
                <w:sz w:val="17"/>
                <w:szCs w:val="17"/>
                <w:color w:val="auto"/>
                <w:vertAlign w:val="superscript"/>
              </w:rPr>
              <w:t>(1)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845</w:t>
            </w:r>
          </w:p>
        </w:tc>
      </w:tr>
      <w:tr>
        <w:trPr>
          <w:trHeight w:val="270"/>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Services, maintenance and rentals</w:t>
            </w:r>
            <w:r>
              <w:rPr>
                <w:rFonts w:ascii="Arial" w:cs="Arial" w:eastAsia="Arial" w:hAnsi="Arial"/>
                <w:sz w:val="17"/>
                <w:szCs w:val="17"/>
                <w:color w:val="auto"/>
                <w:vertAlign w:val="superscript"/>
              </w:rPr>
              <w:t>(1)</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1,393</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1,519</w:t>
            </w:r>
          </w:p>
        </w:tc>
      </w:tr>
      <w:tr>
        <w:trPr>
          <w:trHeight w:val="266"/>
        </w:trPr>
        <w:tc>
          <w:tcPr>
            <w:tcW w:w="836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Financing</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E5E5E5"/>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r>
      <w:tr>
        <w:trPr>
          <w:trHeight w:val="254"/>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E5E5E5"/>
          </w:tcPr>
          <w:p>
            <w:pPr>
              <w:spacing w:after="0"/>
              <w:rPr>
                <w:sz w:val="22"/>
                <w:szCs w:val="22"/>
                <w:color w:val="auto"/>
              </w:rPr>
            </w:pPr>
          </w:p>
        </w:tc>
        <w:tc>
          <w:tcPr>
            <w:tcW w:w="420" w:type="dxa"/>
            <w:vAlign w:val="bottom"/>
            <w:tcBorders>
              <w:bottom w:val="single" w:sz="8" w:color="auto"/>
            </w:tcBorders>
            <w:shd w:val="clear" w:color="auto" w:fill="E5E5E5"/>
          </w:tcPr>
          <w:p>
            <w:pPr>
              <w:spacing w:after="0"/>
              <w:rPr>
                <w:sz w:val="22"/>
                <w:szCs w:val="22"/>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2,435</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1"/>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sales</w:t>
            </w:r>
            <w:r>
              <w:rPr>
                <w:rFonts w:ascii="Arial" w:cs="Arial" w:eastAsia="Arial" w:hAnsi="Arial"/>
                <w:sz w:val="17"/>
                <w:szCs w:val="17"/>
                <w:color w:val="auto"/>
                <w:vertAlign w:val="superscript"/>
              </w:rPr>
              <w:t>(1)</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532</w:t>
            </w:r>
          </w:p>
        </w:tc>
      </w:tr>
      <w:tr>
        <w:trPr>
          <w:trHeight w:val="270"/>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Cost of services, maintenance and rentals</w:t>
            </w:r>
            <w:r>
              <w:rPr>
                <w:rFonts w:ascii="Arial" w:cs="Arial" w:eastAsia="Arial" w:hAnsi="Arial"/>
                <w:sz w:val="17"/>
                <w:szCs w:val="17"/>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0"/>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Cost of financing</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w:t>
            </w:r>
          </w:p>
        </w:tc>
      </w:tr>
      <w:tr>
        <w:trPr>
          <w:trHeight w:val="266"/>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Research, development and engineering expenses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74"/>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Selling, administrative and general expenses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628</w:t>
            </w:r>
          </w:p>
        </w:tc>
      </w:tr>
      <w:tr>
        <w:trPr>
          <w:trHeight w:val="266"/>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4"/>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Amortization of intangible assets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w:t>
            </w:r>
          </w:p>
        </w:tc>
      </w:tr>
      <w:tr>
        <w:trPr>
          <w:trHeight w:val="266"/>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Transaction and related costs, net</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4"/>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expenses, net</w:t>
            </w:r>
          </w:p>
        </w:tc>
        <w:tc>
          <w:tcPr>
            <w:tcW w:w="34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30</w:t>
            </w:r>
          </w:p>
        </w:tc>
      </w:tr>
      <w:tr>
        <w:trPr>
          <w:trHeight w:val="249"/>
        </w:trPr>
        <w:tc>
          <w:tcPr>
            <w:tcW w:w="83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2,123</w:t>
            </w:r>
          </w:p>
        </w:tc>
        <w:tc>
          <w:tcPr>
            <w:tcW w:w="100" w:type="dxa"/>
            <w:vAlign w:val="bottom"/>
            <w:tcBorders>
              <w:bottom w:val="single" w:sz="8" w:color="E5E5E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w:t>
            </w:r>
          </w:p>
        </w:tc>
      </w:tr>
      <w:tr>
        <w:trPr>
          <w:trHeight w:val="251"/>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7"/>
                <w:szCs w:val="17"/>
                <w:b w:val="1"/>
                <w:bCs w:val="1"/>
                <w:color w:val="auto"/>
                <w:vertAlign w:val="superscript"/>
              </w:rPr>
              <w:t>(2)</w:t>
            </w:r>
          </w:p>
        </w:tc>
        <w:tc>
          <w:tcPr>
            <w:tcW w:w="340" w:type="dxa"/>
            <w:vAlign w:val="bottom"/>
            <w:shd w:val="clear" w:color="auto" w:fill="E5E5E5"/>
          </w:tcPr>
          <w:p>
            <w:pPr>
              <w:spacing w:after="0"/>
              <w:rPr>
                <w:sz w:val="21"/>
                <w:szCs w:val="21"/>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134</w:t>
            </w:r>
          </w:p>
        </w:tc>
      </w:tr>
      <w:tr>
        <w:trPr>
          <w:trHeight w:val="266"/>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Income tax (benefit) expense</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4"/>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Equity in net income (loss) of unconsolidated affiliates</w:t>
            </w:r>
          </w:p>
        </w:tc>
        <w:tc>
          <w:tcPr>
            <w:tcW w:w="34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(68)</w:t>
            </w:r>
          </w:p>
        </w:tc>
      </w:tr>
      <w:tr>
        <w:trPr>
          <w:trHeight w:val="249"/>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67"/>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r>
      <w:tr>
        <w:trPr>
          <w:trHeight w:val="281"/>
        </w:trPr>
        <w:tc>
          <w:tcPr>
            <w:tcW w:w="836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E5E5E5"/>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51"/>
        </w:trPr>
        <w:tc>
          <w:tcPr>
            <w:tcW w:w="824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r>
      <w:tr>
        <w:trPr>
          <w:trHeight w:val="269"/>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71"/>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0.08</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____________________________</w:t>
      </w:r>
    </w:p>
    <w:p>
      <w:pPr>
        <w:spacing w:after="0" w:line="107"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i w:val="1"/>
          <w:iCs w:val="1"/>
          <w:color w:val="auto"/>
        </w:rPr>
      </w:pPr>
      <w:r>
        <w:rPr>
          <w:rFonts w:ascii="Arial" w:cs="Arial" w:eastAsia="Arial" w:hAnsi="Arial"/>
          <w:sz w:val="13"/>
          <w:szCs w:val="13"/>
          <w:i w:val="1"/>
          <w:iCs w:val="1"/>
          <w:color w:val="auto"/>
        </w:rPr>
        <w:t>Certain prior year amounts have been conformed to the current year presentation. See Appendix III for this change in presentation.</w:t>
      </w:r>
    </w:p>
    <w:p>
      <w:pPr>
        <w:spacing w:after="0" w:line="53" w:lineRule="exact"/>
        <w:rPr>
          <w:rFonts w:ascii="Arial" w:cs="Arial" w:eastAsia="Arial" w:hAnsi="Arial"/>
          <w:sz w:val="9"/>
          <w:szCs w:val="9"/>
          <w:i w:val="1"/>
          <w:iCs w:val="1"/>
          <w:color w:val="auto"/>
        </w:rPr>
      </w:pPr>
    </w:p>
    <w:p>
      <w:pPr>
        <w:ind w:left="160" w:hanging="152"/>
        <w:spacing w:after="0"/>
        <w:tabs>
          <w:tab w:leader="none" w:pos="160" w:val="left"/>
        </w:tabs>
        <w:numPr>
          <w:ilvl w:val="0"/>
          <w:numId w:val="6"/>
        </w:numPr>
        <w:rPr>
          <w:rFonts w:ascii="Arial" w:cs="Arial" w:eastAsia="Arial" w:hAnsi="Arial"/>
          <w:sz w:val="9"/>
          <w:szCs w:val="9"/>
          <w:i w:val="1"/>
          <w:iCs w:val="1"/>
          <w:color w:val="auto"/>
        </w:rPr>
      </w:pPr>
      <w:r>
        <w:rPr>
          <w:rFonts w:ascii="Arial" w:cs="Arial" w:eastAsia="Arial" w:hAnsi="Arial"/>
          <w:sz w:val="13"/>
          <w:szCs w:val="13"/>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DA2031"/>
        </w:rPr>
        <w:t>XEROX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INCOME (UNAUDITED)</w:t>
      </w:r>
    </w:p>
    <w:p>
      <w:pPr>
        <w:spacing w:after="0" w:line="200" w:lineRule="exact"/>
        <w:rPr>
          <w:sz w:val="20"/>
          <w:szCs w:val="20"/>
          <w:color w:val="auto"/>
        </w:rPr>
      </w:pPr>
    </w:p>
    <w:p>
      <w:pPr>
        <w:spacing w:after="0" w:line="215"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p>
      <w:pPr>
        <w:ind w:left="95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14605</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r>
      <w:tr>
        <w:trPr>
          <w:trHeight w:val="254"/>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w:t>
            </w:r>
          </w:p>
        </w:tc>
      </w:tr>
      <w:tr>
        <w:trPr>
          <w:trHeight w:val="266"/>
        </w:trPr>
        <w:tc>
          <w:tcPr>
            <w:tcW w:w="836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Less: Net income attributable to noncontrolling interests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3"/>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23</w:t>
            </w:r>
          </w:p>
        </w:tc>
      </w:tr>
      <w:tr>
        <w:trPr>
          <w:trHeight w:val="238"/>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Other Comprehensive Income, Net</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spacing w:after="0"/>
              <w:rPr>
                <w:sz w:val="23"/>
                <w:szCs w:val="23"/>
                <w:color w:val="auto"/>
              </w:rPr>
            </w:pPr>
          </w:p>
        </w:tc>
      </w:tr>
      <w:tr>
        <w:trPr>
          <w:trHeight w:val="266"/>
        </w:trPr>
        <w:tc>
          <w:tcPr>
            <w:tcW w:w="8360" w:type="dxa"/>
            <w:vAlign w:val="bottom"/>
            <w:gridSpan w:val="2"/>
          </w:tcPr>
          <w:p>
            <w:pPr>
              <w:ind w:left="380"/>
              <w:spacing w:after="0"/>
              <w:rPr>
                <w:sz w:val="20"/>
                <w:szCs w:val="20"/>
                <w:color w:val="auto"/>
              </w:rPr>
            </w:pPr>
            <w:r>
              <w:rPr>
                <w:rFonts w:ascii="Arial" w:cs="Arial" w:eastAsia="Arial" w:hAnsi="Arial"/>
                <w:sz w:val="14"/>
                <w:szCs w:val="14"/>
                <w:color w:val="auto"/>
              </w:rPr>
              <w:t>Translation adjustments, net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4"/>
        </w:trPr>
        <w:tc>
          <w:tcPr>
            <w:tcW w:w="836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Unrealized gains, net</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w:t>
            </w:r>
          </w:p>
        </w:tc>
      </w:tr>
      <w:tr>
        <w:trPr>
          <w:trHeight w:val="266"/>
        </w:trPr>
        <w:tc>
          <w:tcPr>
            <w:tcW w:w="836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Changes in defined benefit plans, net</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253"/>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Other Comprehensive Income, Net Attributable to Xerox</w:t>
            </w: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211</w:t>
            </w:r>
          </w:p>
        </w:tc>
      </w:tr>
      <w:tr>
        <w:trPr>
          <w:trHeight w:val="238"/>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83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Comprehensive Income, Net</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11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237</w:t>
            </w:r>
          </w:p>
        </w:tc>
      </w:tr>
      <w:tr>
        <w:trPr>
          <w:trHeight w:val="266"/>
        </w:trPr>
        <w:tc>
          <w:tcPr>
            <w:tcW w:w="836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Less: Comprehensive income, net attributable to noncontrolling interests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41"/>
        </w:trPr>
        <w:tc>
          <w:tcPr>
            <w:tcW w:w="836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Comprehensive Income, Net Attributable to Xerox</w:t>
            </w: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234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5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share data in thousands)</w:t>
            </w:r>
          </w:p>
        </w:tc>
        <w:tc>
          <w:tcPr>
            <w:tcW w:w="12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March 31, 2019</w:t>
            </w:r>
          </w:p>
        </w:tc>
        <w:tc>
          <w:tcPr>
            <w:tcW w:w="12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E5E5E5"/>
            </w:tcBorders>
            <w:shd w:val="clear" w:color="auto" w:fill="E5E5E5"/>
          </w:tcPr>
          <w:p>
            <w:pPr>
              <w:spacing w:after="0"/>
              <w:rPr>
                <w:sz w:val="21"/>
                <w:szCs w:val="21"/>
                <w:color w:val="auto"/>
              </w:rPr>
            </w:pPr>
          </w:p>
        </w:tc>
        <w:tc>
          <w:tcPr>
            <w:tcW w:w="1480" w:type="dxa"/>
            <w:vAlign w:val="bottom"/>
            <w:tcBorders>
              <w:bottom w:val="single" w:sz="8" w:color="E5E5E5"/>
            </w:tcBorders>
            <w:shd w:val="clear" w:color="auto" w:fill="E5E5E5"/>
          </w:tcPr>
          <w:p>
            <w:pPr>
              <w:spacing w:after="0"/>
              <w:rPr>
                <w:sz w:val="21"/>
                <w:szCs w:val="21"/>
                <w:color w:val="auto"/>
              </w:rPr>
            </w:pPr>
          </w:p>
        </w:tc>
        <w:tc>
          <w:tcPr>
            <w:tcW w:w="120" w:type="dxa"/>
            <w:vAlign w:val="bottom"/>
            <w:tcBorders>
              <w:bottom w:val="single" w:sz="8" w:color="E5E5E5"/>
            </w:tcBorders>
            <w:shd w:val="clear" w:color="auto" w:fill="E5E5E5"/>
          </w:tcPr>
          <w:p>
            <w:pPr>
              <w:spacing w:after="0"/>
              <w:rPr>
                <w:sz w:val="21"/>
                <w:szCs w:val="21"/>
                <w:color w:val="auto"/>
              </w:rPr>
            </w:pPr>
          </w:p>
        </w:tc>
        <w:tc>
          <w:tcPr>
            <w:tcW w:w="160" w:type="dxa"/>
            <w:vAlign w:val="bottom"/>
            <w:tcBorders>
              <w:bottom w:val="single" w:sz="8" w:color="E5E5E5"/>
            </w:tcBorders>
            <w:shd w:val="clear" w:color="auto" w:fill="E5E5E5"/>
          </w:tcPr>
          <w:p>
            <w:pPr>
              <w:spacing w:after="0"/>
              <w:rPr>
                <w:sz w:val="21"/>
                <w:szCs w:val="21"/>
                <w:color w:val="auto"/>
              </w:rPr>
            </w:pPr>
          </w:p>
        </w:tc>
        <w:tc>
          <w:tcPr>
            <w:tcW w:w="1520" w:type="dxa"/>
            <w:vAlign w:val="bottom"/>
            <w:tcBorders>
              <w:bottom w:val="single" w:sz="8" w:color="E5E5E5"/>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1,234</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Billed portion of finance receivables, net</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net</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1,191</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E5E5E5"/>
          </w:tcPr>
          <w:p>
            <w:pPr>
              <w:spacing w:after="0"/>
              <w:rPr>
                <w:sz w:val="23"/>
                <w:szCs w:val="23"/>
                <w:color w:val="auto"/>
              </w:rPr>
            </w:pPr>
          </w:p>
        </w:tc>
        <w:tc>
          <w:tcPr>
            <w:tcW w:w="14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50"/>
        </w:trPr>
        <w:tc>
          <w:tcPr>
            <w:tcW w:w="7900" w:type="dxa"/>
            <w:vAlign w:val="bottom"/>
            <w:gridSpan w:val="2"/>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4,695</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due after one year, net</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2,080</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Land, buildings and equipment, net</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Investments in affiliates, at equity</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3,889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3,867</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Deferred tax assets</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753</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66"/>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1,221</w:t>
            </w:r>
          </w:p>
        </w:tc>
        <w:tc>
          <w:tcPr>
            <w:tcW w:w="120" w:type="dxa"/>
            <w:vAlign w:val="bottom"/>
            <w:tcBorders>
              <w:bottom w:val="single" w:sz="8" w:color="E5E5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241"/>
        </w:trPr>
        <w:tc>
          <w:tcPr>
            <w:tcW w:w="7900" w:type="dxa"/>
            <w:vAlign w:val="bottom"/>
            <w:tcBorders>
              <w:bottom w:val="single" w:sz="8" w:color="E5E5E5"/>
            </w:tcBorders>
            <w:gridSpan w:val="2"/>
            <w:shd w:val="clear" w:color="auto" w:fill="E5E5E5"/>
          </w:tcPr>
          <w:p>
            <w:pPr>
              <w:ind w:left="38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14,799</w:t>
            </w:r>
          </w:p>
        </w:tc>
        <w:tc>
          <w:tcPr>
            <w:tcW w:w="12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14,874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66"/>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E5E5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54"/>
        </w:trPr>
        <w:tc>
          <w:tcPr>
            <w:tcW w:w="790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E5E5E5"/>
          </w:tcPr>
          <w:p>
            <w:pPr>
              <w:spacing w:after="0"/>
              <w:rPr>
                <w:sz w:val="22"/>
                <w:szCs w:val="22"/>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2,929</w:t>
            </w:r>
          </w:p>
        </w:tc>
        <w:tc>
          <w:tcPr>
            <w:tcW w:w="12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3,251</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4,268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4,269</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Pension and other benefit liabilities</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Post-retirement medical benefits</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E5E5E5"/>
          </w:tcPr>
          <w:p>
            <w:pPr>
              <w:spacing w:after="0"/>
              <w:rPr>
                <w:sz w:val="23"/>
                <w:szCs w:val="23"/>
                <w:color w:val="auto"/>
              </w:rPr>
            </w:pPr>
          </w:p>
        </w:tc>
        <w:tc>
          <w:tcPr>
            <w:tcW w:w="14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9,522</w:t>
            </w:r>
          </w:p>
        </w:tc>
        <w:tc>
          <w:tcPr>
            <w:tcW w:w="1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9,621</w:t>
            </w:r>
          </w:p>
        </w:tc>
        <w:tc>
          <w:tcPr>
            <w:tcW w:w="0" w:type="dxa"/>
            <w:vAlign w:val="bottom"/>
          </w:tcPr>
          <w:p>
            <w:pPr>
              <w:spacing w:after="0"/>
              <w:rPr>
                <w:sz w:val="1"/>
                <w:szCs w:val="1"/>
                <w:color w:val="auto"/>
              </w:rPr>
            </w:pPr>
          </w:p>
        </w:tc>
      </w:tr>
      <w:tr>
        <w:trPr>
          <w:trHeight w:val="238"/>
        </w:trPr>
        <w:tc>
          <w:tcPr>
            <w:tcW w:w="77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4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5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E5E5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38"/>
        </w:trPr>
        <w:tc>
          <w:tcPr>
            <w:tcW w:w="77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4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5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3,282</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4"/>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E5E5E5"/>
          </w:tcPr>
          <w:p>
            <w:pPr>
              <w:spacing w:after="0"/>
              <w:rPr>
                <w:sz w:val="23"/>
                <w:szCs w:val="23"/>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5,270</w:t>
            </w:r>
          </w:p>
        </w:tc>
        <w:tc>
          <w:tcPr>
            <w:tcW w:w="1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5,072</w:t>
            </w:r>
          </w:p>
        </w:tc>
        <w:tc>
          <w:tcPr>
            <w:tcW w:w="0" w:type="dxa"/>
            <w:vAlign w:val="bottom"/>
          </w:tcPr>
          <w:p>
            <w:pPr>
              <w:spacing w:after="0"/>
              <w:rPr>
                <w:sz w:val="1"/>
                <w:szCs w:val="1"/>
                <w:color w:val="auto"/>
              </w:rPr>
            </w:pPr>
          </w:p>
        </w:tc>
      </w:tr>
      <w:tr>
        <w:trPr>
          <w:trHeight w:val="266"/>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(3,652)</w:t>
            </w:r>
          </w:p>
        </w:tc>
        <w:tc>
          <w:tcPr>
            <w:tcW w:w="120" w:type="dxa"/>
            <w:vAlign w:val="bottom"/>
            <w:tcBorders>
              <w:bottom w:val="single" w:sz="8" w:color="E5E5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254"/>
        </w:trPr>
        <w:tc>
          <w:tcPr>
            <w:tcW w:w="790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Xerox shareholders’ equity</w:t>
            </w:r>
          </w:p>
        </w:tc>
        <w:tc>
          <w:tcPr>
            <w:tcW w:w="240" w:type="dxa"/>
            <w:vAlign w:val="bottom"/>
            <w:shd w:val="clear" w:color="auto" w:fill="E5E5E5"/>
          </w:tcPr>
          <w:p>
            <w:pPr>
              <w:spacing w:after="0"/>
              <w:rPr>
                <w:sz w:val="22"/>
                <w:szCs w:val="22"/>
                <w:color w:val="auto"/>
              </w:rPr>
            </w:pPr>
          </w:p>
        </w:tc>
        <w:tc>
          <w:tcPr>
            <w:tcW w:w="14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5,027</w:t>
            </w:r>
          </w:p>
        </w:tc>
        <w:tc>
          <w:tcPr>
            <w:tcW w:w="12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5,005</w:t>
            </w:r>
          </w:p>
        </w:tc>
        <w:tc>
          <w:tcPr>
            <w:tcW w:w="0" w:type="dxa"/>
            <w:vAlign w:val="bottom"/>
          </w:tcPr>
          <w:p>
            <w:pPr>
              <w:spacing w:after="0"/>
              <w:rPr>
                <w:sz w:val="1"/>
                <w:szCs w:val="1"/>
                <w:color w:val="auto"/>
              </w:rPr>
            </w:pPr>
          </w:p>
        </w:tc>
      </w:tr>
      <w:tr>
        <w:trPr>
          <w:trHeight w:val="266"/>
        </w:trPr>
        <w:tc>
          <w:tcPr>
            <w:tcW w:w="79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E5E5E5"/>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3"/>
        </w:trPr>
        <w:tc>
          <w:tcPr>
            <w:tcW w:w="7900" w:type="dxa"/>
            <w:vAlign w:val="bottom"/>
            <w:gridSpan w:val="2"/>
            <w:shd w:val="clear" w:color="auto" w:fill="E5E5E5"/>
          </w:tcPr>
          <w:p>
            <w:pPr>
              <w:ind w:left="38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shd w:val="clear" w:color="auto" w:fill="E5E5E5"/>
          </w:tcPr>
          <w:p>
            <w:pPr>
              <w:spacing w:after="0"/>
              <w:rPr>
                <w:sz w:val="22"/>
                <w:szCs w:val="22"/>
                <w:color w:val="auto"/>
              </w:rPr>
            </w:pPr>
          </w:p>
        </w:tc>
        <w:tc>
          <w:tcPr>
            <w:tcW w:w="14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5,063</w:t>
            </w:r>
          </w:p>
        </w:tc>
        <w:tc>
          <w:tcPr>
            <w:tcW w:w="120" w:type="dxa"/>
            <w:vAlign w:val="bottom"/>
            <w:shd w:val="clear" w:color="auto" w:fill="E5E5E5"/>
          </w:tcPr>
          <w:p>
            <w:pPr>
              <w:spacing w:after="0"/>
              <w:rPr>
                <w:sz w:val="22"/>
                <w:szCs w:val="22"/>
                <w:color w:val="auto"/>
              </w:rPr>
            </w:pPr>
          </w:p>
        </w:tc>
        <w:tc>
          <w:tcPr>
            <w:tcW w:w="160" w:type="dxa"/>
            <w:vAlign w:val="bottom"/>
            <w:tcBorders>
              <w:bottom w:val="single" w:sz="8" w:color="auto"/>
            </w:tcBorders>
            <w:shd w:val="clear" w:color="auto" w:fill="E5E5E5"/>
          </w:tcPr>
          <w:p>
            <w:pPr>
              <w:spacing w:after="0"/>
              <w:rPr>
                <w:sz w:val="22"/>
                <w:szCs w:val="22"/>
                <w:color w:val="auto"/>
              </w:rPr>
            </w:pPr>
          </w:p>
        </w:tc>
        <w:tc>
          <w:tcPr>
            <w:tcW w:w="1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5,039</w:t>
            </w:r>
          </w:p>
        </w:tc>
        <w:tc>
          <w:tcPr>
            <w:tcW w:w="0" w:type="dxa"/>
            <w:vAlign w:val="bottom"/>
          </w:tcPr>
          <w:p>
            <w:pPr>
              <w:spacing w:after="0"/>
              <w:rPr>
                <w:sz w:val="1"/>
                <w:szCs w:val="1"/>
                <w:color w:val="auto"/>
              </w:rPr>
            </w:pPr>
          </w:p>
        </w:tc>
      </w:tr>
      <w:tr>
        <w:trPr>
          <w:trHeight w:val="278"/>
        </w:trPr>
        <w:tc>
          <w:tcPr>
            <w:tcW w:w="790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14,799</w:t>
            </w:r>
          </w:p>
        </w:tc>
        <w:tc>
          <w:tcPr>
            <w:tcW w:w="120" w:type="dxa"/>
            <w:vAlign w:val="bottom"/>
            <w:tcBorders>
              <w:bottom w:val="single" w:sz="8" w:color="E5E5E5"/>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14,874</w:t>
            </w:r>
          </w:p>
        </w:tc>
        <w:tc>
          <w:tcPr>
            <w:tcW w:w="0" w:type="dxa"/>
            <w:vAlign w:val="bottom"/>
          </w:tcPr>
          <w:p>
            <w:pPr>
              <w:spacing w:after="0"/>
              <w:rPr>
                <w:sz w:val="1"/>
                <w:szCs w:val="1"/>
                <w:color w:val="auto"/>
              </w:rPr>
            </w:pPr>
          </w:p>
        </w:tc>
      </w:tr>
      <w:tr>
        <w:trPr>
          <w:trHeight w:val="264"/>
        </w:trPr>
        <w:tc>
          <w:tcPr>
            <w:tcW w:w="778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240" w:type="dxa"/>
            <w:vAlign w:val="bottom"/>
            <w:shd w:val="clear" w:color="auto" w:fill="E5E5E5"/>
          </w:tcPr>
          <w:p>
            <w:pPr>
              <w:spacing w:after="0"/>
              <w:rPr>
                <w:sz w:val="22"/>
                <w:szCs w:val="22"/>
                <w:color w:val="auto"/>
              </w:rPr>
            </w:pPr>
          </w:p>
        </w:tc>
        <w:tc>
          <w:tcPr>
            <w:tcW w:w="148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60" w:type="dxa"/>
            <w:vAlign w:val="bottom"/>
            <w:shd w:val="clear" w:color="auto" w:fill="E5E5E5"/>
          </w:tcPr>
          <w:p>
            <w:pPr>
              <w:spacing w:after="0"/>
              <w:rPr>
                <w:sz w:val="22"/>
                <w:szCs w:val="22"/>
                <w:color w:val="auto"/>
              </w:rPr>
            </w:pPr>
          </w:p>
        </w:tc>
        <w:tc>
          <w:tcPr>
            <w:tcW w:w="152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7900" w:type="dxa"/>
            <w:vAlign w:val="bottom"/>
            <w:gridSpan w:val="2"/>
          </w:tcPr>
          <w:p>
            <w:pPr>
              <w:ind w:left="40"/>
              <w:spacing w:after="0"/>
              <w:rPr>
                <w:sz w:val="20"/>
                <w:szCs w:val="20"/>
                <w:color w:val="auto"/>
              </w:rPr>
            </w:pPr>
            <w:r>
              <w:rPr>
                <w:rFonts w:ascii="Arial" w:cs="Arial" w:eastAsia="Arial" w:hAnsi="Arial"/>
                <w:sz w:val="14"/>
                <w:szCs w:val="14"/>
                <w:color w:val="auto"/>
              </w:rPr>
              <w:t>Shares of common stock issued</w:t>
            </w:r>
          </w:p>
        </w:tc>
        <w:tc>
          <w:tcPr>
            <w:tcW w:w="24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229,732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231,690</w:t>
            </w:r>
          </w:p>
        </w:tc>
        <w:tc>
          <w:tcPr>
            <w:tcW w:w="0" w:type="dxa"/>
            <w:vAlign w:val="bottom"/>
          </w:tcPr>
          <w:p>
            <w:pPr>
              <w:spacing w:after="0"/>
              <w:rPr>
                <w:sz w:val="1"/>
                <w:szCs w:val="1"/>
                <w:color w:val="auto"/>
              </w:rPr>
            </w:pPr>
          </w:p>
        </w:tc>
      </w:tr>
      <w:tr>
        <w:trPr>
          <w:trHeight w:val="270"/>
        </w:trPr>
        <w:tc>
          <w:tcPr>
            <w:tcW w:w="7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Treasury stock</w:t>
            </w:r>
          </w:p>
        </w:tc>
        <w:tc>
          <w:tcPr>
            <w:tcW w:w="240" w:type="dxa"/>
            <w:vAlign w:val="bottom"/>
            <w:tcBorders>
              <w:bottom w:val="single" w:sz="8" w:color="auto"/>
            </w:tcBorders>
            <w:shd w:val="clear" w:color="auto" w:fill="E5E5E5"/>
          </w:tcPr>
          <w:p>
            <w:pPr>
              <w:spacing w:after="0"/>
              <w:rPr>
                <w:sz w:val="23"/>
                <w:szCs w:val="23"/>
                <w:color w:val="auto"/>
              </w:rPr>
            </w:pPr>
          </w:p>
        </w:tc>
        <w:tc>
          <w:tcPr>
            <w:tcW w:w="1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241"/>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 of Common Stock Outstanding</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226,411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229,623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8" w:right="239" w:bottom="6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58" w:right="239" w:bottom="606"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CORPORATION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159" w:lineRule="exact"/>
        <w:rPr>
          <w:sz w:val="20"/>
          <w:szCs w:val="20"/>
          <w:color w:val="auto"/>
        </w:rPr>
      </w:pPr>
    </w:p>
    <w:p>
      <w:pPr>
        <w:ind w:left="950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p>
      <w:pPr>
        <w:ind w:left="986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14605</wp:posOffset>
            </wp:positionV>
            <wp:extent cx="1586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2018</w:t>
            </w:r>
          </w:p>
        </w:tc>
      </w:tr>
      <w:tr>
        <w:trPr>
          <w:trHeight w:val="268"/>
        </w:trPr>
        <w:tc>
          <w:tcPr>
            <w:tcW w:w="89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66"/>
        </w:trPr>
        <w:tc>
          <w:tcPr>
            <w:tcW w:w="892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4"/>
        </w:trPr>
        <w:tc>
          <w:tcPr>
            <w:tcW w:w="89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Provisions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Net gain on sales of businesses and assets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Undistributed equity in net income of unconsolidated affiliates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68</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Restructuring and asset impairment charges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28</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Payments for restructurings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Defined benefit pension cost</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27</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Contributions to defined benefit pension plans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Decrease in accounts receivable and billed portion of finance receivables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46</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Increase in inventories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Increase in equipment on operating leases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Decrease in finance receivables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Increase in other current and long-term assets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(Decrease) increase in accounts payable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Decrease in accrued compensation</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Increase in other current and long-term liabilities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Net change in income tax assets and liabilities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13</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Net change in derivative assets and liabilities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Other operating, net</w:t>
            </w:r>
          </w:p>
        </w:tc>
        <w:tc>
          <w:tcPr>
            <w:tcW w:w="300" w:type="dxa"/>
            <w:vAlign w:val="bottom"/>
            <w:tcBorders>
              <w:bottom w:val="single" w:sz="8" w:color="auto"/>
            </w:tcBorders>
            <w:shd w:val="clear" w:color="auto" w:fill="E5E5E5"/>
          </w:tcPr>
          <w:p>
            <w:pPr>
              <w:spacing w:after="0"/>
              <w:rPr>
                <w:sz w:val="23"/>
                <w:szCs w:val="23"/>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23"/>
                <w:szCs w:val="23"/>
                <w:color w:val="auto"/>
              </w:rPr>
            </w:pPr>
          </w:p>
        </w:tc>
        <w:tc>
          <w:tcPr>
            <w:tcW w:w="260" w:type="dxa"/>
            <w:vAlign w:val="bottom"/>
            <w:tcBorders>
              <w:bottom w:val="single" w:sz="8" w:color="auto"/>
            </w:tcBorders>
            <w:shd w:val="clear" w:color="auto" w:fill="E5E5E5"/>
          </w:tcPr>
          <w:p>
            <w:pPr>
              <w:spacing w:after="0"/>
              <w:rPr>
                <w:sz w:val="23"/>
                <w:szCs w:val="23"/>
                <w:color w:val="auto"/>
              </w:rPr>
            </w:pPr>
          </w:p>
        </w:tc>
        <w:tc>
          <w:tcPr>
            <w:tcW w:w="8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w:t>
            </w:r>
          </w:p>
        </w:tc>
      </w:tr>
      <w:tr>
        <w:trPr>
          <w:trHeight w:val="250"/>
        </w:trPr>
        <w:tc>
          <w:tcPr>
            <w:tcW w:w="8920" w:type="dxa"/>
            <w:vAlign w:val="bottom"/>
            <w:gridSpan w:val="2"/>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74"/>
        </w:trPr>
        <w:tc>
          <w:tcPr>
            <w:tcW w:w="89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Cost of additions to land, buildings, equipment and software</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Proceeds from sales of businesses and assets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w:t>
            </w:r>
          </w:p>
        </w:tc>
      </w:tr>
      <w:tr>
        <w:trPr>
          <w:trHeight w:val="266"/>
        </w:trPr>
        <w:tc>
          <w:tcPr>
            <w:tcW w:w="892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5E5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4"/>
        </w:trPr>
        <w:tc>
          <w:tcPr>
            <w:tcW w:w="8920" w:type="dxa"/>
            <w:vAlign w:val="bottom"/>
            <w:gridSpan w:val="2"/>
            <w:shd w:val="clear" w:color="auto" w:fill="E5E5E5"/>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shd w:val="clear" w:color="auto" w:fill="E5E5E5"/>
          </w:tcPr>
          <w:p>
            <w:pPr>
              <w:spacing w:after="0"/>
              <w:rPr>
                <w:sz w:val="22"/>
                <w:szCs w:val="22"/>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5E5E5"/>
          </w:tcPr>
          <w:p>
            <w:pPr>
              <w:spacing w:after="0"/>
              <w:rPr>
                <w:sz w:val="22"/>
                <w:szCs w:val="22"/>
                <w:color w:val="auto"/>
              </w:rPr>
            </w:pPr>
          </w:p>
        </w:tc>
        <w:tc>
          <w:tcPr>
            <w:tcW w:w="260" w:type="dxa"/>
            <w:vAlign w:val="bottom"/>
            <w:tcBorders>
              <w:bottom w:val="single" w:sz="8" w:color="auto"/>
            </w:tcBorders>
            <w:shd w:val="clear" w:color="auto" w:fill="E5E5E5"/>
          </w:tcPr>
          <w:p>
            <w:pPr>
              <w:spacing w:after="0"/>
              <w:rPr>
                <w:sz w:val="22"/>
                <w:szCs w:val="22"/>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263"/>
        </w:trPr>
        <w:tc>
          <w:tcPr>
            <w:tcW w:w="892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1"/>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Net payments on debt</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w:t>
            </w:r>
          </w:p>
        </w:tc>
      </w:tr>
      <w:tr>
        <w:trPr>
          <w:trHeight w:val="266"/>
        </w:trPr>
        <w:tc>
          <w:tcPr>
            <w:tcW w:w="8920" w:type="dxa"/>
            <w:vAlign w:val="bottom"/>
            <w:gridSpan w:val="2"/>
          </w:tcPr>
          <w:p>
            <w:pPr>
              <w:ind w:left="380"/>
              <w:spacing w:after="0"/>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74"/>
        </w:trPr>
        <w:tc>
          <w:tcPr>
            <w:tcW w:w="892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Payments to acquire treasury stock, including fees</w:t>
            </w:r>
          </w:p>
        </w:tc>
        <w:tc>
          <w:tcPr>
            <w:tcW w:w="300" w:type="dxa"/>
            <w:vAlign w:val="bottom"/>
            <w:shd w:val="clear" w:color="auto" w:fill="E5E5E5"/>
          </w:tcPr>
          <w:p>
            <w:pPr>
              <w:spacing w:after="0"/>
              <w:rPr>
                <w:sz w:val="23"/>
                <w:szCs w:val="23"/>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92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Other financing, net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50"/>
        </w:trPr>
        <w:tc>
          <w:tcPr>
            <w:tcW w:w="8920" w:type="dxa"/>
            <w:vAlign w:val="bottom"/>
            <w:gridSpan w:val="2"/>
            <w:shd w:val="clear" w:color="auto" w:fill="E5E5E5"/>
          </w:tcPr>
          <w:p>
            <w:pPr>
              <w:ind w:left="68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(117)</w:t>
            </w:r>
          </w:p>
        </w:tc>
      </w:tr>
      <w:tr>
        <w:trPr>
          <w:trHeight w:val="241"/>
        </w:trPr>
        <w:tc>
          <w:tcPr>
            <w:tcW w:w="8800" w:type="dxa"/>
            <w:vAlign w:val="bottom"/>
            <w:tcBorders>
              <w:bottom w:val="single" w:sz="8" w:color="E5E5E5"/>
            </w:tcBorders>
          </w:tcPr>
          <w:p>
            <w:pPr>
              <w:spacing w:after="0"/>
              <w:rPr>
                <w:sz w:val="20"/>
                <w:szCs w:val="20"/>
                <w:color w:val="auto"/>
              </w:rPr>
            </w:pPr>
          </w:p>
        </w:tc>
        <w:tc>
          <w:tcPr>
            <w:tcW w:w="120" w:type="dxa"/>
            <w:vAlign w:val="bottom"/>
            <w:tcBorders>
              <w:bottom w:val="single" w:sz="8" w:color="E5E5E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46"/>
        </w:trPr>
        <w:tc>
          <w:tcPr>
            <w:tcW w:w="89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00" w:type="dxa"/>
            <w:vAlign w:val="bottom"/>
            <w:tcBorders>
              <w:bottom w:val="single" w:sz="8" w:color="auto"/>
            </w:tcBorders>
            <w:shd w:val="clear" w:color="auto" w:fill="E5E5E5"/>
          </w:tcPr>
          <w:p>
            <w:pPr>
              <w:spacing w:after="0"/>
              <w:rPr>
                <w:sz w:val="21"/>
                <w:szCs w:val="21"/>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8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w:t>
            </w:r>
          </w:p>
        </w:tc>
      </w:tr>
      <w:tr>
        <w:trPr>
          <w:trHeight w:val="250"/>
        </w:trPr>
        <w:tc>
          <w:tcPr>
            <w:tcW w:w="8920" w:type="dxa"/>
            <w:vAlign w:val="bottom"/>
            <w:gridSpan w:val="2"/>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0"/>
        </w:trPr>
        <w:tc>
          <w:tcPr>
            <w:tcW w:w="89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E5E5E5"/>
          </w:tcPr>
          <w:p>
            <w:pPr>
              <w:spacing w:after="0"/>
              <w:rPr>
                <w:sz w:val="23"/>
                <w:szCs w:val="23"/>
                <w:color w:val="auto"/>
              </w:rPr>
            </w:pPr>
          </w:p>
        </w:tc>
        <w:tc>
          <w:tcPr>
            <w:tcW w:w="9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1,148</w:t>
            </w:r>
          </w:p>
        </w:tc>
        <w:tc>
          <w:tcPr>
            <w:tcW w:w="100" w:type="dxa"/>
            <w:vAlign w:val="bottom"/>
            <w:shd w:val="clear" w:color="auto" w:fill="E5E5E5"/>
          </w:tcPr>
          <w:p>
            <w:pPr>
              <w:spacing w:after="0"/>
              <w:rPr>
                <w:sz w:val="23"/>
                <w:szCs w:val="23"/>
                <w:color w:val="auto"/>
              </w:rPr>
            </w:pPr>
          </w:p>
        </w:tc>
        <w:tc>
          <w:tcPr>
            <w:tcW w:w="260" w:type="dxa"/>
            <w:vAlign w:val="bottom"/>
            <w:tcBorders>
              <w:bottom w:val="single" w:sz="8" w:color="auto"/>
            </w:tcBorders>
            <w:shd w:val="clear" w:color="auto" w:fill="E5E5E5"/>
          </w:tcPr>
          <w:p>
            <w:pPr>
              <w:spacing w:after="0"/>
              <w:rPr>
                <w:sz w:val="23"/>
                <w:szCs w:val="23"/>
                <w:color w:val="auto"/>
              </w:rPr>
            </w:pPr>
          </w:p>
        </w:tc>
        <w:tc>
          <w:tcPr>
            <w:tcW w:w="8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1,368</w:t>
            </w:r>
          </w:p>
        </w:tc>
      </w:tr>
      <w:tr>
        <w:trPr>
          <w:trHeight w:val="241"/>
        </w:trPr>
        <w:tc>
          <w:tcPr>
            <w:tcW w:w="892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1,474</w:t>
            </w:r>
          </w:p>
        </w:tc>
      </w:tr>
      <w:tr>
        <w:trPr>
          <w:trHeight w:val="20"/>
        </w:trPr>
        <w:tc>
          <w:tcPr>
            <w:tcW w:w="8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8"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DA2031"/>
        </w:rPr>
        <w:t>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 of Total Revenue</w:t>
            </w:r>
          </w:p>
        </w:tc>
      </w:t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8"/>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17"/>
                <w:szCs w:val="17"/>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7"/>
                <w:szCs w:val="17"/>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E5E5E5"/>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r>
      <w:tr>
        <w:trPr>
          <w:trHeight w:val="254"/>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Equipment sales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E5E5E5"/>
          </w:tcPr>
          <w:p>
            <w:pPr>
              <w:spacing w:after="0"/>
              <w:rPr>
                <w:sz w:val="22"/>
                <w:szCs w:val="22"/>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499</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22"/>
                <w:szCs w:val="22"/>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w:t>
            </w:r>
          </w:p>
        </w:tc>
      </w:tr>
      <w:tr>
        <w:trPr>
          <w:trHeight w:val="266"/>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Post sale revenue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1,758</w:t>
            </w:r>
          </w:p>
        </w:tc>
        <w:tc>
          <w:tcPr>
            <w:tcW w:w="12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E5E5E5"/>
            </w:tcBorders>
          </w:tcPr>
          <w:p>
            <w:pPr>
              <w:spacing w:after="0"/>
              <w:rPr>
                <w:sz w:val="23"/>
                <w:szCs w:val="23"/>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E5E5E5"/>
            </w:tcBorders>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E5E5E5"/>
            </w:tcBorders>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80%</w:t>
            </w:r>
          </w:p>
        </w:tc>
      </w:tr>
      <w:tr>
        <w:trPr>
          <w:trHeight w:val="241"/>
        </w:trPr>
        <w:tc>
          <w:tcPr>
            <w:tcW w:w="40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2,206</w:t>
            </w:r>
          </w:p>
        </w:tc>
        <w:tc>
          <w:tcPr>
            <w:tcW w:w="12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2,435</w:t>
            </w:r>
          </w:p>
        </w:tc>
        <w:tc>
          <w:tcPr>
            <w:tcW w:w="124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174"/>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Reconciliation to Condensed Consolidated Statements</w:t>
            </w:r>
          </w:p>
        </w:tc>
        <w:tc>
          <w:tcPr>
            <w:tcW w:w="2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140" w:type="dxa"/>
            <w:vAlign w:val="bottom"/>
            <w:shd w:val="clear" w:color="auto" w:fill="E5E5E5"/>
          </w:tcPr>
          <w:p>
            <w:pPr>
              <w:spacing w:after="0"/>
              <w:rPr>
                <w:sz w:val="15"/>
                <w:szCs w:val="15"/>
                <w:color w:val="auto"/>
              </w:rPr>
            </w:pPr>
          </w:p>
        </w:tc>
      </w:tr>
      <w:tr>
        <w:trPr>
          <w:trHeight w:val="204"/>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of Income:</w:t>
            </w:r>
          </w:p>
        </w:tc>
        <w:tc>
          <w:tcPr>
            <w:tcW w:w="26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Sales</w:t>
            </w:r>
            <w:r>
              <w:rPr>
                <w:rFonts w:ascii="Arial" w:cs="Arial" w:eastAsia="Arial" w:hAnsi="Arial"/>
                <w:sz w:val="17"/>
                <w:szCs w:val="17"/>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845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Less: Supplies, paper and other sales</w:t>
            </w:r>
            <w:r>
              <w:rPr>
                <w:rFonts w:ascii="Arial" w:cs="Arial" w:eastAsia="Arial" w:hAnsi="Arial"/>
                <w:sz w:val="17"/>
                <w:szCs w:val="17"/>
                <w:color w:val="auto"/>
                <w:vertAlign w:val="superscript"/>
              </w:rPr>
              <w:t>(1)</w:t>
            </w:r>
          </w:p>
        </w:tc>
        <w:tc>
          <w:tcPr>
            <w:tcW w:w="260" w:type="dxa"/>
            <w:vAlign w:val="bottom"/>
            <w:tcBorders>
              <w:bottom w:val="single" w:sz="8" w:color="auto"/>
            </w:tcBorders>
            <w:shd w:val="clear" w:color="auto" w:fill="E5E5E5"/>
          </w:tcPr>
          <w:p>
            <w:pPr>
              <w:spacing w:after="0"/>
              <w:rPr>
                <w:sz w:val="23"/>
                <w:szCs w:val="23"/>
                <w:color w:val="auto"/>
              </w:rPr>
            </w:pPr>
          </w:p>
        </w:tc>
        <w:tc>
          <w:tcPr>
            <w:tcW w:w="90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E5E5E5"/>
          </w:tcPr>
          <w:p>
            <w:pPr>
              <w:spacing w:after="0"/>
              <w:rPr>
                <w:sz w:val="23"/>
                <w:szCs w:val="23"/>
                <w:color w:val="auto"/>
              </w:rPr>
            </w:pPr>
          </w:p>
        </w:tc>
        <w:tc>
          <w:tcPr>
            <w:tcW w:w="340" w:type="dxa"/>
            <w:vAlign w:val="bottom"/>
            <w:tcBorders>
              <w:bottom w:val="single" w:sz="8" w:color="auto"/>
            </w:tcBorders>
            <w:shd w:val="clear" w:color="auto" w:fill="E5E5E5"/>
          </w:tcPr>
          <w:p>
            <w:pPr>
              <w:spacing w:after="0"/>
              <w:rPr>
                <w:sz w:val="23"/>
                <w:szCs w:val="23"/>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(346)</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r>
      <w:tr>
        <w:trPr>
          <w:trHeight w:val="277"/>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Equipment Sales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448</w:t>
            </w:r>
          </w:p>
        </w:tc>
        <w:tc>
          <w:tcPr>
            <w:tcW w:w="120" w:type="dxa"/>
            <w:vAlign w:val="bottom"/>
            <w:tcBorders>
              <w:bottom w:val="single" w:sz="8" w:color="E5E5E5"/>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spacing w:after="0"/>
              <w:rPr>
                <w:sz w:val="24"/>
                <w:szCs w:val="24"/>
                <w:color w:val="auto"/>
              </w:rPr>
            </w:pP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spacing w:after="0"/>
              <w:rPr>
                <w:sz w:val="24"/>
                <w:szCs w:val="24"/>
                <w:color w:val="auto"/>
              </w:rPr>
            </w:pPr>
          </w:p>
        </w:tc>
      </w:tr>
      <w:tr>
        <w:trPr>
          <w:trHeight w:val="251"/>
        </w:trPr>
        <w:tc>
          <w:tcPr>
            <w:tcW w:w="39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0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34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Services, maintenance and rentals</w:t>
            </w:r>
            <w:r>
              <w:rPr>
                <w:rFonts w:ascii="Arial" w:cs="Arial" w:eastAsia="Arial" w:hAnsi="Arial"/>
                <w:sz w:val="17"/>
                <w:szCs w:val="17"/>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1,519</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Add: Supplies, paper and other sales</w:t>
            </w:r>
            <w:r>
              <w:rPr>
                <w:rFonts w:ascii="Arial" w:cs="Arial" w:eastAsia="Arial" w:hAnsi="Arial"/>
                <w:sz w:val="17"/>
                <w:szCs w:val="17"/>
                <w:color w:val="auto"/>
                <w:vertAlign w:val="superscript"/>
              </w:rPr>
              <w:t>(1)</w:t>
            </w:r>
          </w:p>
        </w:tc>
        <w:tc>
          <w:tcPr>
            <w:tcW w:w="260" w:type="dxa"/>
            <w:vAlign w:val="bottom"/>
            <w:shd w:val="clear" w:color="auto" w:fill="E5E5E5"/>
          </w:tcPr>
          <w:p>
            <w:pPr>
              <w:spacing w:after="0"/>
              <w:rPr>
                <w:sz w:val="23"/>
                <w:szCs w:val="23"/>
                <w:color w:val="auto"/>
              </w:rPr>
            </w:pP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spacing w:after="0"/>
              <w:rPr>
                <w:sz w:val="23"/>
                <w:szCs w:val="23"/>
                <w:color w:val="auto"/>
              </w:rPr>
            </w:pP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346</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spacing w:after="0"/>
              <w:rPr>
                <w:sz w:val="23"/>
                <w:szCs w:val="23"/>
                <w:color w:val="auto"/>
              </w:rPr>
            </w:pPr>
          </w:p>
        </w:tc>
      </w:tr>
      <w:tr>
        <w:trPr>
          <w:trHeight w:val="266"/>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Add: Financing</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E5E5E5"/>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E5E5E5"/>
            </w:tcBorders>
          </w:tcPr>
          <w:p>
            <w:pPr>
              <w:spacing w:after="0"/>
              <w:rPr>
                <w:sz w:val="23"/>
                <w:szCs w:val="23"/>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E5E5E5"/>
            </w:tcBorders>
          </w:tcPr>
          <w:p>
            <w:pPr>
              <w:spacing w:after="0"/>
              <w:rPr>
                <w:sz w:val="23"/>
                <w:szCs w:val="23"/>
                <w:color w:val="auto"/>
              </w:rPr>
            </w:pPr>
          </w:p>
        </w:tc>
        <w:tc>
          <w:tcPr>
            <w:tcW w:w="1140" w:type="dxa"/>
            <w:vAlign w:val="bottom"/>
            <w:tcBorders>
              <w:bottom w:val="single" w:sz="8" w:color="E5E5E5"/>
            </w:tcBorders>
          </w:tcPr>
          <w:p>
            <w:pPr>
              <w:spacing w:after="0"/>
              <w:rPr>
                <w:sz w:val="23"/>
                <w:szCs w:val="23"/>
                <w:color w:val="auto"/>
              </w:rPr>
            </w:pPr>
          </w:p>
        </w:tc>
        <w:tc>
          <w:tcPr>
            <w:tcW w:w="100" w:type="dxa"/>
            <w:vAlign w:val="bottom"/>
            <w:tcBorders>
              <w:bottom w:val="single" w:sz="8" w:color="E5E5E5"/>
            </w:tcBorders>
          </w:tcPr>
          <w:p>
            <w:pPr>
              <w:spacing w:after="0"/>
              <w:rPr>
                <w:sz w:val="23"/>
                <w:szCs w:val="23"/>
                <w:color w:val="auto"/>
              </w:rPr>
            </w:pPr>
          </w:p>
        </w:tc>
        <w:tc>
          <w:tcPr>
            <w:tcW w:w="1140" w:type="dxa"/>
            <w:vAlign w:val="bottom"/>
            <w:tcBorders>
              <w:bottom w:val="single" w:sz="8" w:color="E5E5E5"/>
            </w:tcBorders>
          </w:tcPr>
          <w:p>
            <w:pPr>
              <w:spacing w:after="0"/>
              <w:rPr>
                <w:sz w:val="23"/>
                <w:szCs w:val="23"/>
                <w:color w:val="auto"/>
              </w:rPr>
            </w:pPr>
          </w:p>
        </w:tc>
      </w:tr>
      <w:tr>
        <w:trPr>
          <w:trHeight w:val="241"/>
        </w:trPr>
        <w:tc>
          <w:tcPr>
            <w:tcW w:w="40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Post Sale Revenue</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1,758</w:t>
            </w:r>
          </w:p>
        </w:tc>
        <w:tc>
          <w:tcPr>
            <w:tcW w:w="120" w:type="dxa"/>
            <w:vAlign w:val="bottom"/>
            <w:tcBorders>
              <w:bottom w:val="single" w:sz="8" w:color="E5E5E5"/>
            </w:tcBorders>
            <w:shd w:val="clear" w:color="auto" w:fill="E5E5E5"/>
          </w:tcPr>
          <w:p>
            <w:pPr>
              <w:spacing w:after="0"/>
              <w:rPr>
                <w:sz w:val="20"/>
                <w:szCs w:val="20"/>
                <w:color w:val="auto"/>
              </w:rPr>
            </w:pPr>
          </w:p>
        </w:tc>
        <w:tc>
          <w:tcPr>
            <w:tcW w:w="340" w:type="dxa"/>
            <w:vAlign w:val="bottom"/>
            <w:tcBorders>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1,936</w:t>
            </w:r>
          </w:p>
        </w:tc>
        <w:tc>
          <w:tcPr>
            <w:tcW w:w="124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c>
          <w:tcPr>
            <w:tcW w:w="100" w:type="dxa"/>
            <w:vAlign w:val="bottom"/>
            <w:tcBorders>
              <w:bottom w:val="single" w:sz="8" w:color="E5E5E5"/>
            </w:tcBorders>
            <w:shd w:val="clear" w:color="auto" w:fill="E5E5E5"/>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Americas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1,535</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63%</w:t>
            </w:r>
          </w:p>
        </w:tc>
      </w:tr>
      <w:tr>
        <w:trPr>
          <w:trHeight w:val="266"/>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EMEA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795</w:t>
            </w:r>
          </w:p>
        </w:tc>
        <w:tc>
          <w:tcPr>
            <w:tcW w:w="1240" w:type="dxa"/>
            <w:vAlign w:val="bottom"/>
            <w:gridSpan w:val="2"/>
          </w:tcPr>
          <w:p>
            <w:pPr>
              <w:jc w:val="center"/>
              <w:ind w:lef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33%</w:t>
            </w:r>
          </w:p>
        </w:tc>
      </w:tr>
      <w:tr>
        <w:trPr>
          <w:trHeight w:val="270"/>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E5E5E5"/>
          </w:tcPr>
          <w:p>
            <w:pPr>
              <w:spacing w:after="0"/>
              <w:rPr>
                <w:sz w:val="23"/>
                <w:szCs w:val="23"/>
                <w:color w:val="auto"/>
              </w:rPr>
            </w:pPr>
          </w:p>
        </w:tc>
        <w:tc>
          <w:tcPr>
            <w:tcW w:w="9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E5E5E5"/>
          </w:tcPr>
          <w:p>
            <w:pPr>
              <w:spacing w:after="0"/>
              <w:rPr>
                <w:sz w:val="23"/>
                <w:szCs w:val="23"/>
                <w:color w:val="auto"/>
              </w:rPr>
            </w:pPr>
          </w:p>
        </w:tc>
        <w:tc>
          <w:tcPr>
            <w:tcW w:w="340" w:type="dxa"/>
            <w:vAlign w:val="bottom"/>
            <w:tcBorders>
              <w:bottom w:val="single" w:sz="8" w:color="auto"/>
            </w:tcBorders>
            <w:shd w:val="clear" w:color="auto" w:fill="E5E5E5"/>
          </w:tcPr>
          <w:p>
            <w:pPr>
              <w:spacing w:after="0"/>
              <w:rPr>
                <w:sz w:val="23"/>
                <w:szCs w:val="23"/>
                <w:color w:val="auto"/>
              </w:rPr>
            </w:pPr>
          </w:p>
        </w:tc>
        <w:tc>
          <w:tcPr>
            <w:tcW w:w="8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105</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E5E5E5"/>
          </w:tcPr>
          <w:p>
            <w:pPr>
              <w:spacing w:after="0"/>
              <w:rPr>
                <w:sz w:val="23"/>
                <w:szCs w:val="23"/>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23"/>
                <w:szCs w:val="23"/>
                <w:color w:val="auto"/>
              </w:rPr>
            </w:pPr>
          </w:p>
        </w:tc>
        <w:tc>
          <w:tcPr>
            <w:tcW w:w="11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w:t>
            </w:r>
          </w:p>
        </w:tc>
      </w:tr>
      <w:tr>
        <w:trPr>
          <w:trHeight w:val="281"/>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7"/>
                <w:szCs w:val="17"/>
                <w:b w:val="1"/>
                <w:bCs w:val="1"/>
                <w:color w:val="auto"/>
                <w:vertAlign w:val="superscript"/>
              </w:rPr>
              <w:t>(2)</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2,206</w:t>
            </w:r>
          </w:p>
        </w:tc>
        <w:tc>
          <w:tcPr>
            <w:tcW w:w="120" w:type="dxa"/>
            <w:vAlign w:val="bottom"/>
            <w:tcBorders>
              <w:bottom w:val="single" w:sz="8" w:color="E5E5E5"/>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2,435</w:t>
            </w:r>
          </w:p>
        </w:tc>
        <w:tc>
          <w:tcPr>
            <w:tcW w:w="124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10"/>
        </w:trPr>
        <w:tc>
          <w:tcPr>
            <w:tcW w:w="39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r>
      <w:tr>
        <w:trPr>
          <w:trHeight w:val="269"/>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Memo:</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1"/>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Xerox Services</w:t>
            </w:r>
            <w:r>
              <w:rPr>
                <w:rFonts w:ascii="Arial" w:cs="Arial" w:eastAsia="Arial" w:hAnsi="Arial"/>
                <w:sz w:val="17"/>
                <w:szCs w:val="17"/>
                <w:color w:val="auto"/>
                <w:vertAlign w:val="superscript"/>
              </w:rPr>
              <w:t>(3)</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E5E5E5"/>
          </w:tcPr>
          <w:p>
            <w:pPr>
              <w:spacing w:after="0"/>
              <w:rPr>
                <w:sz w:val="23"/>
                <w:szCs w:val="23"/>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908</w:t>
            </w:r>
          </w:p>
        </w:tc>
        <w:tc>
          <w:tcPr>
            <w:tcW w:w="124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5E5E5"/>
          </w:tcPr>
          <w:p>
            <w:pPr>
              <w:spacing w:after="0"/>
              <w:rPr>
                <w:sz w:val="23"/>
                <w:szCs w:val="23"/>
                <w:color w:val="auto"/>
              </w:rPr>
            </w:pP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37%</w:t>
            </w:r>
          </w:p>
        </w:tc>
      </w:tr>
      <w:tr>
        <w:trPr>
          <w:trHeight w:val="146"/>
        </w:trPr>
        <w:tc>
          <w:tcPr>
            <w:tcW w:w="39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ind w:left="340" w:hanging="332"/>
        <w:spacing w:after="0" w:line="207" w:lineRule="auto"/>
        <w:tabs>
          <w:tab w:leader="none" w:pos="34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Certain prior year amounts have been conformed to the current year presentation. See Appendix III for this change in presentation.</w:t>
      </w:r>
    </w:p>
    <w:p>
      <w:pPr>
        <w:ind w:left="340" w:hanging="332"/>
        <w:spacing w:after="0" w:line="187" w:lineRule="auto"/>
        <w:tabs>
          <w:tab w:leader="none" w:pos="34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Appendix II for our Geographic Sales Channels and Products and Offerings Definitions.</w:t>
      </w:r>
    </w:p>
    <w:p>
      <w:pPr>
        <w:ind w:left="340" w:right="80" w:hanging="332"/>
        <w:spacing w:after="0" w:line="220" w:lineRule="auto"/>
        <w:tabs>
          <w:tab w:leader="none" w:pos="34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Excluding equipment revenue, Xerox Services was $750 million and $799 million in the first quarter 2019 and 2018, respectively, representing a decrease of 6.1% including a 3.1-percentage point unfavorable impact from currency.</w:t>
      </w:r>
    </w:p>
    <w:p>
      <w:pPr>
        <w:spacing w:after="0" w:line="121"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First quarter 2019 total revenue decreased 9.4% as compared to first quarter 2018, including a 2.4-percentage point unfavorable impact from currency, and an approximate 1.0-percentage point unfavorable impact from lower OEM sales. First quarter 2019 total revenue reflected the following:</w:t>
      </w:r>
    </w:p>
    <w:p>
      <w:pPr>
        <w:spacing w:after="0" w:line="107" w:lineRule="exact"/>
        <w:rPr>
          <w:sz w:val="20"/>
          <w:szCs w:val="20"/>
          <w:color w:val="auto"/>
        </w:rPr>
      </w:pPr>
    </w:p>
    <w:p>
      <w:pPr>
        <w:ind w:left="340" w:right="6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not only with the population of devices in the field, which is affected by installs and removals, but also by the page volumes generated from the usage of such devices, and the revenue per printed page. Post sale revenue decreased 9.2% as compared to first quarter 2018, including a 2.4-percentage point unfavorable impact from currency, and reflected the following:</w:t>
      </w:r>
    </w:p>
    <w:p>
      <w:pPr>
        <w:spacing w:after="0" w:line="1" w:lineRule="exact"/>
        <w:rPr>
          <w:rFonts w:ascii="Arial" w:cs="Arial" w:eastAsia="Arial" w:hAnsi="Arial"/>
          <w:sz w:val="18"/>
          <w:szCs w:val="18"/>
          <w:color w:val="auto"/>
        </w:rPr>
      </w:pPr>
    </w:p>
    <w:p>
      <w:pPr>
        <w:ind w:left="980" w:right="20" w:hanging="324"/>
        <w:spacing w:after="0" w:line="24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Xerox Services offerings. These revenues decreased 8.3% as compared to the first quarter 2018, including a 2.5-percentage point unfavorable impact from currency.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reflected the continuing trends of lower page volumes (including a higher mix of lower usage products), an ongoing competitive price environment, and a lower population of devices, which are partially associated with continued lower Enterprise signings and lower installs in prior periods. These declines were larger in the U.S. where we recently implemented organizational changes as part of our Project Own It transformation actions.</w:t>
      </w:r>
    </w:p>
    <w:p>
      <w:pPr>
        <w:spacing w:after="0" w:line="4" w:lineRule="exact"/>
        <w:rPr>
          <w:rFonts w:ascii="Arial" w:cs="Arial" w:eastAsia="Arial" w:hAnsi="Arial"/>
          <w:sz w:val="18"/>
          <w:szCs w:val="18"/>
          <w:color w:val="auto"/>
        </w:rPr>
      </w:pPr>
    </w:p>
    <w:p>
      <w:pPr>
        <w:ind w:left="980" w:hanging="324"/>
        <w:spacing w:after="0" w:line="242" w:lineRule="auto"/>
        <w:tabs>
          <w:tab w:leader="none" w:pos="9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12.7%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2018, including a 2.0-percentage point unfavorable impact from currency and a 2.9-percentage point unfavorable impact from lower OEM sales.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also reflected the impact of lower supplies revenues primarily from our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4" w:right="239" w:bottom="1440" w:gutter="0" w:footer="0" w:header="0"/>
        </w:sectPr>
      </w:pPr>
    </w:p>
    <w:bookmarkStart w:id="13" w:name="page14"/>
    <w:bookmarkEnd w:id="13"/>
    <w:p>
      <w:pPr>
        <w:ind w:left="980" w:right="60"/>
        <w:spacing w:after="0" w:line="289" w:lineRule="auto"/>
        <w:rPr>
          <w:sz w:val="20"/>
          <w:szCs w:val="20"/>
          <w:color w:val="auto"/>
        </w:rPr>
      </w:pPr>
      <w:r>
        <w:rPr>
          <w:rFonts w:ascii="Arial" w:cs="Arial" w:eastAsia="Arial" w:hAnsi="Arial"/>
          <w:sz w:val="18"/>
          <w:szCs w:val="18"/>
          <w:color w:val="auto"/>
        </w:rPr>
        <w:t>developing market regions, and lower transactional IT network integration solutions sales from our XBS sales unit, as well as lower paper sales from Latin America.</w:t>
      </w:r>
    </w:p>
    <w:p>
      <w:pPr>
        <w:spacing w:after="0" w:line="1" w:lineRule="exact"/>
        <w:rPr>
          <w:sz w:val="20"/>
          <w:szCs w:val="20"/>
          <w:color w:val="auto"/>
        </w:rPr>
      </w:pPr>
    </w:p>
    <w:p>
      <w:pPr>
        <w:ind w:left="980" w:right="160" w:hanging="324"/>
        <w:spacing w:after="0" w:line="263"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11.3%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decline in the finance receivables balance due to lower equipment sales in prior periods and included a 2.3-percentage point unfavorable impact from currency.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color w:val="auto"/>
              </w:rPr>
              <w:t>March 31,</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E5E5E5"/>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E5E5E5"/>
            </w:tcBorders>
          </w:tcPr>
          <w:p>
            <w:pPr>
              <w:spacing w:after="0"/>
              <w:rPr>
                <w:sz w:val="17"/>
                <w:szCs w:val="17"/>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E5E5E5"/>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4"/>
        </w:trPr>
        <w:tc>
          <w:tcPr>
            <w:tcW w:w="47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Entry</w:t>
            </w:r>
          </w:p>
        </w:tc>
        <w:tc>
          <w:tcPr>
            <w:tcW w:w="70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5E5E5"/>
          </w:tcPr>
          <w:p>
            <w:pPr>
              <w:spacing w:after="0"/>
              <w:rPr>
                <w:sz w:val="22"/>
                <w:szCs w:val="22"/>
                <w:color w:val="auto"/>
              </w:rPr>
            </w:pPr>
          </w:p>
        </w:tc>
        <w:tc>
          <w:tcPr>
            <w:tcW w:w="68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E5E5E5"/>
          </w:tcPr>
          <w:p>
            <w:pPr>
              <w:spacing w:after="0"/>
              <w:rPr>
                <w:sz w:val="22"/>
                <w:szCs w:val="22"/>
                <w:color w:val="auto"/>
              </w:rPr>
            </w:pPr>
          </w:p>
        </w:tc>
        <w:tc>
          <w:tcPr>
            <w:tcW w:w="1120" w:type="dxa"/>
            <w:vAlign w:val="bottom"/>
            <w:gridSpan w:val="2"/>
            <w:shd w:val="clear" w:color="auto" w:fill="E5E5E5"/>
          </w:tcPr>
          <w:p>
            <w:pPr>
              <w:jc w:val="center"/>
              <w:ind w:righ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5E5E5"/>
          </w:tcPr>
          <w:p>
            <w:pPr>
              <w:spacing w:after="0"/>
              <w:rPr>
                <w:sz w:val="22"/>
                <w:szCs w:val="22"/>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22"/>
                <w:szCs w:val="22"/>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11%</w:t>
            </w:r>
          </w:p>
        </w:tc>
        <w:tc>
          <w:tcPr>
            <w:tcW w:w="0" w:type="dxa"/>
            <w:vAlign w:val="bottom"/>
          </w:tcPr>
          <w:p>
            <w:pPr>
              <w:spacing w:after="0"/>
              <w:rPr>
                <w:sz w:val="1"/>
                <w:szCs w:val="1"/>
                <w:color w:val="auto"/>
              </w:rPr>
            </w:pP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4"/>
                <w:szCs w:val="14"/>
                <w:color w:val="auto"/>
              </w:rPr>
              <w:t>Mid-range</w:t>
            </w:r>
          </w:p>
        </w:tc>
        <w:tc>
          <w:tcPr>
            <w:tcW w:w="70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302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jc w:val="right"/>
              <w:ind w:right="28"/>
              <w:spacing w:after="0"/>
              <w:rPr>
                <w:sz w:val="20"/>
                <w:szCs w:val="20"/>
                <w:color w:val="auto"/>
              </w:rPr>
            </w:pPr>
            <w:r>
              <w:rPr>
                <w:rFonts w:ascii="Arial" w:cs="Arial" w:eastAsia="Arial" w:hAnsi="Arial"/>
                <w:sz w:val="14"/>
                <w:szCs w:val="14"/>
                <w:color w:val="auto"/>
                <w:w w:val="94"/>
              </w:rPr>
              <w:t>334</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4"/>
        </w:trPr>
        <w:tc>
          <w:tcPr>
            <w:tcW w:w="47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High-end</w:t>
            </w:r>
          </w:p>
        </w:tc>
        <w:tc>
          <w:tcPr>
            <w:tcW w:w="700" w:type="dxa"/>
            <w:vAlign w:val="bottom"/>
            <w:shd w:val="clear" w:color="auto" w:fill="E5E5E5"/>
          </w:tcPr>
          <w:p>
            <w:pPr>
              <w:spacing w:after="0"/>
              <w:rPr>
                <w:sz w:val="23"/>
                <w:szCs w:val="23"/>
                <w:color w:val="auto"/>
              </w:rPr>
            </w:pPr>
          </w:p>
        </w:tc>
        <w:tc>
          <w:tcPr>
            <w:tcW w:w="3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5E5E5"/>
          </w:tcPr>
          <w:p>
            <w:pPr>
              <w:spacing w:after="0"/>
              <w:rPr>
                <w:sz w:val="23"/>
                <w:szCs w:val="23"/>
                <w:color w:val="auto"/>
              </w:rPr>
            </w:pPr>
          </w:p>
        </w:tc>
        <w:tc>
          <w:tcPr>
            <w:tcW w:w="680" w:type="dxa"/>
            <w:vAlign w:val="bottom"/>
            <w:shd w:val="clear" w:color="auto" w:fill="E5E5E5"/>
          </w:tcPr>
          <w:p>
            <w:pPr>
              <w:spacing w:after="0"/>
              <w:rPr>
                <w:sz w:val="23"/>
                <w:szCs w:val="23"/>
                <w:color w:val="auto"/>
              </w:rPr>
            </w:pPr>
          </w:p>
        </w:tc>
        <w:tc>
          <w:tcPr>
            <w:tcW w:w="3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92</w:t>
            </w:r>
          </w:p>
        </w:tc>
        <w:tc>
          <w:tcPr>
            <w:tcW w:w="1140" w:type="dxa"/>
            <w:vAlign w:val="bottom"/>
            <w:gridSpan w:val="2"/>
            <w:shd w:val="clear" w:color="auto" w:fill="E5E5E5"/>
          </w:tcPr>
          <w:p>
            <w:pPr>
              <w:jc w:val="center"/>
              <w:ind w:lef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5E5E5"/>
          </w:tcPr>
          <w:p>
            <w:pPr>
              <w:spacing w:after="0"/>
              <w:rPr>
                <w:sz w:val="23"/>
                <w:szCs w:val="23"/>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(0.3)%</w:t>
            </w:r>
          </w:p>
        </w:tc>
        <w:tc>
          <w:tcPr>
            <w:tcW w:w="100" w:type="dxa"/>
            <w:vAlign w:val="bottom"/>
            <w:shd w:val="clear" w:color="auto" w:fill="E5E5E5"/>
          </w:tcPr>
          <w:p>
            <w:pPr>
              <w:spacing w:after="0"/>
              <w:rPr>
                <w:sz w:val="23"/>
                <w:szCs w:val="23"/>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5E5E5"/>
          </w:tcPr>
          <w:p>
            <w:pPr>
              <w:spacing w:after="0"/>
              <w:rPr>
                <w:sz w:val="23"/>
                <w:szCs w:val="23"/>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6"/>
        </w:trPr>
        <w:tc>
          <w:tcPr>
            <w:tcW w:w="470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5E5E5"/>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140" w:type="dxa"/>
            <w:vAlign w:val="bottom"/>
            <w:tcBorders>
              <w:bottom w:val="single" w:sz="8" w:color="E5E5E5"/>
            </w:tcBorders>
            <w:gridSpan w:val="2"/>
          </w:tcPr>
          <w:p>
            <w:pPr>
              <w:jc w:val="center"/>
              <w:ind w:left="48"/>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E5E5E5"/>
            </w:tcBorders>
          </w:tcPr>
          <w:p>
            <w:pPr>
              <w:spacing w:after="0"/>
              <w:rPr>
                <w:sz w:val="23"/>
                <w:szCs w:val="23"/>
                <w:color w:val="auto"/>
              </w:rPr>
            </w:pPr>
          </w:p>
        </w:tc>
        <w:tc>
          <w:tcPr>
            <w:tcW w:w="10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E5E5E5"/>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Equipment Sales</w:t>
            </w:r>
          </w:p>
        </w:tc>
        <w:tc>
          <w:tcPr>
            <w:tcW w:w="70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w w:val="94"/>
              </w:rPr>
              <w:t>448</w:t>
            </w:r>
          </w:p>
        </w:tc>
        <w:tc>
          <w:tcPr>
            <w:tcW w:w="100" w:type="dxa"/>
            <w:vAlign w:val="bottom"/>
            <w:tcBorders>
              <w:bottom w:val="single" w:sz="8" w:color="E5E5E5"/>
            </w:tcBorders>
            <w:shd w:val="clear" w:color="auto" w:fill="E5E5E5"/>
          </w:tcPr>
          <w:p>
            <w:pPr>
              <w:spacing w:after="0"/>
              <w:rPr>
                <w:sz w:val="20"/>
                <w:szCs w:val="20"/>
                <w:color w:val="auto"/>
              </w:rPr>
            </w:pPr>
          </w:p>
        </w:tc>
        <w:tc>
          <w:tcPr>
            <w:tcW w:w="680" w:type="dxa"/>
            <w:vAlign w:val="bottom"/>
            <w:tcBorders>
              <w:bottom w:val="single" w:sz="8" w:color="auto"/>
            </w:tcBorders>
            <w:shd w:val="clear" w:color="auto" w:fill="E5E5E5"/>
          </w:tcPr>
          <w:p>
            <w:pPr>
              <w:jc w:val="right"/>
              <w:ind w:right="4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w w:val="94"/>
              </w:rPr>
              <w:t>499</w:t>
            </w:r>
          </w:p>
        </w:tc>
        <w:tc>
          <w:tcPr>
            <w:tcW w:w="1140" w:type="dxa"/>
            <w:vAlign w:val="bottom"/>
            <w:tcBorders>
              <w:bottom w:val="single" w:sz="8" w:color="E5E5E5"/>
            </w:tcBorders>
            <w:gridSpan w:val="2"/>
            <w:shd w:val="clear" w:color="auto" w:fill="E5E5E5"/>
          </w:tcPr>
          <w:p>
            <w:pPr>
              <w:jc w:val="center"/>
              <w:ind w:lef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E5E5E5"/>
            </w:tcBorders>
            <w:shd w:val="clear" w:color="auto" w:fill="E5E5E5"/>
          </w:tcPr>
          <w:p>
            <w:pPr>
              <w:spacing w:after="0"/>
              <w:rPr>
                <w:sz w:val="20"/>
                <w:szCs w:val="20"/>
                <w:color w:val="auto"/>
              </w:rPr>
            </w:pP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E5E5E5"/>
            </w:tcBorders>
            <w:shd w:val="clear" w:color="auto" w:fill="E5E5E5"/>
          </w:tcPr>
          <w:p>
            <w:pPr>
              <w:spacing w:after="0"/>
              <w:rPr>
                <w:sz w:val="20"/>
                <w:szCs w:val="20"/>
                <w:color w:val="auto"/>
              </w:rPr>
            </w:pPr>
          </w:p>
        </w:tc>
        <w:tc>
          <w:tcPr>
            <w:tcW w:w="10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E5E5E5"/>
            </w:tcBorders>
            <w:shd w:val="clear" w:color="auto" w:fill="E5E5E5"/>
          </w:tcPr>
          <w:p>
            <w:pPr>
              <w:spacing w:after="0"/>
              <w:rPr>
                <w:sz w:val="20"/>
                <w:szCs w:val="20"/>
                <w:color w:val="auto"/>
              </w:rPr>
            </w:pPr>
          </w:p>
        </w:tc>
        <w:tc>
          <w:tcPr>
            <w:tcW w:w="10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5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204" w:lineRule="exact"/>
        <w:rPr>
          <w:sz w:val="20"/>
          <w:szCs w:val="20"/>
          <w:color w:val="auto"/>
        </w:rPr>
      </w:pPr>
    </w:p>
    <w:p>
      <w:pPr>
        <w:ind w:left="340" w:right="120" w:hanging="332"/>
        <w:spacing w:after="0" w:line="247"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sales revenue </w:t>
      </w:r>
      <w:r>
        <w:rPr>
          <w:rFonts w:ascii="Arial" w:cs="Arial" w:eastAsia="Arial" w:hAnsi="Arial"/>
          <w:sz w:val="18"/>
          <w:szCs w:val="18"/>
          <w:color w:val="auto"/>
        </w:rPr>
        <w:t>decreased 10.2% as compared to first quarter 2018, including a 2.6-percentage point unfavorable impact from</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These revenues were impacted by price declines of approximately 5% and included a 2.8-percentage point unfavorable impact from the absence of OEM equipment sales in the first quarter 2019. The decline at constant currency</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mainly impacted by lower revenues from our mid-range products, and reflected the following:</w:t>
      </w:r>
    </w:p>
    <w:p>
      <w:pPr>
        <w:ind w:left="980" w:right="320" w:hanging="324"/>
        <w:spacing w:after="0" w:line="250"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increase reflected higher installs of our ConnectKey devices in our Americas sales organization, and it also partially</w:t>
      </w:r>
      <w:r>
        <w:rPr>
          <w:rFonts w:ascii="Arial" w:cs="Arial" w:eastAsia="Arial" w:hAnsi="Arial"/>
          <w:sz w:val="18"/>
          <w:szCs w:val="18"/>
          <w:b w:val="1"/>
          <w:bCs w:val="1"/>
          <w:color w:val="auto"/>
        </w:rPr>
        <w:t xml:space="preserve"> </w:t>
      </w:r>
      <w:r>
        <w:rPr>
          <w:rFonts w:ascii="Arial" w:cs="Arial" w:eastAsia="Arial" w:hAnsi="Arial"/>
          <w:sz w:val="18"/>
          <w:szCs w:val="18"/>
          <w:color w:val="auto"/>
        </w:rPr>
        <w:t>benefited from lower U.S. indirect channel sales in the prior year.</w:t>
      </w:r>
    </w:p>
    <w:p>
      <w:pPr>
        <w:ind w:left="980" w:right="100" w:hanging="324"/>
        <w:spacing w:after="0" w:line="250"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decrease reflected lower sales from our Americas sales organization, including our XBS sales unit, which were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affected by the transitional impact associated with recently implemented organizational changes as part of our Project Own It transformation actions (including the transitioning of accounts to implement coverage changes, consolidation of real estate locations and the reduction of management layers), partially offset by higher sales from our European sales operations.</w:t>
      </w:r>
    </w:p>
    <w:p>
      <w:pPr>
        <w:spacing w:after="0" w:line="1" w:lineRule="exact"/>
        <w:rPr>
          <w:rFonts w:ascii="Arial" w:cs="Arial" w:eastAsia="Arial" w:hAnsi="Arial"/>
          <w:sz w:val="18"/>
          <w:szCs w:val="18"/>
          <w:color w:val="auto"/>
        </w:rPr>
      </w:pPr>
    </w:p>
    <w:p>
      <w:pPr>
        <w:ind w:left="980" w:right="40" w:hanging="324"/>
        <w:spacing w:after="0" w:line="258"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High-end - </w:t>
      </w:r>
      <w:r>
        <w:rPr>
          <w:rFonts w:ascii="Arial" w:cs="Arial" w:eastAsia="Arial" w:hAnsi="Arial"/>
          <w:sz w:val="18"/>
          <w:szCs w:val="18"/>
          <w:color w:val="auto"/>
        </w:rPr>
        <w:t>The nearly flat revenue was driven by lower sales from our Americas sales organization, mostly offset by growth from</w:t>
      </w:r>
      <w:r>
        <w:rPr>
          <w:rFonts w:ascii="Arial" w:cs="Arial" w:eastAsia="Arial" w:hAnsi="Arial"/>
          <w:sz w:val="18"/>
          <w:szCs w:val="18"/>
          <w:b w:val="1"/>
          <w:bCs w:val="1"/>
          <w:color w:val="auto"/>
        </w:rPr>
        <w:t xml:space="preserve"> </w:t>
      </w:r>
      <w:r>
        <w:rPr>
          <w:rFonts w:ascii="Arial" w:cs="Arial" w:eastAsia="Arial" w:hAnsi="Arial"/>
          <w:sz w:val="18"/>
          <w:szCs w:val="18"/>
          <w:color w:val="auto"/>
        </w:rPr>
        <w:t>our European region. The decline in installs was partially offset by a favorable revenue mix driven by strong demand for the higher-configuration models of our Iridesse production press.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While the rate of our first quarter 2019 revenue decline was greater than the rate we expect for the year as a whole (largely due to the impact of organizational changes implemented in the first quarter 2019), we expect such decline to improve each quarter sequentially on a year-over-year basis, resulting in an overall revenue decline of about 5% for the year as a whole, excluding an approximate 1.0-percentage point unfavorable impact from currency.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Installs reflect new placement of devices only.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r>
        <w:rPr>
          <w:rFonts w:ascii="Arial" w:cs="Arial" w:eastAsia="Arial" w:hAnsi="Arial"/>
          <w:sz w:val="21"/>
          <w:szCs w:val="21"/>
          <w:i w:val="1"/>
          <w:iCs w:val="1"/>
          <w:color w:val="auto"/>
          <w:vertAlign w:val="superscript"/>
        </w:rPr>
        <w:t>2</w:t>
      </w:r>
    </w:p>
    <w:p>
      <w:pPr>
        <w:ind w:left="340" w:right="50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 increase in color multifunction devices reflecting higher installs of ConnectKey devices in the higher-value Workteam/Workgroup through our indirect channels in the U.S., partially offset by lower activity from our EMEA organization.</w:t>
      </w:r>
    </w:p>
    <w:p>
      <w:pPr>
        <w:ind w:left="340" w:right="300" w:hanging="332"/>
        <w:spacing w:after="0" w:line="266"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 decrease in black-and-white multifunction devices driven by lower activity from our EMEA organization, including low-end devices in developing market regions, partially offset by higher installs of ConnectKey devices through our indirect channels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1"/>
          <w:szCs w:val="21"/>
          <w:i w:val="1"/>
          <w:iCs w:val="1"/>
          <w:color w:val="auto"/>
          <w:vertAlign w:val="superscript"/>
        </w:rPr>
        <w:t>3</w:t>
      </w:r>
    </w:p>
    <w:p>
      <w:pPr>
        <w:ind w:left="340" w:right="6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 decrease in mid-range color installs reflecting lower installs of ConnectKey devices through our indirect channels in the U.S. and from our XBS sales unit. Higher installs from our EMEA organization provided a partial offset.</w:t>
      </w:r>
    </w:p>
    <w:p>
      <w:pPr>
        <w:ind w:left="340" w:right="100" w:hanging="332"/>
        <w:spacing w:after="0" w:line="26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 decrease in mid-range black-and-white reflecting lower installs of ConnectKey devices through our indirect channels in the U.S. and from our XBS sales unit. The decline also reflected market trends, partially offset by higher installs from our EMEA organization.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1"/>
          <w:szCs w:val="21"/>
          <w:i w:val="1"/>
          <w:iCs w:val="1"/>
          <w:color w:val="auto"/>
          <w:vertAlign w:val="superscript"/>
        </w:rPr>
        <w:t>3</w:t>
      </w: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 decrease in high-end color installs reflecting lower installs of our iGen and lower-end production systems, including Versant systems, partially offset by strong demand for the higher-configuration models of our Iridesse production press and higher installs of our inkjet production systems.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 decrease in high-end black-and-white systems reflecting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hanging="332"/>
        <w:spacing w:after="0" w:line="187" w:lineRule="auto"/>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When combined with OEM sales, Entry color multifunction devices decreased 32%, while Entry black-and-white multifunction devices decreased 22%.</w:t>
      </w:r>
    </w:p>
    <w:p>
      <w:pPr>
        <w:ind w:left="340" w:hanging="332"/>
        <w:spacing w:after="0" w:line="220" w:lineRule="auto"/>
        <w:tabs>
          <w:tab w:leader="none" w:pos="340"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decreased 7%, and High-end color systems decreased 14%.</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748" w:right="35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DA2031"/>
        </w:rPr>
        <w:t>Costs, Expenses and Other Income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Three Months Ended March 31,</w:t>
            </w:r>
          </w:p>
        </w:tc>
        <w:tc>
          <w:tcPr>
            <w:tcW w:w="108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E5E5E5"/>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B/(W)</w:t>
            </w:r>
          </w:p>
        </w:tc>
      </w:tr>
      <w:tr>
        <w:trPr>
          <w:trHeight w:val="254"/>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E5E5E5"/>
          </w:tcPr>
          <w:p>
            <w:pPr>
              <w:spacing w:after="0"/>
              <w:rPr>
                <w:sz w:val="22"/>
                <w:szCs w:val="22"/>
                <w:color w:val="auto"/>
              </w:rPr>
            </w:pP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(81)</w:t>
            </w:r>
          </w:p>
        </w:tc>
      </w:tr>
      <w:tr>
        <w:trPr>
          <w:trHeight w:val="266"/>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w:t>
            </w: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4"/>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SAG</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80</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Equipment Gross Margin</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 pts.</w:t>
            </w:r>
          </w:p>
        </w:tc>
      </w:tr>
      <w:tr>
        <w:trPr>
          <w:trHeight w:val="266"/>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Post sale Gross Margin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 pts.</w:t>
            </w:r>
          </w:p>
        </w:tc>
      </w:tr>
      <w:tr>
        <w:trPr>
          <w:trHeight w:val="274"/>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Total Gross Margin</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0.5 pts.</w:t>
            </w:r>
          </w:p>
        </w:tc>
      </w:tr>
      <w:tr>
        <w:trPr>
          <w:trHeight w:val="266"/>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RD&amp;E as a % of Revenue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(0.1) pts.</w:t>
            </w:r>
          </w:p>
        </w:tc>
      </w:tr>
      <w:tr>
        <w:trPr>
          <w:trHeight w:val="274"/>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SAG as a % of Revenue</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 pts.</w:t>
            </w:r>
          </w:p>
        </w:tc>
      </w:tr>
      <w:tr>
        <w:trPr>
          <w:trHeight w:val="284"/>
        </w:trPr>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Pre-tax Income</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w:t>
            </w:r>
          </w:p>
        </w:tc>
      </w:tr>
      <w:tr>
        <w:trPr>
          <w:trHeight w:val="266"/>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Pre-tax Income Margin</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 pts.</w:t>
            </w:r>
          </w:p>
        </w:tc>
      </w:tr>
      <w:tr>
        <w:trPr>
          <w:trHeight w:val="288"/>
        </w:trPr>
        <w:tc>
          <w:tcPr>
            <w:tcW w:w="69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320" w:type="dxa"/>
            <w:vAlign w:val="bottom"/>
            <w:shd w:val="clear" w:color="auto" w:fill="E5E5E5"/>
          </w:tcPr>
          <w:p>
            <w:pPr>
              <w:spacing w:after="0"/>
              <w:rPr>
                <w:sz w:val="24"/>
                <w:szCs w:val="24"/>
                <w:color w:val="auto"/>
              </w:rPr>
            </w:pPr>
          </w:p>
        </w:tc>
        <w:tc>
          <w:tcPr>
            <w:tcW w:w="108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1080" w:type="dxa"/>
            <w:vAlign w:val="bottom"/>
            <w:shd w:val="clear" w:color="auto" w:fill="E5E5E5"/>
          </w:tcPr>
          <w:p>
            <w:pPr>
              <w:spacing w:after="0"/>
              <w:rPr>
                <w:sz w:val="24"/>
                <w:szCs w:val="24"/>
                <w:color w:val="auto"/>
              </w:rPr>
            </w:pPr>
          </w:p>
        </w:tc>
      </w:tr>
      <w:tr>
        <w:trPr>
          <w:trHeight w:val="270"/>
        </w:trPr>
        <w:tc>
          <w:tcPr>
            <w:tcW w:w="7040" w:type="dxa"/>
            <w:vAlign w:val="bottom"/>
            <w:gridSpan w:val="2"/>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70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Adjusted</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Operating Margin</w:t>
            </w: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08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 pts.</w:t>
            </w:r>
          </w:p>
        </w:tc>
      </w:tr>
      <w:tr>
        <w:trPr>
          <w:trHeight w:val="146"/>
        </w:trPr>
        <w:tc>
          <w:tcPr>
            <w:tcW w:w="694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9"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“Non-GAAP Financial Measures” section for an explanation of the non-GAAP financial measure.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First quarter 2019 pre-tax income margin of 3.8% decreased 1.7-percentage points as compared to first quarter 2018. The decrease was driven by higher restructuring and related costs partially offset by lower transaction related costs as well as lower operating expenses (primarily reflecting the net benefit from our Project Own It transformation actions) that offset the impact of lower revenues.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ind w:right="140"/>
        <w:spacing w:after="0"/>
        <w:rPr>
          <w:sz w:val="20"/>
          <w:szCs w:val="20"/>
          <w:color w:val="auto"/>
        </w:rPr>
      </w:pPr>
      <w:r>
        <w:rPr>
          <w:rFonts w:ascii="Arial" w:cs="Arial" w:eastAsia="Arial" w:hAnsi="Arial"/>
          <w:sz w:val="18"/>
          <w:szCs w:val="18"/>
          <w:color w:val="auto"/>
        </w:rPr>
        <w:t>First quarter 2019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operating margin of 11.3% increased 1.4-percentage points as compared to first quarter 2018 primarily reflecting the impact of SAG reductions and cost productivity associated with our Project Own It transformation actions, which more than offset the pace of revenue decline and an approximate 0.3-percentage point unfavorable impact from transaction currency.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9"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color w:val="auto"/>
        </w:rPr>
        <w:t>First quarter 2019 gross margin of 40.3% increased by 0.5-percentage points compared to first quarter 2018, reflecting higher equipment margin partially offset by lower post sale margin.</w:t>
      </w:r>
    </w:p>
    <w:p>
      <w:pPr>
        <w:spacing w:after="0" w:line="5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First quarter 2019 equipment gross margin of 35.7% increased by 3.1-percentage points as compared to first quarter 2018, reflecting the mix benefit from lower OEM sales (which carry a negative upfront margin) as well as savings from our Project Own It cost productivity initiatives.</w:t>
      </w:r>
    </w:p>
    <w:p>
      <w:pPr>
        <w:spacing w:after="0" w:line="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First quarter 2019 post sale gross margin of 41.5% decreased by 0.2-percentage points as compared to first quarter 2018 driven by a 0.6-percentage point unfavorable impact related to a prior year benefit from a change in estimate for consumables usage by customers. Excluding this item, post sale margin would have increased, reflecting productivity and restructuring savings associated with our Project Own It transformation actions that offset the impact of lower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First quarter 2019 RD&amp;E as a percentage of revenue of 4.2% was 0.1-percentage points higher as compared to first quarter 2018, as revenue declined at a higher rate than RD&amp;E.</w:t>
      </w:r>
    </w:p>
    <w:p>
      <w:pPr>
        <w:spacing w:after="0" w:line="5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RD&amp;E of $92 million decreased $8 million as compared to first quarter 2018 and reflected cost productivity and restructuring savings from our Project Own It transformation actions, including savings in sustaining engineering, partially offset by modest investments in innovation in complementary market areas.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SAG as a percentage of revenue of 24.8% decreased 1.0-percentage point as compared to first quarter 2018, primarily reflecting the benefit from productivity and restructuring associated with our Project Own It transformation actions.</w:t>
      </w:r>
    </w:p>
    <w:p>
      <w:pPr>
        <w:spacing w:after="0" w:line="11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SAG of $548 million was $80 million lower than first quarter 2018, reflecting productivity and restructuring savings associated with our Project Own It transformation actions as well as favorable impacts of approximately $13 million from translation currency and $9 million from a prior year accelerated depreciation charge. Bad debt expense of $13 million was flat compared to first quarter 2018 and on a trailing twelve-month basis (TTM) remained at less than one percent of total receivables.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12121"/>
        </w:rPr>
        <w:t>During the second half of 2018, we started our Project Own It transformation initiative. The primary goal of this initiative is to improve productivity by driving end-to-end transformation of our processes and systems to create greater focus, speed, accountability and effectiveness and to reduce costs. We incurred restructuring and related costs of $112 million for the first quarter 2019 primarily related to costs to implement initiatives under our business transformation projects including Project Own It. The following is a breakdown of those costs: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98"/>
        </w:trPr>
        <w:tc>
          <w:tcPr>
            <w:tcW w:w="94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40" w:type="dxa"/>
            <w:vAlign w:val="bottom"/>
            <w:tcBorders>
              <w:bottom w:val="single" w:sz="8" w:color="E5E5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March 31, 2019</w:t>
            </w:r>
          </w:p>
        </w:tc>
        <w:tc>
          <w:tcPr>
            <w:tcW w:w="0" w:type="dxa"/>
            <w:vAlign w:val="bottom"/>
          </w:tcPr>
          <w:p>
            <w:pPr>
              <w:spacing w:after="0"/>
              <w:rPr>
                <w:sz w:val="1"/>
                <w:szCs w:val="1"/>
                <w:color w:val="auto"/>
              </w:rPr>
            </w:pPr>
          </w:p>
        </w:tc>
      </w:tr>
      <w:tr>
        <w:trPr>
          <w:trHeight w:val="254"/>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Restructuring Severance </w:t>
            </w:r>
            <w:r>
              <w:rPr>
                <w:rFonts w:ascii="Arial" w:cs="Arial" w:eastAsia="Arial" w:hAnsi="Arial"/>
                <w:sz w:val="17"/>
                <w:szCs w:val="17"/>
                <w:color w:val="auto"/>
                <w:vertAlign w:val="superscript"/>
              </w:rPr>
              <w:t>(1)</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9620" w:type="dxa"/>
            <w:vAlign w:val="bottom"/>
            <w:gridSpan w:val="2"/>
          </w:tcPr>
          <w:p>
            <w:pPr>
              <w:ind w:left="40"/>
              <w:spacing w:after="0"/>
              <w:rPr>
                <w:sz w:val="20"/>
                <w:szCs w:val="20"/>
                <w:color w:val="auto"/>
              </w:rPr>
            </w:pPr>
            <w:r>
              <w:rPr>
                <w:rFonts w:ascii="Arial" w:cs="Arial" w:eastAsia="Arial" w:hAnsi="Arial"/>
                <w:sz w:val="14"/>
                <w:szCs w:val="14"/>
                <w:color w:val="auto"/>
              </w:rPr>
              <w:t xml:space="preserve">Asset Impairments </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Other contractual termination costs </w:t>
            </w:r>
            <w:r>
              <w:rPr>
                <w:rFonts w:ascii="Arial" w:cs="Arial" w:eastAsia="Arial" w:hAnsi="Arial"/>
                <w:sz w:val="17"/>
                <w:szCs w:val="17"/>
                <w:color w:val="auto"/>
                <w:vertAlign w:val="superscript"/>
              </w:rPr>
              <w:t>(3)</w:t>
            </w:r>
          </w:p>
        </w:tc>
        <w:tc>
          <w:tcPr>
            <w:tcW w:w="160" w:type="dxa"/>
            <w:vAlign w:val="bottom"/>
            <w:shd w:val="clear" w:color="auto" w:fill="E5E5E5"/>
          </w:tcPr>
          <w:p>
            <w:pPr>
              <w:spacing w:after="0"/>
              <w:rPr>
                <w:sz w:val="23"/>
                <w:szCs w:val="23"/>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96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 xml:space="preserve">Net reversals </w:t>
            </w:r>
            <w:r>
              <w:rPr>
                <w:rFonts w:ascii="Arial" w:cs="Arial" w:eastAsia="Arial" w:hAnsi="Arial"/>
                <w:sz w:val="17"/>
                <w:szCs w:val="17"/>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asset impairment costs</w:t>
            </w:r>
          </w:p>
        </w:tc>
        <w:tc>
          <w:tcPr>
            <w:tcW w:w="160" w:type="dxa"/>
            <w:vAlign w:val="bottom"/>
            <w:shd w:val="clear" w:color="auto" w:fill="E5E5E5"/>
          </w:tcPr>
          <w:p>
            <w:pPr>
              <w:spacing w:after="0"/>
              <w:rPr>
                <w:sz w:val="21"/>
                <w:szCs w:val="21"/>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9620" w:type="dxa"/>
            <w:vAlign w:val="bottom"/>
            <w:gridSpan w:val="2"/>
          </w:tcPr>
          <w:p>
            <w:pPr>
              <w:ind w:left="40"/>
              <w:spacing w:after="0"/>
              <w:rPr>
                <w:sz w:val="20"/>
                <w:szCs w:val="20"/>
                <w:color w:val="auto"/>
              </w:rPr>
            </w:pPr>
            <w:r>
              <w:rPr>
                <w:rFonts w:ascii="Arial" w:cs="Arial" w:eastAsia="Arial" w:hAnsi="Arial"/>
                <w:sz w:val="14"/>
                <w:szCs w:val="14"/>
                <w:color w:val="auto"/>
              </w:rPr>
              <w:t xml:space="preserve">Retention related severance/bonuses </w:t>
            </w:r>
            <w:r>
              <w:rPr>
                <w:rFonts w:ascii="Arial" w:cs="Arial" w:eastAsia="Arial" w:hAnsi="Arial"/>
                <w:sz w:val="17"/>
                <w:szCs w:val="17"/>
                <w:color w:val="auto"/>
                <w:vertAlign w:val="superscript"/>
              </w:rPr>
              <w:t>(5)</w:t>
            </w:r>
          </w:p>
        </w:tc>
        <w:tc>
          <w:tcPr>
            <w:tcW w:w="160" w:type="dxa"/>
            <w:vAlign w:val="bottom"/>
          </w:tcPr>
          <w:p>
            <w:pPr>
              <w:spacing w:after="0"/>
              <w:rPr>
                <w:sz w:val="23"/>
                <w:szCs w:val="23"/>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96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 xml:space="preserve">Contractual severance costs </w:t>
            </w:r>
            <w:r>
              <w:rPr>
                <w:rFonts w:ascii="Arial" w:cs="Arial" w:eastAsia="Arial" w:hAnsi="Arial"/>
                <w:sz w:val="17"/>
                <w:szCs w:val="17"/>
                <w:color w:val="auto"/>
                <w:vertAlign w:val="superscript"/>
              </w:rPr>
              <w:t>(6)</w:t>
            </w:r>
          </w:p>
        </w:tc>
        <w:tc>
          <w:tcPr>
            <w:tcW w:w="160" w:type="dxa"/>
            <w:vAlign w:val="bottom"/>
            <w:shd w:val="clear" w:color="auto" w:fill="E5E5E5"/>
          </w:tcPr>
          <w:p>
            <w:pPr>
              <w:spacing w:after="0"/>
              <w:rPr>
                <w:sz w:val="23"/>
                <w:szCs w:val="23"/>
                <w:color w:val="auto"/>
              </w:rPr>
            </w:pPr>
          </w:p>
        </w:tc>
        <w:tc>
          <w:tcPr>
            <w:tcW w:w="16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96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 xml:space="preserve">Consulting and other costs </w:t>
            </w:r>
            <w:r>
              <w:rPr>
                <w:rFonts w:ascii="Arial" w:cs="Arial" w:eastAsia="Arial" w:hAnsi="Arial"/>
                <w:sz w:val="17"/>
                <w:szCs w:val="17"/>
                <w:color w:val="auto"/>
                <w:vertAlign w:val="superscript"/>
              </w:rPr>
              <w:t>(7)</w:t>
            </w: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7"/>
        </w:trPr>
        <w:tc>
          <w:tcPr>
            <w:tcW w:w="962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948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headcount reductions of approximately 150 employees worldwide.</w:t>
      </w:r>
    </w:p>
    <w:p>
      <w:pPr>
        <w:ind w:left="340" w:right="600" w:hanging="332"/>
        <w:spacing w:after="0" w:line="211"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related to the exit and abandonment of leased and owned facilities. The charge includes the accelerated write-off of $26 million for leased right-of-use asset balances and $10 million for owned asset balances upon exit from the facility net of any potential sublease income and other recoveries.</w:t>
      </w:r>
    </w:p>
    <w:p>
      <w:pPr>
        <w:ind w:left="340" w:hanging="332"/>
        <w:spacing w:after="0" w:line="187"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include additional costs incurred upon the exit from our facilities including decommissioning costs and associated contractual termination costs.</w:t>
      </w:r>
    </w:p>
    <w:p>
      <w:pPr>
        <w:ind w:left="340" w:hanging="332"/>
        <w:spacing w:after="0" w:line="187"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reversals for changes in estimated reserves from prior period initiatives.</w:t>
      </w:r>
    </w:p>
    <w:p>
      <w:pPr>
        <w:ind w:left="340" w:hanging="332"/>
        <w:spacing w:after="0" w:line="187"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retention related severance and bonuses for employees expected to continue working beyond their minimum notification period before termination.</w:t>
      </w:r>
    </w:p>
    <w:p>
      <w:pPr>
        <w:ind w:left="340" w:right="160" w:hanging="332"/>
        <w:spacing w:after="0" w:line="211"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 severance costs we are contractually required to pay on employees transferred (approximately 2,200 employees) as part of the shared service arrangement entered into with HCL Technologies.</w:t>
      </w:r>
    </w:p>
    <w:p>
      <w:pPr>
        <w:ind w:left="340" w:hanging="332"/>
        <w:spacing w:after="0" w:line="204" w:lineRule="auto"/>
        <w:tabs>
          <w:tab w:leader="none" w:pos="340"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 professional support services associated with our business transformation initiatives.</w:t>
      </w:r>
    </w:p>
    <w:p>
      <w:pPr>
        <w:spacing w:after="0" w:line="175" w:lineRule="exact"/>
        <w:rPr>
          <w:sz w:val="20"/>
          <w:szCs w:val="20"/>
          <w:color w:val="auto"/>
        </w:rPr>
      </w:pPr>
    </w:p>
    <w:p>
      <w:pPr>
        <w:ind w:right="1380"/>
        <w:spacing w:after="0" w:line="292" w:lineRule="auto"/>
        <w:rPr>
          <w:sz w:val="20"/>
          <w:szCs w:val="20"/>
          <w:color w:val="auto"/>
        </w:rPr>
      </w:pPr>
      <w:r>
        <w:rPr>
          <w:rFonts w:ascii="Arial" w:cs="Arial" w:eastAsia="Arial" w:hAnsi="Arial"/>
          <w:sz w:val="18"/>
          <w:szCs w:val="18"/>
          <w:color w:val="auto"/>
        </w:rPr>
        <w:t>First quarter 2019 actions impacted several functional areas, with approximately 25% focused on gross margin improvements, approximately 70% focused on SAG reductions, and the remainder focused on RD&amp;E optimization.</w:t>
      </w:r>
    </w:p>
    <w:p>
      <w:pPr>
        <w:spacing w:after="0" w:line="3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First quarter 2018 restructuring and related costs of $28 million included $24 million of severance costs related to headcount reductions of approximately 400 employees worldwide and $12 million of lease cancellation charges reflecting continued optimization of our operating locations. These costs were partially offset by $8 million of net reversals for changes in estimated reserves from prior period initiatives. First quarter 2018 actions impacted several functional areas, with approximately 55% focused on gross margin improvements and approximately 45% on SAG reductions.</w:t>
      </w:r>
    </w:p>
    <w:p>
      <w:pPr>
        <w:spacing w:after="0" w:line="6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restructuring reserve balance as of March 31, 2019 for all programs was $80 million, of which $74 million is expected to be spent over the next twelve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were no Transaction and related costs, net recognized during the first quarter 2019 as compared to $38 million during first quarter 2018. We continue to pursue additional recoveries from insurance carriers and other parties for costs and expenses related to the terminated Fuji transaction and related shareholder litigation and therefore additional recoveries and adjustments may be recorded in future periods, when finalized.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First quarter 2019 Amortization of intangible assets of $15 million increased by $3 million compared to first quarter 2018. The increase primarily reflected the accelerated write-off of trade names associated with our realignment and consolidation of certain XBS sales units as part of Project Own It transformation 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Worldwide employment was approximately 30,900 as of March 31, 2019 and decreased by approximately 1,500 from December 31, 2018. The reduction resulted from net attrition (attrition net of gross hires), of which a large portion is not expected to be backfilled, as well as the impact of organizational changes.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Other Expenses, Net</w:t>
      </w:r>
    </w:p>
    <w:p>
      <w:pPr>
        <w:spacing w:after="0" w:line="180" w:lineRule="exact"/>
        <w:rPr>
          <w:sz w:val="20"/>
          <w:szCs w:val="20"/>
          <w:color w:val="auto"/>
        </w:rPr>
      </w:pPr>
    </w:p>
    <w:p>
      <w:pPr>
        <w:ind w:left="896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March 31,</w:t>
            </w:r>
          </w:p>
        </w:tc>
        <w:tc>
          <w:tcPr>
            <w:tcW w:w="1220" w:type="dxa"/>
            <w:vAlign w:val="bottom"/>
            <w:tcBorders>
              <w:bottom w:val="single" w:sz="8" w:color="auto"/>
            </w:tcBorders>
          </w:tcPr>
          <w:p>
            <w:pPr>
              <w:spacing w:after="0"/>
              <w:rPr>
                <w:sz w:val="16"/>
                <w:szCs w:val="16"/>
                <w:color w:val="auto"/>
              </w:rPr>
            </w:pPr>
          </w:p>
        </w:tc>
      </w:tr>
      <w:tr>
        <w:trPr>
          <w:trHeight w:val="260"/>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2018</w:t>
            </w:r>
          </w:p>
        </w:tc>
      </w:tr>
      <w:tr>
        <w:trPr>
          <w:trHeight w:val="254"/>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Non-financing interest expense</w:t>
            </w: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5E5E5"/>
          </w:tcPr>
          <w:p>
            <w:pPr>
              <w:spacing w:after="0"/>
              <w:rPr>
                <w:sz w:val="22"/>
                <w:szCs w:val="22"/>
                <w:color w:val="auto"/>
              </w:rPr>
            </w:pPr>
          </w:p>
        </w:tc>
        <w:tc>
          <w:tcPr>
            <w:tcW w:w="48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29</w:t>
            </w:r>
          </w:p>
        </w:tc>
      </w:tr>
      <w:tr>
        <w:trPr>
          <w:trHeight w:val="266"/>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Non-service retirement-related costs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74"/>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E5E5E5"/>
          </w:tcPr>
          <w:p>
            <w:pPr>
              <w:spacing w:after="0"/>
              <w:rPr>
                <w:sz w:val="23"/>
                <w:szCs w:val="23"/>
                <w:color w:val="auto"/>
              </w:rPr>
            </w:pPr>
          </w:p>
        </w:tc>
        <w:tc>
          <w:tcPr>
            <w:tcW w:w="13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23"/>
                <w:szCs w:val="23"/>
                <w:color w:val="auto"/>
              </w:rPr>
            </w:pPr>
          </w:p>
        </w:tc>
        <w:tc>
          <w:tcPr>
            <w:tcW w:w="480" w:type="dxa"/>
            <w:vAlign w:val="bottom"/>
            <w:shd w:val="clear" w:color="auto" w:fill="E5E5E5"/>
          </w:tcPr>
          <w:p>
            <w:pPr>
              <w:spacing w:after="0"/>
              <w:rPr>
                <w:sz w:val="23"/>
                <w:szCs w:val="23"/>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w:t>
            </w:r>
          </w:p>
        </w:tc>
      </w:tr>
      <w:tr>
        <w:trPr>
          <w:trHeight w:val="266"/>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Gains on sales of businesses and assets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4"/>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Currency losses (gains), net</w:t>
            </w:r>
          </w:p>
        </w:tc>
        <w:tc>
          <w:tcPr>
            <w:tcW w:w="400" w:type="dxa"/>
            <w:vAlign w:val="bottom"/>
            <w:shd w:val="clear" w:color="auto" w:fill="E5E5E5"/>
          </w:tcPr>
          <w:p>
            <w:pPr>
              <w:spacing w:after="0"/>
              <w:rPr>
                <w:sz w:val="23"/>
                <w:szCs w:val="23"/>
                <w:color w:val="auto"/>
              </w:rPr>
            </w:pPr>
          </w:p>
        </w:tc>
        <w:tc>
          <w:tcPr>
            <w:tcW w:w="13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3"/>
                <w:szCs w:val="23"/>
                <w:color w:val="auto"/>
              </w:rPr>
            </w:pPr>
          </w:p>
        </w:tc>
        <w:tc>
          <w:tcPr>
            <w:tcW w:w="480" w:type="dxa"/>
            <w:vAlign w:val="bottom"/>
            <w:shd w:val="clear" w:color="auto" w:fill="E5E5E5"/>
          </w:tcPr>
          <w:p>
            <w:pPr>
              <w:spacing w:after="0"/>
              <w:rPr>
                <w:sz w:val="23"/>
                <w:szCs w:val="23"/>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266"/>
        </w:trPr>
        <w:tc>
          <w:tcPr>
            <w:tcW w:w="7880" w:type="dxa"/>
            <w:vAlign w:val="bottom"/>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0"/>
        </w:trPr>
        <w:tc>
          <w:tcPr>
            <w:tcW w:w="78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All other expenses, net</w:t>
            </w:r>
          </w:p>
        </w:tc>
        <w:tc>
          <w:tcPr>
            <w:tcW w:w="400" w:type="dxa"/>
            <w:vAlign w:val="bottom"/>
            <w:tcBorders>
              <w:bottom w:val="single" w:sz="8" w:color="auto"/>
            </w:tcBorders>
            <w:shd w:val="clear" w:color="auto" w:fill="E5E5E5"/>
          </w:tcPr>
          <w:p>
            <w:pPr>
              <w:spacing w:after="0"/>
              <w:rPr>
                <w:sz w:val="23"/>
                <w:szCs w:val="23"/>
                <w:color w:val="auto"/>
              </w:rPr>
            </w:pPr>
          </w:p>
        </w:tc>
        <w:tc>
          <w:tcPr>
            <w:tcW w:w="13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23"/>
                <w:szCs w:val="23"/>
                <w:color w:val="auto"/>
              </w:rPr>
            </w:pPr>
          </w:p>
        </w:tc>
        <w:tc>
          <w:tcPr>
            <w:tcW w:w="480" w:type="dxa"/>
            <w:vAlign w:val="bottom"/>
            <w:tcBorders>
              <w:bottom w:val="single" w:sz="8" w:color="auto"/>
            </w:tcBorders>
            <w:shd w:val="clear" w:color="auto" w:fill="E5E5E5"/>
          </w:tcPr>
          <w:p>
            <w:pPr>
              <w:spacing w:after="0"/>
              <w:rPr>
                <w:sz w:val="23"/>
                <w:szCs w:val="23"/>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41"/>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 expenses, net</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9"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First quarter 2019 non-financing interest expense of $27 million was $ 2 million lower than first quarter 2018. When combined with financing interest expense (Cost of financing), total interest expense decreased by $4 million from first quarter 2018 due primarily to a lower debt balance.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First quarter 2019 non-service retirement-related costs were $12 million lower than first quarter 2018, primarily driven by the favorable impact of a 2018 amendment to our U.S. Retiree Health Plan partially offset by higher losses from pension settlements in the U.S.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on sales of businesses and assets</w:t>
      </w:r>
    </w:p>
    <w:p>
      <w:pPr>
        <w:spacing w:after="0" w:line="2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First quarter 2019 gains on sales of businesses and assets were $15 million lower than first quarter 2018, reflecting the prior year sale of non-core business assets.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Income Taxes</w:t>
      </w:r>
    </w:p>
    <w:p>
      <w:pPr>
        <w:spacing w:after="0" w:line="11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First quarter 2019 effective tax rate was (9.6)% and includes a benefit of $ 35 million related to the January 2019 finalization of regulations that govern the repatriation tax from the 2017 Tax Cuts and Jobs Act (the "Tax Act").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first quarter 2019 effective tax rate was 26.0%. This rate was higher than the U.S. statutory tax rate of 21% primarily due to the geographical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and non-service retirement-related costs as well as other discrete, unusual or infrequent items as described in our Non-GAAP Financial Measures section, which includes the impact of the Tax Act.</w:t>
      </w:r>
    </w:p>
    <w:p>
      <w:pPr>
        <w:spacing w:after="0" w:line="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First quarter 2018 effective tax rate was 29.9%.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first quarter 2018 effective tax rate was 28.3%. These rates were higher than the U.S. statutory tax rate of 21% primarily due to impacts associated with the 2017 Tax Act as well as the geographical mix of profits. The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and non-service retirement-related costs.</w:t>
      </w:r>
    </w:p>
    <w:p>
      <w:pPr>
        <w:spacing w:after="0" w:line="83"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53" w:right="2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DA2031"/>
        </w:rPr>
        <w:t>Equity in Net Income (Loss) of Unconsolidated Affiliates</w:t>
      </w:r>
    </w:p>
    <w:p>
      <w:pPr>
        <w:spacing w:after="0" w:line="11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Equity in net income (loss) of unconsolidated affiliates primarily reflects our 25% share of Fuji Xerox net income. First quarter 2019 equity income of $45 million increased $ 113 million compared to first quarter 2018, primarily reflecting $67 million of lower year-over-year charges related to our share of Fuji Xerox after-tax restructuring and other charges as well as an approximate $28 million out-of-period adjustment charge at Fuji Xerox in the prior year. The increase also reflects savings from restructuring.</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Net Income</w:t>
      </w:r>
    </w:p>
    <w:p>
      <w:pPr>
        <w:spacing w:after="0" w:line="18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First quarter 2019 net income attributable to Xerox was $133 million, or $0.55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attributable to Xerox was $219 million, or $0.91 per diluted share. First quarter 2019 adjustments to net income included Restructuring and related costs, Amortization of intangible assets, and non-service retirement-related costs as well as other discrete, unusual or infrequent items as described in our Non-GAAP Financial Measures section.</w:t>
      </w:r>
    </w:p>
    <w:p>
      <w:pPr>
        <w:spacing w:after="0" w:line="74"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First quarter 2018 net income attributable to Xerox was $23 million, or $0.08 per diluted share. On an adjusted</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basis, net income attributable to Xerox was $178 million, or $0.68 per diluted share. First quarter 2018 adjustments to net income included Restructuring and related costs, Amortization of intangible assets, Transaction and related costs, net as well as non-service retirement-related costs.</w:t>
      </w:r>
    </w:p>
    <w:p>
      <w:pPr>
        <w:spacing w:after="0" w:line="7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See the "Non-GAAP Financial Measures" section for the calculation of adjusted EPS. The calculations of basic and diluted earnings per share are included as Appendix I.</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851"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DA2031"/>
        </w:rPr>
        <w:t>Capital Resources and Liquidity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8"/>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March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E5E5E5"/>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E5E5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254"/>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shd w:val="clear" w:color="auto" w:fill="E5E5E5"/>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E5E5E5"/>
          </w:tcPr>
          <w:p>
            <w:pPr>
              <w:spacing w:after="0"/>
              <w:rPr>
                <w:sz w:val="22"/>
                <w:szCs w:val="22"/>
                <w:color w:val="auto"/>
              </w:rPr>
            </w:pPr>
          </w:p>
        </w:tc>
        <w:tc>
          <w:tcPr>
            <w:tcW w:w="960" w:type="dxa"/>
            <w:vAlign w:val="bottom"/>
            <w:shd w:val="clear" w:color="auto" w:fill="E5E5E5"/>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E5E5E5"/>
          </w:tcPr>
          <w:p>
            <w:pPr>
              <w:spacing w:after="0"/>
              <w:rPr>
                <w:sz w:val="22"/>
                <w:szCs w:val="22"/>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shd w:val="clear" w:color="auto" w:fill="E5E5E5"/>
          </w:tcPr>
          <w:p>
            <w:pPr>
              <w:spacing w:after="0"/>
              <w:rPr>
                <w:sz w:val="23"/>
                <w:szCs w:val="23"/>
                <w:color w:val="auto"/>
              </w:rPr>
            </w:pPr>
          </w:p>
        </w:tc>
        <w:tc>
          <w:tcPr>
            <w:tcW w:w="5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Net cash used in financing activities</w:t>
            </w:r>
          </w:p>
        </w:tc>
        <w:tc>
          <w:tcPr>
            <w:tcW w:w="960" w:type="dxa"/>
            <w:vAlign w:val="bottom"/>
            <w:shd w:val="clear" w:color="auto" w:fill="E5E5E5"/>
          </w:tcPr>
          <w:p>
            <w:pPr>
              <w:spacing w:after="0"/>
              <w:rPr>
                <w:sz w:val="23"/>
                <w:szCs w:val="23"/>
                <w:color w:val="auto"/>
              </w:rPr>
            </w:pPr>
          </w:p>
        </w:tc>
        <w:tc>
          <w:tcPr>
            <w:tcW w:w="5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E5E5E5"/>
          </w:tcPr>
          <w:p>
            <w:pPr>
              <w:spacing w:after="0"/>
              <w:rPr>
                <w:sz w:val="23"/>
                <w:szCs w:val="23"/>
                <w:color w:val="auto"/>
              </w:rPr>
            </w:pPr>
          </w:p>
        </w:tc>
        <w:tc>
          <w:tcPr>
            <w:tcW w:w="960" w:type="dxa"/>
            <w:vAlign w:val="bottom"/>
            <w:shd w:val="clear" w:color="auto" w:fill="E5E5E5"/>
          </w:tcPr>
          <w:p>
            <w:pPr>
              <w:spacing w:after="0"/>
              <w:rPr>
                <w:sz w:val="23"/>
                <w:szCs w:val="23"/>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E5E5E5"/>
          </w:tcPr>
          <w:p>
            <w:pPr>
              <w:spacing w:after="0"/>
              <w:rPr>
                <w:sz w:val="23"/>
                <w:szCs w:val="23"/>
                <w:color w:val="auto"/>
              </w:rPr>
            </w:pPr>
          </w:p>
        </w:tc>
        <w:tc>
          <w:tcPr>
            <w:tcW w:w="240" w:type="dxa"/>
            <w:vAlign w:val="bottom"/>
            <w:shd w:val="clear" w:color="auto" w:fill="E5E5E5"/>
          </w:tcPr>
          <w:p>
            <w:pPr>
              <w:spacing w:after="0"/>
              <w:rPr>
                <w:sz w:val="23"/>
                <w:szCs w:val="23"/>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(452)</w:t>
            </w:r>
          </w:p>
        </w:tc>
      </w:tr>
      <w:tr>
        <w:trPr>
          <w:trHeight w:val="28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6"/>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60" w:type="dxa"/>
            <w:vAlign w:val="bottom"/>
            <w:tcBorders>
              <w:bottom w:val="single" w:sz="8" w:color="auto"/>
            </w:tcBorders>
            <w:shd w:val="clear" w:color="auto" w:fill="E5E5E5"/>
          </w:tcPr>
          <w:p>
            <w:pPr>
              <w:spacing w:after="0"/>
              <w:rPr>
                <w:sz w:val="23"/>
                <w:szCs w:val="23"/>
                <w:color w:val="auto"/>
              </w:rPr>
            </w:pPr>
          </w:p>
        </w:tc>
        <w:tc>
          <w:tcPr>
            <w:tcW w:w="54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23"/>
                <w:szCs w:val="23"/>
                <w:color w:val="auto"/>
              </w:rPr>
            </w:pPr>
          </w:p>
        </w:tc>
        <w:tc>
          <w:tcPr>
            <w:tcW w:w="960" w:type="dxa"/>
            <w:vAlign w:val="bottom"/>
            <w:tcBorders>
              <w:bottom w:val="single" w:sz="8" w:color="auto"/>
            </w:tcBorders>
            <w:shd w:val="clear" w:color="auto" w:fill="E5E5E5"/>
          </w:tcPr>
          <w:p>
            <w:pPr>
              <w:spacing w:after="0"/>
              <w:rPr>
                <w:sz w:val="23"/>
                <w:szCs w:val="23"/>
                <w:color w:val="auto"/>
              </w:rPr>
            </w:pPr>
          </w:p>
        </w:tc>
        <w:tc>
          <w:tcPr>
            <w:tcW w:w="5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23"/>
                <w:szCs w:val="23"/>
                <w:color w:val="auto"/>
              </w:rPr>
            </w:pPr>
          </w:p>
        </w:tc>
        <w:tc>
          <w:tcPr>
            <w:tcW w:w="240" w:type="dxa"/>
            <w:vAlign w:val="bottom"/>
            <w:tcBorders>
              <w:bottom w:val="single" w:sz="8" w:color="auto"/>
            </w:tcBorders>
            <w:shd w:val="clear" w:color="auto" w:fill="E5E5E5"/>
          </w:tcPr>
          <w:p>
            <w:pPr>
              <w:spacing w:after="0"/>
              <w:rPr>
                <w:sz w:val="23"/>
                <w:szCs w:val="23"/>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w:t>
            </w: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(Decrease) increase in cash, cash equivalents and restricted cash</w:t>
            </w:r>
          </w:p>
        </w:tc>
        <w:tc>
          <w:tcPr>
            <w:tcW w:w="960" w:type="dxa"/>
            <w:vAlign w:val="bottom"/>
          </w:tcPr>
          <w:p>
            <w:pPr>
              <w:spacing w:after="0"/>
              <w:rPr>
                <w:sz w:val="21"/>
                <w:szCs w:val="21"/>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(468)</w:t>
            </w:r>
          </w:p>
        </w:tc>
      </w:tr>
      <w:tr>
        <w:trPr>
          <w:trHeight w:val="270"/>
        </w:trPr>
        <w:tc>
          <w:tcPr>
            <w:tcW w:w="6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Borders>
              <w:bottom w:val="single" w:sz="8" w:color="auto"/>
            </w:tcBorders>
            <w:shd w:val="clear" w:color="auto" w:fill="E5E5E5"/>
          </w:tcPr>
          <w:p>
            <w:pPr>
              <w:spacing w:after="0"/>
              <w:rPr>
                <w:sz w:val="23"/>
                <w:szCs w:val="23"/>
                <w:color w:val="auto"/>
              </w:rPr>
            </w:pPr>
          </w:p>
        </w:tc>
        <w:tc>
          <w:tcPr>
            <w:tcW w:w="5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1,148</w:t>
            </w:r>
          </w:p>
        </w:tc>
        <w:tc>
          <w:tcPr>
            <w:tcW w:w="120" w:type="dxa"/>
            <w:vAlign w:val="bottom"/>
            <w:shd w:val="clear" w:color="auto" w:fill="E5E5E5"/>
          </w:tcPr>
          <w:p>
            <w:pPr>
              <w:spacing w:after="0"/>
              <w:rPr>
                <w:sz w:val="23"/>
                <w:szCs w:val="23"/>
                <w:color w:val="auto"/>
              </w:rPr>
            </w:pPr>
          </w:p>
        </w:tc>
        <w:tc>
          <w:tcPr>
            <w:tcW w:w="960" w:type="dxa"/>
            <w:vAlign w:val="bottom"/>
            <w:tcBorders>
              <w:bottom w:val="single" w:sz="8" w:color="auto"/>
            </w:tcBorders>
            <w:shd w:val="clear" w:color="auto" w:fill="E5E5E5"/>
          </w:tcPr>
          <w:p>
            <w:pPr>
              <w:spacing w:after="0"/>
              <w:rPr>
                <w:sz w:val="23"/>
                <w:szCs w:val="23"/>
                <w:color w:val="auto"/>
              </w:rPr>
            </w:pPr>
          </w:p>
        </w:tc>
        <w:tc>
          <w:tcPr>
            <w:tcW w:w="5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E5E5E5"/>
          </w:tcPr>
          <w:p>
            <w:pPr>
              <w:spacing w:after="0"/>
              <w:rPr>
                <w:sz w:val="23"/>
                <w:szCs w:val="23"/>
                <w:color w:val="auto"/>
              </w:rPr>
            </w:pPr>
          </w:p>
        </w:tc>
        <w:tc>
          <w:tcPr>
            <w:tcW w:w="240" w:type="dxa"/>
            <w:vAlign w:val="bottom"/>
            <w:tcBorders>
              <w:bottom w:val="single" w:sz="8" w:color="auto"/>
            </w:tcBorders>
            <w:shd w:val="clear" w:color="auto" w:fill="E5E5E5"/>
          </w:tcPr>
          <w:p>
            <w:pPr>
              <w:spacing w:after="0"/>
              <w:rPr>
                <w:sz w:val="23"/>
                <w:szCs w:val="23"/>
                <w:color w:val="auto"/>
              </w:rPr>
            </w:pPr>
          </w:p>
        </w:tc>
        <w:tc>
          <w:tcPr>
            <w:tcW w:w="1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(220)</w:t>
            </w:r>
          </w:p>
        </w:tc>
      </w:tr>
      <w:tr>
        <w:trPr>
          <w:trHeight w:val="241"/>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$226 million in first quarter 2019. The $10 million increase in operating cash from first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was primarily due to the following:</w:t>
      </w:r>
    </w:p>
    <w:p>
      <w:pPr>
        <w:spacing w:after="0" w:line="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$37 million increase primarily due to lower levels of non-equipment inventories.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$29 million increase due to net insurance proceeds of $14 million in first quarter 2019 compared to payments of $15 million in prior year for transaction and related costs, net.</w:t>
      </w: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 million increase due to lower equipment on operating leases.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$23 million increase primarily related to the prior year settlements of foreign derivative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$21 million increase from lower restructuring payments.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$75 million decrease from the change in accounts payable primarily related to lower inventory and other spending as well as the year-over-year timing of supplier and vendor payments.</w:t>
      </w:r>
    </w:p>
    <w:p>
      <w:pPr>
        <w:ind w:left="340" w:right="620" w:hanging="332"/>
        <w:spacing w:after="0" w:line="26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$41 million decrease from accrued compensation primarily related to the year-over-year timing of employee incentive compensation payments.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Net cash used in investing activities was $18 million in first quarter 2019. The $16 million change in cash was primarily due to the sale of non-core business assets in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Net cash used in financing activities was $569 million in first quarter 2019. The $452 million increase in the use of cash from first quarter 2018 was primarily due to the following:</w:t>
      </w:r>
    </w:p>
    <w:p>
      <w:pPr>
        <w:spacing w:after="0" w:line="1" w:lineRule="exact"/>
        <w:rPr>
          <w:sz w:val="20"/>
          <w:szCs w:val="20"/>
          <w:color w:val="auto"/>
        </w:rPr>
      </w:pPr>
    </w:p>
    <w:p>
      <w:pPr>
        <w:ind w:left="340" w:right="30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$365 million increase from net debt activity. 2019 reflects payments of $406 million on Senior Notes compared to prior year payments of $25 million related to the termination of a capital lease obligation and $13 million of bridge facility costs.</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$103 million increase due to share repurchases.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Adoption of New Leasing Standard</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January 1, 2019, we adopted ASU 2016-02, Leases (ASC Topic 842). This update, as well as additional amendments and targeted improvements issued in 2018 and early 2019, supersedes existing lease accounting guidance found under ASC 840, Leases (ASC 840) and requires the recognition of right-of-use (ROU) assets and lease obligations by lessees for those leases originally classified as operating leases under prior lease guidance.</w:t>
      </w:r>
    </w:p>
    <w:p>
      <w:pPr>
        <w:spacing w:after="0" w:line="6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Upon adoption, we applied the transition option, whereby prior comparative periods are not retrospectively presented in the Condensed Consolidated Financial Statements. Lessee accounting - the adoption of this update resulted in an increase to assets and related liabilities of approximately $385 million (approximately $440 million undiscounted) primarily related to leases of facilities. Lessor accounting - the adoption of this update resulted in an increase to equipment sales by approximately $3 million in 2019 as compared to 2018. The adoption of the new standard did not, nor is it expected to, have a material impact on our results of operations or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7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Operating leases ROU assets, net and operating lease liabilities were reported in the Condensed Consolidated Balance Sheets as follows:</w:t>
      </w:r>
    </w:p>
    <w:p>
      <w:pPr>
        <w:sectPr>
          <w:pgSz w:w="11900" w:h="16838" w:orient="portrait"/>
          <w:cols w:equalWidth="0" w:num="1">
            <w:col w:w="11420"/>
          </w:cols>
          <w:pgMar w:left="240" w:top="913" w:right="239" w:bottom="1440" w:gutter="0" w:footer="0" w:header="0"/>
        </w:sect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 millions)</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4"/>
          <w:szCs w:val="14"/>
          <w:color w:val="auto"/>
        </w:rPr>
        <w:t>Other long-term assets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63"/>
        <w:spacing w:after="0"/>
        <w:rPr>
          <w:sz w:val="20"/>
          <w:szCs w:val="20"/>
          <w:color w:val="auto"/>
        </w:rPr>
      </w:pPr>
      <w:r>
        <w:rPr>
          <w:rFonts w:ascii="Arial" w:cs="Arial" w:eastAsia="Arial" w:hAnsi="Arial"/>
          <w:sz w:val="14"/>
          <w:szCs w:val="14"/>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-6075045</wp:posOffset>
            </wp:positionH>
            <wp:positionV relativeFrom="paragraph">
              <wp:posOffset>26035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76" w:lineRule="exact"/>
        <w:rPr>
          <w:sz w:val="20"/>
          <w:szCs w:val="20"/>
          <w:color w:val="auto"/>
        </w:rPr>
      </w:pPr>
    </w:p>
    <w:p>
      <w:pPr>
        <w:ind w:left="1423" w:hanging="1423"/>
        <w:spacing w:after="0"/>
        <w:tabs>
          <w:tab w:leader="none" w:pos="1423" w:val="left"/>
        </w:tabs>
        <w:numPr>
          <w:ilvl w:val="0"/>
          <w:numId w:val="19"/>
        </w:numPr>
        <w:rPr>
          <w:rFonts w:ascii="Arial" w:cs="Arial" w:eastAsia="Arial" w:hAnsi="Arial"/>
          <w:sz w:val="14"/>
          <w:szCs w:val="14"/>
          <w:color w:val="auto"/>
        </w:rPr>
      </w:pPr>
      <w:r>
        <w:rPr>
          <w:rFonts w:ascii="Arial" w:cs="Arial" w:eastAsia="Arial" w:hAnsi="Arial"/>
          <w:sz w:val="14"/>
          <w:szCs w:val="14"/>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1140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897" w:space="720"/>
            <w:col w:w="1803"/>
          </w:cols>
          <w:pgMar w:left="240" w:top="913" w:right="239" w:bottom="1440" w:gutter="0" w:footer="0" w:header="0"/>
          <w:type w:val="continuous"/>
        </w:sectPr>
      </w:pP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560" w:type="dxa"/>
            <w:vAlign w:val="bottom"/>
            <w:shd w:val="clear" w:color="auto" w:fill="E5E5E5"/>
          </w:tcPr>
          <w:p>
            <w:pPr>
              <w:ind w:left="20"/>
              <w:spacing w:after="0"/>
              <w:rPr>
                <w:sz w:val="20"/>
                <w:szCs w:val="20"/>
                <w:color w:val="auto"/>
              </w:rPr>
            </w:pPr>
            <w:r>
              <w:rPr>
                <w:rFonts w:ascii="Arial" w:cs="Arial" w:eastAsia="Arial" w:hAnsi="Arial"/>
                <w:sz w:val="14"/>
                <w:szCs w:val="14"/>
                <w:color w:val="auto"/>
              </w:rPr>
              <w:t>Other current liabilities</w:t>
            </w:r>
          </w:p>
        </w:tc>
        <w:tc>
          <w:tcPr>
            <w:tcW w:w="760" w:type="dxa"/>
            <w:vAlign w:val="bottom"/>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97</w:t>
            </w:r>
          </w:p>
        </w:tc>
      </w:tr>
      <w:tr>
        <w:trPr>
          <w:trHeight w:val="266"/>
        </w:trPr>
        <w:tc>
          <w:tcPr>
            <w:tcW w:w="9560" w:type="dxa"/>
            <w:vAlign w:val="bottom"/>
            <w:tcBorders>
              <w:bottom w:val="single" w:sz="8" w:color="E5E5E5"/>
            </w:tcBorders>
          </w:tcPr>
          <w:p>
            <w:pPr>
              <w:ind w:left="20"/>
              <w:spacing w:after="0"/>
              <w:rPr>
                <w:sz w:val="20"/>
                <w:szCs w:val="20"/>
                <w:color w:val="auto"/>
              </w:rPr>
            </w:pPr>
            <w:r>
              <w:rPr>
                <w:rFonts w:ascii="Arial" w:cs="Arial" w:eastAsia="Arial" w:hAnsi="Arial"/>
                <w:sz w:val="14"/>
                <w:szCs w:val="14"/>
                <w:color w:val="auto"/>
              </w:rPr>
              <w:t>Other long-term liabilities</w:t>
            </w:r>
          </w:p>
        </w:tc>
        <w:tc>
          <w:tcPr>
            <w:tcW w:w="7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w:t>
            </w:r>
          </w:p>
        </w:tc>
      </w:tr>
      <w:tr>
        <w:trPr>
          <w:trHeight w:val="241"/>
        </w:trPr>
        <w:tc>
          <w:tcPr>
            <w:tcW w:w="956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760" w:type="dxa"/>
            <w:vAlign w:val="bottom"/>
            <w:tcBorders>
              <w:bottom w:val="single" w:sz="8" w:color="auto"/>
            </w:tcBorders>
            <w:shd w:val="clear" w:color="auto" w:fill="E5E5E5"/>
          </w:tcPr>
          <w:p>
            <w:pPr>
              <w:jc w:val="right"/>
              <w:ind w:right="5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362</w:t>
            </w:r>
          </w:p>
        </w:tc>
      </w:tr>
      <w:tr>
        <w:trPr>
          <w:trHeight w:val="20"/>
        </w:trPr>
        <w:tc>
          <w:tcPr>
            <w:tcW w:w="9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Cash, Cash Equivalents and Restricted Cash</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March 31,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2018</w:t>
            </w:r>
          </w:p>
        </w:tc>
      </w:tr>
      <w:tr>
        <w:trPr>
          <w:trHeight w:val="253"/>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1,084</w:t>
            </w:r>
          </w:p>
        </w:tc>
      </w:tr>
      <w:tr>
        <w:trPr>
          <w:trHeight w:val="271"/>
        </w:trPr>
        <w:tc>
          <w:tcPr>
            <w:tcW w:w="76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Restricted cash</w:t>
            </w:r>
          </w:p>
        </w:tc>
        <w:tc>
          <w:tcPr>
            <w:tcW w:w="260" w:type="dxa"/>
            <w:vAlign w:val="bottom"/>
            <w:shd w:val="clear" w:color="auto" w:fill="E5E5E5"/>
          </w:tcPr>
          <w:p>
            <w:pPr>
              <w:spacing w:after="0"/>
              <w:rPr>
                <w:sz w:val="23"/>
                <w:szCs w:val="23"/>
                <w:color w:val="auto"/>
              </w:rPr>
            </w:pPr>
          </w:p>
        </w:tc>
        <w:tc>
          <w:tcPr>
            <w:tcW w:w="156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1620" w:type="dxa"/>
            <w:vAlign w:val="bottom"/>
            <w:shd w:val="clear" w:color="auto" w:fill="E5E5E5"/>
          </w:tcPr>
          <w:p>
            <w:pPr>
              <w:spacing w:after="0"/>
              <w:rPr>
                <w:sz w:val="23"/>
                <w:szCs w:val="23"/>
                <w:color w:val="auto"/>
              </w:rPr>
            </w:pPr>
          </w:p>
        </w:tc>
      </w:tr>
      <w:tr>
        <w:trPr>
          <w:trHeight w:val="266"/>
        </w:trPr>
        <w:tc>
          <w:tcPr>
            <w:tcW w:w="7620" w:type="dxa"/>
            <w:vAlign w:val="bottom"/>
            <w:gridSpan w:val="2"/>
          </w:tcPr>
          <w:p>
            <w:pPr>
              <w:ind w:left="180"/>
              <w:spacing w:after="0"/>
              <w:rPr>
                <w:sz w:val="20"/>
                <w:szCs w:val="20"/>
                <w:color w:val="auto"/>
              </w:rPr>
            </w:pPr>
            <w:r>
              <w:rPr>
                <w:rFonts w:ascii="Arial" w:cs="Arial" w:eastAsia="Arial" w:hAnsi="Arial"/>
                <w:sz w:val="14"/>
                <w:szCs w:val="14"/>
                <w:color w:val="auto"/>
              </w:rPr>
              <w:t>Litigation deposits in Brazil</w:t>
            </w:r>
          </w:p>
        </w:tc>
        <w:tc>
          <w:tcPr>
            <w:tcW w:w="26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61</w:t>
            </w:r>
          </w:p>
        </w:tc>
      </w:tr>
      <w:tr>
        <w:trPr>
          <w:trHeight w:val="270"/>
        </w:trPr>
        <w:tc>
          <w:tcPr>
            <w:tcW w:w="762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Other restricted cash</w:t>
            </w:r>
          </w:p>
        </w:tc>
        <w:tc>
          <w:tcPr>
            <w:tcW w:w="260" w:type="dxa"/>
            <w:vAlign w:val="bottom"/>
            <w:tcBorders>
              <w:bottom w:val="single" w:sz="8" w:color="auto"/>
            </w:tcBorders>
            <w:shd w:val="clear" w:color="auto" w:fill="E5E5E5"/>
          </w:tcPr>
          <w:p>
            <w:pPr>
              <w:spacing w:after="0"/>
              <w:rPr>
                <w:sz w:val="23"/>
                <w:szCs w:val="23"/>
                <w:color w:val="auto"/>
              </w:rPr>
            </w:pPr>
          </w:p>
        </w:tc>
        <w:tc>
          <w:tcPr>
            <w:tcW w:w="15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23"/>
                <w:szCs w:val="23"/>
                <w:color w:val="auto"/>
              </w:rPr>
            </w:pPr>
          </w:p>
        </w:tc>
        <w:tc>
          <w:tcPr>
            <w:tcW w:w="180" w:type="dxa"/>
            <w:vAlign w:val="bottom"/>
            <w:tcBorders>
              <w:bottom w:val="single" w:sz="8" w:color="auto"/>
            </w:tcBorders>
            <w:shd w:val="clear" w:color="auto" w:fill="E5E5E5"/>
          </w:tcPr>
          <w:p>
            <w:pPr>
              <w:spacing w:after="0"/>
              <w:rPr>
                <w:sz w:val="23"/>
                <w:szCs w:val="23"/>
                <w:color w:val="auto"/>
              </w:rPr>
            </w:pPr>
          </w:p>
        </w:tc>
        <w:tc>
          <w:tcPr>
            <w:tcW w:w="16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r>
      <w:tr>
        <w:trPr>
          <w:trHeight w:val="250"/>
        </w:trPr>
        <w:tc>
          <w:tcPr>
            <w:tcW w:w="7620" w:type="dxa"/>
            <w:vAlign w:val="bottom"/>
            <w:tcBorders>
              <w:bottom w:val="single" w:sz="8" w:color="E5E5E5"/>
            </w:tcBorders>
            <w:gridSpan w:val="2"/>
          </w:tcPr>
          <w:p>
            <w:pPr>
              <w:ind w:left="180"/>
              <w:spacing w:after="0"/>
              <w:rPr>
                <w:sz w:val="20"/>
                <w:szCs w:val="20"/>
                <w:color w:val="auto"/>
              </w:rPr>
            </w:pPr>
            <w:r>
              <w:rPr>
                <w:rFonts w:ascii="Arial" w:cs="Arial" w:eastAsia="Arial" w:hAnsi="Arial"/>
                <w:sz w:val="14"/>
                <w:szCs w:val="14"/>
                <w:color w:val="auto"/>
              </w:rPr>
              <w:t>Total Restricted cash</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E5E5E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r>
      <w:tr>
        <w:trPr>
          <w:trHeight w:val="241"/>
        </w:trPr>
        <w:tc>
          <w:tcPr>
            <w:tcW w:w="76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tcBorders>
              <w:bottom w:val="single" w:sz="8" w:color="E5E5E5"/>
            </w:tcBorders>
            <w:shd w:val="clear" w:color="auto" w:fill="E5E5E5"/>
          </w:tcPr>
          <w:p>
            <w:pPr>
              <w:spacing w:after="0"/>
              <w:rPr>
                <w:sz w:val="20"/>
                <w:szCs w:val="20"/>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1,148</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March 31, 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December 31, 2018</w:t>
            </w:r>
          </w:p>
        </w:tc>
      </w:tr>
      <w:tr>
        <w:trPr>
          <w:trHeight w:val="25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0"/>
        </w:trPr>
        <w:tc>
          <w:tcPr>
            <w:tcW w:w="76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E5E5E5"/>
          </w:tcPr>
          <w:p>
            <w:pPr>
              <w:spacing w:after="0"/>
              <w:rPr>
                <w:sz w:val="23"/>
                <w:szCs w:val="23"/>
                <w:color w:val="auto"/>
              </w:rPr>
            </w:pPr>
          </w:p>
        </w:tc>
        <w:tc>
          <w:tcPr>
            <w:tcW w:w="15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E5E5E5"/>
          </w:tcPr>
          <w:p>
            <w:pPr>
              <w:spacing w:after="0"/>
              <w:rPr>
                <w:sz w:val="23"/>
                <w:szCs w:val="23"/>
                <w:color w:val="auto"/>
              </w:rPr>
            </w:pPr>
          </w:p>
        </w:tc>
        <w:tc>
          <w:tcPr>
            <w:tcW w:w="180" w:type="dxa"/>
            <w:vAlign w:val="bottom"/>
            <w:tcBorders>
              <w:bottom w:val="single" w:sz="8" w:color="auto"/>
            </w:tcBorders>
            <w:shd w:val="clear" w:color="auto" w:fill="E5E5E5"/>
          </w:tcPr>
          <w:p>
            <w:pPr>
              <w:spacing w:after="0"/>
              <w:rPr>
                <w:sz w:val="23"/>
                <w:szCs w:val="23"/>
                <w:color w:val="auto"/>
              </w:rPr>
            </w:pPr>
          </w:p>
        </w:tc>
        <w:tc>
          <w:tcPr>
            <w:tcW w:w="16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63</w:t>
            </w:r>
          </w:p>
        </w:tc>
      </w:tr>
      <w:tr>
        <w:trPr>
          <w:trHeight w:val="241"/>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Debt and Customer Financing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March 31, 2019</w:t>
            </w:r>
          </w:p>
        </w:tc>
        <w:tc>
          <w:tcPr>
            <w:tcW w:w="10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4"/>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7"/>
                <w:szCs w:val="17"/>
                <w:color w:val="auto"/>
                <w:vertAlign w:val="superscript"/>
              </w:rPr>
              <w:t>(1)</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5,281</w:t>
            </w:r>
          </w:p>
        </w:tc>
        <w:tc>
          <w:tcPr>
            <w:tcW w:w="0" w:type="dxa"/>
            <w:vAlign w:val="bottom"/>
          </w:tcPr>
          <w:p>
            <w:pPr>
              <w:spacing w:after="0"/>
              <w:rPr>
                <w:sz w:val="1"/>
                <w:szCs w:val="1"/>
                <w:color w:val="auto"/>
              </w:rPr>
            </w:pPr>
          </w:p>
        </w:tc>
      </w:tr>
      <w:tr>
        <w:trPr>
          <w:trHeight w:val="266"/>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Net unamortized discount</w:t>
            </w:r>
          </w:p>
        </w:tc>
        <w:tc>
          <w:tcPr>
            <w:tcW w:w="280" w:type="dxa"/>
            <w:vAlign w:val="bottom"/>
          </w:tcPr>
          <w:p>
            <w:pPr>
              <w:spacing w:after="0"/>
              <w:rPr>
                <w:sz w:val="23"/>
                <w:szCs w:val="23"/>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4"/>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Debt issuance costs</w:t>
            </w:r>
          </w:p>
        </w:tc>
        <w:tc>
          <w:tcPr>
            <w:tcW w:w="280" w:type="dxa"/>
            <w:vAlign w:val="bottom"/>
            <w:shd w:val="clear" w:color="auto" w:fill="E5E5E5"/>
          </w:tcPr>
          <w:p>
            <w:pPr>
              <w:spacing w:after="0"/>
              <w:rPr>
                <w:sz w:val="23"/>
                <w:szCs w:val="23"/>
                <w:color w:val="auto"/>
              </w:rPr>
            </w:pPr>
          </w:p>
        </w:tc>
        <w:tc>
          <w:tcPr>
            <w:tcW w:w="168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Fair value adjustments</w:t>
            </w:r>
            <w:r>
              <w:rPr>
                <w:rFonts w:ascii="Arial" w:cs="Arial" w:eastAsia="Arial" w:hAnsi="Arial"/>
                <w:sz w:val="17"/>
                <w:szCs w:val="17"/>
                <w:color w:val="auto"/>
                <w:vertAlign w:val="superscript"/>
              </w:rPr>
              <w:t>(2)</w:t>
            </w: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E5E5E5"/>
          </w:tcPr>
          <w:p>
            <w:pPr>
              <w:ind w:left="380"/>
              <w:spacing w:after="0"/>
              <w:rPr>
                <w:sz w:val="20"/>
                <w:szCs w:val="20"/>
                <w:color w:val="auto"/>
              </w:rPr>
            </w:pPr>
            <w:r>
              <w:rPr>
                <w:rFonts w:ascii="Arial" w:cs="Arial" w:eastAsia="Arial" w:hAnsi="Arial"/>
                <w:sz w:val="14"/>
                <w:szCs w:val="14"/>
                <w:color w:val="auto"/>
              </w:rPr>
              <w:t>- terminated swaps</w:t>
            </w:r>
          </w:p>
        </w:tc>
        <w:tc>
          <w:tcPr>
            <w:tcW w:w="280" w:type="dxa"/>
            <w:vAlign w:val="bottom"/>
            <w:shd w:val="clear" w:color="auto" w:fill="E5E5E5"/>
          </w:tcPr>
          <w:p>
            <w:pPr>
              <w:spacing w:after="0"/>
              <w:rPr>
                <w:sz w:val="23"/>
                <w:szCs w:val="23"/>
                <w:color w:val="auto"/>
              </w:rPr>
            </w:pPr>
          </w:p>
        </w:tc>
        <w:tc>
          <w:tcPr>
            <w:tcW w:w="1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6"/>
        </w:trPr>
        <w:tc>
          <w:tcPr>
            <w:tcW w:w="7440" w:type="dxa"/>
            <w:vAlign w:val="bottom"/>
            <w:tcBorders>
              <w:bottom w:val="single" w:sz="8" w:color="E5E5E5"/>
            </w:tcBorders>
            <w:gridSpan w:val="2"/>
          </w:tcPr>
          <w:p>
            <w:pPr>
              <w:ind w:left="380"/>
              <w:spacing w:after="0"/>
              <w:rPr>
                <w:sz w:val="20"/>
                <w:szCs w:val="20"/>
                <w:color w:val="auto"/>
              </w:rPr>
            </w:pPr>
            <w:r>
              <w:rPr>
                <w:rFonts w:ascii="Arial" w:cs="Arial" w:eastAsia="Arial" w:hAnsi="Arial"/>
                <w:sz w:val="14"/>
                <w:szCs w:val="14"/>
                <w:color w:val="auto"/>
              </w:rPr>
              <w:t>- current swaps</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5E5E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4,823</w:t>
            </w:r>
          </w:p>
        </w:tc>
        <w:tc>
          <w:tcPr>
            <w:tcW w:w="10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3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Notes Payable of $2 million as of March 31, 2019. There were no Notes Payable as of December 31, 2018.</w:t>
      </w:r>
    </w:p>
    <w:p>
      <w:pPr>
        <w:ind w:left="340" w:right="160" w:hanging="332"/>
        <w:spacing w:after="0" w:line="227" w:lineRule="auto"/>
        <w:tabs>
          <w:tab w:leader="none" w:pos="34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13"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DA2031"/>
        </w:rPr>
        <w:t>Finance Assets and Related 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March 31, 2019</w:t>
            </w:r>
          </w:p>
        </w:tc>
        <w:tc>
          <w:tcPr>
            <w:tcW w:w="10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4"/>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7"/>
                <w:szCs w:val="17"/>
                <w:color w:val="auto"/>
                <w:vertAlign w:val="superscript"/>
              </w:rPr>
              <w:t>(1)</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3,373</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3,472</w:t>
            </w:r>
          </w:p>
        </w:tc>
        <w:tc>
          <w:tcPr>
            <w:tcW w:w="0" w:type="dxa"/>
            <w:vAlign w:val="bottom"/>
          </w:tcPr>
          <w:p>
            <w:pPr>
              <w:spacing w:after="0"/>
              <w:rPr>
                <w:sz w:val="1"/>
                <w:szCs w:val="1"/>
                <w:color w:val="auto"/>
              </w:rPr>
            </w:pPr>
          </w:p>
        </w:tc>
      </w:tr>
      <w:tr>
        <w:trPr>
          <w:trHeight w:val="266"/>
        </w:trPr>
        <w:tc>
          <w:tcPr>
            <w:tcW w:w="7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Equipment on operating leases, net</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E5E5E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3,787</w:t>
            </w:r>
          </w:p>
        </w:tc>
        <w:tc>
          <w:tcPr>
            <w:tcW w:w="10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i w:val="1"/>
                <w:iCs w:val="1"/>
                <w:color w:val="auto"/>
              </w:rPr>
              <w:t>____________________________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3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700" w:hanging="332"/>
        <w:spacing w:after="0" w:line="221"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spacing w:after="0" w:line="1" w:lineRule="exact"/>
        <w:rPr>
          <w:rFonts w:ascii="Arial" w:cs="Arial" w:eastAsia="Arial" w:hAnsi="Arial"/>
          <w:sz w:val="18"/>
          <w:szCs w:val="18"/>
          <w:i w:val="1"/>
          <w:iCs w:val="1"/>
          <w:color w:val="auto"/>
          <w:vertAlign w:val="superscript"/>
        </w:rPr>
      </w:pPr>
    </w:p>
    <w:p>
      <w:pPr>
        <w:ind w:left="340" w:hanging="332"/>
        <w:spacing w:after="0" w:line="204" w:lineRule="auto"/>
        <w:tabs>
          <w:tab w:leader="none" w:pos="34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change from December 31, 2018 includes a decrease of $6 million due to currency.</w:t>
      </w:r>
    </w:p>
    <w:p>
      <w:pPr>
        <w:spacing w:after="0" w:line="28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March 31, 2019</w:t>
            </w:r>
          </w:p>
        </w:tc>
        <w:tc>
          <w:tcPr>
            <w:tcW w:w="10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54"/>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7"/>
                <w:szCs w:val="17"/>
                <w:color w:val="auto"/>
                <w:vertAlign w:val="superscript"/>
              </w:rPr>
              <w:t>(1)</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2,952</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66"/>
        </w:trPr>
        <w:tc>
          <w:tcPr>
            <w:tcW w:w="7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Equipment on operating leases debt</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E5E5E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54"/>
        </w:trPr>
        <w:tc>
          <w:tcPr>
            <w:tcW w:w="74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Financing debt</w:t>
            </w:r>
          </w:p>
        </w:tc>
        <w:tc>
          <w:tcPr>
            <w:tcW w:w="280" w:type="dxa"/>
            <w:vAlign w:val="bottom"/>
            <w:shd w:val="clear" w:color="auto" w:fill="E5E5E5"/>
          </w:tcPr>
          <w:p>
            <w:pPr>
              <w:spacing w:after="0"/>
              <w:rPr>
                <w:sz w:val="22"/>
                <w:szCs w:val="22"/>
                <w:color w:val="auto"/>
              </w:rPr>
            </w:pPr>
          </w:p>
        </w:tc>
        <w:tc>
          <w:tcPr>
            <w:tcW w:w="1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3,314</w:t>
            </w:r>
          </w:p>
        </w:tc>
        <w:tc>
          <w:tcPr>
            <w:tcW w:w="10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7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266"/>
        </w:trPr>
        <w:tc>
          <w:tcPr>
            <w:tcW w:w="744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Core debt</w:t>
            </w: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1,509</w:t>
            </w:r>
          </w:p>
        </w:tc>
        <w:tc>
          <w:tcPr>
            <w:tcW w:w="100" w:type="dxa"/>
            <w:vAlign w:val="bottom"/>
            <w:tcBorders>
              <w:bottom w:val="single" w:sz="8" w:color="E5E5E5"/>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4,823</w:t>
            </w:r>
          </w:p>
        </w:tc>
        <w:tc>
          <w:tcPr>
            <w:tcW w:w="100" w:type="dxa"/>
            <w:vAlign w:val="bottom"/>
            <w:tcBorders>
              <w:bottom w:val="single" w:sz="8" w:color="E5E5E5"/>
            </w:tcBorders>
            <w:shd w:val="clear" w:color="auto" w:fill="E5E5E5"/>
          </w:tcPr>
          <w:p>
            <w:pPr>
              <w:spacing w:after="0"/>
              <w:rPr>
                <w:sz w:val="20"/>
                <w:szCs w:val="20"/>
                <w:color w:val="auto"/>
              </w:rPr>
            </w:pPr>
          </w:p>
        </w:tc>
        <w:tc>
          <w:tcPr>
            <w:tcW w:w="2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5,230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3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sold are generally short-term trade receivables with payment due dates of less than 60 days.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81"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p>
      <w:pPr>
        <w:ind w:left="970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r>
      <w:tr>
        <w:trPr>
          <w:trHeight w:val="254"/>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17"/>
                <w:szCs w:val="17"/>
                <w:color w:val="auto"/>
                <w:vertAlign w:val="superscript"/>
              </w:rPr>
              <w:t>(1)</w:t>
            </w: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5E5E5"/>
          </w:tcPr>
          <w:p>
            <w:pPr>
              <w:spacing w:after="0"/>
              <w:rPr>
                <w:sz w:val="22"/>
                <w:szCs w:val="22"/>
                <w:color w:val="auto"/>
              </w:rPr>
            </w:pPr>
          </w:p>
        </w:tc>
        <w:tc>
          <w:tcPr>
            <w:tcW w:w="32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103</w:t>
            </w: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Loss on sales of accounts receivable</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4"/>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Estimated decrease to investing cash flows</w:t>
            </w:r>
            <w:r>
              <w:rPr>
                <w:rFonts w:ascii="Arial" w:cs="Arial" w:eastAsia="Arial" w:hAnsi="Arial"/>
                <w:sz w:val="17"/>
                <w:szCs w:val="17"/>
                <w:color w:val="auto"/>
                <w:vertAlign w:val="superscript"/>
              </w:rPr>
              <w:t>(2)</w:t>
            </w:r>
          </w:p>
        </w:tc>
        <w:tc>
          <w:tcPr>
            <w:tcW w:w="320" w:type="dxa"/>
            <w:vAlign w:val="bottom"/>
            <w:shd w:val="clear" w:color="auto" w:fill="E5E5E5"/>
          </w:tcPr>
          <w:p>
            <w:pPr>
              <w:spacing w:after="0"/>
              <w:rPr>
                <w:sz w:val="23"/>
                <w:szCs w:val="23"/>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5E5E5"/>
          </w:tcPr>
          <w:p>
            <w:pPr>
              <w:spacing w:after="0"/>
              <w:rPr>
                <w:sz w:val="23"/>
                <w:szCs w:val="23"/>
                <w:color w:val="auto"/>
              </w:rPr>
            </w:pPr>
          </w:p>
        </w:tc>
        <w:tc>
          <w:tcPr>
            <w:tcW w:w="320" w:type="dxa"/>
            <w:vAlign w:val="bottom"/>
            <w:shd w:val="clear" w:color="auto" w:fill="E5E5E5"/>
          </w:tcPr>
          <w:p>
            <w:pPr>
              <w:spacing w:after="0"/>
              <w:rPr>
                <w:sz w:val="23"/>
                <w:szCs w:val="23"/>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w:t>
            </w:r>
          </w:p>
        </w:tc>
      </w:tr>
      <w:tr>
        <w:trPr>
          <w:trHeight w:val="146"/>
        </w:trPr>
        <w:tc>
          <w:tcPr>
            <w:tcW w:w="8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19" w:lineRule="exact"/>
        <w:rPr>
          <w:sz w:val="20"/>
          <w:szCs w:val="20"/>
          <w:color w:val="auto"/>
        </w:rPr>
      </w:pPr>
    </w:p>
    <w:p>
      <w:pPr>
        <w:ind w:left="340" w:right="40" w:hanging="332"/>
        <w:spacing w:after="0" w:line="231"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ind w:left="340" w:hanging="332"/>
        <w:spacing w:after="0" w:line="204" w:lineRule="auto"/>
        <w:tabs>
          <w:tab w:leader="none" w:pos="34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currency.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57" w:right="239" w:bottom="1440" w:gutter="0" w:footer="0" w:header="0"/>
        </w:sectPr>
      </w:pPr>
    </w:p>
    <w:bookmarkStart w:id="22" w:name="page23"/>
    <w:bookmarkEnd w:id="22"/>
    <w:p>
      <w:pPr>
        <w:spacing w:after="0"/>
        <w:rPr>
          <w:sz w:val="20"/>
          <w:szCs w:val="20"/>
          <w:color w:val="auto"/>
        </w:rPr>
      </w:pPr>
      <w:r>
        <w:rPr>
          <w:rFonts w:ascii="Arial" w:cs="Arial" w:eastAsia="Arial" w:hAnsi="Arial"/>
          <w:sz w:val="25"/>
          <w:szCs w:val="25"/>
          <w:b w:val="1"/>
          <w:bCs w:val="1"/>
          <w:color w:val="DA2031"/>
        </w:rPr>
        <w:t>Corporate Reorganization</w:t>
      </w:r>
    </w:p>
    <w:p>
      <w:pPr>
        <w:spacing w:after="0" w:line="1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6, 2019, the Xerox Board of Directors approved a reorganization (the “Reorganization”) of the Company's corporate structure into a holding company structure, pursuant to which Xerox Corporation will become a direct, wholly-owned subsidiary of a new holding company. The purpose of the Reorganization is to provide the Company with strategic, operational and financial flexibility. The business operations, directors and executive officers of the Company will not change as a result of the Reorganization.</w:t>
      </w:r>
    </w:p>
    <w:p>
      <w:pPr>
        <w:spacing w:after="0" w:line="6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Reorganization is intended to be implemented via a tax-free transaction for U.S. federal income tax purposes that will result in each holder of Xerox Corporation’s common stock owning the same number of shares of common stock in the new holding company and each holder of Xerox Corporation’s preferred stock owning the same number of shares of preferred stock in the new holding company. It is expected that the directors and executive officers of Xerox Corporation will also serve in the same capacities for the new holding company and that shares of the new holding company’s common stock will trade on the New York Stock Exchange under Xerox Corporation’s current ticker symbol “XRX.”</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Reorganization is subject to the approval of shareholders, who will be asked to vote on the Reorganization at the annual shareholders meeting scheduled to be held on May 21, 2019, as well as regulatory approval and other customary conditions and is expected to be implemented in mid -2019, though there can be no assurance as to its completion or timing. Upon the completion of the Reorganization, it is anticipated that the new holding company will become a guarantor of Xerox Corporation's existing Credit Facility as well as certain future senior note issuances by Xerox Corporation.</w:t>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Shared Services Arrangement with HCL Technologies</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2019, as part of Project Own It, we entered into a shared services arrangement with HCL Technologies (HCL) pursuant to which we are outsourcing certain global administrative and support functions, including, among others, selected information technology, order to collection and finance functions (excluding accounting). The transition of these functions to HCL is expected to take up to 18 months. HCL is expected to make certain up-front and ongoing investments in software, tools and other technology to consolidate, optimize and automate the transferred functions with the goal of providing improved service levels and significant cost savings. The shared services arrangement with HCL includes a total aggregate spending commitment by us of approximately $1.3 billion over the next 7 years. However, we can terminate the arrangement at any time at our discretion, subject to payment of termination fees that decline over the term or for cause. The spending commitment excludes restructuring and related costs we are expected to incur in connection with the transition of the contemplated functions. See Restructuring and Related Costs within the Costs, Expenses and Other Income section. The shared services arrangement with HCL is subject to compliance with European works council and employment regulatory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Potential Customer Financing Transaction</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connection with the Company's initiative to simplify and optimize its operations, the Company is currently exploring the possibility and feasibility of a strategic transaction involving its customer financing business and/or related assets. That process includes discussions of various transaction structures with potential counterparties. No decision or commitment has been made by management or the Company's Board of Directors regarding specific terms nor potential structures of any such transaction, and there can be no assurance that the process will result in a transaction. If such a transaction were to occur, the use of any potential proceeds received as a result of the transaction would not be finally determined until after an agreement is signed.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6" w:right="2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DA2031"/>
        </w:rPr>
        <w:t>Forward-Looking Statements</w:t>
      </w:r>
    </w:p>
    <w:p>
      <w:pPr>
        <w:spacing w:after="0" w:line="12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potential termination or restructuring of our relationship with Fujifilm Holdings Corporation; the proposed holding company reorganization; the occurrence and timing of any closing of the proposed holding company reorganization; the shared services arrangements entered into by the Company as part of Project Own It; any potential strategic transaction involving our customer financing business and/or related assets; and other factors that are set forth in the “Risk Factors” section, the “Legal Proceedings” section, the “Management’s Discussion and Analysis of Financial Condition and Results of Operations” section and other sections of our 2018 Annual Report on Form 10-K, as well as in our Quarterly Reports on Form 10-Q and our Current Reports on Form 8-K filed with the SEC. Our forward-looking statements are also subject to the factors and other information set forth in the "Summary of the Holding Company Reorganization Proposal" section, the "Risk Factors" section and the "Proposal 1 - Approval of the Holding Company Reorganization" section of our definitive Joint Proxy Statement/Prospectus dated April 22, 2019 filed on Schedule 14A with the SEC. 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8" w:right="23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DA2031"/>
        </w:rPr>
        <w:t>Non-GAAP Financial Measures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170" w:lineRule="exact"/>
        <w:rPr>
          <w:sz w:val="20"/>
          <w:szCs w:val="20"/>
          <w:color w:val="auto"/>
        </w:rPr>
      </w:pPr>
    </w:p>
    <w:p>
      <w:pPr>
        <w:jc w:val="both"/>
        <w:ind w:right="680"/>
        <w:spacing w:after="0" w:line="291" w:lineRule="auto"/>
        <w:rPr>
          <w:sz w:val="20"/>
          <w:szCs w:val="20"/>
          <w:color w:val="auto"/>
        </w:rPr>
      </w:pPr>
      <w:r>
        <w:rPr>
          <w:rFonts w:ascii="Arial" w:cs="Arial" w:eastAsia="Arial" w:hAnsi="Arial"/>
          <w:sz w:val="18"/>
          <w:szCs w:val="18"/>
          <w:color w:val="auto"/>
        </w:rPr>
        <w:t xml:space="preserve">A reconciliation of these non-GAAP financial measures to the most directly comparable financial measures calculated and presented in accordance with GAAP are set forth below as well as in the first quarter 2019 presentation slides available at </w:t>
      </w:r>
      <w:r>
        <w:rPr>
          <w:rFonts w:ascii="Arial" w:cs="Arial" w:eastAsia="Arial" w:hAnsi="Arial"/>
          <w:sz w:val="18"/>
          <w:szCs w:val="18"/>
          <w:u w:val="single" w:color="auto"/>
          <w:color w:val="auto"/>
        </w:rPr>
        <w:t>www.xerox.com/investor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117" w:lineRule="exact"/>
        <w:rPr>
          <w:sz w:val="20"/>
          <w:szCs w:val="20"/>
          <w:color w:val="auto"/>
        </w:rPr>
      </w:pPr>
    </w:p>
    <w:p>
      <w:pPr>
        <w:ind w:left="340" w:right="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69" w:lineRule="exact"/>
        <w:rPr>
          <w:rFonts w:ascii="Arial" w:cs="Arial" w:eastAsia="Arial" w:hAnsi="Arial"/>
          <w:sz w:val="18"/>
          <w:szCs w:val="18"/>
          <w:color w:val="auto"/>
        </w:rPr>
      </w:pPr>
    </w:p>
    <w:p>
      <w:pPr>
        <w:jc w:val="both"/>
        <w:ind w:left="340" w:right="2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61" w:lineRule="exact"/>
        <w:rPr>
          <w:rFonts w:ascii="Arial" w:cs="Arial" w:eastAsia="Arial" w:hAnsi="Arial"/>
          <w:sz w:val="18"/>
          <w:szCs w:val="18"/>
          <w:color w:val="auto"/>
        </w:rPr>
      </w:pPr>
    </w:p>
    <w:p>
      <w:pPr>
        <w:ind w:left="340" w:hanging="332"/>
        <w:spacing w:after="0" w:line="258"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expenses incurred in connection with Xerox's planned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Fuji, which was terminated in May 2018, as well as costs and expenses related to the previously disclosed settlement agreement reached with certain shareholders and litigation related to the terminated transaction and other shareholder actions. These costs are considered incremental to our normal operating charges and were incurred or are expected to be incurred solely as a result of the planned combination transaction and the related shareholder settlement agreement and litigation. Accordingly, we are excluding these expenses from our Adjusted Earnings Measures in order to evaluate our performance on a comparable basis.</w:t>
      </w:r>
    </w:p>
    <w:p>
      <w:pPr>
        <w:spacing w:after="0" w:line="69" w:lineRule="exact"/>
        <w:rPr>
          <w:rFonts w:ascii="Arial" w:cs="Arial" w:eastAsia="Arial" w:hAnsi="Arial"/>
          <w:sz w:val="18"/>
          <w:szCs w:val="18"/>
          <w:color w:val="auto"/>
        </w:rPr>
      </w:pPr>
    </w:p>
    <w:p>
      <w:pPr>
        <w:jc w:val="both"/>
        <w:ind w:left="340" w:right="180" w:hanging="332"/>
        <w:spacing w:after="0" w:line="274"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i w:val="1"/>
          <w:iCs w:val="1"/>
          <w:u w:val="single" w:color="auto"/>
          <w:color w:val="auto"/>
        </w:rPr>
        <w:t>Non-service retirement-related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Our defined benefit pension and retiree health costs include several elements impacted by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in plan assets and obligations that are primarily driven by changes in the debt and equity markets as well as those that are predominantly legacy in nature and related to employees who are no longer providing current service to the company (e.g. retirees and ex-employees).</w:t>
      </w:r>
    </w:p>
    <w:p>
      <w:pPr>
        <w:ind w:left="340" w:right="40"/>
        <w:spacing w:after="0" w:line="253" w:lineRule="auto"/>
        <w:rPr>
          <w:rFonts w:ascii="Arial" w:cs="Arial" w:eastAsia="Arial" w:hAnsi="Arial"/>
          <w:sz w:val="17"/>
          <w:szCs w:val="17"/>
          <w:color w:val="auto"/>
        </w:rPr>
      </w:pPr>
      <w:r>
        <w:rPr>
          <w:rFonts w:ascii="Arial" w:cs="Arial" w:eastAsia="Arial" w:hAnsi="Arial"/>
          <w:sz w:val="18"/>
          <w:szCs w:val="18"/>
          <w:color w:val="auto"/>
        </w:rPr>
        <w:t>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2" w:right="239" w:bottom="1440" w:gutter="0" w:footer="0" w:header="0"/>
        </w:sectPr>
      </w:pPr>
    </w:p>
    <w:bookmarkStart w:id="25" w:name="page26"/>
    <w:bookmarkEnd w:id="25"/>
    <w:p>
      <w:pPr>
        <w:ind w:left="340" w:right="3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t>
      </w:r>
      <w:r>
        <w:rPr>
          <w:rFonts w:ascii="Arial" w:cs="Arial" w:eastAsia="Arial" w:hAnsi="Arial"/>
          <w:sz w:val="18"/>
          <w:szCs w:val="18"/>
          <w:color w:val="auto"/>
        </w:rPr>
        <w:t>We excluded the following items given their discrete, unusual or infrequent nature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on our results for the period.</w:t>
      </w:r>
    </w:p>
    <w:p>
      <w:pPr>
        <w:ind w:left="340"/>
        <w:spacing w:after="0"/>
        <w:rPr>
          <w:rFonts w:ascii="Arial" w:cs="Arial" w:eastAsia="Arial" w:hAnsi="Arial"/>
          <w:sz w:val="18"/>
          <w:szCs w:val="18"/>
          <w:color w:val="auto"/>
        </w:rPr>
      </w:pPr>
      <w:r>
        <w:rPr>
          <w:rFonts w:ascii="Arial" w:cs="Arial" w:eastAsia="Arial" w:hAnsi="Arial"/>
          <w:sz w:val="18"/>
          <w:szCs w:val="18"/>
          <w:color w:val="auto"/>
        </w:rPr>
        <w:t>•   Impacts associated with the Tax Cuts and Jobs Act (the "Tax Act") enacted in December 2017.</w:t>
      </w:r>
    </w:p>
    <w:p>
      <w:pPr>
        <w:spacing w:after="0" w:line="95" w:lineRule="exact"/>
        <w:rPr>
          <w:rFonts w:ascii="Arial" w:cs="Arial" w:eastAsia="Arial" w:hAnsi="Arial"/>
          <w:sz w:val="18"/>
          <w:szCs w:val="18"/>
          <w:color w:val="auto"/>
        </w:rPr>
      </w:pPr>
    </w:p>
    <w:p>
      <w:pPr>
        <w:ind w:left="340" w:right="240" w:hanging="332"/>
        <w:spacing w:after="0" w:line="29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other charges - Fuji Xerox:</w:t>
      </w:r>
      <w:r>
        <w:rPr>
          <w:rFonts w:ascii="Arial" w:cs="Arial" w:eastAsia="Arial" w:hAnsi="Arial"/>
          <w:sz w:val="18"/>
          <w:szCs w:val="18"/>
          <w:i w:val="1"/>
          <w:iCs w:val="1"/>
          <w:color w:val="auto"/>
        </w:rPr>
        <w:t xml:space="preserve"> </w:t>
      </w:r>
      <w:r>
        <w:rPr>
          <w:rFonts w:ascii="Arial" w:cs="Arial" w:eastAsia="Arial" w:hAnsi="Arial"/>
          <w:sz w:val="18"/>
          <w:szCs w:val="18"/>
          <w:color w:val="auto"/>
        </w:rPr>
        <w:t>We adjust our 25% share of Fuji Xerox’s net income for similar items noted above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and Transaction and related costs, net based on the same rationale discussed above.</w:t>
      </w:r>
    </w:p>
    <w:p>
      <w:pPr>
        <w:spacing w:after="0" w:line="14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22"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68"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Net Income and EPS reconciliation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3"/>
          </w:tcPr>
          <w:p>
            <w:pPr>
              <w:jc w:val="right"/>
              <w:ind w:right="6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428"/>
              <w:spacing w:after="0"/>
              <w:rPr>
                <w:sz w:val="20"/>
                <w:szCs w:val="20"/>
                <w:color w:val="auto"/>
              </w:rPr>
            </w:pPr>
            <w:r>
              <w:rPr>
                <w:rFonts w:ascii="Arial" w:cs="Arial" w:eastAsia="Arial" w:hAnsi="Arial"/>
                <w:sz w:val="14"/>
                <w:szCs w:val="14"/>
                <w:color w:val="auto"/>
              </w:rPr>
              <w:t>Three Months Ended</w:t>
            </w:r>
          </w:p>
        </w:tc>
      </w:tr>
      <w:tr>
        <w:trPr>
          <w:trHeight w:val="198"/>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March 31, 2019</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color w:val="auto"/>
              </w:rPr>
              <w:t>March 31, 2018</w:t>
            </w: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EPS</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EPS</w:t>
            </w:r>
          </w:p>
        </w:tc>
      </w:tr>
      <w:tr>
        <w:trPr>
          <w:trHeight w:val="254"/>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66"/>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Restructuring and related costs</w:t>
            </w: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4"/>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66"/>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Transaction and related costs,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4"/>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Non-service retirement-related costs</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70"/>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other charges - Fuji Xerox</w:t>
            </w:r>
            <w:r>
              <w:rPr>
                <w:rFonts w:ascii="Arial" w:cs="Arial" w:eastAsia="Arial" w:hAnsi="Arial"/>
                <w:sz w:val="17"/>
                <w:szCs w:val="17"/>
                <w:color w:val="auto"/>
                <w:vertAlign w:val="superscript"/>
              </w:rPr>
              <w:t>(3)</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spacing w:after="0"/>
              <w:rPr>
                <w:sz w:val="23"/>
                <w:szCs w:val="23"/>
                <w:color w:val="auto"/>
              </w:rPr>
            </w:pPr>
          </w:p>
        </w:tc>
      </w:tr>
      <w:tr>
        <w:trPr>
          <w:trHeight w:val="266"/>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Tax Act</w:t>
            </w:r>
          </w:p>
        </w:tc>
        <w:tc>
          <w:tcPr>
            <w:tcW w:w="14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1"/>
        </w:trPr>
        <w:tc>
          <w:tcPr>
            <w:tcW w:w="6540" w:type="dxa"/>
            <w:vAlign w:val="bottom"/>
            <w:tcBorders>
              <w:top w:val="single" w:sz="8" w:color="E5E5E5"/>
              <w:bottom w:val="single" w:sz="8" w:color="E5E5E5"/>
            </w:tcBorders>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Adjusted</w:t>
            </w:r>
          </w:p>
        </w:tc>
        <w:tc>
          <w:tcPr>
            <w:tcW w:w="1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219</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740" w:type="dxa"/>
            <w:vAlign w:val="bottom"/>
            <w:tcBorders>
              <w:top w:val="single" w:sz="8" w:color="auto"/>
              <w:bottom w:val="single" w:sz="8" w:color="auto"/>
            </w:tcBorders>
            <w:shd w:val="clear" w:color="auto" w:fill="E5E5E5"/>
          </w:tcPr>
          <w:p>
            <w:pPr>
              <w:jc w:val="right"/>
              <w:ind w:right="5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0.91</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1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26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0.68</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7"/>
                <w:szCs w:val="17"/>
                <w:color w:val="auto"/>
                <w:vertAlign w:val="superscript"/>
              </w:rPr>
              <w:t>(4)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5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7"/>
                <w:szCs w:val="17"/>
                <w:color w:val="auto"/>
                <w:vertAlign w:val="superscript"/>
              </w:rPr>
              <w:t>(4)</w:t>
            </w:r>
          </w:p>
        </w:tc>
        <w:tc>
          <w:tcPr>
            <w:tcW w:w="14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740" w:type="dxa"/>
            <w:vAlign w:val="bottom"/>
            <w:shd w:val="clear" w:color="auto" w:fill="E5E5E5"/>
          </w:tcPr>
          <w:p>
            <w:pPr>
              <w:spacing w:after="0"/>
              <w:rPr>
                <w:sz w:val="23"/>
                <w:szCs w:val="23"/>
                <w:color w:val="auto"/>
              </w:rPr>
            </w:pPr>
          </w:p>
        </w:tc>
        <w:tc>
          <w:tcPr>
            <w:tcW w:w="4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264</w:t>
            </w:r>
          </w:p>
        </w:tc>
      </w:tr>
      <w:tr>
        <w:trPr>
          <w:trHeight w:val="253"/>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Fully diluted shares at end of period</w:t>
            </w:r>
            <w:r>
              <w:rPr>
                <w:rFonts w:ascii="Arial" w:cs="Arial" w:eastAsia="Arial" w:hAnsi="Arial"/>
                <w:sz w:val="17"/>
                <w:szCs w:val="17"/>
                <w:color w:val="auto"/>
                <w:vertAlign w:val="superscript"/>
              </w:rPr>
              <w:t>(5)</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46"/>
        </w:trPr>
        <w:tc>
          <w:tcPr>
            <w:tcW w:w="640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attributable to Xerox.</w:t>
      </w:r>
    </w:p>
    <w:p>
      <w:pPr>
        <w:ind w:left="340" w:hanging="332"/>
        <w:spacing w:after="0" w:line="187"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ind w:left="340" w:hanging="332"/>
        <w:spacing w:after="0" w:line="187"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Other charges represent costs associated with the terminated combination transaction.</w:t>
      </w:r>
    </w:p>
    <w:p>
      <w:pPr>
        <w:ind w:left="340" w:right="440" w:hanging="332"/>
        <w:spacing w:after="0" w:line="211"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For those periods that exclude the preferred stock dividend, the average shares for the calculations of diluted EPS include 7 million shares associated with our Series B convertible preferred stock, as applicable.</w:t>
      </w:r>
    </w:p>
    <w:p>
      <w:pPr>
        <w:ind w:left="340" w:right="120" w:hanging="332"/>
        <w:spacing w:after="0" w:line="220" w:lineRule="auto"/>
        <w:tabs>
          <w:tab w:leader="none" w:pos="340" w:val="left"/>
        </w:tabs>
        <w:numPr>
          <w:ilvl w:val="0"/>
          <w:numId w:val="2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Represents common shares outstanding at March 31, 2019 as well as shares associated with our Series B convertible preferred stock plus potential dilutive common shares as used for the calculation of diluted earnings per share for the first quarter 2019.</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gridSpan w:val="6"/>
          </w:tcPr>
          <w:p>
            <w:pPr>
              <w:jc w:val="center"/>
              <w:ind w:right="124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March 31, 2019</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rPr>
              <w:t>March 31, 2018</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Income Tax</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rPr>
              <w:t>(Benefit)</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Effective Tax</w:t>
            </w:r>
          </w:p>
        </w:tc>
        <w:tc>
          <w:tcPr>
            <w:tcW w:w="0" w:type="dxa"/>
            <w:vAlign w:val="bottom"/>
          </w:tcPr>
          <w:p>
            <w:pPr>
              <w:spacing w:after="0"/>
              <w:rPr>
                <w:sz w:val="1"/>
                <w:szCs w:val="1"/>
                <w:color w:val="auto"/>
              </w:rPr>
            </w:pPr>
          </w:p>
        </w:tc>
      </w:tr>
      <w:tr>
        <w:trPr>
          <w:trHeight w:val="19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Income</w:t>
            </w:r>
          </w:p>
        </w:tc>
        <w:tc>
          <w:tcPr>
            <w:tcW w:w="120" w:type="dxa"/>
            <w:vAlign w:val="bottom"/>
            <w:tcBorders>
              <w:bottom w:val="single" w:sz="8" w:color="E5E5E5"/>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E5E5E5"/>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Effective Tax Rate</w:t>
            </w:r>
          </w:p>
        </w:tc>
        <w:tc>
          <w:tcPr>
            <w:tcW w:w="120" w:type="dxa"/>
            <w:vAlign w:val="bottom"/>
            <w:tcBorders>
              <w:bottom w:val="single" w:sz="8" w:color="E5E5E5"/>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100" w:type="dxa"/>
            <w:vAlign w:val="bottom"/>
            <w:tcBorders>
              <w:bottom w:val="single" w:sz="8" w:color="E5E5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E5E5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54"/>
        </w:trPr>
        <w:tc>
          <w:tcPr>
            <w:tcW w:w="396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83</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5E5E5"/>
          </w:tcPr>
          <w:p>
            <w:pPr>
              <w:spacing w:after="0"/>
              <w:rPr>
                <w:sz w:val="22"/>
                <w:szCs w:val="22"/>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E5E5E5"/>
          </w:tcPr>
          <w:p>
            <w:pPr>
              <w:spacing w:after="0"/>
              <w:rPr>
                <w:sz w:val="22"/>
                <w:szCs w:val="22"/>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134</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7"/>
                <w:szCs w:val="17"/>
                <w:color w:val="auto"/>
                <w:vertAlign w:val="superscript"/>
              </w:rPr>
              <w:t>(2)</w:t>
            </w:r>
          </w:p>
        </w:tc>
        <w:tc>
          <w:tcPr>
            <w:tcW w:w="2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9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Tax Act</w:t>
            </w:r>
          </w:p>
        </w:tc>
        <w:tc>
          <w:tcPr>
            <w:tcW w:w="220" w:type="dxa"/>
            <w:vAlign w:val="bottom"/>
            <w:tcBorders>
              <w:bottom w:val="single" w:sz="8" w:color="auto"/>
            </w:tcBorders>
            <w:shd w:val="clear" w:color="auto" w:fill="E5E5E5"/>
          </w:tcPr>
          <w:p>
            <w:pPr>
              <w:spacing w:after="0"/>
              <w:rPr>
                <w:sz w:val="23"/>
                <w:szCs w:val="23"/>
                <w:color w:val="auto"/>
              </w:rPr>
            </w:pPr>
          </w:p>
        </w:tc>
        <w:tc>
          <w:tcPr>
            <w:tcW w:w="9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23"/>
                <w:szCs w:val="23"/>
                <w:color w:val="auto"/>
              </w:rPr>
            </w:pPr>
          </w:p>
        </w:tc>
        <w:tc>
          <w:tcPr>
            <w:tcW w:w="120" w:type="dxa"/>
            <w:vAlign w:val="bottom"/>
            <w:tcBorders>
              <w:bottom w:val="single" w:sz="8" w:color="auto"/>
            </w:tcBorders>
            <w:shd w:val="clear" w:color="auto" w:fill="E5E5E5"/>
          </w:tcPr>
          <w:p>
            <w:pPr>
              <w:spacing w:after="0"/>
              <w:rPr>
                <w:sz w:val="23"/>
                <w:szCs w:val="23"/>
                <w:color w:val="auto"/>
              </w:rPr>
            </w:pPr>
          </w:p>
        </w:tc>
        <w:tc>
          <w:tcPr>
            <w:tcW w:w="100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5E5E5"/>
          </w:tcPr>
          <w:p>
            <w:pPr>
              <w:spacing w:after="0"/>
              <w:rPr>
                <w:sz w:val="23"/>
                <w:szCs w:val="23"/>
                <w:color w:val="auto"/>
              </w:rPr>
            </w:pPr>
          </w:p>
        </w:tc>
        <w:tc>
          <w:tcPr>
            <w:tcW w:w="124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440" w:type="dxa"/>
            <w:vAlign w:val="bottom"/>
            <w:tcBorders>
              <w:bottom w:val="single" w:sz="8" w:color="auto"/>
            </w:tcBorders>
            <w:shd w:val="clear" w:color="auto" w:fill="E5E5E5"/>
          </w:tcPr>
          <w:p>
            <w:pPr>
              <w:spacing w:after="0"/>
              <w:rPr>
                <w:sz w:val="23"/>
                <w:szCs w:val="23"/>
                <w:color w:val="auto"/>
              </w:rPr>
            </w:pPr>
          </w:p>
        </w:tc>
        <w:tc>
          <w:tcPr>
            <w:tcW w:w="68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3"/>
                <w:szCs w:val="23"/>
                <w:color w:val="auto"/>
              </w:rPr>
            </w:pPr>
          </w:p>
        </w:tc>
        <w:tc>
          <w:tcPr>
            <w:tcW w:w="100" w:type="dxa"/>
            <w:vAlign w:val="bottom"/>
            <w:tcBorders>
              <w:bottom w:val="single" w:sz="8" w:color="auto"/>
            </w:tcBorders>
            <w:shd w:val="clear" w:color="auto" w:fill="E5E5E5"/>
          </w:tcPr>
          <w:p>
            <w:pPr>
              <w:spacing w:after="0"/>
              <w:rPr>
                <w:sz w:val="23"/>
                <w:szCs w:val="23"/>
                <w:color w:val="auto"/>
              </w:rPr>
            </w:pPr>
          </w:p>
        </w:tc>
        <w:tc>
          <w:tcPr>
            <w:tcW w:w="10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E5E5E5"/>
          </w:tcPr>
          <w:p>
            <w:pPr>
              <w:spacing w:after="0"/>
              <w:rPr>
                <w:sz w:val="23"/>
                <w:szCs w:val="23"/>
                <w:color w:val="auto"/>
              </w:rPr>
            </w:pPr>
          </w:p>
        </w:tc>
        <w:tc>
          <w:tcPr>
            <w:tcW w:w="108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7"/>
                <w:szCs w:val="17"/>
                <w:b w:val="1"/>
                <w:bCs w:val="1"/>
                <w:color w:val="auto"/>
                <w:vertAlign w:val="superscript"/>
              </w:rPr>
              <w:t>(3)</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26.0 %</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8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Income Tax (Benefit) Expense.</w:t>
      </w:r>
    </w:p>
    <w:p>
      <w:pPr>
        <w:ind w:left="340" w:hanging="332"/>
        <w:spacing w:after="0" w:line="187"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Net Income and EPS reconciliation for details.</w:t>
      </w:r>
    </w:p>
    <w:p>
      <w:pPr>
        <w:ind w:left="340" w:right="200" w:hanging="332"/>
        <w:spacing w:after="0" w:line="220" w:lineRule="auto"/>
        <w:tabs>
          <w:tab w:leader="none" w:pos="34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tax impact on Adjusted Pre-Tax Income is calculated under the same accounting principles applied to the Reported Pre-Tax Income under ASC 740, which employs an annual effective tax rate method to the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5"/>
          </w:tcPr>
          <w:p>
            <w:pPr>
              <w:ind w:left="20"/>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March 31, 2019</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color w:val="auto"/>
              </w:rPr>
              <w:t>March 31, 2018</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E5E5E5"/>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00" w:type="dxa"/>
            <w:vAlign w:val="bottom"/>
            <w:tcBorders>
              <w:bottom w:val="single" w:sz="8" w:color="E5E5E5"/>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54"/>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83</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2,206</w:t>
            </w:r>
          </w:p>
        </w:tc>
        <w:tc>
          <w:tcPr>
            <w:tcW w:w="12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E5E5E5"/>
          </w:tcPr>
          <w:p>
            <w:pPr>
              <w:spacing w:after="0"/>
              <w:rPr>
                <w:sz w:val="22"/>
                <w:szCs w:val="22"/>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134</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2,435</w:t>
            </w:r>
          </w:p>
        </w:tc>
        <w:tc>
          <w:tcPr>
            <w:tcW w:w="12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9"/>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related costs</w:t>
            </w: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Transaction and related costs, net</w:t>
            </w: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100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1020" w:type="dxa"/>
            <w:vAlign w:val="bottom"/>
            <w:shd w:val="clear" w:color="auto" w:fill="E5E5E5"/>
          </w:tcPr>
          <w:p>
            <w:pPr>
              <w:spacing w:after="0"/>
              <w:rPr>
                <w:sz w:val="23"/>
                <w:szCs w:val="23"/>
                <w:color w:val="auto"/>
              </w:rPr>
            </w:pPr>
          </w:p>
        </w:tc>
        <w:tc>
          <w:tcPr>
            <w:tcW w:w="120" w:type="dxa"/>
            <w:vAlign w:val="bottom"/>
            <w:shd w:val="clear" w:color="auto" w:fill="E5E5E5"/>
          </w:tcPr>
          <w:p>
            <w:pPr>
              <w:spacing w:after="0"/>
              <w:rPr>
                <w:sz w:val="23"/>
                <w:szCs w:val="23"/>
                <w:color w:val="auto"/>
              </w:rPr>
            </w:pPr>
          </w:p>
        </w:tc>
        <w:tc>
          <w:tcPr>
            <w:tcW w:w="200" w:type="dxa"/>
            <w:vAlign w:val="bottom"/>
            <w:shd w:val="clear" w:color="auto" w:fill="E5E5E5"/>
          </w:tcPr>
          <w:p>
            <w:pPr>
              <w:spacing w:after="0"/>
              <w:rPr>
                <w:sz w:val="23"/>
                <w:szCs w:val="23"/>
                <w:color w:val="auto"/>
              </w:rPr>
            </w:pPr>
          </w:p>
        </w:tc>
        <w:tc>
          <w:tcPr>
            <w:tcW w:w="980" w:type="dxa"/>
            <w:vAlign w:val="bottom"/>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2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color w:val="auto"/>
              </w:rPr>
              <w:t>Other expenses, net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E5E5E5"/>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E5E5E5"/>
            </w:tcBorders>
          </w:tcPr>
          <w:p>
            <w:pPr>
              <w:spacing w:after="0"/>
              <w:rPr>
                <w:sz w:val="23"/>
                <w:szCs w:val="23"/>
                <w:color w:val="auto"/>
              </w:rPr>
            </w:pPr>
          </w:p>
        </w:tc>
        <w:tc>
          <w:tcPr>
            <w:tcW w:w="200" w:type="dxa"/>
            <w:vAlign w:val="bottom"/>
            <w:tcBorders>
              <w:bottom w:val="single" w:sz="8" w:color="E5E5E5"/>
            </w:tcBorders>
          </w:tcPr>
          <w:p>
            <w:pPr>
              <w:spacing w:after="0"/>
              <w:rPr>
                <w:sz w:val="23"/>
                <w:szCs w:val="23"/>
                <w:color w:val="auto"/>
              </w:rPr>
            </w:pPr>
          </w:p>
        </w:tc>
        <w:tc>
          <w:tcPr>
            <w:tcW w:w="980" w:type="dxa"/>
            <w:vAlign w:val="bottom"/>
            <w:tcBorders>
              <w:bottom w:val="single" w:sz="8" w:color="E5E5E5"/>
            </w:tcBorders>
          </w:tcPr>
          <w:p>
            <w:pPr>
              <w:spacing w:after="0"/>
              <w:rPr>
                <w:sz w:val="23"/>
                <w:szCs w:val="23"/>
                <w:color w:val="auto"/>
              </w:rPr>
            </w:pPr>
          </w:p>
        </w:tc>
        <w:tc>
          <w:tcPr>
            <w:tcW w:w="120" w:type="dxa"/>
            <w:vAlign w:val="bottom"/>
            <w:tcBorders>
              <w:bottom w:val="single" w:sz="8" w:color="E5E5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E5E5E5"/>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E5E5E5"/>
            </w:tcBorders>
          </w:tcPr>
          <w:p>
            <w:pPr>
              <w:spacing w:after="0"/>
              <w:rPr>
                <w:sz w:val="23"/>
                <w:szCs w:val="23"/>
                <w:color w:val="auto"/>
              </w:rPr>
            </w:pPr>
          </w:p>
        </w:tc>
        <w:tc>
          <w:tcPr>
            <w:tcW w:w="200" w:type="dxa"/>
            <w:vAlign w:val="bottom"/>
            <w:tcBorders>
              <w:bottom w:val="single" w:sz="8" w:color="E5E5E5"/>
            </w:tcBorders>
          </w:tcPr>
          <w:p>
            <w:pPr>
              <w:spacing w:after="0"/>
              <w:rPr>
                <w:sz w:val="23"/>
                <w:szCs w:val="23"/>
                <w:color w:val="auto"/>
              </w:rPr>
            </w:pPr>
          </w:p>
        </w:tc>
        <w:tc>
          <w:tcPr>
            <w:tcW w:w="980" w:type="dxa"/>
            <w:vAlign w:val="bottom"/>
            <w:tcBorders>
              <w:bottom w:val="single" w:sz="8" w:color="E5E5E5"/>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02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Adjusted</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249</w:t>
            </w:r>
          </w:p>
        </w:tc>
        <w:tc>
          <w:tcPr>
            <w:tcW w:w="2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2,206</w:t>
            </w:r>
          </w:p>
        </w:tc>
        <w:tc>
          <w:tcPr>
            <w:tcW w:w="1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E5E5E5"/>
          </w:tcPr>
          <w:p>
            <w:pPr>
              <w:spacing w:after="0"/>
              <w:rPr>
                <w:sz w:val="20"/>
                <w:szCs w:val="20"/>
                <w:color w:val="auto"/>
              </w:rPr>
            </w:pP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242</w:t>
            </w:r>
          </w:p>
        </w:tc>
        <w:tc>
          <w:tcPr>
            <w:tcW w:w="2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2,435</w:t>
            </w:r>
          </w:p>
        </w:tc>
        <w:tc>
          <w:tcPr>
            <w:tcW w:w="1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390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Borders>
              <w:top w:val="single" w:sz="8" w:color="E5E5E5"/>
              <w:bottom w:val="single" w:sz="8" w:color="E5E5E5"/>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9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980" w:type="dxa"/>
            <w:vAlign w:val="bottom"/>
            <w:tcBorders>
              <w:top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hanging="332"/>
        <w:spacing w:after="0" w:line="210"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Pre-Tax Income and revenue.</w:t>
      </w:r>
    </w:p>
    <w:p>
      <w:pPr>
        <w:sectPr>
          <w:pgSz w:w="11900" w:h="16838" w:orient="portrait"/>
          <w:cols w:equalWidth="0" w:num="1">
            <w:col w:w="11420"/>
          </w:cols>
          <w:pgMar w:left="240" w:top="470"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7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Free Cash Flow reconciliation</w:t>
      </w:r>
    </w:p>
    <w:p>
      <w:pPr>
        <w:spacing w:after="0" w:line="233"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p>
      <w:pPr>
        <w:ind w:left="970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14605</wp:posOffset>
            </wp:positionV>
            <wp:extent cx="1800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7"/>
                <w:szCs w:val="17"/>
                <w:b w:val="1"/>
                <w:bCs w:val="1"/>
                <w:color w:val="auto"/>
                <w:vertAlign w:val="superscript"/>
              </w:rPr>
              <w:t>(1)</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66"/>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auto"/>
            </w:tcBorders>
            <w:shd w:val="clear" w:color="auto" w:fill="E5E5E5"/>
          </w:tcPr>
          <w:p>
            <w:pPr>
              <w:spacing w:after="0"/>
              <w:rPr>
                <w:sz w:val="23"/>
                <w:szCs w:val="23"/>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23"/>
                <w:szCs w:val="23"/>
                <w:color w:val="auto"/>
              </w:rPr>
            </w:pPr>
          </w:p>
        </w:tc>
        <w:tc>
          <w:tcPr>
            <w:tcW w:w="32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6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cash provided by operating activities.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33"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FY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26035</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millions, except per share amounts)</w:t>
            </w:r>
          </w:p>
        </w:tc>
        <w:tc>
          <w:tcPr>
            <w:tcW w:w="12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Net Income</w:t>
            </w:r>
          </w:p>
        </w:tc>
        <w:tc>
          <w:tcPr>
            <w:tcW w:w="120" w:type="dxa"/>
            <w:vAlign w:val="bottom"/>
            <w:tcBorders>
              <w:bottom w:val="single" w:sz="8" w:color="E5E5E5"/>
            </w:tcBorders>
          </w:tcPr>
          <w:p>
            <w:pPr>
              <w:spacing w:after="0"/>
              <w:rPr>
                <w:sz w:val="17"/>
                <w:szCs w:val="17"/>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EPS</w:t>
            </w:r>
          </w:p>
        </w:tc>
      </w:tr>
      <w:tr>
        <w:trPr>
          <w:trHeight w:val="254"/>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b w:val="1"/>
                <w:bCs w:val="1"/>
                <w:color w:val="auto"/>
              </w:rPr>
              <w:t>Estimated</w:t>
            </w:r>
            <w:r>
              <w:rPr>
                <w:rFonts w:ascii="Arial" w:cs="Arial" w:eastAsia="Arial" w:hAnsi="Arial"/>
                <w:sz w:val="17"/>
                <w:szCs w:val="17"/>
                <w:b w:val="1"/>
                <w:bCs w:val="1"/>
                <w:color w:val="auto"/>
                <w:vertAlign w:val="superscript"/>
              </w:rPr>
              <w:t>(1)</w:t>
            </w:r>
          </w:p>
        </w:tc>
        <w:tc>
          <w:tcPr>
            <w:tcW w:w="2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~$2.90 - $3.05</w:t>
            </w:r>
          </w:p>
        </w:tc>
      </w:tr>
      <w:tr>
        <w:trPr>
          <w:trHeight w:val="269"/>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1"/>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Restructuring and related costs</w:t>
            </w:r>
            <w:r>
              <w:rPr>
                <w:rFonts w:ascii="Arial" w:cs="Arial" w:eastAsia="Arial" w:hAnsi="Arial"/>
                <w:sz w:val="17"/>
                <w:szCs w:val="17"/>
                <w:color w:val="auto"/>
                <w:vertAlign w:val="superscript"/>
              </w:rPr>
              <w:t>(2)</w:t>
            </w:r>
          </w:p>
        </w:tc>
        <w:tc>
          <w:tcPr>
            <w:tcW w:w="20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spacing w:after="0"/>
              <w:rPr>
                <w:sz w:val="23"/>
                <w:szCs w:val="23"/>
                <w:color w:val="auto"/>
              </w:rPr>
            </w:pP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4"/>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Non-service retirement-related costs</w:t>
            </w:r>
          </w:p>
        </w:tc>
        <w:tc>
          <w:tcPr>
            <w:tcW w:w="20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23"/>
                <w:szCs w:val="23"/>
                <w:color w:val="auto"/>
              </w:rPr>
            </w:pPr>
          </w:p>
        </w:tc>
        <w:tc>
          <w:tcPr>
            <w:tcW w:w="1360" w:type="dxa"/>
            <w:vAlign w:val="bottom"/>
            <w:shd w:val="clear" w:color="auto" w:fill="E5E5E5"/>
          </w:tcPr>
          <w:p>
            <w:pPr>
              <w:spacing w:after="0"/>
              <w:rPr>
                <w:sz w:val="23"/>
                <w:szCs w:val="23"/>
                <w:color w:val="auto"/>
              </w:rPr>
            </w:pP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Income tax on adjustments</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858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Tax Act</w:t>
            </w:r>
          </w:p>
        </w:tc>
        <w:tc>
          <w:tcPr>
            <w:tcW w:w="20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23"/>
                <w:szCs w:val="23"/>
                <w:color w:val="auto"/>
              </w:rPr>
            </w:pPr>
          </w:p>
        </w:tc>
        <w:tc>
          <w:tcPr>
            <w:tcW w:w="1360" w:type="dxa"/>
            <w:vAlign w:val="bottom"/>
            <w:tcBorders>
              <w:bottom w:val="single" w:sz="8" w:color="auto"/>
            </w:tcBorders>
            <w:shd w:val="clear" w:color="auto" w:fill="E5E5E5"/>
          </w:tcPr>
          <w:p>
            <w:pPr>
              <w:spacing w:after="0"/>
              <w:rPr>
                <w:sz w:val="23"/>
                <w:szCs w:val="23"/>
                <w:color w:val="auto"/>
              </w:rPr>
            </w:pPr>
          </w:p>
        </w:tc>
      </w:tr>
      <w:tr>
        <w:trPr>
          <w:trHeight w:val="281"/>
        </w:trPr>
        <w:tc>
          <w:tcPr>
            <w:tcW w:w="8580" w:type="dxa"/>
            <w:vAlign w:val="bottom"/>
            <w:tcBorders>
              <w:bottom w:val="single" w:sz="8" w:color="E5E5E5"/>
            </w:tcBorders>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tcBorders>
              <w:bottom w:val="single" w:sz="8" w:color="E5E5E5"/>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~$3.80 - $3.95</w:t>
            </w:r>
          </w:p>
        </w:tc>
      </w:tr>
      <w:tr>
        <w:trPr>
          <w:trHeight w:val="264"/>
        </w:trPr>
        <w:tc>
          <w:tcPr>
            <w:tcW w:w="84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20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120" w:type="dxa"/>
            <w:vAlign w:val="bottom"/>
            <w:shd w:val="clear" w:color="auto" w:fill="E5E5E5"/>
          </w:tcPr>
          <w:p>
            <w:pPr>
              <w:spacing w:after="0"/>
              <w:rPr>
                <w:sz w:val="22"/>
                <w:szCs w:val="22"/>
                <w:color w:val="auto"/>
              </w:rPr>
            </w:pPr>
          </w:p>
        </w:tc>
        <w:tc>
          <w:tcPr>
            <w:tcW w:w="1360" w:type="dxa"/>
            <w:vAlign w:val="bottom"/>
            <w:shd w:val="clear" w:color="auto" w:fill="E5E5E5"/>
          </w:tcPr>
          <w:p>
            <w:pPr>
              <w:spacing w:after="0"/>
              <w:rPr>
                <w:sz w:val="22"/>
                <w:szCs w:val="22"/>
                <w:color w:val="auto"/>
              </w:rPr>
            </w:pPr>
          </w:p>
        </w:tc>
      </w:tr>
      <w:tr>
        <w:trPr>
          <w:trHeight w:val="253"/>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Weighted average shares for adjusted EPS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 235</w:t>
            </w:r>
          </w:p>
        </w:tc>
      </w:tr>
      <w:tr>
        <w:trPr>
          <w:trHeight w:val="146"/>
        </w:trPr>
        <w:tc>
          <w:tcPr>
            <w:tcW w:w="846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bl>
    <w:p>
      <w:pPr>
        <w:spacing w:after="0" w:line="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and EPS attributable to Xerox</w:t>
      </w:r>
    </w:p>
    <w:p>
      <w:pPr>
        <w:ind w:left="340" w:hanging="332"/>
        <w:spacing w:after="0" w:line="204" w:lineRule="auto"/>
        <w:tabs>
          <w:tab w:leader="none" w:pos="34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$12 million of Fuji Xerox related costs in first quarter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DA2031"/>
        </w:rPr>
        <w:t>APPENDIX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Xerox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Earnings per Common Share</w:t>
      </w:r>
    </w:p>
    <w:p>
      <w:pPr>
        <w:jc w:val="center"/>
        <w:spacing w:after="0"/>
        <w:rPr>
          <w:sz w:val="20"/>
          <w:szCs w:val="20"/>
          <w:color w:val="auto"/>
        </w:rPr>
      </w:pPr>
      <w:r>
        <w:rPr>
          <w:rFonts w:ascii="Arial" w:cs="Arial" w:eastAsia="Arial" w:hAnsi="Arial"/>
          <w:sz w:val="18"/>
          <w:szCs w:val="18"/>
          <w:color w:val="auto"/>
        </w:rPr>
        <w:t>(in millions except per share data, shares in thousands)</w:t>
      </w:r>
    </w:p>
    <w:p>
      <w:pPr>
        <w:spacing w:after="0" w:line="200" w:lineRule="exact"/>
        <w:rPr>
          <w:sz w:val="20"/>
          <w:szCs w:val="20"/>
          <w:color w:val="auto"/>
        </w:rPr>
      </w:pPr>
    </w:p>
    <w:p>
      <w:pPr>
        <w:spacing w:after="0" w:line="215"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260"/>
        </w:trPr>
        <w:tc>
          <w:tcPr>
            <w:tcW w:w="8360" w:type="dxa"/>
            <w:vAlign w:val="bottom"/>
            <w:tcBorders>
              <w:bottom w:val="single" w:sz="8" w:color="E5E5E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2018</w:t>
            </w:r>
          </w:p>
        </w:tc>
      </w:tr>
      <w:tr>
        <w:trPr>
          <w:trHeight w:val="268"/>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r>
      <w:tr>
        <w:trPr>
          <w:trHeight w:val="269"/>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67"/>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81"/>
        </w:trPr>
        <w:tc>
          <w:tcPr>
            <w:tcW w:w="836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E5E5E5"/>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24"/>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228,567</w:t>
            </w:r>
          </w:p>
        </w:tc>
        <w:tc>
          <w:tcPr>
            <w:tcW w:w="1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254,660</w:t>
            </w:r>
          </w:p>
        </w:tc>
      </w:tr>
      <w:tr>
        <w:trPr>
          <w:trHeight w:val="284"/>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0.08</w:t>
            </w:r>
          </w:p>
        </w:tc>
      </w:tr>
      <w:tr>
        <w:trPr>
          <w:trHeight w:val="284"/>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spacing w:after="0"/>
              <w:rPr>
                <w:sz w:val="23"/>
                <w:szCs w:val="23"/>
                <w:color w:val="auto"/>
              </w:rPr>
            </w:pPr>
          </w:p>
        </w:tc>
      </w:tr>
      <w:tr>
        <w:trPr>
          <w:trHeight w:val="269"/>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Xerox</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67"/>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color w:val="auto"/>
              </w:rPr>
              <w:t>Accrued dividends on preferred stock</w:t>
            </w:r>
          </w:p>
        </w:tc>
        <w:tc>
          <w:tcPr>
            <w:tcW w:w="340" w:type="dxa"/>
            <w:vAlign w:val="bottom"/>
            <w:shd w:val="clear" w:color="auto" w:fill="E5E5E5"/>
          </w:tcPr>
          <w:p>
            <w:pPr>
              <w:spacing w:after="0"/>
              <w:rPr>
                <w:sz w:val="23"/>
                <w:szCs w:val="23"/>
                <w:color w:val="auto"/>
              </w:rPr>
            </w:pPr>
          </w:p>
        </w:tc>
        <w:tc>
          <w:tcPr>
            <w:tcW w:w="126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r>
      <w:tr>
        <w:trPr>
          <w:trHeight w:val="281"/>
        </w:trPr>
        <w:tc>
          <w:tcPr>
            <w:tcW w:w="836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Adjusted net income available to common shareholders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E5E5E5"/>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24"/>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228,567</w:t>
            </w:r>
          </w:p>
        </w:tc>
        <w:tc>
          <w:tcPr>
            <w:tcW w:w="1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254,660</w:t>
            </w:r>
          </w:p>
        </w:tc>
      </w:tr>
      <w:tr>
        <w:trPr>
          <w:trHeight w:val="266"/>
        </w:trPr>
        <w:tc>
          <w:tcPr>
            <w:tcW w:w="8360" w:type="dxa"/>
            <w:vAlign w:val="bottom"/>
          </w:tcPr>
          <w:p>
            <w:pPr>
              <w:ind w:left="40"/>
              <w:spacing w:after="0"/>
              <w:rPr>
                <w:sz w:val="20"/>
                <w:szCs w:val="20"/>
                <w:color w:val="auto"/>
              </w:rPr>
            </w:pPr>
            <w:r>
              <w:rPr>
                <w:rFonts w:ascii="Arial" w:cs="Arial" w:eastAsia="Arial" w:hAnsi="Arial"/>
                <w:sz w:val="14"/>
                <w:szCs w:val="14"/>
                <w:color w:val="auto"/>
              </w:rPr>
              <w:t>Common shares issuable with respect to:</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8360" w:type="dxa"/>
            <w:vAlign w:val="bottom"/>
            <w:shd w:val="clear" w:color="auto" w:fill="E5E5E5"/>
          </w:tcPr>
          <w:p>
            <w:pPr>
              <w:ind w:left="18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360" w:type="dxa"/>
            <w:vAlign w:val="bottom"/>
          </w:tcPr>
          <w:p>
            <w:pPr>
              <w:ind w:left="18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2,810</w:t>
            </w:r>
          </w:p>
        </w:tc>
      </w:tr>
      <w:tr>
        <w:trPr>
          <w:trHeight w:val="270"/>
        </w:trPr>
        <w:tc>
          <w:tcPr>
            <w:tcW w:w="8360" w:type="dxa"/>
            <w:vAlign w:val="bottom"/>
            <w:shd w:val="clear" w:color="auto" w:fill="E5E5E5"/>
          </w:tcPr>
          <w:p>
            <w:pPr>
              <w:ind w:left="180"/>
              <w:spacing w:after="0"/>
              <w:rPr>
                <w:sz w:val="20"/>
                <w:szCs w:val="20"/>
                <w:color w:val="auto"/>
              </w:rPr>
            </w:pPr>
            <w:r>
              <w:rPr>
                <w:rFonts w:ascii="Arial" w:cs="Arial" w:eastAsia="Arial" w:hAnsi="Arial"/>
                <w:sz w:val="14"/>
                <w:szCs w:val="14"/>
                <w:color w:val="auto"/>
              </w:rPr>
              <w:t>Convertible preferred stock</w:t>
            </w:r>
          </w:p>
        </w:tc>
        <w:tc>
          <w:tcPr>
            <w:tcW w:w="340" w:type="dxa"/>
            <w:vAlign w:val="bottom"/>
            <w:tcBorders>
              <w:bottom w:val="single" w:sz="8" w:color="auto"/>
            </w:tcBorders>
            <w:shd w:val="clear" w:color="auto" w:fill="E5E5E5"/>
          </w:tcPr>
          <w:p>
            <w:pPr>
              <w:spacing w:after="0"/>
              <w:rPr>
                <w:sz w:val="23"/>
                <w:szCs w:val="23"/>
                <w:color w:val="auto"/>
              </w:rPr>
            </w:pPr>
          </w:p>
        </w:tc>
        <w:tc>
          <w:tcPr>
            <w:tcW w:w="11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81"/>
        </w:trPr>
        <w:tc>
          <w:tcPr>
            <w:tcW w:w="836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Adjusted weighted average common shares outstanding</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239,718</w:t>
            </w:r>
          </w:p>
        </w:tc>
        <w:tc>
          <w:tcPr>
            <w:tcW w:w="100" w:type="dxa"/>
            <w:vAlign w:val="bottom"/>
            <w:tcBorders>
              <w:bottom w:val="single" w:sz="8" w:color="E5E5E5"/>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257,470</w:t>
            </w:r>
          </w:p>
        </w:tc>
      </w:tr>
      <w:tr>
        <w:trPr>
          <w:trHeight w:val="264"/>
        </w:trPr>
        <w:tc>
          <w:tcPr>
            <w:tcW w:w="8360" w:type="dxa"/>
            <w:vAlign w:val="bottom"/>
            <w:shd w:val="clear" w:color="auto" w:fill="E5E5E5"/>
          </w:tcPr>
          <w:p>
            <w:pPr>
              <w:spacing w:after="0"/>
              <w:rPr>
                <w:sz w:val="22"/>
                <w:szCs w:val="22"/>
                <w:color w:val="auto"/>
              </w:rPr>
            </w:pPr>
          </w:p>
        </w:tc>
        <w:tc>
          <w:tcPr>
            <w:tcW w:w="340" w:type="dxa"/>
            <w:vAlign w:val="bottom"/>
            <w:tcBorders>
              <w:bottom w:val="single" w:sz="8" w:color="auto"/>
            </w:tcBorders>
            <w:shd w:val="clear" w:color="auto" w:fill="E5E5E5"/>
          </w:tcPr>
          <w:p>
            <w:pPr>
              <w:spacing w:after="0"/>
              <w:rPr>
                <w:sz w:val="22"/>
                <w:szCs w:val="22"/>
                <w:color w:val="auto"/>
              </w:rPr>
            </w:pPr>
          </w:p>
        </w:tc>
        <w:tc>
          <w:tcPr>
            <w:tcW w:w="1160" w:type="dxa"/>
            <w:vAlign w:val="bottom"/>
            <w:tcBorders>
              <w:bottom w:val="single" w:sz="8" w:color="auto"/>
            </w:tcBorders>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420" w:type="dxa"/>
            <w:vAlign w:val="bottom"/>
            <w:tcBorders>
              <w:bottom w:val="single" w:sz="8" w:color="auto"/>
            </w:tcBorders>
            <w:shd w:val="clear" w:color="auto" w:fill="E5E5E5"/>
          </w:tcPr>
          <w:p>
            <w:pPr>
              <w:spacing w:after="0"/>
              <w:rPr>
                <w:sz w:val="22"/>
                <w:szCs w:val="22"/>
                <w:color w:val="auto"/>
              </w:rPr>
            </w:pPr>
          </w:p>
        </w:tc>
        <w:tc>
          <w:tcPr>
            <w:tcW w:w="1040" w:type="dxa"/>
            <w:vAlign w:val="bottom"/>
            <w:tcBorders>
              <w:bottom w:val="single" w:sz="8" w:color="auto"/>
            </w:tcBorders>
            <w:shd w:val="clear" w:color="auto" w:fill="E5E5E5"/>
          </w:tcPr>
          <w:p>
            <w:pPr>
              <w:spacing w:after="0"/>
              <w:rPr>
                <w:sz w:val="22"/>
                <w:szCs w:val="22"/>
                <w:color w:val="auto"/>
              </w:rPr>
            </w:pPr>
          </w:p>
        </w:tc>
      </w:tr>
      <w:tr>
        <w:trPr>
          <w:trHeight w:val="277"/>
        </w:trPr>
        <w:tc>
          <w:tcPr>
            <w:tcW w:w="8360" w:type="dxa"/>
            <w:vAlign w:val="bottom"/>
            <w:tcBorders>
              <w:bottom w:val="single" w:sz="8" w:color="E5E5E5"/>
            </w:tcBorders>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0.55</w:t>
            </w:r>
          </w:p>
        </w:tc>
        <w:tc>
          <w:tcPr>
            <w:tcW w:w="100" w:type="dxa"/>
            <w:vAlign w:val="bottom"/>
            <w:tcBorders>
              <w:bottom w:val="single" w:sz="8" w:color="E5E5E5"/>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0.08</w:t>
            </w:r>
          </w:p>
        </w:tc>
      </w:tr>
      <w:tr>
        <w:trPr>
          <w:trHeight w:val="264"/>
        </w:trPr>
        <w:tc>
          <w:tcPr>
            <w:tcW w:w="836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040" w:type="dxa"/>
            <w:vAlign w:val="bottom"/>
            <w:shd w:val="clear" w:color="auto" w:fill="E5E5E5"/>
          </w:tcPr>
          <w:p>
            <w:pPr>
              <w:spacing w:after="0"/>
              <w:rPr>
                <w:sz w:val="22"/>
                <w:szCs w:val="22"/>
                <w:color w:val="auto"/>
              </w:rPr>
            </w:pPr>
          </w:p>
        </w:tc>
      </w:tr>
      <w:tr>
        <w:trPr>
          <w:trHeight w:val="176"/>
        </w:trPr>
        <w:tc>
          <w:tcPr>
            <w:tcW w:w="8360" w:type="dxa"/>
            <w:vAlign w:val="bottom"/>
          </w:tcPr>
          <w:p>
            <w:pPr>
              <w:ind w:left="40"/>
              <w:spacing w:after="0"/>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8360" w:type="dxa"/>
            <w:vAlign w:val="bottom"/>
          </w:tcPr>
          <w:p>
            <w:pPr>
              <w:ind w:left="40"/>
              <w:spacing w:after="0"/>
              <w:rPr>
                <w:sz w:val="20"/>
                <w:szCs w:val="20"/>
                <w:color w:val="auto"/>
              </w:rPr>
            </w:pPr>
            <w:r>
              <w:rPr>
                <w:rFonts w:ascii="Arial" w:cs="Arial" w:eastAsia="Arial" w:hAnsi="Arial"/>
                <w:sz w:val="14"/>
                <w:szCs w:val="14"/>
                <w:color w:val="auto"/>
              </w:rPr>
              <w:t>issuable shares or shares that if included would have been anti-dilutive:</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4"/>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color w:val="auto"/>
              </w:rPr>
              <w:t>Stock Options</w:t>
            </w:r>
          </w:p>
        </w:tc>
        <w:tc>
          <w:tcPr>
            <w:tcW w:w="340" w:type="dxa"/>
            <w:vAlign w:val="bottom"/>
            <w:shd w:val="clear" w:color="auto" w:fill="E5E5E5"/>
          </w:tcPr>
          <w:p>
            <w:pPr>
              <w:spacing w:after="0"/>
              <w:rPr>
                <w:sz w:val="23"/>
                <w:szCs w:val="23"/>
                <w:color w:val="auto"/>
              </w:rPr>
            </w:pPr>
          </w:p>
        </w:tc>
        <w:tc>
          <w:tcPr>
            <w:tcW w:w="11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947</w:t>
            </w:r>
          </w:p>
        </w:tc>
        <w:tc>
          <w:tcPr>
            <w:tcW w:w="100" w:type="dxa"/>
            <w:vAlign w:val="bottom"/>
            <w:shd w:val="clear" w:color="auto" w:fill="E5E5E5"/>
          </w:tcPr>
          <w:p>
            <w:pPr>
              <w:spacing w:after="0"/>
              <w:rPr>
                <w:sz w:val="23"/>
                <w:szCs w:val="23"/>
                <w:color w:val="auto"/>
              </w:rPr>
            </w:pP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8360" w:type="dxa"/>
            <w:vAlign w:val="bottom"/>
          </w:tcPr>
          <w:p>
            <w:pPr>
              <w:ind w:left="40"/>
              <w:spacing w:after="0"/>
              <w:rPr>
                <w:sz w:val="20"/>
                <w:szCs w:val="20"/>
                <w:color w:val="auto"/>
              </w:rPr>
            </w:pPr>
            <w:r>
              <w:rPr>
                <w:rFonts w:ascii="Arial" w:cs="Arial" w:eastAsia="Arial" w:hAnsi="Arial"/>
                <w:sz w:val="14"/>
                <w:szCs w:val="14"/>
                <w:color w:val="auto"/>
              </w:rPr>
              <w:t>Restricted stock and performance shares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2,977</w:t>
            </w:r>
          </w:p>
        </w:tc>
      </w:tr>
      <w:tr>
        <w:trPr>
          <w:trHeight w:val="270"/>
        </w:trPr>
        <w:tc>
          <w:tcPr>
            <w:tcW w:w="836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Convertible preferred stock</w:t>
            </w:r>
          </w:p>
        </w:tc>
        <w:tc>
          <w:tcPr>
            <w:tcW w:w="340" w:type="dxa"/>
            <w:vAlign w:val="bottom"/>
            <w:shd w:val="clear" w:color="auto" w:fill="E5E5E5"/>
          </w:tcPr>
          <w:p>
            <w:pPr>
              <w:spacing w:after="0"/>
              <w:rPr>
                <w:sz w:val="23"/>
                <w:szCs w:val="23"/>
                <w:color w:val="auto"/>
              </w:rPr>
            </w:pPr>
          </w:p>
        </w:tc>
        <w:tc>
          <w:tcPr>
            <w:tcW w:w="1260" w:type="dxa"/>
            <w:vAlign w:val="bottom"/>
            <w:gridSpan w:val="2"/>
            <w:shd w:val="clear" w:color="auto" w:fill="E5E5E5"/>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E5E5E5"/>
          </w:tcPr>
          <w:p>
            <w:pPr>
              <w:spacing w:after="0"/>
              <w:rPr>
                <w:sz w:val="23"/>
                <w:szCs w:val="23"/>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6,742</w:t>
            </w:r>
          </w:p>
        </w:tc>
      </w:tr>
      <w:tr>
        <w:trPr>
          <w:trHeight w:val="281"/>
        </w:trPr>
        <w:tc>
          <w:tcPr>
            <w:tcW w:w="8360" w:type="dxa"/>
            <w:vAlign w:val="bottom"/>
            <w:tcBorders>
              <w:bottom w:val="single" w:sz="8" w:color="E5E5E5"/>
            </w:tcBorders>
          </w:tcPr>
          <w:p>
            <w:pPr>
              <w:ind w:left="40"/>
              <w:spacing w:after="0"/>
              <w:rPr>
                <w:sz w:val="20"/>
                <w:szCs w:val="20"/>
                <w:color w:val="auto"/>
              </w:rPr>
            </w:pPr>
            <w:r>
              <w:rPr>
                <w:rFonts w:ascii="Arial" w:cs="Arial" w:eastAsia="Arial" w:hAnsi="Arial"/>
                <w:sz w:val="14"/>
                <w:szCs w:val="14"/>
                <w:color w:val="auto"/>
              </w:rPr>
              <w:t>Total Anti-Dilutive Securities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4,794</w:t>
            </w:r>
          </w:p>
        </w:tc>
        <w:tc>
          <w:tcPr>
            <w:tcW w:w="100" w:type="dxa"/>
            <w:vAlign w:val="bottom"/>
            <w:tcBorders>
              <w:bottom w:val="single" w:sz="8" w:color="E5E5E5"/>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9,719</w:t>
            </w:r>
          </w:p>
        </w:tc>
      </w:tr>
      <w:tr>
        <w:trPr>
          <w:trHeight w:val="264"/>
        </w:trPr>
        <w:tc>
          <w:tcPr>
            <w:tcW w:w="8360" w:type="dxa"/>
            <w:vAlign w:val="bottom"/>
            <w:shd w:val="clear" w:color="auto" w:fill="E5E5E5"/>
          </w:tcPr>
          <w:p>
            <w:pPr>
              <w:spacing w:after="0"/>
              <w:rPr>
                <w:sz w:val="22"/>
                <w:szCs w:val="22"/>
                <w:color w:val="auto"/>
              </w:rPr>
            </w:pPr>
          </w:p>
        </w:tc>
        <w:tc>
          <w:tcPr>
            <w:tcW w:w="340" w:type="dxa"/>
            <w:vAlign w:val="bottom"/>
            <w:shd w:val="clear" w:color="auto" w:fill="E5E5E5"/>
          </w:tcPr>
          <w:p>
            <w:pPr>
              <w:spacing w:after="0"/>
              <w:rPr>
                <w:sz w:val="22"/>
                <w:szCs w:val="22"/>
                <w:color w:val="auto"/>
              </w:rPr>
            </w:pPr>
          </w:p>
        </w:tc>
        <w:tc>
          <w:tcPr>
            <w:tcW w:w="116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420" w:type="dxa"/>
            <w:vAlign w:val="bottom"/>
            <w:shd w:val="clear" w:color="auto" w:fill="E5E5E5"/>
          </w:tcPr>
          <w:p>
            <w:pPr>
              <w:spacing w:after="0"/>
              <w:rPr>
                <w:sz w:val="22"/>
                <w:szCs w:val="22"/>
                <w:color w:val="auto"/>
              </w:rPr>
            </w:pPr>
          </w:p>
        </w:tc>
        <w:tc>
          <w:tcPr>
            <w:tcW w:w="1040" w:type="dxa"/>
            <w:vAlign w:val="bottom"/>
            <w:shd w:val="clear" w:color="auto" w:fill="E5E5E5"/>
          </w:tcPr>
          <w:p>
            <w:pPr>
              <w:spacing w:after="0"/>
              <w:rPr>
                <w:sz w:val="22"/>
                <w:szCs w:val="22"/>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Dividends per Common Share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0.25</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8" w:right="23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25"/>
          <w:szCs w:val="25"/>
          <w:b w:val="1"/>
          <w:bCs w:val="1"/>
          <w:color w:val="DA2031"/>
        </w:rPr>
        <w:t>APPENDIX II</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DA2031"/>
        </w:rPr>
        <w:t>Xerox Corporation</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DA2031"/>
        </w:rPr>
        <w:t>Geographic Sales Channels and Product/Offering Definitions</w:t>
      </w:r>
    </w:p>
    <w:p>
      <w:pPr>
        <w:spacing w:after="0" w:line="200" w:lineRule="exact"/>
        <w:rPr>
          <w:sz w:val="20"/>
          <w:szCs w:val="20"/>
          <w:color w:val="auto"/>
        </w:rPr>
      </w:pPr>
    </w:p>
    <w:p>
      <w:pPr>
        <w:spacing w:after="0" w:line="206"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5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Americas, which includes our sales channels in the U.S. and Canada, as well as Mexico, and Central and South America.</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EMEA, which includes our sales channels in Europe, the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primarily includes our OEM business, as well as sales to and royalties from Fuji Xerox, and our licensing revenue.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3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right="1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Xerox Services, formerly known as Managed Document Services (MDS), which includes solutions and services that span from managing print to automating processes to managing content. Our primary offerings are Intelligent Workplace Services (IWS), which is our rebranded Managed Print Services, as well as Digital and Cloud Print Services (including centralized print services). Xerox Services also includes Communication and Marketing Solutions that were previously excluded from our former MDS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348" w:right="3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5"/>
          <w:szCs w:val="25"/>
          <w:b w:val="1"/>
          <w:bCs w:val="1"/>
          <w:color w:val="DA2031"/>
        </w:rPr>
        <w:t>APPENDIX III</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DA2031"/>
        </w:rPr>
        <w:t>Change in Presentation</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During first quarter 2019, we realigned portions of our business to support our new revenue strategy. This realignment included the combination and consolidation of certain sales units to better service customers consistently across the company. In connection with that realignment, we changed the classification of revenues and those related costs from certain service arrangements to consistently conform the presentation of those amounts among our various business units. Prior year amounts were also revised as follows to conform with the 2019 presentation. The revised presentation does not impact total revenues, total expenses or net income.</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rPr>
              <w:t>March 31, 2018</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color w:val="auto"/>
              </w:rPr>
              <w:t>As Reported</w:t>
            </w:r>
          </w:p>
        </w:tc>
        <w:tc>
          <w:tcPr>
            <w:tcW w:w="180" w:type="dxa"/>
            <w:vAlign w:val="bottom"/>
          </w:tcPr>
          <w:p>
            <w:pPr>
              <w:spacing w:after="0"/>
              <w:rPr>
                <w:sz w:val="22"/>
                <w:szCs w:val="22"/>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22"/>
                <w:szCs w:val="22"/>
                <w:color w:val="auto"/>
              </w:rPr>
            </w:pPr>
          </w:p>
        </w:tc>
        <w:tc>
          <w:tcPr>
            <w:tcW w:w="1320" w:type="dxa"/>
            <w:vAlign w:val="bottom"/>
          </w:tcPr>
          <w:p>
            <w:pPr>
              <w:jc w:val="right"/>
              <w:ind w:right="368"/>
              <w:spacing w:after="0"/>
              <w:rPr>
                <w:sz w:val="20"/>
                <w:szCs w:val="20"/>
                <w:color w:val="auto"/>
              </w:rPr>
            </w:pPr>
            <w:r>
              <w:rPr>
                <w:rFonts w:ascii="Arial" w:cs="Arial" w:eastAsia="Arial" w:hAnsi="Arial"/>
                <w:sz w:val="14"/>
                <w:szCs w:val="14"/>
                <w:color w:val="auto"/>
              </w:rPr>
              <w:t>As Revised</w:t>
            </w:r>
          </w:p>
        </w:tc>
      </w:tr>
      <w:tr>
        <w:trPr>
          <w:trHeight w:val="254"/>
        </w:trPr>
        <w:tc>
          <w:tcPr>
            <w:tcW w:w="6380" w:type="dxa"/>
            <w:vAlign w:val="bottom"/>
            <w:tcBorders>
              <w:top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Sales</w:t>
            </w:r>
          </w:p>
        </w:tc>
        <w:tc>
          <w:tcPr>
            <w:tcW w:w="260" w:type="dxa"/>
            <w:vAlign w:val="bottom"/>
            <w:tcBorders>
              <w:top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933</w:t>
            </w:r>
          </w:p>
        </w:tc>
        <w:tc>
          <w:tcPr>
            <w:tcW w:w="120" w:type="dxa"/>
            <w:vAlign w:val="bottom"/>
            <w:tcBorders>
              <w:top w:val="single" w:sz="8" w:color="E5E5E5"/>
            </w:tcBorders>
            <w:shd w:val="clear" w:color="auto" w:fill="E5E5E5"/>
          </w:tcPr>
          <w:p>
            <w:pPr>
              <w:spacing w:after="0"/>
              <w:rPr>
                <w:sz w:val="22"/>
                <w:szCs w:val="22"/>
                <w:color w:val="auto"/>
              </w:rPr>
            </w:pPr>
          </w:p>
        </w:tc>
        <w:tc>
          <w:tcPr>
            <w:tcW w:w="180" w:type="dxa"/>
            <w:vAlign w:val="bottom"/>
            <w:tcBorders>
              <w:top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E5E5E5"/>
            </w:tcBorders>
            <w:shd w:val="clear" w:color="auto" w:fill="E5E5E5"/>
          </w:tcPr>
          <w:p>
            <w:pPr>
              <w:spacing w:after="0"/>
              <w:rPr>
                <w:sz w:val="22"/>
                <w:szCs w:val="22"/>
                <w:color w:val="auto"/>
              </w:rPr>
            </w:pPr>
          </w:p>
        </w:tc>
        <w:tc>
          <w:tcPr>
            <w:tcW w:w="260" w:type="dxa"/>
            <w:vAlign w:val="bottom"/>
            <w:tcBorders>
              <w:top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845</w:t>
            </w:r>
          </w:p>
        </w:tc>
      </w:tr>
      <w:tr>
        <w:trPr>
          <w:trHeight w:val="266"/>
        </w:trPr>
        <w:tc>
          <w:tcPr>
            <w:tcW w:w="6380" w:type="dxa"/>
            <w:vAlign w:val="bottom"/>
          </w:tcPr>
          <w:p>
            <w:pPr>
              <w:ind w:left="280"/>
              <w:spacing w:after="0"/>
              <w:rPr>
                <w:sz w:val="20"/>
                <w:szCs w:val="20"/>
                <w:color w:val="auto"/>
              </w:rPr>
            </w:pPr>
            <w:r>
              <w:rPr>
                <w:rFonts w:ascii="Arial" w:cs="Arial" w:eastAsia="Arial" w:hAnsi="Arial"/>
                <w:sz w:val="14"/>
                <w:szCs w:val="14"/>
                <w:color w:val="auto"/>
              </w:rPr>
              <w:t>Services, maintenance and rentals</w:t>
            </w:r>
          </w:p>
        </w:tc>
        <w:tc>
          <w:tcPr>
            <w:tcW w:w="260" w:type="dxa"/>
            <w:vAlign w:val="bottom"/>
          </w:tcPr>
          <w:p>
            <w:pPr>
              <w:spacing w:after="0"/>
              <w:rPr>
                <w:sz w:val="23"/>
                <w:szCs w:val="23"/>
                <w:color w:val="auto"/>
              </w:rPr>
            </w:pP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1,519</w:t>
            </w:r>
          </w:p>
        </w:tc>
      </w:tr>
      <w:tr>
        <w:trPr>
          <w:trHeight w:val="288"/>
        </w:trPr>
        <w:tc>
          <w:tcPr>
            <w:tcW w:w="638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360" w:type="dxa"/>
            <w:vAlign w:val="bottom"/>
            <w:shd w:val="clear" w:color="auto" w:fill="E5E5E5"/>
          </w:tcPr>
          <w:p>
            <w:pPr>
              <w:spacing w:after="0"/>
              <w:rPr>
                <w:sz w:val="24"/>
                <w:szCs w:val="24"/>
                <w:color w:val="auto"/>
              </w:rPr>
            </w:pPr>
          </w:p>
        </w:tc>
        <w:tc>
          <w:tcPr>
            <w:tcW w:w="120" w:type="dxa"/>
            <w:vAlign w:val="bottom"/>
            <w:shd w:val="clear" w:color="auto" w:fill="E5E5E5"/>
          </w:tcPr>
          <w:p>
            <w:pPr>
              <w:spacing w:after="0"/>
              <w:rPr>
                <w:sz w:val="24"/>
                <w:szCs w:val="24"/>
                <w:color w:val="auto"/>
              </w:rPr>
            </w:pPr>
          </w:p>
        </w:tc>
        <w:tc>
          <w:tcPr>
            <w:tcW w:w="180" w:type="dxa"/>
            <w:vAlign w:val="bottom"/>
            <w:shd w:val="clear" w:color="auto" w:fill="E5E5E5"/>
          </w:tcPr>
          <w:p>
            <w:pPr>
              <w:spacing w:after="0"/>
              <w:rPr>
                <w:sz w:val="24"/>
                <w:szCs w:val="24"/>
                <w:color w:val="auto"/>
              </w:rPr>
            </w:pPr>
          </w:p>
        </w:tc>
        <w:tc>
          <w:tcPr>
            <w:tcW w:w="138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260" w:type="dxa"/>
            <w:vAlign w:val="bottom"/>
            <w:shd w:val="clear" w:color="auto" w:fill="E5E5E5"/>
          </w:tcPr>
          <w:p>
            <w:pPr>
              <w:spacing w:after="0"/>
              <w:rPr>
                <w:sz w:val="24"/>
                <w:szCs w:val="24"/>
                <w:color w:val="auto"/>
              </w:rPr>
            </w:pPr>
          </w:p>
        </w:tc>
        <w:tc>
          <w:tcPr>
            <w:tcW w:w="1320" w:type="dxa"/>
            <w:vAlign w:val="bottom"/>
            <w:shd w:val="clear" w:color="auto" w:fill="E5E5E5"/>
          </w:tcPr>
          <w:p>
            <w:pPr>
              <w:spacing w:after="0"/>
              <w:rPr>
                <w:sz w:val="24"/>
                <w:szCs w:val="24"/>
                <w:color w:val="auto"/>
              </w:rPr>
            </w:pPr>
          </w:p>
        </w:tc>
      </w:tr>
      <w:tr>
        <w:trPr>
          <w:trHeight w:val="266"/>
        </w:trPr>
        <w:tc>
          <w:tcPr>
            <w:tcW w:w="638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532</w:t>
            </w:r>
          </w:p>
        </w:tc>
      </w:tr>
      <w:tr>
        <w:trPr>
          <w:trHeight w:val="274"/>
        </w:trPr>
        <w:tc>
          <w:tcPr>
            <w:tcW w:w="6380" w:type="dxa"/>
            <w:vAlign w:val="bottom"/>
            <w:shd w:val="clear" w:color="auto" w:fill="E5E5E5"/>
          </w:tcPr>
          <w:p>
            <w:pPr>
              <w:ind w:left="280"/>
              <w:spacing w:after="0"/>
              <w:rPr>
                <w:sz w:val="20"/>
                <w:szCs w:val="20"/>
                <w:color w:val="auto"/>
              </w:rPr>
            </w:pPr>
            <w:r>
              <w:rPr>
                <w:rFonts w:ascii="Arial" w:cs="Arial" w:eastAsia="Arial" w:hAnsi="Arial"/>
                <w:sz w:val="14"/>
                <w:szCs w:val="14"/>
                <w:color w:val="auto"/>
              </w:rPr>
              <w:t>Cost of services, maintenance and rentals</w:t>
            </w:r>
          </w:p>
        </w:tc>
        <w:tc>
          <w:tcPr>
            <w:tcW w:w="260" w:type="dxa"/>
            <w:vAlign w:val="bottom"/>
            <w:shd w:val="clear" w:color="auto" w:fill="E5E5E5"/>
          </w:tcPr>
          <w:p>
            <w:pPr>
              <w:spacing w:after="0"/>
              <w:rPr>
                <w:sz w:val="23"/>
                <w:szCs w:val="23"/>
                <w:color w:val="auto"/>
              </w:rPr>
            </w:pPr>
          </w:p>
        </w:tc>
        <w:tc>
          <w:tcPr>
            <w:tcW w:w="13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868</w:t>
            </w:r>
          </w:p>
        </w:tc>
        <w:tc>
          <w:tcPr>
            <w:tcW w:w="120" w:type="dxa"/>
            <w:vAlign w:val="bottom"/>
            <w:shd w:val="clear" w:color="auto" w:fill="E5E5E5"/>
          </w:tcPr>
          <w:p>
            <w:pPr>
              <w:spacing w:after="0"/>
              <w:rPr>
                <w:sz w:val="23"/>
                <w:szCs w:val="23"/>
                <w:color w:val="auto"/>
              </w:rPr>
            </w:pPr>
          </w:p>
        </w:tc>
        <w:tc>
          <w:tcPr>
            <w:tcW w:w="180" w:type="dxa"/>
            <w:vAlign w:val="bottom"/>
            <w:shd w:val="clear" w:color="auto" w:fill="E5E5E5"/>
          </w:tcPr>
          <w:p>
            <w:pPr>
              <w:spacing w:after="0"/>
              <w:rPr>
                <w:sz w:val="23"/>
                <w:szCs w:val="23"/>
                <w:color w:val="auto"/>
              </w:rPr>
            </w:pPr>
          </w:p>
        </w:tc>
        <w:tc>
          <w:tcPr>
            <w:tcW w:w="13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13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899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sectPr>
      <w:pgSz w:w="11900" w:h="16838" w:orient="portrait"/>
      <w:cols w:equalWidth="0" w:num="1">
        <w:col w:w="11400"/>
      </w:cols>
      <w:pgMar w:left="240" w:top="34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lvl w:ilvl="1">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2019-12-28T13:44:49Z</dcterms:created>
  <dcterms:modified xsi:type="dcterms:W3CDTF">2019-12-28T13:44:49Z</dcterms:modified>
</cp:coreProperties>
</file>