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15"/>
          <w:szCs w:val="15"/>
          <w:b w:val="1"/>
          <w:bCs w:val="1"/>
          <w:color w:val="auto"/>
        </w:rPr>
        <w:t>UNITED STATES</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15"/>
          <w:szCs w:val="15"/>
          <w:b w:val="1"/>
          <w:bCs w:val="1"/>
          <w:color w:val="auto"/>
        </w:rPr>
        <w:t>SECURITIES AND EXCHANGE COMMISSION</w:t>
      </w:r>
    </w:p>
    <w:p>
      <w:pPr>
        <w:jc w:val="center"/>
        <w:ind w:right="-679"/>
        <w:spacing w:after="0"/>
        <w:rPr>
          <w:sz w:val="20"/>
          <w:szCs w:val="20"/>
          <w:color w:val="auto"/>
        </w:rPr>
      </w:pPr>
      <w:r>
        <w:rPr>
          <w:rFonts w:ascii="Arial" w:cs="Arial" w:eastAsia="Arial" w:hAnsi="Arial"/>
          <w:sz w:val="12"/>
          <w:szCs w:val="12"/>
          <w:b w:val="1"/>
          <w:bCs w:val="1"/>
          <w:color w:val="auto"/>
        </w:rPr>
        <w:t>Washington, D.C. 20549</w:t>
      </w:r>
    </w:p>
    <w:p>
      <w:pPr>
        <w:spacing w:after="0" w:line="8" w:lineRule="exact"/>
        <w:rPr>
          <w:sz w:val="24"/>
          <w:szCs w:val="24"/>
          <w:color w:val="auto"/>
        </w:rPr>
      </w:pPr>
    </w:p>
    <w:p>
      <w:pPr>
        <w:ind w:left="2600"/>
        <w:spacing w:after="0"/>
        <w:rPr>
          <w:sz w:val="20"/>
          <w:szCs w:val="20"/>
          <w:color w:val="auto"/>
        </w:rPr>
      </w:pPr>
      <w:r>
        <w:rPr>
          <w:rFonts w:ascii="Arial" w:cs="Arial" w:eastAsia="Arial" w:hAnsi="Arial"/>
          <w:sz w:val="12"/>
          <w:szCs w:val="12"/>
          <w:color w:val="7F160E"/>
        </w:rPr>
        <w:t>______________________________________________________________________________________________________</w:t>
      </w:r>
    </w:p>
    <w:p>
      <w:pPr>
        <w:spacing w:after="0" w:line="62" w:lineRule="exact"/>
        <w:rPr>
          <w:sz w:val="24"/>
          <w:szCs w:val="24"/>
          <w:color w:val="auto"/>
        </w:rPr>
      </w:pPr>
    </w:p>
    <w:p>
      <w:pPr>
        <w:jc w:val="center"/>
        <w:ind w:right="-639"/>
        <w:spacing w:after="0"/>
        <w:rPr>
          <w:sz w:val="20"/>
          <w:szCs w:val="20"/>
          <w:color w:val="auto"/>
        </w:rPr>
      </w:pPr>
      <w:r>
        <w:rPr>
          <w:rFonts w:ascii="Arial" w:cs="Arial" w:eastAsia="Arial" w:hAnsi="Arial"/>
          <w:sz w:val="17"/>
          <w:szCs w:val="17"/>
          <w:b w:val="1"/>
          <w:bCs w:val="1"/>
          <w:color w:val="auto"/>
        </w:rPr>
        <w:t>FORM 8-K</w:t>
      </w:r>
    </w:p>
    <w:p>
      <w:pPr>
        <w:spacing w:after="0" w:line="33" w:lineRule="exact"/>
        <w:rPr>
          <w:sz w:val="24"/>
          <w:szCs w:val="24"/>
          <w:color w:val="auto"/>
        </w:rPr>
      </w:pPr>
    </w:p>
    <w:p>
      <w:pPr>
        <w:ind w:left="2680"/>
        <w:spacing w:after="0"/>
        <w:rPr>
          <w:sz w:val="20"/>
          <w:szCs w:val="20"/>
          <w:color w:val="auto"/>
        </w:rPr>
      </w:pPr>
      <w:r>
        <w:rPr>
          <w:rFonts w:ascii="Arial" w:cs="Arial" w:eastAsia="Arial" w:hAnsi="Arial"/>
          <w:sz w:val="12"/>
          <w:szCs w:val="12"/>
          <w:color w:val="7F160E"/>
        </w:rPr>
        <w:t>_____________________________________________________________________________________________________</w:t>
      </w:r>
    </w:p>
    <w:p>
      <w:pPr>
        <w:spacing w:after="0" w:line="139" w:lineRule="exact"/>
        <w:rPr>
          <w:sz w:val="24"/>
          <w:szCs w:val="24"/>
          <w:color w:val="auto"/>
        </w:rPr>
      </w:pPr>
    </w:p>
    <w:p>
      <w:pPr>
        <w:jc w:val="center"/>
        <w:ind w:right="-679"/>
        <w:spacing w:after="0"/>
        <w:rPr>
          <w:sz w:val="20"/>
          <w:szCs w:val="20"/>
          <w:color w:val="auto"/>
        </w:rPr>
      </w:pPr>
      <w:r>
        <w:rPr>
          <w:rFonts w:ascii="Arial" w:cs="Arial" w:eastAsia="Arial" w:hAnsi="Arial"/>
          <w:sz w:val="12"/>
          <w:szCs w:val="12"/>
          <w:b w:val="1"/>
          <w:bCs w:val="1"/>
          <w:color w:val="auto"/>
        </w:rPr>
        <w:t>CURRENT REPORT</w:t>
      </w:r>
    </w:p>
    <w:p>
      <w:pPr>
        <w:spacing w:after="0" w:line="81" w:lineRule="exact"/>
        <w:rPr>
          <w:sz w:val="24"/>
          <w:szCs w:val="24"/>
          <w:color w:val="auto"/>
        </w:rPr>
      </w:pPr>
    </w:p>
    <w:p>
      <w:pPr>
        <w:jc w:val="center"/>
        <w:ind w:right="-679"/>
        <w:spacing w:after="0"/>
        <w:rPr>
          <w:sz w:val="20"/>
          <w:szCs w:val="20"/>
          <w:color w:val="auto"/>
        </w:rPr>
      </w:pPr>
      <w:r>
        <w:rPr>
          <w:rFonts w:ascii="Arial" w:cs="Arial" w:eastAsia="Arial" w:hAnsi="Arial"/>
          <w:sz w:val="12"/>
          <w:szCs w:val="12"/>
          <w:b w:val="1"/>
          <w:bCs w:val="1"/>
          <w:color w:val="auto"/>
        </w:rPr>
        <w:t>Pursuant to Section 13 or 15(d) of</w:t>
      </w:r>
    </w:p>
    <w:p>
      <w:pPr>
        <w:spacing w:after="0" w:line="22" w:lineRule="exact"/>
        <w:rPr>
          <w:sz w:val="24"/>
          <w:szCs w:val="24"/>
          <w:color w:val="auto"/>
        </w:rPr>
      </w:pPr>
    </w:p>
    <w:p>
      <w:pPr>
        <w:jc w:val="center"/>
        <w:ind w:right="-679"/>
        <w:spacing w:after="0"/>
        <w:rPr>
          <w:sz w:val="20"/>
          <w:szCs w:val="20"/>
          <w:color w:val="auto"/>
        </w:rPr>
      </w:pPr>
      <w:r>
        <w:rPr>
          <w:rFonts w:ascii="Arial" w:cs="Arial" w:eastAsia="Arial" w:hAnsi="Arial"/>
          <w:sz w:val="12"/>
          <w:szCs w:val="12"/>
          <w:b w:val="1"/>
          <w:bCs w:val="1"/>
          <w:color w:val="auto"/>
        </w:rPr>
        <w:t>the Securities Exchange Act of 1934</w:t>
      </w:r>
    </w:p>
    <w:p>
      <w:pPr>
        <w:spacing w:after="0" w:line="85" w:lineRule="exact"/>
        <w:rPr>
          <w:sz w:val="24"/>
          <w:szCs w:val="24"/>
          <w:color w:val="auto"/>
        </w:rPr>
      </w:pPr>
    </w:p>
    <w:p>
      <w:pPr>
        <w:jc w:val="center"/>
        <w:ind w:right="-639"/>
        <w:spacing w:after="0"/>
        <w:rPr>
          <w:sz w:val="20"/>
          <w:szCs w:val="20"/>
          <w:color w:val="auto"/>
        </w:rPr>
      </w:pPr>
      <w:r>
        <w:rPr>
          <w:rFonts w:ascii="Arial" w:cs="Arial" w:eastAsia="Arial" w:hAnsi="Arial"/>
          <w:sz w:val="12"/>
          <w:szCs w:val="12"/>
          <w:b w:val="1"/>
          <w:bCs w:val="1"/>
          <w:color w:val="auto"/>
        </w:rPr>
        <w:t>Date of Report (date of earliest event reported): October 29, 2019</w:t>
      </w:r>
    </w:p>
    <w:p>
      <w:pPr>
        <w:spacing w:after="0" w:line="22" w:lineRule="exact"/>
        <w:rPr>
          <w:sz w:val="24"/>
          <w:szCs w:val="24"/>
          <w:color w:val="auto"/>
        </w:rPr>
      </w:pPr>
    </w:p>
    <w:p>
      <w:pPr>
        <w:ind w:left="2680"/>
        <w:spacing w:after="0"/>
        <w:rPr>
          <w:sz w:val="20"/>
          <w:szCs w:val="20"/>
          <w:color w:val="auto"/>
        </w:rPr>
      </w:pPr>
      <w:r>
        <w:rPr>
          <w:rFonts w:ascii="Arial" w:cs="Arial" w:eastAsia="Arial" w:hAnsi="Arial"/>
          <w:sz w:val="12"/>
          <w:szCs w:val="12"/>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3232785</wp:posOffset>
            </wp:positionH>
            <wp:positionV relativeFrom="paragraph">
              <wp:posOffset>179070</wp:posOffset>
            </wp:positionV>
            <wp:extent cx="816610" cy="161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6610" cy="1619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679"/>
        <w:spacing w:after="0"/>
        <w:rPr>
          <w:sz w:val="20"/>
          <w:szCs w:val="20"/>
          <w:color w:val="auto"/>
        </w:rPr>
      </w:pPr>
      <w:r>
        <w:rPr>
          <w:rFonts w:ascii="Arial" w:cs="Arial" w:eastAsia="Arial" w:hAnsi="Arial"/>
          <w:sz w:val="13"/>
          <w:szCs w:val="13"/>
          <w:b w:val="1"/>
          <w:bCs w:val="1"/>
          <w:color w:val="auto"/>
        </w:rPr>
        <w:t>XEROX HOLDINGS CORPORATION</w:t>
      </w:r>
    </w:p>
    <w:p>
      <w:pPr>
        <w:spacing w:after="0" w:line="33" w:lineRule="exact"/>
        <w:rPr>
          <w:sz w:val="24"/>
          <w:szCs w:val="24"/>
          <w:color w:val="auto"/>
        </w:rPr>
      </w:pPr>
    </w:p>
    <w:p>
      <w:pPr>
        <w:jc w:val="center"/>
        <w:ind w:right="-679"/>
        <w:spacing w:after="0"/>
        <w:rPr>
          <w:sz w:val="20"/>
          <w:szCs w:val="20"/>
          <w:color w:val="auto"/>
        </w:rPr>
      </w:pPr>
      <w:r>
        <w:rPr>
          <w:rFonts w:ascii="Arial" w:cs="Arial" w:eastAsia="Arial" w:hAnsi="Arial"/>
          <w:sz w:val="13"/>
          <w:szCs w:val="13"/>
          <w:b w:val="1"/>
          <w:bCs w:val="1"/>
          <w:color w:val="auto"/>
        </w:rPr>
        <w:t>XEROX CORPORATION</w:t>
      </w:r>
    </w:p>
    <w:p>
      <w:pPr>
        <w:spacing w:after="0" w:line="55" w:lineRule="exact"/>
        <w:rPr>
          <w:sz w:val="24"/>
          <w:szCs w:val="24"/>
          <w:color w:val="auto"/>
        </w:rPr>
      </w:pPr>
    </w:p>
    <w:p>
      <w:pPr>
        <w:ind w:left="4620"/>
        <w:spacing w:after="0"/>
        <w:rPr>
          <w:sz w:val="20"/>
          <w:szCs w:val="20"/>
          <w:color w:val="auto"/>
        </w:rPr>
      </w:pPr>
      <w:r>
        <w:rPr>
          <w:rFonts w:ascii="Arial" w:cs="Arial" w:eastAsia="Arial" w:hAnsi="Arial"/>
          <w:sz w:val="10"/>
          <w:szCs w:val="10"/>
          <w:color w:val="auto"/>
        </w:rPr>
        <w:t>(Exact Name of Registrant as specified in its charter)</w:t>
      </w:r>
    </w:p>
    <w:p>
      <w:pPr>
        <w:spacing w:after="0" w:line="106" w:lineRule="exact"/>
        <w:rPr>
          <w:sz w:val="24"/>
          <w:szCs w:val="24"/>
          <w:color w:val="auto"/>
        </w:rPr>
      </w:pPr>
    </w:p>
    <w:tbl>
      <w:tblPr>
        <w:tblLayout w:type="fixed"/>
        <w:tblInd w:w="720" w:type="dxa"/>
        <w:tblCellMar>
          <w:top w:w="0" w:type="dxa"/>
          <w:left w:w="0" w:type="dxa"/>
          <w:bottom w:w="0" w:type="dxa"/>
          <w:right w:w="0" w:type="dxa"/>
        </w:tblCellMar>
      </w:tblPr>
      <w:tr>
        <w:trPr>
          <w:trHeight w:val="145"/>
        </w:trPr>
        <w:tc>
          <w:tcPr>
            <w:tcW w:w="3500" w:type="dxa"/>
            <w:vAlign w:val="bottom"/>
          </w:tcPr>
          <w:p>
            <w:pPr>
              <w:jc w:val="center"/>
              <w:ind w:right="947"/>
              <w:spacing w:after="0"/>
              <w:rPr>
                <w:sz w:val="20"/>
                <w:szCs w:val="20"/>
                <w:color w:val="auto"/>
              </w:rPr>
            </w:pPr>
            <w:r>
              <w:rPr>
                <w:rFonts w:ascii="Arial" w:cs="Arial" w:eastAsia="Arial" w:hAnsi="Arial"/>
                <w:sz w:val="11"/>
                <w:szCs w:val="11"/>
                <w:b w:val="1"/>
                <w:bCs w:val="1"/>
                <w:color w:val="auto"/>
                <w:w w:val="99"/>
              </w:rPr>
              <w:t>New York</w:t>
            </w:r>
          </w:p>
        </w:tc>
        <w:tc>
          <w:tcPr>
            <w:tcW w:w="3580" w:type="dxa"/>
            <w:vAlign w:val="bottom"/>
          </w:tcPr>
          <w:p>
            <w:pPr>
              <w:jc w:val="center"/>
              <w:ind w:right="367"/>
              <w:spacing w:after="0"/>
              <w:rPr>
                <w:sz w:val="20"/>
                <w:szCs w:val="20"/>
                <w:color w:val="auto"/>
              </w:rPr>
            </w:pPr>
            <w:r>
              <w:rPr>
                <w:rFonts w:ascii="Arial" w:cs="Arial" w:eastAsia="Arial" w:hAnsi="Arial"/>
                <w:sz w:val="11"/>
                <w:szCs w:val="11"/>
                <w:b w:val="1"/>
                <w:bCs w:val="1"/>
                <w:color w:val="auto"/>
                <w:w w:val="98"/>
              </w:rPr>
              <w:t>001-39013</w:t>
            </w:r>
          </w:p>
        </w:tc>
        <w:tc>
          <w:tcPr>
            <w:tcW w:w="2080" w:type="dxa"/>
            <w:vAlign w:val="bottom"/>
          </w:tcPr>
          <w:p>
            <w:pPr>
              <w:jc w:val="center"/>
              <w:ind w:left="1387"/>
              <w:spacing w:after="0"/>
              <w:rPr>
                <w:sz w:val="20"/>
                <w:szCs w:val="20"/>
                <w:color w:val="auto"/>
              </w:rPr>
            </w:pPr>
            <w:r>
              <w:rPr>
                <w:rFonts w:ascii="Arial" w:cs="Arial" w:eastAsia="Arial" w:hAnsi="Arial"/>
                <w:sz w:val="11"/>
                <w:szCs w:val="11"/>
                <w:b w:val="1"/>
                <w:bCs w:val="1"/>
                <w:color w:val="auto"/>
              </w:rPr>
              <w:t>83-3933743</w:t>
            </w:r>
          </w:p>
        </w:tc>
      </w:tr>
      <w:tr>
        <w:trPr>
          <w:trHeight w:val="164"/>
        </w:trPr>
        <w:tc>
          <w:tcPr>
            <w:tcW w:w="3500" w:type="dxa"/>
            <w:vAlign w:val="bottom"/>
          </w:tcPr>
          <w:p>
            <w:pPr>
              <w:jc w:val="center"/>
              <w:ind w:right="947"/>
              <w:spacing w:after="0"/>
              <w:rPr>
                <w:sz w:val="20"/>
                <w:szCs w:val="20"/>
                <w:color w:val="auto"/>
              </w:rPr>
            </w:pPr>
            <w:r>
              <w:rPr>
                <w:rFonts w:ascii="Arial" w:cs="Arial" w:eastAsia="Arial" w:hAnsi="Arial"/>
                <w:sz w:val="11"/>
                <w:szCs w:val="11"/>
                <w:b w:val="1"/>
                <w:bCs w:val="1"/>
                <w:color w:val="auto"/>
                <w:w w:val="99"/>
              </w:rPr>
              <w:t>New York</w:t>
            </w:r>
          </w:p>
        </w:tc>
        <w:tc>
          <w:tcPr>
            <w:tcW w:w="3580" w:type="dxa"/>
            <w:vAlign w:val="bottom"/>
          </w:tcPr>
          <w:p>
            <w:pPr>
              <w:jc w:val="center"/>
              <w:ind w:right="367"/>
              <w:spacing w:after="0"/>
              <w:rPr>
                <w:sz w:val="20"/>
                <w:szCs w:val="20"/>
                <w:color w:val="auto"/>
              </w:rPr>
            </w:pPr>
            <w:r>
              <w:rPr>
                <w:rFonts w:ascii="Arial" w:cs="Arial" w:eastAsia="Arial" w:hAnsi="Arial"/>
                <w:sz w:val="11"/>
                <w:szCs w:val="11"/>
                <w:b w:val="1"/>
                <w:bCs w:val="1"/>
                <w:color w:val="auto"/>
                <w:w w:val="98"/>
              </w:rPr>
              <w:t>001-04471</w:t>
            </w:r>
          </w:p>
        </w:tc>
        <w:tc>
          <w:tcPr>
            <w:tcW w:w="2080" w:type="dxa"/>
            <w:vAlign w:val="bottom"/>
          </w:tcPr>
          <w:p>
            <w:pPr>
              <w:jc w:val="center"/>
              <w:ind w:left="1387"/>
              <w:spacing w:after="0"/>
              <w:rPr>
                <w:sz w:val="20"/>
                <w:szCs w:val="20"/>
                <w:color w:val="auto"/>
              </w:rPr>
            </w:pPr>
            <w:r>
              <w:rPr>
                <w:rFonts w:ascii="Arial" w:cs="Arial" w:eastAsia="Arial" w:hAnsi="Arial"/>
                <w:sz w:val="11"/>
                <w:szCs w:val="11"/>
                <w:b w:val="1"/>
                <w:bCs w:val="1"/>
                <w:color w:val="auto"/>
              </w:rPr>
              <w:t>16-0468020</w:t>
            </w:r>
          </w:p>
        </w:tc>
      </w:tr>
      <w:tr>
        <w:trPr>
          <w:trHeight w:val="144"/>
        </w:trPr>
        <w:tc>
          <w:tcPr>
            <w:tcW w:w="3500" w:type="dxa"/>
            <w:vAlign w:val="bottom"/>
          </w:tcPr>
          <w:p>
            <w:pPr>
              <w:jc w:val="center"/>
              <w:ind w:right="947"/>
              <w:spacing w:after="0"/>
              <w:rPr>
                <w:sz w:val="20"/>
                <w:szCs w:val="20"/>
                <w:color w:val="auto"/>
              </w:rPr>
            </w:pPr>
            <w:r>
              <w:rPr>
                <w:rFonts w:ascii="Arial" w:cs="Arial" w:eastAsia="Arial" w:hAnsi="Arial"/>
                <w:sz w:val="10"/>
                <w:szCs w:val="10"/>
                <w:color w:val="auto"/>
                <w:w w:val="96"/>
              </w:rPr>
              <w:t>(State or other jurisdiction of incorporation or organization)</w:t>
            </w:r>
          </w:p>
        </w:tc>
        <w:tc>
          <w:tcPr>
            <w:tcW w:w="3580" w:type="dxa"/>
            <w:vAlign w:val="bottom"/>
          </w:tcPr>
          <w:p>
            <w:pPr>
              <w:jc w:val="center"/>
              <w:ind w:right="367"/>
              <w:spacing w:after="0"/>
              <w:rPr>
                <w:sz w:val="20"/>
                <w:szCs w:val="20"/>
                <w:color w:val="auto"/>
              </w:rPr>
            </w:pPr>
            <w:r>
              <w:rPr>
                <w:rFonts w:ascii="Arial" w:cs="Arial" w:eastAsia="Arial" w:hAnsi="Arial"/>
                <w:sz w:val="10"/>
                <w:szCs w:val="10"/>
                <w:color w:val="auto"/>
                <w:w w:val="97"/>
              </w:rPr>
              <w:t>(Commission File Number)</w:t>
            </w:r>
          </w:p>
        </w:tc>
        <w:tc>
          <w:tcPr>
            <w:tcW w:w="2080" w:type="dxa"/>
            <w:vAlign w:val="bottom"/>
          </w:tcPr>
          <w:p>
            <w:pPr>
              <w:jc w:val="center"/>
              <w:ind w:left="1387"/>
              <w:spacing w:after="0"/>
              <w:rPr>
                <w:sz w:val="20"/>
                <w:szCs w:val="20"/>
                <w:color w:val="auto"/>
              </w:rPr>
            </w:pPr>
            <w:r>
              <w:rPr>
                <w:rFonts w:ascii="Arial" w:cs="Arial" w:eastAsia="Arial" w:hAnsi="Arial"/>
                <w:sz w:val="10"/>
                <w:szCs w:val="10"/>
                <w:color w:val="auto"/>
                <w:w w:val="98"/>
              </w:rPr>
              <w:t>(IRS Employer</w:t>
            </w:r>
          </w:p>
        </w:tc>
      </w:tr>
    </w:tbl>
    <w:p>
      <w:pPr>
        <w:ind w:left="9180"/>
        <w:spacing w:after="0"/>
        <w:rPr>
          <w:sz w:val="20"/>
          <w:szCs w:val="20"/>
          <w:color w:val="auto"/>
        </w:rPr>
      </w:pPr>
      <w:r>
        <w:rPr>
          <w:rFonts w:ascii="Arial" w:cs="Arial" w:eastAsia="Arial" w:hAnsi="Arial"/>
          <w:sz w:val="10"/>
          <w:szCs w:val="10"/>
          <w:color w:val="auto"/>
        </w:rPr>
        <w:t>Identification No.)</w:t>
      </w:r>
    </w:p>
    <w:p>
      <w:pPr>
        <w:spacing w:after="0" w:line="141" w:lineRule="exact"/>
        <w:rPr>
          <w:sz w:val="24"/>
          <w:szCs w:val="24"/>
          <w:color w:val="auto"/>
        </w:rPr>
      </w:pPr>
    </w:p>
    <w:p>
      <w:pPr>
        <w:jc w:val="center"/>
        <w:ind w:right="-679"/>
        <w:spacing w:after="0"/>
        <w:rPr>
          <w:sz w:val="20"/>
          <w:szCs w:val="20"/>
          <w:color w:val="auto"/>
        </w:rPr>
      </w:pPr>
      <w:r>
        <w:rPr>
          <w:rFonts w:ascii="Arial" w:cs="Arial" w:eastAsia="Arial" w:hAnsi="Arial"/>
          <w:sz w:val="12"/>
          <w:szCs w:val="12"/>
          <w:b w:val="1"/>
          <w:bCs w:val="1"/>
          <w:color w:val="auto"/>
        </w:rPr>
        <w:t>201 Merritt 7</w:t>
      </w:r>
    </w:p>
    <w:p>
      <w:pPr>
        <w:spacing w:after="0" w:line="22" w:lineRule="exact"/>
        <w:rPr>
          <w:sz w:val="24"/>
          <w:szCs w:val="24"/>
          <w:color w:val="auto"/>
        </w:rPr>
      </w:pPr>
    </w:p>
    <w:p>
      <w:pPr>
        <w:jc w:val="center"/>
        <w:ind w:right="-679"/>
        <w:spacing w:after="0"/>
        <w:rPr>
          <w:sz w:val="20"/>
          <w:szCs w:val="20"/>
          <w:color w:val="auto"/>
        </w:rPr>
      </w:pPr>
      <w:r>
        <w:rPr>
          <w:rFonts w:ascii="Arial" w:cs="Arial" w:eastAsia="Arial" w:hAnsi="Arial"/>
          <w:sz w:val="12"/>
          <w:szCs w:val="12"/>
          <w:b w:val="1"/>
          <w:bCs w:val="1"/>
          <w:color w:val="auto"/>
        </w:rPr>
        <w:t>Norwalk, Connecticut</w:t>
      </w:r>
    </w:p>
    <w:p>
      <w:pPr>
        <w:spacing w:after="0" w:line="8" w:lineRule="exact"/>
        <w:rPr>
          <w:sz w:val="24"/>
          <w:szCs w:val="24"/>
          <w:color w:val="auto"/>
        </w:rPr>
      </w:pPr>
    </w:p>
    <w:p>
      <w:pPr>
        <w:jc w:val="center"/>
        <w:ind w:right="-679"/>
        <w:spacing w:after="0"/>
        <w:rPr>
          <w:sz w:val="20"/>
          <w:szCs w:val="20"/>
          <w:color w:val="auto"/>
        </w:rPr>
      </w:pPr>
      <w:r>
        <w:rPr>
          <w:rFonts w:ascii="Arial" w:cs="Arial" w:eastAsia="Arial" w:hAnsi="Arial"/>
          <w:sz w:val="12"/>
          <w:szCs w:val="12"/>
          <w:b w:val="1"/>
          <w:bCs w:val="1"/>
          <w:color w:val="auto"/>
        </w:rPr>
        <w:t>06851-1056</w:t>
      </w:r>
    </w:p>
    <w:p>
      <w:pPr>
        <w:spacing w:after="0" w:line="8" w:lineRule="exact"/>
        <w:rPr>
          <w:sz w:val="24"/>
          <w:szCs w:val="24"/>
          <w:color w:val="auto"/>
        </w:rPr>
      </w:pPr>
    </w:p>
    <w:p>
      <w:pPr>
        <w:jc w:val="center"/>
        <w:ind w:right="-679"/>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140" w:lineRule="exact"/>
        <w:rPr>
          <w:sz w:val="24"/>
          <w:szCs w:val="24"/>
          <w:color w:val="auto"/>
        </w:rPr>
      </w:pPr>
    </w:p>
    <w:p>
      <w:pPr>
        <w:jc w:val="center"/>
        <w:ind w:right="-679"/>
        <w:spacing w:after="0"/>
        <w:rPr>
          <w:sz w:val="20"/>
          <w:szCs w:val="20"/>
          <w:color w:val="auto"/>
        </w:rPr>
      </w:pPr>
      <w:r>
        <w:rPr>
          <w:rFonts w:ascii="Arial" w:cs="Arial" w:eastAsia="Arial" w:hAnsi="Arial"/>
          <w:sz w:val="12"/>
          <w:szCs w:val="12"/>
          <w:b w:val="1"/>
          <w:bCs w:val="1"/>
          <w:color w:val="auto"/>
        </w:rPr>
        <w:t>Registrant’s telephone number, including area code: (203) 968-3000</w:t>
      </w:r>
    </w:p>
    <w:p>
      <w:pPr>
        <w:spacing w:after="0" w:line="22" w:lineRule="exact"/>
        <w:rPr>
          <w:sz w:val="24"/>
          <w:szCs w:val="24"/>
          <w:color w:val="auto"/>
        </w:rPr>
      </w:pPr>
    </w:p>
    <w:p>
      <w:pPr>
        <w:ind w:left="2660"/>
        <w:spacing w:after="0"/>
        <w:rPr>
          <w:sz w:val="20"/>
          <w:szCs w:val="20"/>
          <w:color w:val="auto"/>
        </w:rPr>
      </w:pPr>
      <w:r>
        <w:rPr>
          <w:rFonts w:ascii="Arial" w:cs="Arial" w:eastAsia="Arial" w:hAnsi="Arial"/>
          <w:sz w:val="12"/>
          <w:szCs w:val="12"/>
          <w:color w:val="7F160E"/>
        </w:rPr>
        <w:t>_____________________________________________________________________________________________________</w:t>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7" w:lineRule="exact"/>
        <w:rPr>
          <w:sz w:val="24"/>
          <w:szCs w:val="24"/>
          <w:color w:val="auto"/>
        </w:rPr>
      </w:pPr>
    </w:p>
    <w:p>
      <w:pPr>
        <w:ind w:left="700" w:hanging="689"/>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35" w:lineRule="exact"/>
        <w:rPr>
          <w:rFonts w:ascii="MS PGothic" w:cs="MS PGothic" w:eastAsia="MS PGothic" w:hAnsi="MS PGothic"/>
          <w:sz w:val="12"/>
          <w:szCs w:val="12"/>
          <w:color w:val="auto"/>
        </w:rPr>
      </w:pPr>
    </w:p>
    <w:p>
      <w:pPr>
        <w:ind w:left="700" w:hanging="689"/>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35" w:lineRule="exact"/>
        <w:rPr>
          <w:rFonts w:ascii="MS PGothic" w:cs="MS PGothic" w:eastAsia="MS PGothic" w:hAnsi="MS PGothic"/>
          <w:sz w:val="12"/>
          <w:szCs w:val="12"/>
          <w:color w:val="auto"/>
        </w:rPr>
      </w:pPr>
    </w:p>
    <w:p>
      <w:pPr>
        <w:ind w:left="700" w:hanging="689"/>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35" w:lineRule="exact"/>
        <w:rPr>
          <w:rFonts w:ascii="MS PGothic" w:cs="MS PGothic" w:eastAsia="MS PGothic" w:hAnsi="MS PGothic"/>
          <w:sz w:val="12"/>
          <w:szCs w:val="12"/>
          <w:color w:val="auto"/>
        </w:rPr>
      </w:pPr>
    </w:p>
    <w:p>
      <w:pPr>
        <w:ind w:left="700" w:hanging="689"/>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10" w:lineRule="exact"/>
        <w:rPr>
          <w:sz w:val="24"/>
          <w:szCs w:val="24"/>
          <w:color w:val="auto"/>
        </w:rPr>
      </w:pPr>
    </w:p>
    <w:p>
      <w:pPr>
        <w:ind w:left="4380"/>
        <w:spacing w:after="0"/>
        <w:rPr>
          <w:sz w:val="20"/>
          <w:szCs w:val="20"/>
          <w:color w:val="auto"/>
        </w:rPr>
      </w:pPr>
      <w:r>
        <w:rPr>
          <w:rFonts w:ascii="Arial" w:cs="Arial" w:eastAsia="Arial" w:hAnsi="Arial"/>
          <w:sz w:val="11"/>
          <w:szCs w:val="11"/>
          <w:color w:val="auto"/>
        </w:rPr>
        <w:t>Securities registered pursuant to Section 12(b) of the Act:</w:t>
      </w:r>
    </w:p>
    <w:p>
      <w:pPr>
        <w:sectPr>
          <w:pgSz w:w="11900" w:h="16838" w:orient="portrait"/>
          <w:cols w:equalWidth="0" w:num="1">
            <w:col w:w="10800"/>
          </w:cols>
          <w:pgMar w:left="220" w:top="199" w:right="879" w:bottom="1440" w:gutter="0" w:footer="0" w:header="0"/>
        </w:sectPr>
      </w:pPr>
    </w:p>
    <w:p>
      <w:pPr>
        <w:spacing w:after="0" w:line="38" w:lineRule="exact"/>
        <w:rPr>
          <w:sz w:val="24"/>
          <w:szCs w:val="24"/>
          <w:color w:val="auto"/>
        </w:rPr>
      </w:pPr>
    </w:p>
    <w:p>
      <w:pPr>
        <w:ind w:left="2080"/>
        <w:spacing w:after="0"/>
        <w:rPr>
          <w:sz w:val="20"/>
          <w:szCs w:val="20"/>
          <w:color w:val="auto"/>
        </w:rPr>
      </w:pPr>
      <w:r>
        <w:rPr>
          <w:rFonts w:ascii="Arial" w:cs="Arial" w:eastAsia="Arial" w:hAnsi="Arial"/>
          <w:sz w:val="10"/>
          <w:szCs w:val="10"/>
          <w:color w:val="auto"/>
        </w:rPr>
        <w:t>Title of each class</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0"/>
          <w:szCs w:val="10"/>
          <w:color w:val="auto"/>
        </w:rPr>
        <w:t>Trading Symbol</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1"/>
          <w:szCs w:val="11"/>
          <w:color w:val="auto"/>
        </w:rPr>
        <w:t>Name of each exchange on which registered</w:t>
      </w:r>
    </w:p>
    <w:p>
      <w:pPr>
        <w:spacing w:after="0" w:line="36" w:lineRule="exact"/>
        <w:rPr>
          <w:sz w:val="24"/>
          <w:szCs w:val="24"/>
          <w:color w:val="auto"/>
        </w:rPr>
      </w:pPr>
    </w:p>
    <w:p>
      <w:pPr>
        <w:sectPr>
          <w:pgSz w:w="11900" w:h="16838" w:orient="portrait"/>
          <w:cols w:equalWidth="0" w:num="3">
            <w:col w:w="4700" w:space="720"/>
            <w:col w:w="1780" w:space="720"/>
            <w:col w:w="2880"/>
          </w:cols>
          <w:pgMar w:left="220" w:top="199" w:right="8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Xerox Holdings Corporation Common Stock, $1 par value</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color w:val="auto"/>
        </w:rPr>
        <w:t>XRX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New York Stock Exchange</w:t>
      </w:r>
    </w:p>
    <w:p>
      <w:pPr>
        <w:spacing w:after="0" w:line="211" w:lineRule="exact"/>
        <w:rPr>
          <w:sz w:val="24"/>
          <w:szCs w:val="24"/>
          <w:color w:val="auto"/>
        </w:rPr>
      </w:pPr>
    </w:p>
    <w:p>
      <w:pPr>
        <w:sectPr>
          <w:pgSz w:w="11900" w:h="16838" w:orient="portrait"/>
          <w:cols w:equalWidth="0" w:num="3">
            <w:col w:w="4940" w:space="720"/>
            <w:col w:w="1920" w:space="720"/>
            <w:col w:w="2500"/>
          </w:cols>
          <w:pgMar w:left="220" w:top="199" w:right="879" w:bottom="1440" w:gutter="0" w:footer="0" w:header="0"/>
          <w:type w:val="continuous"/>
        </w:sectPr>
      </w:pPr>
    </w:p>
    <w:p>
      <w:pPr>
        <w:spacing w:after="0" w:line="202" w:lineRule="exact"/>
        <w:rPr>
          <w:sz w:val="24"/>
          <w:szCs w:val="24"/>
          <w:color w:val="auto"/>
        </w:rPr>
      </w:pPr>
    </w:p>
    <w:p>
      <w:pPr>
        <w:jc w:val="center"/>
        <w:ind w:right="-659"/>
        <w:spacing w:after="0"/>
        <w:rPr>
          <w:sz w:val="20"/>
          <w:szCs w:val="20"/>
          <w:color w:val="auto"/>
        </w:rPr>
      </w:pPr>
      <w:r>
        <w:rPr>
          <w:rFonts w:ascii="Arial" w:cs="Arial" w:eastAsia="Arial" w:hAnsi="Arial"/>
          <w:sz w:val="10"/>
          <w:szCs w:val="10"/>
          <w:color w:val="auto"/>
        </w:rPr>
        <w:t>Securities registered pursuant to Section 12(g) of the Act:</w:t>
      </w:r>
    </w:p>
    <w:p>
      <w:pPr>
        <w:spacing w:after="0" w:line="47" w:lineRule="exact"/>
        <w:rPr>
          <w:sz w:val="24"/>
          <w:szCs w:val="24"/>
          <w:color w:val="auto"/>
        </w:rPr>
      </w:pPr>
    </w:p>
    <w:p>
      <w:pPr>
        <w:ind w:left="5580"/>
        <w:spacing w:after="0"/>
        <w:rPr>
          <w:sz w:val="20"/>
          <w:szCs w:val="20"/>
          <w:color w:val="auto"/>
        </w:rPr>
      </w:pPr>
      <w:r>
        <w:rPr>
          <w:rFonts w:ascii="Arial" w:cs="Arial" w:eastAsia="Arial" w:hAnsi="Arial"/>
          <w:sz w:val="12"/>
          <w:szCs w:val="12"/>
          <w:color w:val="auto"/>
        </w:rPr>
        <w:t>None</w:t>
      </w:r>
    </w:p>
    <w:p>
      <w:pPr>
        <w:sectPr>
          <w:pgSz w:w="11900" w:h="16838" w:orient="portrait"/>
          <w:cols w:equalWidth="0" w:num="1">
            <w:col w:w="10800"/>
          </w:cols>
          <w:pgMar w:left="220" w:top="199" w:right="879" w:bottom="1440" w:gutter="0" w:footer="0" w:header="0"/>
          <w:type w:val="continuous"/>
        </w:sectPr>
      </w:pPr>
    </w:p>
    <w:bookmarkStart w:id="1" w:name="page2"/>
    <w:bookmarkEnd w:id="1"/>
    <w:p>
      <w:pPr>
        <w:ind w:right="80"/>
        <w:spacing w:after="0" w:line="26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9"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9"/>
          <w:szCs w:val="9"/>
          <w:color w:val="auto"/>
        </w:rPr>
        <w:t>☐</w:t>
      </w:r>
    </w:p>
    <w:p>
      <w:pPr>
        <w:spacing w:after="0" w:line="56" w:lineRule="exact"/>
        <w:rPr>
          <w:sz w:val="20"/>
          <w:szCs w:val="20"/>
          <w:color w:val="auto"/>
        </w:rPr>
      </w:pPr>
    </w:p>
    <w:p>
      <w:pPr>
        <w:spacing w:after="0" w:line="148"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ind w:left="2600"/>
        <w:spacing w:after="0"/>
        <w:rPr>
          <w:sz w:val="20"/>
          <w:szCs w:val="20"/>
          <w:color w:val="auto"/>
        </w:rPr>
      </w:pPr>
      <w:r>
        <w:rPr>
          <w:rFonts w:ascii="Arial" w:cs="Arial" w:eastAsia="Arial" w:hAnsi="Arial"/>
          <w:sz w:val="12"/>
          <w:szCs w:val="12"/>
          <w:color w:val="7F160E"/>
        </w:rPr>
        <w:t>______________________________________________________________________________________________________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2.02. Results of Operations and Financial Condition.</w:t>
      </w:r>
    </w:p>
    <w:p>
      <w:pPr>
        <w:spacing w:after="0" w:line="142" w:lineRule="exact"/>
        <w:rPr>
          <w:sz w:val="20"/>
          <w:szCs w:val="20"/>
          <w:color w:val="auto"/>
        </w:rPr>
      </w:pPr>
    </w:p>
    <w:p>
      <w:pPr>
        <w:ind w:right="220"/>
        <w:spacing w:after="0" w:line="267" w:lineRule="auto"/>
        <w:rPr>
          <w:sz w:val="20"/>
          <w:szCs w:val="20"/>
          <w:color w:val="auto"/>
        </w:rPr>
      </w:pPr>
      <w:r>
        <w:rPr>
          <w:rFonts w:ascii="Arial" w:cs="Arial" w:eastAsia="Arial" w:hAnsi="Arial"/>
          <w:sz w:val="12"/>
          <w:szCs w:val="12"/>
          <w:color w:val="auto"/>
        </w:rPr>
        <w:t>On October 29, 2019, Registrant released its third quarter 2019 earnings and is furnishing to the Securities and Exchange Commission ("SEC") a copy of the earnings press release as Exhibit 99.1 to this Report under Item 2.02 of Form 8-K.</w:t>
      </w:r>
    </w:p>
    <w:p>
      <w:pPr>
        <w:spacing w:after="0" w:line="103" w:lineRule="exact"/>
        <w:rPr>
          <w:sz w:val="20"/>
          <w:szCs w:val="20"/>
          <w:color w:val="auto"/>
        </w:rPr>
      </w:pPr>
    </w:p>
    <w:p>
      <w:pPr>
        <w:jc w:val="both"/>
        <w:ind w:right="160"/>
        <w:spacing w:after="0" w:line="258" w:lineRule="auto"/>
        <w:rPr>
          <w:sz w:val="20"/>
          <w:szCs w:val="20"/>
          <w:color w:val="auto"/>
        </w:rPr>
      </w:pPr>
      <w:r>
        <w:rPr>
          <w:rFonts w:ascii="Arial" w:cs="Arial" w:eastAsia="Arial" w:hAnsi="Arial"/>
          <w:sz w:val="12"/>
          <w:szCs w:val="12"/>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09" w:lineRule="exact"/>
        <w:rPr>
          <w:sz w:val="20"/>
          <w:szCs w:val="20"/>
          <w:color w:val="auto"/>
        </w:rPr>
      </w:pPr>
    </w:p>
    <w:p>
      <w:pPr>
        <w:ind w:right="320"/>
        <w:spacing w:after="0" w:line="267" w:lineRule="auto"/>
        <w:rPr>
          <w:sz w:val="20"/>
          <w:szCs w:val="20"/>
          <w:color w:val="auto"/>
        </w:rPr>
      </w:pPr>
      <w:r>
        <w:rPr>
          <w:rFonts w:ascii="Arial" w:cs="Arial" w:eastAsia="Arial" w:hAnsi="Arial"/>
          <w:sz w:val="12"/>
          <w:szCs w:val="12"/>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4620" w:type="dxa"/>
            <w:vAlign w:val="bottom"/>
          </w:tcPr>
          <w:p>
            <w:pPr>
              <w:ind w:left="420"/>
              <w:spacing w:after="0"/>
              <w:rPr>
                <w:sz w:val="20"/>
                <w:szCs w:val="20"/>
                <w:color w:val="auto"/>
              </w:rPr>
            </w:pPr>
            <w:r>
              <w:rPr>
                <w:rFonts w:ascii="Arial" w:cs="Arial" w:eastAsia="Arial" w:hAnsi="Arial"/>
                <w:sz w:val="12"/>
                <w:szCs w:val="12"/>
                <w:b w:val="1"/>
                <w:bCs w:val="1"/>
                <w:color w:val="auto"/>
              </w:rPr>
              <w:t>Description</w:t>
            </w:r>
          </w:p>
        </w:tc>
      </w:tr>
      <w:tr>
        <w:trPr>
          <w:trHeight w:val="146"/>
        </w:trPr>
        <w:tc>
          <w:tcPr>
            <w:tcW w:w="220" w:type="dxa"/>
            <w:vAlign w:val="bottom"/>
            <w:tcBorders>
              <w:bottom w:val="single" w:sz="8" w:color="0000FF"/>
            </w:tcBorders>
          </w:tcPr>
          <w:p>
            <w:pPr>
              <w:spacing w:after="0"/>
              <w:rPr>
                <w:rFonts w:ascii="Arial" w:cs="Arial" w:eastAsia="Arial" w:hAnsi="Arial"/>
                <w:sz w:val="12"/>
                <w:szCs w:val="12"/>
                <w:color w:val="0000FF"/>
                <w:w w:val="85"/>
              </w:rPr>
            </w:pPr>
            <w:hyperlink w:anchor="page6">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hyperlink>
          </w:p>
        </w:tc>
        <w:tc>
          <w:tcPr>
            <w:tcW w:w="840" w:type="dxa"/>
            <w:vAlign w:val="bottom"/>
          </w:tcPr>
          <w:p>
            <w:pPr>
              <w:spacing w:after="0"/>
              <w:rPr>
                <w:sz w:val="12"/>
                <w:szCs w:val="12"/>
                <w:color w:val="auto"/>
              </w:rPr>
            </w:pPr>
          </w:p>
        </w:tc>
        <w:tc>
          <w:tcPr>
            <w:tcW w:w="4620" w:type="dxa"/>
            <w:vAlign w:val="bottom"/>
          </w:tcPr>
          <w:p>
            <w:pPr>
              <w:ind w:left="420"/>
              <w:spacing w:after="0"/>
              <w:rPr>
                <w:sz w:val="20"/>
                <w:szCs w:val="20"/>
                <w:color w:val="auto"/>
              </w:rPr>
            </w:pPr>
            <w:r>
              <w:rPr>
                <w:rFonts w:ascii="Arial" w:cs="Arial" w:eastAsia="Arial" w:hAnsi="Arial"/>
                <w:sz w:val="12"/>
                <w:szCs w:val="12"/>
                <w:color w:val="auto"/>
              </w:rPr>
              <w:t>Registrant’s third quarter 2019 earnings press release dated October 29, 2019</w:t>
            </w:r>
          </w:p>
        </w:tc>
      </w:tr>
    </w:tbl>
    <w:p>
      <w:pPr>
        <w:sectPr>
          <w:pgSz w:w="11900" w:h="16838" w:orient="portrait"/>
          <w:cols w:equalWidth="0" w:num="1">
            <w:col w:w="11480"/>
          </w:cols>
          <w:pgMar w:left="220" w:top="376" w:right="19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Forward-Looking Statements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This filing,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the shared services arrangements entered into by us as part of Project Own It; and other factors that are set forth in the “Risk Factors” section, the “Legal Proceedings” section, the “Management’s Discussion and Analysis of Financial Condition and Results of Operations” section and other sections of Xerox Corporation's 2018 Annual Report on Form 10-K, as well as in Xerox Corporation's and Xerox Holdings Corporation's Quarterly Reports on Form 10-Q and Current Reports on Form 8-K filed with the SEC. These forward-looking statements speak only as of the date of this filing or as of the date to which they refer, and Xerox assumes no obligation to update any forward-looking statements as a result of new information or future events or developments, except as required by law.</w:t>
      </w:r>
    </w:p>
    <w:p>
      <w:pPr>
        <w:sectPr>
          <w:pgSz w:w="11900" w:h="16838" w:orient="portrait"/>
          <w:cols w:equalWidth="0" w:num="1">
            <w:col w:w="11480"/>
          </w:cols>
          <w:pgMar w:left="220" w:top="504"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SIGNATURES</w:t>
      </w:r>
    </w:p>
    <w:p>
      <w:pPr>
        <w:spacing w:after="0" w:line="133"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XEROX HOLDINGS CORPORATION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(Registrant)</w:t>
      </w:r>
    </w:p>
    <w:p>
      <w:pPr>
        <w:spacing w:after="0" w:line="126"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 J</w:t>
      </w:r>
      <w:r>
        <w:rPr>
          <w:rFonts w:ascii="Arial" w:cs="Arial" w:eastAsia="Arial" w:hAnsi="Arial"/>
          <w:sz w:val="9"/>
          <w:szCs w:val="9"/>
          <w:color w:val="auto"/>
        </w:rPr>
        <w:t>OSEPH</w:t>
      </w:r>
      <w:r>
        <w:rPr>
          <w:rFonts w:ascii="Arial" w:cs="Arial" w:eastAsia="Arial" w:hAnsi="Arial"/>
          <w:sz w:val="12"/>
          <w:szCs w:val="12"/>
          <w:color w:val="auto"/>
        </w:rPr>
        <w:t xml:space="preserve"> H. M</w:t>
      </w:r>
      <w:r>
        <w:rPr>
          <w:rFonts w:ascii="Arial" w:cs="Arial" w:eastAsia="Arial" w:hAnsi="Arial"/>
          <w:sz w:val="9"/>
          <w:szCs w:val="9"/>
          <w:color w:val="auto"/>
        </w:rPr>
        <w:t>ANCINI</w:t>
      </w:r>
      <w:r>
        <w:rPr>
          <w:rFonts w:ascii="Arial" w:cs="Arial" w:eastAsia="Arial" w:hAnsi="Arial"/>
          <w:sz w:val="12"/>
          <w:szCs w:val="12"/>
          <w:color w:val="auto"/>
        </w:rPr>
        <w:t>, J</w:t>
      </w:r>
      <w:r>
        <w:rPr>
          <w:rFonts w:ascii="Arial" w:cs="Arial" w:eastAsia="Arial" w:hAnsi="Arial"/>
          <w:sz w:val="9"/>
          <w:szCs w:val="9"/>
          <w:color w:val="auto"/>
        </w:rPr>
        <w:t>R</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11430</wp:posOffset>
            </wp:positionV>
            <wp:extent cx="23571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7120" cy="571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0"/>
          <w:szCs w:val="10"/>
          <w:b w:val="1"/>
          <w:bCs w:val="1"/>
          <w:color w:val="auto"/>
        </w:rPr>
        <w:t>Joseph H. Mancini, Jr.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0"/>
          <w:szCs w:val="10"/>
          <w:b w:val="1"/>
          <w:bCs w:val="1"/>
          <w:color w:val="auto"/>
        </w:rPr>
        <w:t>Vice President and</w:t>
      </w:r>
    </w:p>
    <w:p>
      <w:pPr>
        <w:ind w:left="520"/>
        <w:spacing w:after="0" w:line="228" w:lineRule="auto"/>
        <w:rPr>
          <w:sz w:val="20"/>
          <w:szCs w:val="20"/>
          <w:color w:val="auto"/>
        </w:rPr>
      </w:pPr>
      <w:r>
        <w:rPr>
          <w:rFonts w:ascii="Arial" w:cs="Arial" w:eastAsia="Arial" w:hAnsi="Arial"/>
          <w:sz w:val="10"/>
          <w:szCs w:val="10"/>
          <w:b w:val="1"/>
          <w:bCs w:val="1"/>
          <w:color w:val="auto"/>
        </w:rPr>
        <w:t>Chief Accounting Officer</w:t>
      </w:r>
    </w:p>
    <w:p>
      <w:pPr>
        <w:ind w:left="520"/>
        <w:spacing w:after="0"/>
        <w:rPr>
          <w:sz w:val="20"/>
          <w:szCs w:val="20"/>
          <w:color w:val="auto"/>
        </w:rPr>
      </w:pPr>
      <w:r>
        <w:rPr>
          <w:rFonts w:ascii="Arial" w:cs="Arial" w:eastAsia="Arial" w:hAnsi="Arial"/>
          <w:sz w:val="10"/>
          <w:szCs w:val="10"/>
          <w:b w:val="1"/>
          <w:bCs w:val="1"/>
          <w:color w:val="auto"/>
        </w:rPr>
        <w:t>(Principal Accounting Officer)</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color w:val="auto"/>
        </w:rPr>
        <w:t>Date: October 29, 2019</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XEROX CORPORATION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(Registrant)</w:t>
      </w:r>
    </w:p>
    <w:p>
      <w:pPr>
        <w:spacing w:after="0" w:line="126"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w:t>
      </w:r>
      <w:r>
        <w:rPr>
          <w:rFonts w:ascii="Arial" w:cs="Arial" w:eastAsia="Arial" w:hAnsi="Arial"/>
          <w:sz w:val="9"/>
          <w:szCs w:val="9"/>
          <w:color w:val="auto"/>
        </w:rPr>
        <w:t>S</w:t>
      </w:r>
      <w:r>
        <w:rPr>
          <w:rFonts w:ascii="Arial" w:cs="Arial" w:eastAsia="Arial" w:hAnsi="Arial"/>
          <w:sz w:val="12"/>
          <w:szCs w:val="12"/>
          <w:color w:val="auto"/>
        </w:rPr>
        <w:t>/ J</w:t>
      </w:r>
      <w:r>
        <w:rPr>
          <w:rFonts w:ascii="Arial" w:cs="Arial" w:eastAsia="Arial" w:hAnsi="Arial"/>
          <w:sz w:val="9"/>
          <w:szCs w:val="9"/>
          <w:color w:val="auto"/>
        </w:rPr>
        <w:t>OSEPH</w:t>
      </w:r>
      <w:r>
        <w:rPr>
          <w:rFonts w:ascii="Arial" w:cs="Arial" w:eastAsia="Arial" w:hAnsi="Arial"/>
          <w:sz w:val="12"/>
          <w:szCs w:val="12"/>
          <w:color w:val="auto"/>
        </w:rPr>
        <w:t xml:space="preserve"> H. M</w:t>
      </w:r>
      <w:r>
        <w:rPr>
          <w:rFonts w:ascii="Arial" w:cs="Arial" w:eastAsia="Arial" w:hAnsi="Arial"/>
          <w:sz w:val="9"/>
          <w:szCs w:val="9"/>
          <w:color w:val="auto"/>
        </w:rPr>
        <w:t>ANCINI</w:t>
      </w:r>
      <w:r>
        <w:rPr>
          <w:rFonts w:ascii="Arial" w:cs="Arial" w:eastAsia="Arial" w:hAnsi="Arial"/>
          <w:sz w:val="12"/>
          <w:szCs w:val="12"/>
          <w:color w:val="auto"/>
        </w:rPr>
        <w:t>, J</w:t>
      </w:r>
      <w:r>
        <w:rPr>
          <w:rFonts w:ascii="Arial" w:cs="Arial" w:eastAsia="Arial" w:hAnsi="Arial"/>
          <w:sz w:val="9"/>
          <w:szCs w:val="9"/>
          <w:color w:val="auto"/>
        </w:rPr>
        <w:t>R</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11430</wp:posOffset>
            </wp:positionV>
            <wp:extent cx="23571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7120" cy="571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0"/>
          <w:szCs w:val="10"/>
          <w:b w:val="1"/>
          <w:bCs w:val="1"/>
          <w:color w:val="auto"/>
        </w:rPr>
        <w:t>Joseph H. Mancini, Jr.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0"/>
          <w:szCs w:val="10"/>
          <w:b w:val="1"/>
          <w:bCs w:val="1"/>
          <w:color w:val="auto"/>
        </w:rPr>
        <w:t>Vice President and</w:t>
      </w:r>
    </w:p>
    <w:p>
      <w:pPr>
        <w:ind w:left="520"/>
        <w:spacing w:after="0" w:line="228" w:lineRule="auto"/>
        <w:rPr>
          <w:sz w:val="20"/>
          <w:szCs w:val="20"/>
          <w:color w:val="auto"/>
        </w:rPr>
      </w:pPr>
      <w:r>
        <w:rPr>
          <w:rFonts w:ascii="Arial" w:cs="Arial" w:eastAsia="Arial" w:hAnsi="Arial"/>
          <w:sz w:val="10"/>
          <w:szCs w:val="10"/>
          <w:b w:val="1"/>
          <w:bCs w:val="1"/>
          <w:color w:val="auto"/>
        </w:rPr>
        <w:t>Chief Accounting Officer</w:t>
      </w:r>
    </w:p>
    <w:p>
      <w:pPr>
        <w:ind w:left="520"/>
        <w:spacing w:after="0"/>
        <w:rPr>
          <w:sz w:val="20"/>
          <w:szCs w:val="20"/>
          <w:color w:val="auto"/>
        </w:rPr>
      </w:pPr>
      <w:r>
        <w:rPr>
          <w:rFonts w:ascii="Arial" w:cs="Arial" w:eastAsia="Arial" w:hAnsi="Arial"/>
          <w:sz w:val="10"/>
          <w:szCs w:val="10"/>
          <w:b w:val="1"/>
          <w:bCs w:val="1"/>
          <w:color w:val="auto"/>
        </w:rPr>
        <w:t>(Principal Accounting Officer)</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Date: October 29, 2019</w:t>
      </w:r>
    </w:p>
    <w:p>
      <w:pPr>
        <w:sectPr>
          <w:pgSz w:w="11900" w:h="16838" w:orient="portrait"/>
          <w:cols w:equalWidth="0" w:num="1">
            <w:col w:w="11460"/>
          </w:cols>
          <w:pgMar w:left="220" w:top="431"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7"/>
        </w:trPr>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ind w:left="3640"/>
              <w:spacing w:after="0"/>
              <w:rPr>
                <w:sz w:val="20"/>
                <w:szCs w:val="20"/>
                <w:color w:val="auto"/>
              </w:rPr>
            </w:pPr>
            <w:r>
              <w:rPr>
                <w:rFonts w:ascii="Arial" w:cs="Arial" w:eastAsia="Arial" w:hAnsi="Arial"/>
                <w:sz w:val="13"/>
                <w:szCs w:val="13"/>
                <w:b w:val="1"/>
                <w:bCs w:val="1"/>
                <w:color w:val="auto"/>
              </w:rPr>
              <w:t>EXHIBIT INDEX</w:t>
            </w:r>
          </w:p>
        </w:tc>
      </w:tr>
      <w:tr>
        <w:trPr>
          <w:trHeight w:val="402"/>
        </w:trPr>
        <w:tc>
          <w:tcPr>
            <w:tcW w:w="1600" w:type="dxa"/>
            <w:vAlign w:val="bottom"/>
            <w:gridSpan w:val="4"/>
          </w:tcPr>
          <w:p>
            <w:pPr>
              <w:ind w:left="20"/>
              <w:spacing w:after="0"/>
              <w:rPr>
                <w:sz w:val="20"/>
                <w:szCs w:val="20"/>
                <w:color w:val="auto"/>
              </w:rPr>
            </w:pPr>
            <w:r>
              <w:rPr>
                <w:rFonts w:ascii="Arial" w:cs="Arial" w:eastAsia="Arial" w:hAnsi="Arial"/>
                <w:sz w:val="12"/>
                <w:szCs w:val="12"/>
                <w:b w:val="1"/>
                <w:bCs w:val="1"/>
                <w:color w:val="auto"/>
              </w:rPr>
              <w:t>Exhibit No.</w:t>
            </w:r>
          </w:p>
        </w:tc>
        <w:tc>
          <w:tcPr>
            <w:tcW w:w="9880" w:type="dxa"/>
            <w:vAlign w:val="bottom"/>
          </w:tcPr>
          <w:p>
            <w:pPr>
              <w:ind w:left="20"/>
              <w:spacing w:after="0"/>
              <w:rPr>
                <w:sz w:val="20"/>
                <w:szCs w:val="20"/>
                <w:color w:val="auto"/>
              </w:rPr>
            </w:pPr>
            <w:r>
              <w:rPr>
                <w:rFonts w:ascii="Arial" w:cs="Arial" w:eastAsia="Arial" w:hAnsi="Arial"/>
                <w:sz w:val="12"/>
                <w:szCs w:val="12"/>
                <w:b w:val="1"/>
                <w:bCs w:val="1"/>
                <w:color w:val="auto"/>
              </w:rPr>
              <w:t>Description</w:t>
            </w:r>
          </w:p>
        </w:tc>
      </w:tr>
      <w:tr>
        <w:trPr>
          <w:trHeight w:val="131"/>
        </w:trPr>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0000FF"/>
            </w:tcBorders>
          </w:tcPr>
          <w:p>
            <w:pPr>
              <w:spacing w:after="0" w:line="131" w:lineRule="exact"/>
              <w:rPr>
                <w:rFonts w:ascii="Arial" w:cs="Arial" w:eastAsia="Arial" w:hAnsi="Arial"/>
                <w:sz w:val="12"/>
                <w:szCs w:val="12"/>
                <w:color w:val="0000FF"/>
                <w:w w:val="93"/>
              </w:rPr>
            </w:pPr>
            <w:hyperlink w:anchor="page6">
              <w:r>
                <w:rPr>
                  <w:rFonts w:ascii="Arial" w:cs="Arial" w:eastAsia="Arial" w:hAnsi="Arial"/>
                  <w:sz w:val="12"/>
                  <w:szCs w:val="12"/>
                  <w:color w:val="0000FF"/>
                  <w:w w:val="93"/>
                </w:rPr>
                <w:t>99.</w:t>
              </w:r>
              <w:r>
                <w:rPr>
                  <w:rFonts w:ascii="Arial" w:cs="Arial" w:eastAsia="Arial" w:hAnsi="Arial"/>
                  <w:sz w:val="12"/>
                  <w:szCs w:val="12"/>
                  <w:u w:val="single" w:color="auto"/>
                  <w:color w:val="0000FF"/>
                  <w:w w:val="93"/>
                </w:rPr>
                <w:t>1</w:t>
              </w:r>
            </w:hyperlink>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8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2"/>
                <w:szCs w:val="12"/>
                <w:color w:val="auto"/>
              </w:rPr>
              <w:t>Registrant’s third quarter 2019 earnings press release dated October 29, 2019</w:t>
            </w:r>
          </w:p>
        </w:tc>
      </w:tr>
      <w:tr>
        <w:trPr>
          <w:trHeight w:val="180"/>
        </w:trPr>
        <w:tc>
          <w:tcPr>
            <w:tcW w:w="340" w:type="dxa"/>
            <w:vAlign w:val="bottom"/>
            <w:gridSpan w:val="2"/>
          </w:tcPr>
          <w:p>
            <w:pPr>
              <w:ind w:left="100"/>
              <w:spacing w:after="0"/>
              <w:rPr>
                <w:sz w:val="20"/>
                <w:szCs w:val="20"/>
                <w:color w:val="auto"/>
              </w:rPr>
            </w:pPr>
            <w:r>
              <w:rPr>
                <w:rFonts w:ascii="Arial" w:cs="Arial" w:eastAsia="Arial" w:hAnsi="Arial"/>
                <w:sz w:val="12"/>
                <w:szCs w:val="12"/>
                <w:color w:val="auto"/>
              </w:rPr>
              <w:t>101</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ind w:left="20"/>
              <w:spacing w:after="0"/>
              <w:rPr>
                <w:sz w:val="20"/>
                <w:szCs w:val="20"/>
                <w:color w:val="auto"/>
              </w:rPr>
            </w:pPr>
            <w:r>
              <w:rPr>
                <w:rFonts w:ascii="Arial" w:cs="Arial" w:eastAsia="Arial" w:hAnsi="Arial"/>
                <w:sz w:val="12"/>
                <w:szCs w:val="12"/>
                <w:color w:val="auto"/>
              </w:rPr>
              <w:t>Cover Page Interactive Data File - the cover page XBRL tags are embedded within the Inline XBRL document.</w:t>
            </w:r>
          </w:p>
        </w:tc>
      </w:tr>
      <w:tr>
        <w:trPr>
          <w:trHeight w:val="182"/>
        </w:trPr>
        <w:tc>
          <w:tcPr>
            <w:tcW w:w="340" w:type="dxa"/>
            <w:vAlign w:val="bottom"/>
            <w:gridSpan w:val="2"/>
          </w:tcPr>
          <w:p>
            <w:pPr>
              <w:ind w:left="100"/>
              <w:spacing w:after="0"/>
              <w:rPr>
                <w:sz w:val="20"/>
                <w:szCs w:val="20"/>
                <w:color w:val="auto"/>
              </w:rPr>
            </w:pPr>
            <w:r>
              <w:rPr>
                <w:rFonts w:ascii="Arial" w:cs="Arial" w:eastAsia="Arial" w:hAnsi="Arial"/>
                <w:sz w:val="12"/>
                <w:szCs w:val="12"/>
                <w:color w:val="auto"/>
              </w:rPr>
              <w:t>104</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Pr>
          <w:p>
            <w:pPr>
              <w:ind w:left="20"/>
              <w:spacing w:after="0"/>
              <w:rPr>
                <w:sz w:val="20"/>
                <w:szCs w:val="20"/>
                <w:color w:val="auto"/>
              </w:rPr>
            </w:pPr>
            <w:r>
              <w:rPr>
                <w:rFonts w:ascii="Arial" w:cs="Arial" w:eastAsia="Arial" w:hAnsi="Arial"/>
                <w:sz w:val="12"/>
                <w:szCs w:val="12"/>
                <w:color w:val="auto"/>
              </w:rPr>
              <w:t>The cover page from this Current Report on Form 8-K, formatted as Inline XBRL.</w:t>
            </w:r>
          </w:p>
        </w:tc>
      </w:tr>
    </w:tbl>
    <w:p>
      <w:pPr>
        <w:sectPr>
          <w:pgSz w:w="11900" w:h="16838" w:orient="portrait"/>
          <w:cols w:equalWidth="0" w:num="1">
            <w:col w:w="11480"/>
          </w:cols>
          <w:pgMar w:left="220" w:top="431" w:right="199" w:bottom="1440" w:gutter="0" w:footer="0" w:header="0"/>
        </w:sectPr>
      </w:pPr>
    </w:p>
    <w:bookmarkStart w:id="5" w:name="page6"/>
    <w:bookmarkEnd w:id="5"/>
    <w:p>
      <w:pPr>
        <w:ind w:left="7"/>
        <w:spacing w:after="0"/>
        <w:rPr>
          <w:sz w:val="20"/>
          <w:szCs w:val="20"/>
          <w:color w:val="auto"/>
        </w:rPr>
      </w:pPr>
      <w:r>
        <w:rPr>
          <w:rFonts w:ascii="Arial" w:cs="Arial" w:eastAsia="Arial" w:hAnsi="Arial"/>
          <w:sz w:val="26"/>
          <w:szCs w:val="26"/>
          <w:color w:val="auto"/>
        </w:rPr>
        <w:t>News from Xerox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414655</wp:posOffset>
            </wp:positionV>
            <wp:extent cx="816610" cy="161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6610" cy="16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
        <w:spacing w:after="0"/>
        <w:rPr>
          <w:sz w:val="20"/>
          <w:szCs w:val="20"/>
          <w:color w:val="auto"/>
        </w:rPr>
      </w:pPr>
      <w:r>
        <w:rPr>
          <w:rFonts w:ascii="Arial" w:cs="Arial" w:eastAsia="Arial" w:hAnsi="Arial"/>
          <w:sz w:val="12"/>
          <w:szCs w:val="12"/>
          <w:color w:val="909295"/>
        </w:rPr>
        <w:t>For Immediate Release</w:t>
      </w:r>
    </w:p>
    <w:p>
      <w:pPr>
        <w:spacing w:after="0" w:line="6" w:lineRule="exact"/>
        <w:rPr>
          <w:sz w:val="20"/>
          <w:szCs w:val="20"/>
          <w:color w:val="auto"/>
        </w:rPr>
      </w:pPr>
    </w:p>
    <w:p>
      <w:pPr>
        <w:ind w:left="4807"/>
        <w:spacing w:after="0"/>
        <w:rPr>
          <w:sz w:val="20"/>
          <w:szCs w:val="20"/>
          <w:color w:val="auto"/>
        </w:rPr>
      </w:pPr>
      <w:r>
        <w:rPr>
          <w:rFonts w:ascii="Arial" w:cs="Arial" w:eastAsia="Arial" w:hAnsi="Arial"/>
          <w:sz w:val="10"/>
          <w:szCs w:val="10"/>
          <w:color w:val="909295"/>
        </w:rPr>
        <w:t>Xerox Holdings Corporation</w:t>
      </w:r>
    </w:p>
    <w:p>
      <w:pPr>
        <w:ind w:left="4807"/>
        <w:spacing w:after="0" w:line="228" w:lineRule="auto"/>
        <w:rPr>
          <w:sz w:val="20"/>
          <w:szCs w:val="20"/>
          <w:color w:val="auto"/>
        </w:rPr>
      </w:pPr>
      <w:r>
        <w:rPr>
          <w:rFonts w:ascii="Arial" w:cs="Arial" w:eastAsia="Arial" w:hAnsi="Arial"/>
          <w:sz w:val="10"/>
          <w:szCs w:val="10"/>
          <w:color w:val="909295"/>
        </w:rPr>
        <w:t>201 Merritt 7</w:t>
      </w:r>
    </w:p>
    <w:p>
      <w:pPr>
        <w:ind w:left="4807"/>
        <w:spacing w:after="0" w:line="228" w:lineRule="auto"/>
        <w:rPr>
          <w:sz w:val="20"/>
          <w:szCs w:val="20"/>
          <w:color w:val="auto"/>
        </w:rPr>
      </w:pPr>
      <w:r>
        <w:rPr>
          <w:rFonts w:ascii="Arial" w:cs="Arial" w:eastAsia="Arial" w:hAnsi="Arial"/>
          <w:sz w:val="10"/>
          <w:szCs w:val="10"/>
          <w:color w:val="909295"/>
        </w:rPr>
        <w:t>Norwalk, CT 06851-1056</w:t>
      </w:r>
    </w:p>
    <w:p>
      <w:pPr>
        <w:ind w:left="4807"/>
        <w:spacing w:after="0"/>
        <w:rPr>
          <w:sz w:val="20"/>
          <w:szCs w:val="20"/>
          <w:color w:val="auto"/>
        </w:rPr>
      </w:pPr>
      <w:r>
        <w:rPr>
          <w:rFonts w:ascii="Arial" w:cs="Arial" w:eastAsia="Arial" w:hAnsi="Arial"/>
          <w:sz w:val="10"/>
          <w:szCs w:val="10"/>
          <w:color w:val="909295"/>
        </w:rPr>
        <w:t>tel+1-203-968-3000</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7"/>
          <w:szCs w:val="17"/>
          <w:color w:val="auto"/>
        </w:rPr>
        <w:t>Xerox Releases Third-Quarter Results, Raises 2019 Guidance</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3"/>
          <w:szCs w:val="13"/>
          <w:color w:val="auto"/>
        </w:rPr>
        <w:t>Cash Flow, EPS and Profit Margins Increase and Revenue Trend Improves from Prior Quarters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3"/>
          <w:szCs w:val="13"/>
          <w:color w:val="auto"/>
        </w:rPr>
        <w:t>Third-Quarter 2019 Financial Summary:</w:t>
      </w:r>
    </w:p>
    <w:p>
      <w:pPr>
        <w:spacing w:after="0" w:line="6" w:lineRule="exact"/>
        <w:rPr>
          <w:sz w:val="20"/>
          <w:szCs w:val="20"/>
          <w:color w:val="auto"/>
        </w:rPr>
      </w:pPr>
    </w:p>
    <w:p>
      <w:pPr>
        <w:ind w:left="227" w:hanging="227"/>
        <w:spacing w:after="0"/>
        <w:tabs>
          <w:tab w:leader="none" w:pos="227" w:val="left"/>
        </w:tabs>
        <w:numPr>
          <w:ilvl w:val="0"/>
          <w:numId w:val="2"/>
        </w:numPr>
        <w:rPr>
          <w:rFonts w:ascii="Arial" w:cs="Arial" w:eastAsia="Arial" w:hAnsi="Arial"/>
          <w:sz w:val="12"/>
          <w:szCs w:val="12"/>
          <w:color w:val="auto"/>
        </w:rPr>
      </w:pPr>
      <w:r>
        <w:rPr>
          <w:rFonts w:ascii="Arial" w:cs="Arial" w:eastAsia="Arial" w:hAnsi="Arial"/>
          <w:sz w:val="13"/>
          <w:szCs w:val="13"/>
          <w:color w:val="auto"/>
        </w:rPr>
        <w:t>$356 million of operating cash flow, up $82 million year-over-year, and $339 million of free cash flow, up $88 million year-over-year</w:t>
      </w:r>
    </w:p>
    <w:p>
      <w:pPr>
        <w:spacing w:after="0" w:line="5" w:lineRule="exact"/>
        <w:rPr>
          <w:rFonts w:ascii="Arial" w:cs="Arial" w:eastAsia="Arial" w:hAnsi="Arial"/>
          <w:sz w:val="12"/>
          <w:szCs w:val="12"/>
          <w:color w:val="auto"/>
        </w:rPr>
      </w:pPr>
    </w:p>
    <w:p>
      <w:pPr>
        <w:ind w:left="227" w:hanging="227"/>
        <w:spacing w:after="0"/>
        <w:tabs>
          <w:tab w:leader="none" w:pos="227" w:val="left"/>
        </w:tabs>
        <w:numPr>
          <w:ilvl w:val="0"/>
          <w:numId w:val="2"/>
        </w:numPr>
        <w:rPr>
          <w:rFonts w:ascii="Arial" w:cs="Arial" w:eastAsia="Arial" w:hAnsi="Arial"/>
          <w:sz w:val="12"/>
          <w:szCs w:val="12"/>
          <w:color w:val="auto"/>
        </w:rPr>
      </w:pPr>
      <w:r>
        <w:rPr>
          <w:rFonts w:ascii="Arial" w:cs="Arial" w:eastAsia="Arial" w:hAnsi="Arial"/>
          <w:sz w:val="13"/>
          <w:szCs w:val="13"/>
          <w:color w:val="auto"/>
        </w:rPr>
        <w:t>GAAP earnings per share (EPS) of $0.96, up $0.62 year-over-year, and adjusted EPS of $1.08, up $0.23 year-over-year (YOY)</w:t>
      </w:r>
    </w:p>
    <w:p>
      <w:pPr>
        <w:spacing w:after="0" w:line="5" w:lineRule="exact"/>
        <w:rPr>
          <w:rFonts w:ascii="Arial" w:cs="Arial" w:eastAsia="Arial" w:hAnsi="Arial"/>
          <w:sz w:val="12"/>
          <w:szCs w:val="12"/>
          <w:color w:val="auto"/>
        </w:rPr>
      </w:pPr>
    </w:p>
    <w:p>
      <w:pPr>
        <w:ind w:left="227" w:hanging="227"/>
        <w:spacing w:after="0"/>
        <w:tabs>
          <w:tab w:leader="none" w:pos="227" w:val="left"/>
        </w:tabs>
        <w:numPr>
          <w:ilvl w:val="0"/>
          <w:numId w:val="2"/>
        </w:numPr>
        <w:rPr>
          <w:rFonts w:ascii="Arial" w:cs="Arial" w:eastAsia="Arial" w:hAnsi="Arial"/>
          <w:sz w:val="12"/>
          <w:szCs w:val="12"/>
          <w:color w:val="auto"/>
        </w:rPr>
      </w:pPr>
      <w:r>
        <w:rPr>
          <w:rFonts w:ascii="Arial" w:cs="Arial" w:eastAsia="Arial" w:hAnsi="Arial"/>
          <w:sz w:val="13"/>
          <w:szCs w:val="13"/>
          <w:color w:val="auto"/>
        </w:rPr>
        <w:t>Adjusted operating margin of 12.1 percent, up 120 basis points year-over-year</w:t>
      </w:r>
    </w:p>
    <w:p>
      <w:pPr>
        <w:spacing w:after="0" w:line="5" w:lineRule="exact"/>
        <w:rPr>
          <w:rFonts w:ascii="Arial" w:cs="Arial" w:eastAsia="Arial" w:hAnsi="Arial"/>
          <w:sz w:val="12"/>
          <w:szCs w:val="12"/>
          <w:color w:val="auto"/>
        </w:rPr>
      </w:pPr>
    </w:p>
    <w:p>
      <w:pPr>
        <w:ind w:left="227" w:hanging="227"/>
        <w:spacing w:after="0"/>
        <w:tabs>
          <w:tab w:leader="none" w:pos="227" w:val="left"/>
        </w:tabs>
        <w:numPr>
          <w:ilvl w:val="0"/>
          <w:numId w:val="2"/>
        </w:numPr>
        <w:rPr>
          <w:rFonts w:ascii="Arial" w:cs="Arial" w:eastAsia="Arial" w:hAnsi="Arial"/>
          <w:sz w:val="12"/>
          <w:szCs w:val="12"/>
          <w:color w:val="auto"/>
        </w:rPr>
      </w:pPr>
      <w:r>
        <w:rPr>
          <w:rFonts w:ascii="Arial" w:cs="Arial" w:eastAsia="Arial" w:hAnsi="Arial"/>
          <w:sz w:val="13"/>
          <w:szCs w:val="13"/>
          <w:color w:val="auto"/>
        </w:rPr>
        <w:t>$2.2 billion of revenue in the quarter, a decrease of 6.5 percent in actual currency, or 5.3 percent in constant currency, year-over-year</w:t>
      </w:r>
    </w:p>
    <w:p>
      <w:pPr>
        <w:spacing w:after="0" w:line="5" w:lineRule="exact"/>
        <w:rPr>
          <w:rFonts w:ascii="Arial" w:cs="Arial" w:eastAsia="Arial" w:hAnsi="Arial"/>
          <w:sz w:val="12"/>
          <w:szCs w:val="12"/>
          <w:color w:val="auto"/>
        </w:rPr>
      </w:pPr>
    </w:p>
    <w:p>
      <w:pPr>
        <w:ind w:left="227" w:hanging="227"/>
        <w:spacing w:after="0"/>
        <w:tabs>
          <w:tab w:leader="none" w:pos="227" w:val="left"/>
        </w:tabs>
        <w:numPr>
          <w:ilvl w:val="0"/>
          <w:numId w:val="2"/>
        </w:numPr>
        <w:rPr>
          <w:rFonts w:ascii="Arial" w:cs="Arial" w:eastAsia="Arial" w:hAnsi="Arial"/>
          <w:sz w:val="12"/>
          <w:szCs w:val="12"/>
          <w:color w:val="auto"/>
        </w:rPr>
      </w:pPr>
      <w:r>
        <w:rPr>
          <w:rFonts w:ascii="Arial" w:cs="Arial" w:eastAsia="Arial" w:hAnsi="Arial"/>
          <w:sz w:val="13"/>
          <w:szCs w:val="13"/>
          <w:color w:val="auto"/>
        </w:rPr>
        <w:t>Increasing 2019 guidance for GAAP EPS to $3.10 - $3.20, adjusted EPS to $4.00 - $4.10, operating cash flow to $1.2 - $1.3 billion and free cash flow to $1.1 - $1.2 billion</w:t>
      </w:r>
    </w:p>
    <w:p>
      <w:pPr>
        <w:spacing w:after="0" w:line="5" w:lineRule="exact"/>
        <w:rPr>
          <w:rFonts w:ascii="Arial" w:cs="Arial" w:eastAsia="Arial" w:hAnsi="Arial"/>
          <w:sz w:val="12"/>
          <w:szCs w:val="12"/>
          <w:color w:val="auto"/>
        </w:rPr>
      </w:pPr>
    </w:p>
    <w:p>
      <w:pPr>
        <w:ind w:left="227" w:hanging="227"/>
        <w:spacing w:after="0"/>
        <w:tabs>
          <w:tab w:leader="none" w:pos="227" w:val="left"/>
        </w:tabs>
        <w:numPr>
          <w:ilvl w:val="0"/>
          <w:numId w:val="2"/>
        </w:numPr>
        <w:rPr>
          <w:rFonts w:ascii="Arial" w:cs="Arial" w:eastAsia="Arial" w:hAnsi="Arial"/>
          <w:sz w:val="12"/>
          <w:szCs w:val="12"/>
          <w:color w:val="auto"/>
        </w:rPr>
      </w:pPr>
      <w:r>
        <w:rPr>
          <w:rFonts w:ascii="Arial" w:cs="Arial" w:eastAsia="Arial" w:hAnsi="Arial"/>
          <w:sz w:val="13"/>
          <w:szCs w:val="13"/>
          <w:color w:val="auto"/>
        </w:rPr>
        <w:t>Completed $368 million of share repurchases through the third quarter, expecting at least $600 million in total for the year</w:t>
      </w:r>
    </w:p>
    <w:p>
      <w:pPr>
        <w:spacing w:after="0" w:line="151" w:lineRule="exact"/>
        <w:rPr>
          <w:sz w:val="20"/>
          <w:szCs w:val="20"/>
          <w:color w:val="auto"/>
        </w:rPr>
      </w:pPr>
    </w:p>
    <w:p>
      <w:pPr>
        <w:ind w:left="7" w:right="80"/>
        <w:spacing w:after="0" w:line="267" w:lineRule="auto"/>
        <w:rPr>
          <w:sz w:val="20"/>
          <w:szCs w:val="20"/>
          <w:color w:val="auto"/>
        </w:rPr>
      </w:pPr>
      <w:r>
        <w:rPr>
          <w:rFonts w:ascii="Arial" w:cs="Arial" w:eastAsia="Arial" w:hAnsi="Arial"/>
          <w:sz w:val="13"/>
          <w:szCs w:val="13"/>
          <w:color w:val="auto"/>
        </w:rPr>
        <w:t xml:space="preserve">NORWALK, Conn., Oct. 29, 2019 - Today </w:t>
      </w:r>
      <w:r>
        <w:rPr>
          <w:rFonts w:ascii="Arial" w:cs="Arial" w:eastAsia="Arial" w:hAnsi="Arial"/>
          <w:sz w:val="13"/>
          <w:szCs w:val="13"/>
          <w:u w:val="single" w:color="auto"/>
          <w:color w:val="auto"/>
        </w:rPr>
        <w:t>Xerox Holdings</w:t>
      </w:r>
      <w:r>
        <w:rPr>
          <w:rFonts w:ascii="Arial" w:cs="Arial" w:eastAsia="Arial" w:hAnsi="Arial"/>
          <w:sz w:val="13"/>
          <w:szCs w:val="13"/>
          <w:color w:val="auto"/>
        </w:rPr>
        <w:t xml:space="preserve"> Corporation (NYSE: XRX) announced its third-quarter 2019 financial results and said it would raise 2019 guidance for EPS and cash flow.</w:t>
      </w:r>
    </w:p>
    <w:p>
      <w:pPr>
        <w:spacing w:after="0" w:line="123" w:lineRule="exact"/>
        <w:rPr>
          <w:sz w:val="20"/>
          <w:szCs w:val="20"/>
          <w:color w:val="auto"/>
        </w:rPr>
      </w:pPr>
    </w:p>
    <w:p>
      <w:pPr>
        <w:ind w:left="7"/>
        <w:spacing w:after="0" w:line="264" w:lineRule="auto"/>
        <w:rPr>
          <w:sz w:val="20"/>
          <w:szCs w:val="20"/>
          <w:color w:val="auto"/>
        </w:rPr>
      </w:pPr>
      <w:r>
        <w:rPr>
          <w:rFonts w:ascii="Arial" w:cs="Arial" w:eastAsia="Arial" w:hAnsi="Arial"/>
          <w:sz w:val="13"/>
          <w:szCs w:val="13"/>
          <w:color w:val="auto"/>
        </w:rPr>
        <w:t>“Our strategy and execution delivered a strong third quarter despite industry headwinds. We increased cash flow, earnings per share and adjusted operating margin while we improved the revenue trend. These results give us confidence to raise our earnings and cash flow guidance for the year as we position Xerox for long-term growth,” said Xerox Vice Chairman and CEO John Visentin.</w:t>
      </w:r>
    </w:p>
    <w:p>
      <w:pPr>
        <w:spacing w:after="0" w:line="266"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auto"/>
        </w:rPr>
        <w:t>Key Financial Results:</w:t>
      </w:r>
    </w:p>
    <w:p>
      <w:pPr>
        <w:spacing w:after="0" w:line="95" w:lineRule="exact"/>
        <w:rPr>
          <w:sz w:val="20"/>
          <w:szCs w:val="20"/>
          <w:color w:val="auto"/>
        </w:rPr>
      </w:pPr>
    </w:p>
    <w:tbl>
      <w:tblPr>
        <w:tblLayout w:type="fixed"/>
        <w:tblInd w:w="17" w:type="dxa"/>
        <w:tblCellMar>
          <w:top w:w="0" w:type="dxa"/>
          <w:left w:w="0" w:type="dxa"/>
          <w:bottom w:w="0" w:type="dxa"/>
          <w:right w:w="0" w:type="dxa"/>
        </w:tblCellMar>
      </w:tblPr>
      <w:tr>
        <w:trPr>
          <w:trHeight w:val="128"/>
        </w:trPr>
        <w:tc>
          <w:tcPr>
            <w:tcW w:w="4260" w:type="dxa"/>
            <w:vAlign w:val="bottom"/>
            <w:tcBorders>
              <w:top w:val="single" w:sz="8" w:color="D9D9D9"/>
              <w:left w:val="single" w:sz="8" w:color="D9D9D9"/>
              <w:right w:val="single" w:sz="8" w:color="E6E6E6"/>
            </w:tcBorders>
          </w:tcPr>
          <w:p>
            <w:pPr>
              <w:spacing w:after="0"/>
              <w:rPr>
                <w:sz w:val="11"/>
                <w:szCs w:val="11"/>
                <w:color w:val="auto"/>
              </w:rPr>
            </w:pPr>
          </w:p>
        </w:tc>
        <w:tc>
          <w:tcPr>
            <w:tcW w:w="1760" w:type="dxa"/>
            <w:vAlign w:val="bottom"/>
            <w:tcBorders>
              <w:top w:val="single" w:sz="8" w:color="D9D9D9"/>
              <w:right w:val="single" w:sz="8" w:color="E6E6E6"/>
            </w:tcBorders>
          </w:tcPr>
          <w:p>
            <w:pPr>
              <w:spacing w:after="0"/>
              <w:rPr>
                <w:sz w:val="11"/>
                <w:szCs w:val="11"/>
                <w:color w:val="auto"/>
              </w:rPr>
            </w:pPr>
          </w:p>
        </w:tc>
        <w:tc>
          <w:tcPr>
            <w:tcW w:w="1440" w:type="dxa"/>
            <w:vAlign w:val="bottom"/>
            <w:tcBorders>
              <w:top w:val="single" w:sz="8" w:color="D9D9D9"/>
              <w:right w:val="single" w:sz="8" w:color="E6E6E6"/>
            </w:tcBorders>
          </w:tcPr>
          <w:p>
            <w:pPr>
              <w:spacing w:after="0"/>
              <w:rPr>
                <w:sz w:val="11"/>
                <w:szCs w:val="11"/>
                <w:color w:val="auto"/>
              </w:rPr>
            </w:pPr>
          </w:p>
        </w:tc>
        <w:tc>
          <w:tcPr>
            <w:tcW w:w="1440" w:type="dxa"/>
            <w:vAlign w:val="bottom"/>
            <w:tcBorders>
              <w:top w:val="single" w:sz="8" w:color="D9D9D9"/>
              <w:right w:val="single" w:sz="8" w:color="E6E6E6"/>
            </w:tcBorders>
          </w:tcPr>
          <w:p>
            <w:pPr>
              <w:ind w:left="20"/>
              <w:spacing w:after="0"/>
              <w:rPr>
                <w:sz w:val="20"/>
                <w:szCs w:val="20"/>
                <w:color w:val="auto"/>
              </w:rPr>
            </w:pPr>
            <w:r>
              <w:rPr>
                <w:rFonts w:ascii="Arial" w:cs="Arial" w:eastAsia="Arial" w:hAnsi="Arial"/>
                <w:sz w:val="10"/>
                <w:szCs w:val="10"/>
                <w:b w:val="1"/>
                <w:bCs w:val="1"/>
                <w:color w:val="D92130"/>
              </w:rPr>
              <w:t>B/(W)</w:t>
            </w:r>
          </w:p>
        </w:tc>
        <w:tc>
          <w:tcPr>
            <w:tcW w:w="1440" w:type="dxa"/>
            <w:vAlign w:val="bottom"/>
            <w:tcBorders>
              <w:top w:val="single" w:sz="8" w:color="D9D9D9"/>
              <w:right w:val="single" w:sz="8" w:color="D9D9D9"/>
            </w:tcBorders>
          </w:tcPr>
          <w:p>
            <w:pPr>
              <w:ind w:left="20"/>
              <w:spacing w:after="0"/>
              <w:rPr>
                <w:sz w:val="20"/>
                <w:szCs w:val="20"/>
                <w:color w:val="auto"/>
              </w:rPr>
            </w:pPr>
            <w:r>
              <w:rPr>
                <w:rFonts w:ascii="Arial" w:cs="Arial" w:eastAsia="Arial" w:hAnsi="Arial"/>
                <w:sz w:val="10"/>
                <w:szCs w:val="10"/>
                <w:b w:val="1"/>
                <w:bCs w:val="1"/>
                <w:color w:val="D92130"/>
              </w:rPr>
              <w:t>% Change</w:t>
            </w:r>
          </w:p>
        </w:tc>
        <w:tc>
          <w:tcPr>
            <w:tcW w:w="0" w:type="dxa"/>
            <w:vAlign w:val="bottom"/>
          </w:tcPr>
          <w:p>
            <w:pPr>
              <w:spacing w:after="0"/>
              <w:rPr>
                <w:sz w:val="1"/>
                <w:szCs w:val="1"/>
                <w:color w:val="auto"/>
              </w:rPr>
            </w:pPr>
          </w:p>
        </w:tc>
      </w:tr>
      <w:tr>
        <w:trPr>
          <w:trHeight w:val="132"/>
        </w:trPr>
        <w:tc>
          <w:tcPr>
            <w:tcW w:w="4260" w:type="dxa"/>
            <w:vAlign w:val="bottom"/>
            <w:tcBorders>
              <w:left w:val="single" w:sz="8" w:color="D9D9D9"/>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D92130"/>
              </w:rPr>
              <w:t>(in millions, except per share data)</w:t>
            </w:r>
          </w:p>
        </w:tc>
        <w:tc>
          <w:tcPr>
            <w:tcW w:w="176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D92130"/>
              </w:rPr>
              <w:t>Q3 2019</w:t>
            </w:r>
          </w:p>
        </w:tc>
        <w:tc>
          <w:tcPr>
            <w:tcW w:w="144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D92130"/>
              </w:rPr>
              <w:t>Q3 2018</w:t>
            </w:r>
          </w:p>
        </w:tc>
        <w:tc>
          <w:tcPr>
            <w:tcW w:w="144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D92130"/>
              </w:rPr>
              <w:t>YOY</w:t>
            </w:r>
          </w:p>
        </w:tc>
        <w:tc>
          <w:tcPr>
            <w:tcW w:w="1440" w:type="dxa"/>
            <w:vAlign w:val="bottom"/>
            <w:tcBorders>
              <w:bottom w:val="single" w:sz="8" w:color="E6E6E6"/>
              <w:right w:val="single" w:sz="8" w:color="D9D9D9"/>
            </w:tcBorders>
          </w:tcPr>
          <w:p>
            <w:pPr>
              <w:ind w:left="20"/>
              <w:spacing w:after="0"/>
              <w:rPr>
                <w:sz w:val="20"/>
                <w:szCs w:val="20"/>
                <w:color w:val="auto"/>
              </w:rPr>
            </w:pPr>
            <w:r>
              <w:rPr>
                <w:rFonts w:ascii="Arial" w:cs="Arial" w:eastAsia="Arial" w:hAnsi="Arial"/>
                <w:sz w:val="10"/>
                <w:szCs w:val="10"/>
                <w:b w:val="1"/>
                <w:bCs w:val="1"/>
                <w:color w:val="D92130"/>
              </w:rPr>
              <w:t>YOY</w:t>
            </w:r>
          </w:p>
        </w:tc>
        <w:tc>
          <w:tcPr>
            <w:tcW w:w="0" w:type="dxa"/>
            <w:vAlign w:val="bottom"/>
          </w:tcPr>
          <w:p>
            <w:pPr>
              <w:spacing w:after="0"/>
              <w:rPr>
                <w:sz w:val="1"/>
                <w:szCs w:val="1"/>
                <w:color w:val="auto"/>
              </w:rPr>
            </w:pPr>
          </w:p>
        </w:tc>
      </w:tr>
      <w:tr>
        <w:trPr>
          <w:trHeight w:val="112"/>
        </w:trPr>
        <w:tc>
          <w:tcPr>
            <w:tcW w:w="4260" w:type="dxa"/>
            <w:vAlign w:val="bottom"/>
            <w:tcBorders>
              <w:left w:val="single" w:sz="8" w:color="D9D9D9"/>
              <w:right w:val="single" w:sz="8" w:color="E6E6E6"/>
            </w:tcBorders>
            <w:vMerge w:val="restart"/>
          </w:tcPr>
          <w:p>
            <w:pPr>
              <w:ind w:left="20"/>
              <w:spacing w:after="0"/>
              <w:rPr>
                <w:sz w:val="20"/>
                <w:szCs w:val="20"/>
                <w:color w:val="auto"/>
              </w:rPr>
            </w:pPr>
            <w:r>
              <w:rPr>
                <w:rFonts w:ascii="Arial" w:cs="Arial" w:eastAsia="Arial" w:hAnsi="Arial"/>
                <w:sz w:val="10"/>
                <w:szCs w:val="10"/>
                <w:b w:val="1"/>
                <w:bCs w:val="1"/>
                <w:color w:val="auto"/>
              </w:rPr>
              <w:t>Revenue</w:t>
            </w:r>
          </w:p>
        </w:tc>
        <w:tc>
          <w:tcPr>
            <w:tcW w:w="1760" w:type="dxa"/>
            <w:vAlign w:val="bottom"/>
            <w:tcBorders>
              <w:right w:val="single" w:sz="8" w:color="E6E6E6"/>
            </w:tcBorders>
            <w:vMerge w:val="restart"/>
          </w:tcPr>
          <w:p>
            <w:pPr>
              <w:spacing w:after="0"/>
              <w:rPr>
                <w:sz w:val="20"/>
                <w:szCs w:val="20"/>
                <w:color w:val="auto"/>
              </w:rPr>
            </w:pPr>
            <w:r>
              <w:rPr>
                <w:rFonts w:ascii="Arial" w:cs="Arial" w:eastAsia="Arial" w:hAnsi="Arial"/>
                <w:sz w:val="10"/>
                <w:szCs w:val="10"/>
                <w:b w:val="1"/>
                <w:bCs w:val="1"/>
                <w:color w:val="auto"/>
              </w:rPr>
              <w:t>$2,200</w:t>
            </w:r>
          </w:p>
        </w:tc>
        <w:tc>
          <w:tcPr>
            <w:tcW w:w="1440" w:type="dxa"/>
            <w:vAlign w:val="bottom"/>
            <w:tcBorders>
              <w:right w:val="single" w:sz="8" w:color="E6E6E6"/>
            </w:tcBorders>
            <w:vMerge w:val="restart"/>
          </w:tcPr>
          <w:p>
            <w:pPr>
              <w:spacing w:after="0"/>
              <w:rPr>
                <w:sz w:val="20"/>
                <w:szCs w:val="20"/>
                <w:color w:val="auto"/>
              </w:rPr>
            </w:pPr>
            <w:r>
              <w:rPr>
                <w:rFonts w:ascii="Arial" w:cs="Arial" w:eastAsia="Arial" w:hAnsi="Arial"/>
                <w:sz w:val="10"/>
                <w:szCs w:val="10"/>
                <w:b w:val="1"/>
                <w:bCs w:val="1"/>
                <w:color w:val="auto"/>
              </w:rPr>
              <w:t>$2,352</w:t>
            </w:r>
          </w:p>
        </w:tc>
        <w:tc>
          <w:tcPr>
            <w:tcW w:w="1440" w:type="dxa"/>
            <w:vAlign w:val="bottom"/>
            <w:tcBorders>
              <w:right w:val="single" w:sz="8" w:color="E6E6E6"/>
            </w:tcBorders>
            <w:vMerge w:val="restart"/>
          </w:tcPr>
          <w:p>
            <w:pPr>
              <w:ind w:left="20"/>
              <w:spacing w:after="0"/>
              <w:rPr>
                <w:sz w:val="20"/>
                <w:szCs w:val="20"/>
                <w:color w:val="auto"/>
              </w:rPr>
            </w:pPr>
            <w:r>
              <w:rPr>
                <w:rFonts w:ascii="Arial" w:cs="Arial" w:eastAsia="Arial" w:hAnsi="Arial"/>
                <w:sz w:val="10"/>
                <w:szCs w:val="10"/>
                <w:b w:val="1"/>
                <w:bCs w:val="1"/>
                <w:color w:val="auto"/>
              </w:rPr>
              <w:t>$(152)</w:t>
            </w:r>
          </w:p>
        </w:tc>
        <w:tc>
          <w:tcPr>
            <w:tcW w:w="1440" w:type="dxa"/>
            <w:vAlign w:val="bottom"/>
            <w:tcBorders>
              <w:right w:val="single" w:sz="8" w:color="D9D9D9"/>
            </w:tcBorders>
          </w:tcPr>
          <w:p>
            <w:pPr>
              <w:ind w:left="20"/>
              <w:spacing w:after="0" w:line="113" w:lineRule="exact"/>
              <w:rPr>
                <w:sz w:val="20"/>
                <w:szCs w:val="20"/>
                <w:color w:val="auto"/>
              </w:rPr>
            </w:pPr>
            <w:r>
              <w:rPr>
                <w:rFonts w:ascii="Arial" w:cs="Arial" w:eastAsia="Arial" w:hAnsi="Arial"/>
                <w:sz w:val="10"/>
                <w:szCs w:val="10"/>
                <w:b w:val="1"/>
                <w:bCs w:val="1"/>
                <w:color w:val="auto"/>
              </w:rPr>
              <w:t>(6.5)% AC</w:t>
            </w:r>
          </w:p>
        </w:tc>
        <w:tc>
          <w:tcPr>
            <w:tcW w:w="0" w:type="dxa"/>
            <w:vAlign w:val="bottom"/>
          </w:tcPr>
          <w:p>
            <w:pPr>
              <w:spacing w:after="0"/>
              <w:rPr>
                <w:sz w:val="1"/>
                <w:szCs w:val="1"/>
                <w:color w:val="auto"/>
              </w:rPr>
            </w:pPr>
          </w:p>
        </w:tc>
      </w:tr>
      <w:tr>
        <w:trPr>
          <w:trHeight w:val="136"/>
        </w:trPr>
        <w:tc>
          <w:tcPr>
            <w:tcW w:w="4260" w:type="dxa"/>
            <w:vAlign w:val="bottom"/>
            <w:tcBorders>
              <w:left w:val="single" w:sz="8" w:color="D9D9D9"/>
              <w:bottom w:val="single" w:sz="8" w:color="E6E6E6"/>
              <w:right w:val="single" w:sz="8" w:color="E6E6E6"/>
            </w:tcBorders>
            <w:vMerge w:val="continue"/>
          </w:tcPr>
          <w:p>
            <w:pPr>
              <w:spacing w:after="0"/>
              <w:rPr>
                <w:sz w:val="11"/>
                <w:szCs w:val="11"/>
                <w:color w:val="auto"/>
              </w:rPr>
            </w:pPr>
          </w:p>
        </w:tc>
        <w:tc>
          <w:tcPr>
            <w:tcW w:w="1760" w:type="dxa"/>
            <w:vAlign w:val="bottom"/>
            <w:tcBorders>
              <w:bottom w:val="single" w:sz="8" w:color="E6E6E6"/>
              <w:right w:val="single" w:sz="8" w:color="E6E6E6"/>
            </w:tcBorders>
            <w:vMerge w:val="continue"/>
          </w:tcPr>
          <w:p>
            <w:pPr>
              <w:spacing w:after="0"/>
              <w:rPr>
                <w:sz w:val="11"/>
                <w:szCs w:val="11"/>
                <w:color w:val="auto"/>
              </w:rPr>
            </w:pPr>
          </w:p>
        </w:tc>
        <w:tc>
          <w:tcPr>
            <w:tcW w:w="1440" w:type="dxa"/>
            <w:vAlign w:val="bottom"/>
            <w:tcBorders>
              <w:bottom w:val="single" w:sz="8" w:color="E6E6E6"/>
              <w:right w:val="single" w:sz="8" w:color="E6E6E6"/>
            </w:tcBorders>
            <w:vMerge w:val="continue"/>
          </w:tcPr>
          <w:p>
            <w:pPr>
              <w:spacing w:after="0"/>
              <w:rPr>
                <w:sz w:val="11"/>
                <w:szCs w:val="11"/>
                <w:color w:val="auto"/>
              </w:rPr>
            </w:pPr>
          </w:p>
        </w:tc>
        <w:tc>
          <w:tcPr>
            <w:tcW w:w="1440" w:type="dxa"/>
            <w:vAlign w:val="bottom"/>
            <w:tcBorders>
              <w:bottom w:val="single" w:sz="8" w:color="E6E6E6"/>
              <w:right w:val="single" w:sz="8" w:color="E6E6E6"/>
            </w:tcBorders>
            <w:vMerge w:val="continue"/>
          </w:tcPr>
          <w:p>
            <w:pPr>
              <w:spacing w:after="0"/>
              <w:rPr>
                <w:sz w:val="11"/>
                <w:szCs w:val="11"/>
                <w:color w:val="auto"/>
              </w:rPr>
            </w:pPr>
          </w:p>
        </w:tc>
        <w:tc>
          <w:tcPr>
            <w:tcW w:w="1440" w:type="dxa"/>
            <w:vAlign w:val="bottom"/>
            <w:tcBorders>
              <w:bottom w:val="single" w:sz="8" w:color="E6E6E6"/>
              <w:right w:val="single" w:sz="8" w:color="D9D9D9"/>
            </w:tcBorders>
          </w:tcPr>
          <w:p>
            <w:pPr>
              <w:ind w:left="20"/>
              <w:spacing w:after="0" w:line="137" w:lineRule="exact"/>
              <w:rPr>
                <w:sz w:val="20"/>
                <w:szCs w:val="20"/>
                <w:color w:val="auto"/>
              </w:rPr>
            </w:pPr>
            <w:r>
              <w:rPr>
                <w:rFonts w:ascii="Arial" w:cs="Arial" w:eastAsia="Arial" w:hAnsi="Arial"/>
                <w:sz w:val="10"/>
                <w:szCs w:val="10"/>
                <w:b w:val="1"/>
                <w:bCs w:val="1"/>
                <w:color w:val="auto"/>
              </w:rPr>
              <w:t>(5.3)% CC</w:t>
            </w:r>
            <w:r>
              <w:rPr>
                <w:rFonts w:ascii="Arial" w:cs="Arial" w:eastAsia="Arial" w:hAnsi="Arial"/>
                <w:sz w:val="12"/>
                <w:szCs w:val="12"/>
                <w:b w:val="1"/>
                <w:bCs w:val="1"/>
                <w:color w:val="auto"/>
                <w:vertAlign w:val="superscript"/>
              </w:rPr>
              <w:t>1</w:t>
            </w:r>
          </w:p>
        </w:tc>
        <w:tc>
          <w:tcPr>
            <w:tcW w:w="0" w:type="dxa"/>
            <w:vAlign w:val="bottom"/>
          </w:tcPr>
          <w:p>
            <w:pPr>
              <w:spacing w:after="0"/>
              <w:rPr>
                <w:sz w:val="1"/>
                <w:szCs w:val="1"/>
                <w:color w:val="auto"/>
              </w:rPr>
            </w:pPr>
          </w:p>
        </w:tc>
      </w:tr>
      <w:tr>
        <w:trPr>
          <w:trHeight w:val="167"/>
        </w:trPr>
        <w:tc>
          <w:tcPr>
            <w:tcW w:w="4260" w:type="dxa"/>
            <w:vAlign w:val="bottom"/>
            <w:tcBorders>
              <w:left w:val="single" w:sz="8" w:color="D9D9D9"/>
              <w:bottom w:val="single" w:sz="8" w:color="E6E6E6"/>
              <w:right w:val="single" w:sz="8" w:color="E6E6E6"/>
            </w:tcBorders>
            <w:shd w:val="clear" w:color="auto" w:fill="F2F2F2"/>
          </w:tcPr>
          <w:p>
            <w:pPr>
              <w:ind w:left="200"/>
              <w:spacing w:after="0"/>
              <w:rPr>
                <w:sz w:val="20"/>
                <w:szCs w:val="20"/>
                <w:color w:val="auto"/>
              </w:rPr>
            </w:pPr>
            <w:r>
              <w:rPr>
                <w:rFonts w:ascii="Arial" w:cs="Arial" w:eastAsia="Arial" w:hAnsi="Arial"/>
                <w:sz w:val="10"/>
                <w:szCs w:val="10"/>
                <w:color w:val="auto"/>
              </w:rPr>
              <w:t>Gross Margin</w:t>
            </w:r>
          </w:p>
        </w:tc>
        <w:tc>
          <w:tcPr>
            <w:tcW w:w="1760" w:type="dxa"/>
            <w:vAlign w:val="bottom"/>
            <w:tcBorders>
              <w:bottom w:val="single" w:sz="8" w:color="E6E6E6"/>
              <w:right w:val="single" w:sz="8" w:color="E6E6E6"/>
            </w:tcBorders>
            <w:shd w:val="clear" w:color="auto" w:fill="F2F2F2"/>
          </w:tcPr>
          <w:p>
            <w:pPr>
              <w:spacing w:after="0"/>
              <w:rPr>
                <w:sz w:val="20"/>
                <w:szCs w:val="20"/>
                <w:color w:val="auto"/>
              </w:rPr>
            </w:pPr>
            <w:r>
              <w:rPr>
                <w:rFonts w:ascii="Arial" w:cs="Arial" w:eastAsia="Arial" w:hAnsi="Arial"/>
                <w:sz w:val="10"/>
                <w:szCs w:val="10"/>
                <w:color w:val="595959"/>
              </w:rPr>
              <w:t>40.0%</w:t>
            </w:r>
          </w:p>
        </w:tc>
        <w:tc>
          <w:tcPr>
            <w:tcW w:w="1440" w:type="dxa"/>
            <w:vAlign w:val="bottom"/>
            <w:tcBorders>
              <w:bottom w:val="single" w:sz="8" w:color="E6E6E6"/>
              <w:right w:val="single" w:sz="8" w:color="E6E6E6"/>
            </w:tcBorders>
            <w:shd w:val="clear" w:color="auto" w:fill="F2F2F2"/>
          </w:tcPr>
          <w:p>
            <w:pPr>
              <w:spacing w:after="0"/>
              <w:rPr>
                <w:sz w:val="20"/>
                <w:szCs w:val="20"/>
                <w:color w:val="auto"/>
              </w:rPr>
            </w:pPr>
            <w:r>
              <w:rPr>
                <w:rFonts w:ascii="Arial" w:cs="Arial" w:eastAsia="Arial" w:hAnsi="Arial"/>
                <w:sz w:val="10"/>
                <w:szCs w:val="10"/>
                <w:color w:val="595959"/>
              </w:rPr>
              <w:t>40.1%</w:t>
            </w:r>
          </w:p>
        </w:tc>
        <w:tc>
          <w:tcPr>
            <w:tcW w:w="1440" w:type="dxa"/>
            <w:vAlign w:val="bottom"/>
            <w:tcBorders>
              <w:bottom w:val="single" w:sz="8" w:color="E6E6E6"/>
              <w:right w:val="single" w:sz="8" w:color="E6E6E6"/>
            </w:tcBorders>
            <w:shd w:val="clear" w:color="auto" w:fill="F2F2F2"/>
          </w:tcPr>
          <w:p>
            <w:pPr>
              <w:ind w:left="20"/>
              <w:spacing w:after="0"/>
              <w:rPr>
                <w:sz w:val="20"/>
                <w:szCs w:val="20"/>
                <w:color w:val="auto"/>
              </w:rPr>
            </w:pPr>
            <w:r>
              <w:rPr>
                <w:rFonts w:ascii="Arial" w:cs="Arial" w:eastAsia="Arial" w:hAnsi="Arial"/>
                <w:sz w:val="10"/>
                <w:szCs w:val="10"/>
                <w:color w:val="595959"/>
              </w:rPr>
              <w:t>(10) bps</w:t>
            </w:r>
          </w:p>
        </w:tc>
        <w:tc>
          <w:tcPr>
            <w:tcW w:w="1440" w:type="dxa"/>
            <w:vAlign w:val="bottom"/>
            <w:tcBorders>
              <w:bottom w:val="single" w:sz="8" w:color="E6E6E6"/>
              <w:right w:val="single" w:sz="8" w:color="D9D9D9"/>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tcBorders>
              <w:left w:val="single" w:sz="8" w:color="D9D9D9"/>
              <w:bottom w:val="single" w:sz="8" w:color="E6E6E6"/>
              <w:right w:val="single" w:sz="8" w:color="E6E6E6"/>
            </w:tcBorders>
            <w:shd w:val="clear" w:color="auto" w:fill="F2F2F2"/>
          </w:tcPr>
          <w:p>
            <w:pPr>
              <w:ind w:left="200"/>
              <w:spacing w:after="0"/>
              <w:rPr>
                <w:sz w:val="20"/>
                <w:szCs w:val="20"/>
                <w:color w:val="auto"/>
              </w:rPr>
            </w:pPr>
            <w:r>
              <w:rPr>
                <w:rFonts w:ascii="Arial" w:cs="Arial" w:eastAsia="Arial" w:hAnsi="Arial"/>
                <w:sz w:val="10"/>
                <w:szCs w:val="10"/>
                <w:color w:val="auto"/>
              </w:rPr>
              <w:t>RD&amp;E %</w:t>
            </w:r>
          </w:p>
        </w:tc>
        <w:tc>
          <w:tcPr>
            <w:tcW w:w="1760" w:type="dxa"/>
            <w:vAlign w:val="bottom"/>
            <w:tcBorders>
              <w:bottom w:val="single" w:sz="8" w:color="E6E6E6"/>
              <w:right w:val="single" w:sz="8" w:color="E6E6E6"/>
            </w:tcBorders>
            <w:shd w:val="clear" w:color="auto" w:fill="F2F2F2"/>
          </w:tcPr>
          <w:p>
            <w:pPr>
              <w:spacing w:after="0"/>
              <w:rPr>
                <w:sz w:val="20"/>
                <w:szCs w:val="20"/>
                <w:color w:val="auto"/>
              </w:rPr>
            </w:pPr>
            <w:r>
              <w:rPr>
                <w:rFonts w:ascii="Arial" w:cs="Arial" w:eastAsia="Arial" w:hAnsi="Arial"/>
                <w:sz w:val="10"/>
                <w:szCs w:val="10"/>
                <w:color w:val="595959"/>
              </w:rPr>
              <w:t>4.5%</w:t>
            </w:r>
          </w:p>
        </w:tc>
        <w:tc>
          <w:tcPr>
            <w:tcW w:w="1440" w:type="dxa"/>
            <w:vAlign w:val="bottom"/>
            <w:tcBorders>
              <w:bottom w:val="single" w:sz="8" w:color="E6E6E6"/>
              <w:right w:val="single" w:sz="8" w:color="E6E6E6"/>
            </w:tcBorders>
            <w:shd w:val="clear" w:color="auto" w:fill="F2F2F2"/>
          </w:tcPr>
          <w:p>
            <w:pPr>
              <w:spacing w:after="0"/>
              <w:rPr>
                <w:sz w:val="20"/>
                <w:szCs w:val="20"/>
                <w:color w:val="auto"/>
              </w:rPr>
            </w:pPr>
            <w:r>
              <w:rPr>
                <w:rFonts w:ascii="Arial" w:cs="Arial" w:eastAsia="Arial" w:hAnsi="Arial"/>
                <w:sz w:val="10"/>
                <w:szCs w:val="10"/>
                <w:color w:val="595959"/>
              </w:rPr>
              <w:t>4.3%</w:t>
            </w:r>
          </w:p>
        </w:tc>
        <w:tc>
          <w:tcPr>
            <w:tcW w:w="1440" w:type="dxa"/>
            <w:vAlign w:val="bottom"/>
            <w:tcBorders>
              <w:bottom w:val="single" w:sz="8" w:color="E6E6E6"/>
              <w:right w:val="single" w:sz="8" w:color="E6E6E6"/>
            </w:tcBorders>
            <w:shd w:val="clear" w:color="auto" w:fill="F2F2F2"/>
          </w:tcPr>
          <w:p>
            <w:pPr>
              <w:ind w:left="20"/>
              <w:spacing w:after="0"/>
              <w:rPr>
                <w:sz w:val="20"/>
                <w:szCs w:val="20"/>
                <w:color w:val="auto"/>
              </w:rPr>
            </w:pPr>
            <w:r>
              <w:rPr>
                <w:rFonts w:ascii="Arial" w:cs="Arial" w:eastAsia="Arial" w:hAnsi="Arial"/>
                <w:sz w:val="10"/>
                <w:szCs w:val="10"/>
                <w:color w:val="595959"/>
              </w:rPr>
              <w:t>(20) bps</w:t>
            </w:r>
          </w:p>
        </w:tc>
        <w:tc>
          <w:tcPr>
            <w:tcW w:w="1440" w:type="dxa"/>
            <w:vAlign w:val="bottom"/>
            <w:tcBorders>
              <w:bottom w:val="single" w:sz="8" w:color="E6E6E6"/>
              <w:right w:val="single" w:sz="8" w:color="D9D9D9"/>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tcBorders>
              <w:left w:val="single" w:sz="8" w:color="D9D9D9"/>
              <w:bottom w:val="single" w:sz="8" w:color="E6E6E6"/>
              <w:right w:val="single" w:sz="8" w:color="E6E6E6"/>
            </w:tcBorders>
            <w:shd w:val="clear" w:color="auto" w:fill="F2F2F2"/>
          </w:tcPr>
          <w:p>
            <w:pPr>
              <w:ind w:left="200"/>
              <w:spacing w:after="0"/>
              <w:rPr>
                <w:sz w:val="20"/>
                <w:szCs w:val="20"/>
                <w:color w:val="auto"/>
              </w:rPr>
            </w:pPr>
            <w:r>
              <w:rPr>
                <w:rFonts w:ascii="Arial" w:cs="Arial" w:eastAsia="Arial" w:hAnsi="Arial"/>
                <w:sz w:val="10"/>
                <w:szCs w:val="10"/>
                <w:color w:val="auto"/>
              </w:rPr>
              <w:t>SAG %</w:t>
            </w:r>
          </w:p>
        </w:tc>
        <w:tc>
          <w:tcPr>
            <w:tcW w:w="1760" w:type="dxa"/>
            <w:vAlign w:val="bottom"/>
            <w:tcBorders>
              <w:bottom w:val="single" w:sz="8" w:color="E6E6E6"/>
              <w:right w:val="single" w:sz="8" w:color="E6E6E6"/>
            </w:tcBorders>
            <w:shd w:val="clear" w:color="auto" w:fill="F2F2F2"/>
          </w:tcPr>
          <w:p>
            <w:pPr>
              <w:spacing w:after="0"/>
              <w:rPr>
                <w:sz w:val="20"/>
                <w:szCs w:val="20"/>
                <w:color w:val="auto"/>
              </w:rPr>
            </w:pPr>
            <w:r>
              <w:rPr>
                <w:rFonts w:ascii="Arial" w:cs="Arial" w:eastAsia="Arial" w:hAnsi="Arial"/>
                <w:sz w:val="10"/>
                <w:szCs w:val="10"/>
                <w:color w:val="595959"/>
              </w:rPr>
              <w:t>23.3%</w:t>
            </w:r>
          </w:p>
        </w:tc>
        <w:tc>
          <w:tcPr>
            <w:tcW w:w="1440" w:type="dxa"/>
            <w:vAlign w:val="bottom"/>
            <w:tcBorders>
              <w:bottom w:val="single" w:sz="8" w:color="E6E6E6"/>
              <w:right w:val="single" w:sz="8" w:color="E6E6E6"/>
            </w:tcBorders>
            <w:shd w:val="clear" w:color="auto" w:fill="F2F2F2"/>
          </w:tcPr>
          <w:p>
            <w:pPr>
              <w:spacing w:after="0"/>
              <w:rPr>
                <w:sz w:val="20"/>
                <w:szCs w:val="20"/>
                <w:color w:val="auto"/>
              </w:rPr>
            </w:pPr>
            <w:r>
              <w:rPr>
                <w:rFonts w:ascii="Arial" w:cs="Arial" w:eastAsia="Arial" w:hAnsi="Arial"/>
                <w:sz w:val="10"/>
                <w:szCs w:val="10"/>
                <w:color w:val="595959"/>
              </w:rPr>
              <w:t>24.8%</w:t>
            </w:r>
          </w:p>
        </w:tc>
        <w:tc>
          <w:tcPr>
            <w:tcW w:w="1440" w:type="dxa"/>
            <w:vAlign w:val="bottom"/>
            <w:tcBorders>
              <w:bottom w:val="single" w:sz="8" w:color="E6E6E6"/>
              <w:right w:val="single" w:sz="8" w:color="E6E6E6"/>
            </w:tcBorders>
            <w:shd w:val="clear" w:color="auto" w:fill="F2F2F2"/>
          </w:tcPr>
          <w:p>
            <w:pPr>
              <w:ind w:left="20"/>
              <w:spacing w:after="0"/>
              <w:rPr>
                <w:sz w:val="20"/>
                <w:szCs w:val="20"/>
                <w:color w:val="auto"/>
              </w:rPr>
            </w:pPr>
            <w:r>
              <w:rPr>
                <w:rFonts w:ascii="Arial" w:cs="Arial" w:eastAsia="Arial" w:hAnsi="Arial"/>
                <w:sz w:val="10"/>
                <w:szCs w:val="10"/>
                <w:color w:val="595959"/>
              </w:rPr>
              <w:t>150 bps</w:t>
            </w:r>
          </w:p>
        </w:tc>
        <w:tc>
          <w:tcPr>
            <w:tcW w:w="1440" w:type="dxa"/>
            <w:vAlign w:val="bottom"/>
            <w:tcBorders>
              <w:bottom w:val="single" w:sz="8" w:color="E6E6E6"/>
              <w:right w:val="single" w:sz="8" w:color="D9D9D9"/>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60" w:type="dxa"/>
            <w:vAlign w:val="bottom"/>
            <w:tcBorders>
              <w:left w:val="single" w:sz="8" w:color="D9D9D9"/>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auto"/>
              </w:rPr>
              <w:t>Pre-Tax Income</w:t>
            </w:r>
          </w:p>
        </w:tc>
        <w:tc>
          <w:tcPr>
            <w:tcW w:w="176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auto"/>
              </w:rPr>
              <w:t>$230</w:t>
            </w:r>
          </w:p>
        </w:tc>
        <w:tc>
          <w:tcPr>
            <w:tcW w:w="144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auto"/>
              </w:rPr>
              <w:t>$192</w:t>
            </w:r>
          </w:p>
        </w:tc>
        <w:tc>
          <w:tcPr>
            <w:tcW w:w="144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auto"/>
              </w:rPr>
              <w:t>$38</w:t>
            </w:r>
          </w:p>
        </w:tc>
        <w:tc>
          <w:tcPr>
            <w:tcW w:w="1440" w:type="dxa"/>
            <w:vAlign w:val="bottom"/>
            <w:tcBorders>
              <w:bottom w:val="single" w:sz="8" w:color="E6E6E6"/>
              <w:right w:val="single" w:sz="8" w:color="D9D9D9"/>
            </w:tcBorders>
          </w:tcPr>
          <w:p>
            <w:pPr>
              <w:ind w:left="20"/>
              <w:spacing w:after="0"/>
              <w:rPr>
                <w:sz w:val="20"/>
                <w:szCs w:val="20"/>
                <w:color w:val="auto"/>
              </w:rPr>
            </w:pPr>
            <w:r>
              <w:rPr>
                <w:rFonts w:ascii="Arial" w:cs="Arial" w:eastAsia="Arial" w:hAnsi="Arial"/>
                <w:sz w:val="10"/>
                <w:szCs w:val="10"/>
                <w:b w:val="1"/>
                <w:bCs w:val="1"/>
                <w:color w:val="auto"/>
              </w:rPr>
              <w:t>19.8%</w:t>
            </w:r>
          </w:p>
        </w:tc>
        <w:tc>
          <w:tcPr>
            <w:tcW w:w="0" w:type="dxa"/>
            <w:vAlign w:val="bottom"/>
          </w:tcPr>
          <w:p>
            <w:pPr>
              <w:spacing w:after="0"/>
              <w:rPr>
                <w:sz w:val="1"/>
                <w:szCs w:val="1"/>
                <w:color w:val="auto"/>
              </w:rPr>
            </w:pPr>
          </w:p>
        </w:tc>
      </w:tr>
      <w:tr>
        <w:trPr>
          <w:trHeight w:val="172"/>
        </w:trPr>
        <w:tc>
          <w:tcPr>
            <w:tcW w:w="4260" w:type="dxa"/>
            <w:vAlign w:val="bottom"/>
            <w:tcBorders>
              <w:left w:val="single" w:sz="8" w:color="D9D9D9"/>
              <w:bottom w:val="single" w:sz="8" w:color="E6E6E6"/>
              <w:right w:val="single" w:sz="8" w:color="E6E6E6"/>
            </w:tcBorders>
            <w:shd w:val="clear" w:color="auto" w:fill="F2F2F2"/>
          </w:tcPr>
          <w:p>
            <w:pPr>
              <w:ind w:left="200"/>
              <w:spacing w:after="0"/>
              <w:rPr>
                <w:sz w:val="20"/>
                <w:szCs w:val="20"/>
                <w:color w:val="auto"/>
              </w:rPr>
            </w:pPr>
            <w:r>
              <w:rPr>
                <w:rFonts w:ascii="Arial" w:cs="Arial" w:eastAsia="Arial" w:hAnsi="Arial"/>
                <w:sz w:val="10"/>
                <w:szCs w:val="10"/>
                <w:color w:val="auto"/>
              </w:rPr>
              <w:t>Pre-Tax Income Margin</w:t>
            </w:r>
          </w:p>
        </w:tc>
        <w:tc>
          <w:tcPr>
            <w:tcW w:w="1760" w:type="dxa"/>
            <w:vAlign w:val="bottom"/>
            <w:tcBorders>
              <w:bottom w:val="single" w:sz="8" w:color="E6E6E6"/>
              <w:right w:val="single" w:sz="8" w:color="E6E6E6"/>
            </w:tcBorders>
            <w:shd w:val="clear" w:color="auto" w:fill="F2F2F2"/>
          </w:tcPr>
          <w:p>
            <w:pPr>
              <w:spacing w:after="0"/>
              <w:rPr>
                <w:sz w:val="20"/>
                <w:szCs w:val="20"/>
                <w:color w:val="auto"/>
              </w:rPr>
            </w:pPr>
            <w:r>
              <w:rPr>
                <w:rFonts w:ascii="Arial" w:cs="Arial" w:eastAsia="Arial" w:hAnsi="Arial"/>
                <w:sz w:val="10"/>
                <w:szCs w:val="10"/>
                <w:color w:val="auto"/>
              </w:rPr>
              <w:t>10.5%</w:t>
            </w:r>
          </w:p>
        </w:tc>
        <w:tc>
          <w:tcPr>
            <w:tcW w:w="1440" w:type="dxa"/>
            <w:vAlign w:val="bottom"/>
            <w:tcBorders>
              <w:bottom w:val="single" w:sz="8" w:color="E6E6E6"/>
              <w:right w:val="single" w:sz="8" w:color="E6E6E6"/>
            </w:tcBorders>
            <w:shd w:val="clear" w:color="auto" w:fill="F2F2F2"/>
          </w:tcPr>
          <w:p>
            <w:pPr>
              <w:spacing w:after="0"/>
              <w:rPr>
                <w:sz w:val="20"/>
                <w:szCs w:val="20"/>
                <w:color w:val="auto"/>
              </w:rPr>
            </w:pPr>
            <w:r>
              <w:rPr>
                <w:rFonts w:ascii="Arial" w:cs="Arial" w:eastAsia="Arial" w:hAnsi="Arial"/>
                <w:sz w:val="10"/>
                <w:szCs w:val="10"/>
                <w:color w:val="auto"/>
              </w:rPr>
              <w:t>8.2%</w:t>
            </w:r>
          </w:p>
        </w:tc>
        <w:tc>
          <w:tcPr>
            <w:tcW w:w="1440" w:type="dxa"/>
            <w:vAlign w:val="bottom"/>
            <w:tcBorders>
              <w:bottom w:val="single" w:sz="8" w:color="E6E6E6"/>
              <w:right w:val="single" w:sz="8" w:color="E6E6E6"/>
            </w:tcBorders>
            <w:shd w:val="clear" w:color="auto" w:fill="F2F2F2"/>
          </w:tcPr>
          <w:p>
            <w:pPr>
              <w:ind w:left="20"/>
              <w:spacing w:after="0"/>
              <w:rPr>
                <w:sz w:val="20"/>
                <w:szCs w:val="20"/>
                <w:color w:val="auto"/>
              </w:rPr>
            </w:pPr>
            <w:r>
              <w:rPr>
                <w:rFonts w:ascii="Arial" w:cs="Arial" w:eastAsia="Arial" w:hAnsi="Arial"/>
                <w:sz w:val="10"/>
                <w:szCs w:val="10"/>
                <w:color w:val="auto"/>
              </w:rPr>
              <w:t xml:space="preserve">230 </w:t>
            </w:r>
            <w:r>
              <w:rPr>
                <w:rFonts w:ascii="Arial" w:cs="Arial" w:eastAsia="Arial" w:hAnsi="Arial"/>
                <w:sz w:val="10"/>
                <w:szCs w:val="10"/>
                <w:color w:val="595959"/>
              </w:rPr>
              <w:t>bps</w:t>
            </w:r>
          </w:p>
        </w:tc>
        <w:tc>
          <w:tcPr>
            <w:tcW w:w="1440" w:type="dxa"/>
            <w:vAlign w:val="bottom"/>
            <w:tcBorders>
              <w:bottom w:val="single" w:sz="8" w:color="E6E6E6"/>
              <w:right w:val="single" w:sz="8" w:color="D9D9D9"/>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260" w:type="dxa"/>
            <w:vAlign w:val="bottom"/>
            <w:tcBorders>
              <w:left w:val="single" w:sz="8" w:color="D9D9D9"/>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auto"/>
              </w:rPr>
              <w:t>Operating Income - Adjusted</w:t>
            </w:r>
            <w:r>
              <w:rPr>
                <w:rFonts w:ascii="Arial" w:cs="Arial" w:eastAsia="Arial" w:hAnsi="Arial"/>
                <w:sz w:val="12"/>
                <w:szCs w:val="12"/>
                <w:b w:val="1"/>
                <w:bCs w:val="1"/>
                <w:color w:val="auto"/>
                <w:vertAlign w:val="superscript"/>
              </w:rPr>
              <w:t>1</w:t>
            </w:r>
          </w:p>
        </w:tc>
        <w:tc>
          <w:tcPr>
            <w:tcW w:w="176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auto"/>
              </w:rPr>
              <w:t>$267</w:t>
            </w:r>
          </w:p>
        </w:tc>
        <w:tc>
          <w:tcPr>
            <w:tcW w:w="144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auto"/>
              </w:rPr>
              <w:t>$257</w:t>
            </w:r>
          </w:p>
        </w:tc>
        <w:tc>
          <w:tcPr>
            <w:tcW w:w="144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auto"/>
              </w:rPr>
              <w:t>$10</w:t>
            </w:r>
          </w:p>
        </w:tc>
        <w:tc>
          <w:tcPr>
            <w:tcW w:w="1440" w:type="dxa"/>
            <w:vAlign w:val="bottom"/>
            <w:tcBorders>
              <w:bottom w:val="single" w:sz="8" w:color="E6E6E6"/>
              <w:right w:val="single" w:sz="8" w:color="D9D9D9"/>
            </w:tcBorders>
          </w:tcPr>
          <w:p>
            <w:pPr>
              <w:ind w:left="20"/>
              <w:spacing w:after="0"/>
              <w:rPr>
                <w:sz w:val="20"/>
                <w:szCs w:val="20"/>
                <w:color w:val="auto"/>
              </w:rPr>
            </w:pPr>
            <w:r>
              <w:rPr>
                <w:rFonts w:ascii="Arial" w:cs="Arial" w:eastAsia="Arial" w:hAnsi="Arial"/>
                <w:sz w:val="10"/>
                <w:szCs w:val="10"/>
                <w:b w:val="1"/>
                <w:bCs w:val="1"/>
                <w:color w:val="auto"/>
              </w:rPr>
              <w:t>3.9%</w:t>
            </w:r>
          </w:p>
        </w:tc>
        <w:tc>
          <w:tcPr>
            <w:tcW w:w="0" w:type="dxa"/>
            <w:vAlign w:val="bottom"/>
          </w:tcPr>
          <w:p>
            <w:pPr>
              <w:spacing w:after="0"/>
              <w:rPr>
                <w:sz w:val="1"/>
                <w:szCs w:val="1"/>
                <w:color w:val="auto"/>
              </w:rPr>
            </w:pPr>
          </w:p>
        </w:tc>
      </w:tr>
      <w:tr>
        <w:trPr>
          <w:trHeight w:val="172"/>
        </w:trPr>
        <w:tc>
          <w:tcPr>
            <w:tcW w:w="4260" w:type="dxa"/>
            <w:vAlign w:val="bottom"/>
            <w:tcBorders>
              <w:left w:val="single" w:sz="8" w:color="D9D9D9"/>
              <w:bottom w:val="single" w:sz="8" w:color="E6E6E6"/>
              <w:right w:val="single" w:sz="8" w:color="E6E6E6"/>
            </w:tcBorders>
            <w:shd w:val="clear" w:color="auto" w:fill="F2F2F2"/>
          </w:tcPr>
          <w:p>
            <w:pPr>
              <w:ind w:left="180"/>
              <w:spacing w:after="0"/>
              <w:rPr>
                <w:sz w:val="20"/>
                <w:szCs w:val="20"/>
                <w:color w:val="auto"/>
              </w:rPr>
            </w:pPr>
            <w:r>
              <w:rPr>
                <w:rFonts w:ascii="Arial" w:cs="Arial" w:eastAsia="Arial" w:hAnsi="Arial"/>
                <w:sz w:val="10"/>
                <w:szCs w:val="10"/>
                <w:color w:val="auto"/>
              </w:rPr>
              <w:t>Operating Margin - Adjusted</w:t>
            </w:r>
            <w:r>
              <w:rPr>
                <w:rFonts w:ascii="Arial" w:cs="Arial" w:eastAsia="Arial" w:hAnsi="Arial"/>
                <w:sz w:val="12"/>
                <w:szCs w:val="12"/>
                <w:color w:val="auto"/>
                <w:vertAlign w:val="superscript"/>
              </w:rPr>
              <w:t>1</w:t>
            </w:r>
          </w:p>
        </w:tc>
        <w:tc>
          <w:tcPr>
            <w:tcW w:w="1760" w:type="dxa"/>
            <w:vAlign w:val="bottom"/>
            <w:tcBorders>
              <w:bottom w:val="single" w:sz="8" w:color="E6E6E6"/>
              <w:right w:val="single" w:sz="8" w:color="E6E6E6"/>
            </w:tcBorders>
            <w:shd w:val="clear" w:color="auto" w:fill="F2F2F2"/>
          </w:tcPr>
          <w:p>
            <w:pPr>
              <w:spacing w:after="0"/>
              <w:rPr>
                <w:sz w:val="20"/>
                <w:szCs w:val="20"/>
                <w:color w:val="auto"/>
              </w:rPr>
            </w:pPr>
            <w:r>
              <w:rPr>
                <w:rFonts w:ascii="Arial" w:cs="Arial" w:eastAsia="Arial" w:hAnsi="Arial"/>
                <w:sz w:val="10"/>
                <w:szCs w:val="10"/>
                <w:color w:val="595959"/>
              </w:rPr>
              <w:t>12.1%</w:t>
            </w:r>
          </w:p>
        </w:tc>
        <w:tc>
          <w:tcPr>
            <w:tcW w:w="1440" w:type="dxa"/>
            <w:vAlign w:val="bottom"/>
            <w:tcBorders>
              <w:bottom w:val="single" w:sz="8" w:color="E6E6E6"/>
              <w:right w:val="single" w:sz="8" w:color="E6E6E6"/>
            </w:tcBorders>
            <w:shd w:val="clear" w:color="auto" w:fill="F2F2F2"/>
          </w:tcPr>
          <w:p>
            <w:pPr>
              <w:spacing w:after="0"/>
              <w:rPr>
                <w:sz w:val="20"/>
                <w:szCs w:val="20"/>
                <w:color w:val="auto"/>
              </w:rPr>
            </w:pPr>
            <w:r>
              <w:rPr>
                <w:rFonts w:ascii="Arial" w:cs="Arial" w:eastAsia="Arial" w:hAnsi="Arial"/>
                <w:sz w:val="10"/>
                <w:szCs w:val="10"/>
                <w:color w:val="595959"/>
              </w:rPr>
              <w:t>10.9%</w:t>
            </w:r>
          </w:p>
        </w:tc>
        <w:tc>
          <w:tcPr>
            <w:tcW w:w="1440" w:type="dxa"/>
            <w:vAlign w:val="bottom"/>
            <w:tcBorders>
              <w:bottom w:val="single" w:sz="8" w:color="E6E6E6"/>
              <w:right w:val="single" w:sz="8" w:color="E6E6E6"/>
            </w:tcBorders>
            <w:shd w:val="clear" w:color="auto" w:fill="F2F2F2"/>
          </w:tcPr>
          <w:p>
            <w:pPr>
              <w:ind w:left="20"/>
              <w:spacing w:after="0"/>
              <w:rPr>
                <w:sz w:val="20"/>
                <w:szCs w:val="20"/>
                <w:color w:val="auto"/>
              </w:rPr>
            </w:pPr>
            <w:r>
              <w:rPr>
                <w:rFonts w:ascii="Arial" w:cs="Arial" w:eastAsia="Arial" w:hAnsi="Arial"/>
                <w:sz w:val="10"/>
                <w:szCs w:val="10"/>
                <w:color w:val="595959"/>
              </w:rPr>
              <w:t>120 bps</w:t>
            </w:r>
          </w:p>
        </w:tc>
        <w:tc>
          <w:tcPr>
            <w:tcW w:w="1440" w:type="dxa"/>
            <w:vAlign w:val="bottom"/>
            <w:tcBorders>
              <w:bottom w:val="single" w:sz="8" w:color="E6E6E6"/>
              <w:right w:val="single" w:sz="8" w:color="D9D9D9"/>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60" w:type="dxa"/>
            <w:vAlign w:val="bottom"/>
            <w:tcBorders>
              <w:left w:val="single" w:sz="8" w:color="D9D9D9"/>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auto"/>
              </w:rPr>
              <w:t>GAAP EPS</w:t>
            </w:r>
          </w:p>
        </w:tc>
        <w:tc>
          <w:tcPr>
            <w:tcW w:w="176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auto"/>
              </w:rPr>
              <w:t>$0.96</w:t>
            </w:r>
          </w:p>
        </w:tc>
        <w:tc>
          <w:tcPr>
            <w:tcW w:w="1440" w:type="dxa"/>
            <w:vAlign w:val="bottom"/>
            <w:tcBorders>
              <w:bottom w:val="single" w:sz="8" w:color="E6E6E6"/>
              <w:right w:val="single" w:sz="8" w:color="E6E6E6"/>
            </w:tcBorders>
          </w:tcPr>
          <w:p>
            <w:pPr>
              <w:spacing w:after="0"/>
              <w:rPr>
                <w:sz w:val="20"/>
                <w:szCs w:val="20"/>
                <w:color w:val="auto"/>
              </w:rPr>
            </w:pPr>
            <w:r>
              <w:rPr>
                <w:rFonts w:ascii="Arial" w:cs="Arial" w:eastAsia="Arial" w:hAnsi="Arial"/>
                <w:sz w:val="10"/>
                <w:szCs w:val="10"/>
                <w:b w:val="1"/>
                <w:bCs w:val="1"/>
                <w:color w:val="auto"/>
              </w:rPr>
              <w:t>$0.34</w:t>
            </w:r>
          </w:p>
        </w:tc>
        <w:tc>
          <w:tcPr>
            <w:tcW w:w="1440" w:type="dxa"/>
            <w:vAlign w:val="bottom"/>
            <w:tcBorders>
              <w:bottom w:val="single" w:sz="8" w:color="E6E6E6"/>
              <w:right w:val="single" w:sz="8" w:color="E6E6E6"/>
            </w:tcBorders>
          </w:tcPr>
          <w:p>
            <w:pPr>
              <w:ind w:left="20"/>
              <w:spacing w:after="0"/>
              <w:rPr>
                <w:sz w:val="20"/>
                <w:szCs w:val="20"/>
                <w:color w:val="auto"/>
              </w:rPr>
            </w:pPr>
            <w:r>
              <w:rPr>
                <w:rFonts w:ascii="Arial" w:cs="Arial" w:eastAsia="Arial" w:hAnsi="Arial"/>
                <w:sz w:val="10"/>
                <w:szCs w:val="10"/>
                <w:b w:val="1"/>
                <w:bCs w:val="1"/>
                <w:color w:val="auto"/>
              </w:rPr>
              <w:t>$0.62</w:t>
            </w:r>
          </w:p>
        </w:tc>
        <w:tc>
          <w:tcPr>
            <w:tcW w:w="1440" w:type="dxa"/>
            <w:vAlign w:val="bottom"/>
            <w:tcBorders>
              <w:bottom w:val="single" w:sz="8" w:color="E6E6E6"/>
              <w:right w:val="single" w:sz="8" w:color="D9D9D9"/>
            </w:tcBorders>
          </w:tcPr>
          <w:p>
            <w:pPr>
              <w:ind w:left="20"/>
              <w:spacing w:after="0"/>
              <w:rPr>
                <w:sz w:val="20"/>
                <w:szCs w:val="20"/>
                <w:color w:val="auto"/>
              </w:rPr>
            </w:pPr>
            <w:r>
              <w:rPr>
                <w:rFonts w:ascii="Arial" w:cs="Arial" w:eastAsia="Arial" w:hAnsi="Arial"/>
                <w:sz w:val="10"/>
                <w:szCs w:val="10"/>
                <w:b w:val="1"/>
                <w:bCs w:val="1"/>
                <w:color w:val="auto"/>
              </w:rPr>
              <w:t>nm</w:t>
            </w:r>
          </w:p>
        </w:tc>
        <w:tc>
          <w:tcPr>
            <w:tcW w:w="0" w:type="dxa"/>
            <w:vAlign w:val="bottom"/>
          </w:tcPr>
          <w:p>
            <w:pPr>
              <w:spacing w:after="0"/>
              <w:rPr>
                <w:sz w:val="1"/>
                <w:szCs w:val="1"/>
                <w:color w:val="auto"/>
              </w:rPr>
            </w:pPr>
          </w:p>
        </w:tc>
      </w:tr>
      <w:tr>
        <w:trPr>
          <w:trHeight w:val="139"/>
        </w:trPr>
        <w:tc>
          <w:tcPr>
            <w:tcW w:w="4260" w:type="dxa"/>
            <w:vAlign w:val="bottom"/>
            <w:tcBorders>
              <w:left w:val="single" w:sz="8" w:color="D9D9D9"/>
              <w:bottom w:val="single" w:sz="8" w:color="D9D9D9"/>
              <w:right w:val="single" w:sz="8" w:color="E6E6E6"/>
            </w:tcBorders>
          </w:tcPr>
          <w:p>
            <w:pPr>
              <w:ind w:left="20"/>
              <w:spacing w:after="0"/>
              <w:rPr>
                <w:sz w:val="20"/>
                <w:szCs w:val="20"/>
                <w:color w:val="auto"/>
              </w:rPr>
            </w:pPr>
            <w:r>
              <w:rPr>
                <w:rFonts w:ascii="Arial" w:cs="Arial" w:eastAsia="Arial" w:hAnsi="Arial"/>
                <w:sz w:val="10"/>
                <w:szCs w:val="10"/>
                <w:b w:val="1"/>
                <w:bCs w:val="1"/>
                <w:color w:val="auto"/>
              </w:rPr>
              <w:t>EPS - Adjusted</w:t>
            </w:r>
            <w:r>
              <w:rPr>
                <w:rFonts w:ascii="Arial" w:cs="Arial" w:eastAsia="Arial" w:hAnsi="Arial"/>
                <w:sz w:val="12"/>
                <w:szCs w:val="12"/>
                <w:b w:val="1"/>
                <w:bCs w:val="1"/>
                <w:color w:val="auto"/>
                <w:vertAlign w:val="superscript"/>
              </w:rPr>
              <w:t>1</w:t>
            </w:r>
          </w:p>
        </w:tc>
        <w:tc>
          <w:tcPr>
            <w:tcW w:w="1760" w:type="dxa"/>
            <w:vAlign w:val="bottom"/>
            <w:tcBorders>
              <w:bottom w:val="single" w:sz="8" w:color="D9D9D9"/>
              <w:right w:val="single" w:sz="8" w:color="E6E6E6"/>
            </w:tcBorders>
          </w:tcPr>
          <w:p>
            <w:pPr>
              <w:spacing w:after="0"/>
              <w:rPr>
                <w:sz w:val="20"/>
                <w:szCs w:val="20"/>
                <w:color w:val="auto"/>
              </w:rPr>
            </w:pPr>
            <w:r>
              <w:rPr>
                <w:rFonts w:ascii="Arial" w:cs="Arial" w:eastAsia="Arial" w:hAnsi="Arial"/>
                <w:sz w:val="10"/>
                <w:szCs w:val="10"/>
                <w:b w:val="1"/>
                <w:bCs w:val="1"/>
                <w:color w:val="auto"/>
              </w:rPr>
              <w:t>$1.08</w:t>
            </w:r>
          </w:p>
        </w:tc>
        <w:tc>
          <w:tcPr>
            <w:tcW w:w="1440" w:type="dxa"/>
            <w:vAlign w:val="bottom"/>
            <w:tcBorders>
              <w:bottom w:val="single" w:sz="8" w:color="D9D9D9"/>
              <w:right w:val="single" w:sz="8" w:color="E6E6E6"/>
            </w:tcBorders>
          </w:tcPr>
          <w:p>
            <w:pPr>
              <w:spacing w:after="0"/>
              <w:rPr>
                <w:sz w:val="20"/>
                <w:szCs w:val="20"/>
                <w:color w:val="auto"/>
              </w:rPr>
            </w:pPr>
            <w:r>
              <w:rPr>
                <w:rFonts w:ascii="Arial" w:cs="Arial" w:eastAsia="Arial" w:hAnsi="Arial"/>
                <w:sz w:val="10"/>
                <w:szCs w:val="10"/>
                <w:b w:val="1"/>
                <w:bCs w:val="1"/>
                <w:color w:val="auto"/>
              </w:rPr>
              <w:t>$0.85</w:t>
            </w:r>
          </w:p>
        </w:tc>
        <w:tc>
          <w:tcPr>
            <w:tcW w:w="1440" w:type="dxa"/>
            <w:vAlign w:val="bottom"/>
            <w:tcBorders>
              <w:bottom w:val="single" w:sz="8" w:color="D9D9D9"/>
              <w:right w:val="single" w:sz="8" w:color="E6E6E6"/>
            </w:tcBorders>
          </w:tcPr>
          <w:p>
            <w:pPr>
              <w:ind w:left="20"/>
              <w:spacing w:after="0"/>
              <w:rPr>
                <w:sz w:val="20"/>
                <w:szCs w:val="20"/>
                <w:color w:val="auto"/>
              </w:rPr>
            </w:pPr>
            <w:r>
              <w:rPr>
                <w:rFonts w:ascii="Arial" w:cs="Arial" w:eastAsia="Arial" w:hAnsi="Arial"/>
                <w:sz w:val="10"/>
                <w:szCs w:val="10"/>
                <w:b w:val="1"/>
                <w:bCs w:val="1"/>
                <w:color w:val="auto"/>
              </w:rPr>
              <w:t>$0.23</w:t>
            </w:r>
          </w:p>
        </w:tc>
        <w:tc>
          <w:tcPr>
            <w:tcW w:w="1440" w:type="dxa"/>
            <w:vAlign w:val="bottom"/>
            <w:tcBorders>
              <w:bottom w:val="single" w:sz="8" w:color="D9D9D9"/>
              <w:right w:val="single" w:sz="8" w:color="D9D9D9"/>
            </w:tcBorders>
          </w:tcPr>
          <w:p>
            <w:pPr>
              <w:ind w:left="20"/>
              <w:spacing w:after="0"/>
              <w:rPr>
                <w:sz w:val="20"/>
                <w:szCs w:val="20"/>
                <w:color w:val="auto"/>
              </w:rPr>
            </w:pPr>
            <w:r>
              <w:rPr>
                <w:rFonts w:ascii="Arial" w:cs="Arial" w:eastAsia="Arial" w:hAnsi="Arial"/>
                <w:sz w:val="10"/>
                <w:szCs w:val="10"/>
                <w:b w:val="1"/>
                <w:bCs w:val="1"/>
                <w:color w:val="auto"/>
              </w:rPr>
              <w:t>27.1%</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7"/>
        <w:spacing w:after="0"/>
        <w:rPr>
          <w:sz w:val="20"/>
          <w:szCs w:val="20"/>
          <w:color w:val="auto"/>
        </w:rPr>
      </w:pPr>
      <w:r>
        <w:rPr>
          <w:rFonts w:ascii="Arial" w:cs="Arial" w:eastAsia="Arial" w:hAnsi="Arial"/>
          <w:sz w:val="10"/>
          <w:szCs w:val="10"/>
          <w:color w:val="auto"/>
        </w:rPr>
        <w:t>(1) Refer to the “Non-GAAP Financial Measures” section of this release for a discussion of these non-GAAP measures and their reconciliation to the reported GAAP measures.</w:t>
      </w:r>
    </w:p>
    <w:p>
      <w:pPr>
        <w:spacing w:after="0" w:line="219" w:lineRule="exact"/>
        <w:rPr>
          <w:sz w:val="20"/>
          <w:szCs w:val="20"/>
          <w:color w:val="auto"/>
        </w:rPr>
      </w:pPr>
    </w:p>
    <w:p>
      <w:pPr>
        <w:jc w:val="center"/>
        <w:ind w:right="-146"/>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27"/>
          </w:cols>
          <w:pgMar w:left="213" w:top="209" w:right="359" w:bottom="1440" w:gutter="0" w:footer="0" w:header="0"/>
        </w:sectPr>
      </w:pPr>
    </w:p>
    <w:bookmarkStart w:id="6" w:name="page7"/>
    <w:bookmarkEnd w:id="6"/>
    <w:p>
      <w:pPr>
        <w:ind w:left="7"/>
        <w:spacing w:after="0"/>
        <w:rPr>
          <w:sz w:val="20"/>
          <w:szCs w:val="20"/>
          <w:color w:val="auto"/>
        </w:rPr>
      </w:pPr>
      <w:r>
        <w:rPr>
          <w:rFonts w:ascii="Arial" w:cs="Arial" w:eastAsia="Arial" w:hAnsi="Arial"/>
          <w:sz w:val="13"/>
          <w:szCs w:val="13"/>
          <w:b w:val="1"/>
          <w:bCs w:val="1"/>
          <w:color w:val="auto"/>
        </w:rPr>
        <w:t>Key Business Highlights:</w:t>
      </w:r>
    </w:p>
    <w:p>
      <w:pPr>
        <w:spacing w:after="0" w:line="22" w:lineRule="exact"/>
        <w:rPr>
          <w:sz w:val="20"/>
          <w:szCs w:val="20"/>
          <w:color w:val="auto"/>
        </w:rPr>
      </w:pPr>
    </w:p>
    <w:p>
      <w:pPr>
        <w:ind w:left="227" w:right="40" w:hanging="227"/>
        <w:spacing w:after="0" w:line="248" w:lineRule="auto"/>
        <w:tabs>
          <w:tab w:leader="none" w:pos="227" w:val="left"/>
        </w:tabs>
        <w:numPr>
          <w:ilvl w:val="0"/>
          <w:numId w:val="3"/>
        </w:numPr>
        <w:rPr>
          <w:rFonts w:ascii="Arial" w:cs="Arial" w:eastAsia="Arial" w:hAnsi="Arial"/>
          <w:sz w:val="12"/>
          <w:szCs w:val="12"/>
          <w:color w:val="auto"/>
        </w:rPr>
      </w:pPr>
      <w:r>
        <w:rPr>
          <w:rFonts w:ascii="Arial" w:cs="Arial" w:eastAsia="Arial" w:hAnsi="Arial"/>
          <w:sz w:val="13"/>
          <w:szCs w:val="13"/>
          <w:color w:val="auto"/>
        </w:rPr>
        <w:t>On track to drive 2019 gross savings of at least $640 million under Project Own It, Xerox’s enterprise-wide initiative to simplify operations, drive continuous improvement and free up capital to reinvest in the business</w:t>
      </w:r>
    </w:p>
    <w:p>
      <w:pPr>
        <w:spacing w:after="0" w:line="1" w:lineRule="exact"/>
        <w:rPr>
          <w:rFonts w:ascii="Arial" w:cs="Arial" w:eastAsia="Arial" w:hAnsi="Arial"/>
          <w:sz w:val="12"/>
          <w:szCs w:val="12"/>
          <w:color w:val="auto"/>
        </w:rPr>
      </w:pPr>
    </w:p>
    <w:p>
      <w:pPr>
        <w:ind w:left="227" w:hanging="227"/>
        <w:spacing w:after="0"/>
        <w:tabs>
          <w:tab w:leader="none" w:pos="227" w:val="left"/>
        </w:tabs>
        <w:numPr>
          <w:ilvl w:val="0"/>
          <w:numId w:val="3"/>
        </w:numPr>
        <w:rPr>
          <w:rFonts w:ascii="Arial" w:cs="Arial" w:eastAsia="Arial" w:hAnsi="Arial"/>
          <w:sz w:val="12"/>
          <w:szCs w:val="12"/>
          <w:color w:val="auto"/>
        </w:rPr>
      </w:pPr>
      <w:r>
        <w:rPr>
          <w:rFonts w:ascii="Arial" w:cs="Arial" w:eastAsia="Arial" w:hAnsi="Arial"/>
          <w:sz w:val="13"/>
          <w:szCs w:val="13"/>
          <w:color w:val="auto"/>
        </w:rPr>
        <w:t>Added and renewed several contracts with Fortune 500 and public sector clients such as AstraZeneca, Leonardo S.p.A., Cardiff Council, and Prince George's County Public Schools</w:t>
      </w:r>
    </w:p>
    <w:p>
      <w:pPr>
        <w:spacing w:after="0" w:line="5" w:lineRule="exact"/>
        <w:rPr>
          <w:rFonts w:ascii="Arial" w:cs="Arial" w:eastAsia="Arial" w:hAnsi="Arial"/>
          <w:sz w:val="12"/>
          <w:szCs w:val="12"/>
          <w:color w:val="auto"/>
        </w:rPr>
      </w:pPr>
    </w:p>
    <w:p>
      <w:pPr>
        <w:ind w:left="227" w:hanging="227"/>
        <w:spacing w:after="0"/>
        <w:tabs>
          <w:tab w:leader="none" w:pos="227" w:val="left"/>
        </w:tabs>
        <w:numPr>
          <w:ilvl w:val="0"/>
          <w:numId w:val="3"/>
        </w:numPr>
        <w:rPr>
          <w:rFonts w:ascii="Arial" w:cs="Arial" w:eastAsia="Arial" w:hAnsi="Arial"/>
          <w:sz w:val="12"/>
          <w:szCs w:val="12"/>
          <w:color w:val="auto"/>
        </w:rPr>
      </w:pPr>
      <w:r>
        <w:rPr>
          <w:rFonts w:ascii="Arial" w:cs="Arial" w:eastAsia="Arial" w:hAnsi="Arial"/>
          <w:sz w:val="13"/>
          <w:szCs w:val="13"/>
          <w:color w:val="auto"/>
        </w:rPr>
        <w:t xml:space="preserve">Launched new products and enhancements such as the </w:t>
      </w:r>
      <w:r>
        <w:rPr>
          <w:rFonts w:ascii="Arial" w:cs="Arial" w:eastAsia="Arial" w:hAnsi="Arial"/>
          <w:sz w:val="13"/>
          <w:szCs w:val="13"/>
          <w:u w:val="single" w:color="auto"/>
          <w:color w:val="C00000"/>
        </w:rPr>
        <w:t>Xerox PrimeLink™ C9065/C9070</w:t>
      </w:r>
      <w:r>
        <w:rPr>
          <w:rFonts w:ascii="Arial" w:cs="Arial" w:eastAsia="Arial" w:hAnsi="Arial"/>
          <w:sz w:val="13"/>
          <w:szCs w:val="13"/>
          <w:color w:val="auto"/>
        </w:rPr>
        <w:t xml:space="preserve"> and the </w:t>
      </w:r>
      <w:r>
        <w:rPr>
          <w:rFonts w:ascii="Arial" w:cs="Arial" w:eastAsia="Arial" w:hAnsi="Arial"/>
          <w:sz w:val="13"/>
          <w:szCs w:val="13"/>
          <w:u w:val="single" w:color="auto"/>
          <w:color w:val="C00000"/>
        </w:rPr>
        <w:t>iGen</w:t>
      </w:r>
      <w:r>
        <w:rPr>
          <w:rFonts w:ascii="Arial" w:cs="Arial" w:eastAsia="Arial" w:hAnsi="Arial"/>
          <w:sz w:val="17"/>
          <w:szCs w:val="17"/>
          <w:u w:val="single" w:color="auto"/>
          <w:color w:val="C00000"/>
          <w:vertAlign w:val="superscript"/>
        </w:rPr>
        <w:t>®</w:t>
      </w:r>
      <w:r>
        <w:rPr>
          <w:rFonts w:ascii="Arial" w:cs="Arial" w:eastAsia="Arial" w:hAnsi="Arial"/>
          <w:sz w:val="13"/>
          <w:szCs w:val="13"/>
          <w:color w:val="auto"/>
        </w:rPr>
        <w:t xml:space="preserve"> </w:t>
      </w:r>
      <w:r>
        <w:rPr>
          <w:rFonts w:ascii="Arial" w:cs="Arial" w:eastAsia="Arial" w:hAnsi="Arial"/>
          <w:sz w:val="13"/>
          <w:szCs w:val="13"/>
          <w:color w:val="C00000"/>
        </w:rPr>
        <w:t>5 XLS</w:t>
      </w:r>
      <w:r>
        <w:rPr>
          <w:rFonts w:ascii="Arial" w:cs="Arial" w:eastAsia="Arial" w:hAnsi="Arial"/>
          <w:sz w:val="13"/>
          <w:szCs w:val="13"/>
          <w:color w:val="auto"/>
        </w:rPr>
        <w:t xml:space="preserve"> to capture incremental production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-40640</wp:posOffset>
            </wp:positionV>
            <wp:extent cx="25463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635" cy="5715"/>
                    </a:xfrm>
                    <a:prstGeom prst="rect">
                      <a:avLst/>
                    </a:prstGeom>
                    <a:noFill/>
                  </pic:spPr>
                </pic:pic>
              </a:graphicData>
            </a:graphic>
          </wp:anchor>
        </w:drawing>
      </w:r>
    </w:p>
    <w:p>
      <w:pPr>
        <w:spacing w:after="0" w:line="85" w:lineRule="exact"/>
        <w:rPr>
          <w:sz w:val="20"/>
          <w:szCs w:val="20"/>
          <w:color w:val="auto"/>
        </w:rPr>
      </w:pPr>
    </w:p>
    <w:p>
      <w:pPr>
        <w:jc w:val="both"/>
        <w:ind w:left="7" w:right="180"/>
        <w:spacing w:after="0" w:line="258" w:lineRule="auto"/>
        <w:rPr>
          <w:sz w:val="20"/>
          <w:szCs w:val="20"/>
          <w:color w:val="auto"/>
        </w:rPr>
      </w:pPr>
      <w:r>
        <w:rPr>
          <w:rFonts w:ascii="Arial" w:cs="Arial" w:eastAsia="Arial" w:hAnsi="Arial"/>
          <w:sz w:val="13"/>
          <w:szCs w:val="13"/>
          <w:color w:val="auto"/>
        </w:rPr>
        <w:t>Xerox also announced today that it has completed its evaluation of its customer financing business and will not pursue a sale of the business at this time. The company received and reviewed bids from multiple potential counterparties that were interested in purchasing the business at an attractive premium but ultimately determined that retaining and optimizing the business through Project Own It will generate the greatest return for shareholders.</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auto"/>
        </w:rPr>
        <w:t>About Xerox</w:t>
      </w:r>
    </w:p>
    <w:p>
      <w:pPr>
        <w:spacing w:after="0" w:line="22" w:lineRule="exact"/>
        <w:rPr>
          <w:sz w:val="20"/>
          <w:szCs w:val="20"/>
          <w:color w:val="auto"/>
        </w:rPr>
      </w:pPr>
    </w:p>
    <w:p>
      <w:pPr>
        <w:ind w:left="7"/>
        <w:spacing w:after="0" w:line="261" w:lineRule="auto"/>
        <w:rPr>
          <w:sz w:val="20"/>
          <w:szCs w:val="20"/>
          <w:color w:val="auto"/>
        </w:rPr>
      </w:pPr>
      <w:r>
        <w:rPr>
          <w:rFonts w:ascii="Arial" w:cs="Arial" w:eastAsia="Arial" w:hAnsi="Arial"/>
          <w:sz w:val="13"/>
          <w:szCs w:val="13"/>
          <w:color w:val="auto"/>
        </w:rPr>
        <w:t xml:space="preserve">In the era of intelligent work, we’re not just thinking about the future, we’re making it. </w:t>
      </w:r>
      <w:r>
        <w:rPr>
          <w:rFonts w:ascii="Arial" w:cs="Arial" w:eastAsia="Arial" w:hAnsi="Arial"/>
          <w:sz w:val="13"/>
          <w:szCs w:val="13"/>
          <w:u w:val="single" w:color="auto"/>
          <w:color w:val="C00000"/>
        </w:rPr>
        <w:t>Xerox Holdings Corporation</w:t>
      </w:r>
      <w:r>
        <w:rPr>
          <w:rFonts w:ascii="Arial" w:cs="Arial" w:eastAsia="Arial" w:hAnsi="Arial"/>
          <w:sz w:val="13"/>
          <w:szCs w:val="13"/>
          <w:color w:val="auto"/>
        </w:rPr>
        <w:t xml:space="preserve"> is a technology leader focused on the intersection of digital and physical. We use automation and next-generation personalization to redefine productivity, drive growth and make the world more secure. Every day, our innovative technologies and intelligent work solutions-Powered by Xerox</w:t>
      </w:r>
      <w:r>
        <w:rPr>
          <w:rFonts w:ascii="Arial" w:cs="Arial" w:eastAsia="Arial" w:hAnsi="Arial"/>
          <w:sz w:val="17"/>
          <w:szCs w:val="17"/>
          <w:color w:val="auto"/>
          <w:vertAlign w:val="superscript"/>
        </w:rPr>
        <w:t>®</w:t>
      </w:r>
      <w:r>
        <w:rPr>
          <w:rFonts w:ascii="Arial" w:cs="Arial" w:eastAsia="Arial" w:hAnsi="Arial"/>
          <w:sz w:val="13"/>
          <w:szCs w:val="13"/>
          <w:color w:val="auto"/>
        </w:rPr>
        <w:t xml:space="preserve">-help people communicate and work better. Discover more at </w:t>
      </w:r>
      <w:r>
        <w:rPr>
          <w:rFonts w:ascii="Arial" w:cs="Arial" w:eastAsia="Arial" w:hAnsi="Arial"/>
          <w:sz w:val="13"/>
          <w:szCs w:val="13"/>
          <w:u w:val="single" w:color="auto"/>
          <w:color w:val="C00000"/>
        </w:rPr>
        <w:t>www.xerox.com</w:t>
      </w:r>
      <w:r>
        <w:rPr>
          <w:rFonts w:ascii="Arial" w:cs="Arial" w:eastAsia="Arial" w:hAnsi="Arial"/>
          <w:sz w:val="13"/>
          <w:szCs w:val="13"/>
          <w:color w:val="auto"/>
        </w:rPr>
        <w:t xml:space="preserve"> and follow us on Twitter at </w:t>
      </w:r>
      <w:r>
        <w:rPr>
          <w:rFonts w:ascii="Arial" w:cs="Arial" w:eastAsia="Arial" w:hAnsi="Arial"/>
          <w:sz w:val="13"/>
          <w:szCs w:val="13"/>
          <w:u w:val="single" w:color="auto"/>
          <w:color w:val="C00000"/>
        </w:rPr>
        <w:t>@Xerox</w:t>
      </w:r>
      <w:r>
        <w:rPr>
          <w:rFonts w:ascii="Arial" w:cs="Arial" w:eastAsia="Arial" w:hAnsi="Arial"/>
          <w:sz w:val="13"/>
          <w:szCs w:val="13"/>
          <w:color w:val="auto"/>
        </w:rPr>
        <w:t>.</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auto"/>
        </w:rPr>
        <w:t>Non-GAAP Measures</w:t>
      </w:r>
    </w:p>
    <w:p>
      <w:pPr>
        <w:spacing w:after="0" w:line="22" w:lineRule="exact"/>
        <w:rPr>
          <w:sz w:val="20"/>
          <w:szCs w:val="20"/>
          <w:color w:val="auto"/>
        </w:rPr>
      </w:pPr>
    </w:p>
    <w:p>
      <w:pPr>
        <w:ind w:left="7"/>
        <w:spacing w:after="0"/>
        <w:rPr>
          <w:sz w:val="20"/>
          <w:szCs w:val="20"/>
          <w:color w:val="auto"/>
        </w:rPr>
      </w:pPr>
      <w:r>
        <w:rPr>
          <w:rFonts w:ascii="Arial" w:cs="Arial" w:eastAsia="Arial" w:hAnsi="Arial"/>
          <w:sz w:val="13"/>
          <w:szCs w:val="13"/>
          <w:color w:val="auto"/>
        </w:rPr>
        <w:t>This release refers to the following non-GAAP financial measures for the third quarter 2019 and 2018 and full-year 2019 guidance:</w:t>
      </w:r>
    </w:p>
    <w:p>
      <w:pPr>
        <w:spacing w:after="0" w:line="151" w:lineRule="exact"/>
        <w:rPr>
          <w:sz w:val="20"/>
          <w:szCs w:val="20"/>
          <w:color w:val="auto"/>
        </w:rPr>
      </w:pPr>
    </w:p>
    <w:p>
      <w:pPr>
        <w:ind w:left="227" w:right="340" w:hanging="227"/>
        <w:spacing w:after="0" w:line="248" w:lineRule="auto"/>
        <w:tabs>
          <w:tab w:leader="none" w:pos="227" w:val="left"/>
        </w:tabs>
        <w:numPr>
          <w:ilvl w:val="0"/>
          <w:numId w:val="4"/>
        </w:numPr>
        <w:rPr>
          <w:rFonts w:ascii="Arial" w:cs="Arial" w:eastAsia="Arial" w:hAnsi="Arial"/>
          <w:sz w:val="12"/>
          <w:szCs w:val="12"/>
          <w:color w:val="auto"/>
        </w:rPr>
      </w:pPr>
      <w:r>
        <w:rPr>
          <w:rFonts w:ascii="Arial" w:cs="Arial" w:eastAsia="Arial" w:hAnsi="Arial"/>
          <w:sz w:val="13"/>
          <w:szCs w:val="13"/>
          <w:color w:val="auto"/>
        </w:rPr>
        <w:t>Adjusted EPS, which excludes restructuring and related costs (including our share of Fuji Xerox restructuring), the amortization of intangible assets, non-service retirement-related costs, transaction and related costs, net and other discrete adjustments.</w:t>
      </w:r>
    </w:p>
    <w:p>
      <w:pPr>
        <w:spacing w:after="0" w:line="1" w:lineRule="exact"/>
        <w:rPr>
          <w:rFonts w:ascii="Arial" w:cs="Arial" w:eastAsia="Arial" w:hAnsi="Arial"/>
          <w:sz w:val="12"/>
          <w:szCs w:val="12"/>
          <w:color w:val="auto"/>
        </w:rPr>
      </w:pPr>
    </w:p>
    <w:p>
      <w:pPr>
        <w:ind w:left="227" w:hanging="227"/>
        <w:spacing w:after="0"/>
        <w:tabs>
          <w:tab w:leader="none" w:pos="227" w:val="left"/>
        </w:tabs>
        <w:numPr>
          <w:ilvl w:val="0"/>
          <w:numId w:val="4"/>
        </w:numPr>
        <w:rPr>
          <w:rFonts w:ascii="Arial" w:cs="Arial" w:eastAsia="Arial" w:hAnsi="Arial"/>
          <w:sz w:val="12"/>
          <w:szCs w:val="12"/>
          <w:color w:val="auto"/>
        </w:rPr>
      </w:pPr>
      <w:r>
        <w:rPr>
          <w:rFonts w:ascii="Arial" w:cs="Arial" w:eastAsia="Arial" w:hAnsi="Arial"/>
          <w:sz w:val="13"/>
          <w:szCs w:val="13"/>
          <w:color w:val="auto"/>
        </w:rPr>
        <w:t>Adjusted operating margin and income, which exclude the EPS adjustments noted above as well as the remainder of other expenses, net.</w:t>
      </w:r>
    </w:p>
    <w:p>
      <w:pPr>
        <w:spacing w:after="0" w:line="5" w:lineRule="exact"/>
        <w:rPr>
          <w:rFonts w:ascii="Arial" w:cs="Arial" w:eastAsia="Arial" w:hAnsi="Arial"/>
          <w:sz w:val="12"/>
          <w:szCs w:val="12"/>
          <w:color w:val="auto"/>
        </w:rPr>
      </w:pPr>
    </w:p>
    <w:p>
      <w:pPr>
        <w:ind w:left="227" w:hanging="227"/>
        <w:spacing w:after="0"/>
        <w:tabs>
          <w:tab w:leader="none" w:pos="227" w:val="left"/>
        </w:tabs>
        <w:numPr>
          <w:ilvl w:val="0"/>
          <w:numId w:val="4"/>
        </w:numPr>
        <w:rPr>
          <w:rFonts w:ascii="Arial" w:cs="Arial" w:eastAsia="Arial" w:hAnsi="Arial"/>
          <w:sz w:val="12"/>
          <w:szCs w:val="12"/>
          <w:color w:val="auto"/>
        </w:rPr>
      </w:pPr>
      <w:r>
        <w:rPr>
          <w:rFonts w:ascii="Arial" w:cs="Arial" w:eastAsia="Arial" w:hAnsi="Arial"/>
          <w:sz w:val="13"/>
          <w:szCs w:val="13"/>
          <w:color w:val="auto"/>
        </w:rPr>
        <w:t>Constant currency (CC) revenue growth, which excludes the effects of currency translation.</w:t>
      </w:r>
    </w:p>
    <w:p>
      <w:pPr>
        <w:spacing w:after="0" w:line="5" w:lineRule="exact"/>
        <w:rPr>
          <w:rFonts w:ascii="Arial" w:cs="Arial" w:eastAsia="Arial" w:hAnsi="Arial"/>
          <w:sz w:val="12"/>
          <w:szCs w:val="12"/>
          <w:color w:val="auto"/>
        </w:rPr>
      </w:pPr>
    </w:p>
    <w:p>
      <w:pPr>
        <w:ind w:left="227" w:hanging="227"/>
        <w:spacing w:after="0"/>
        <w:tabs>
          <w:tab w:leader="none" w:pos="227" w:val="left"/>
        </w:tabs>
        <w:numPr>
          <w:ilvl w:val="0"/>
          <w:numId w:val="4"/>
        </w:numPr>
        <w:rPr>
          <w:rFonts w:ascii="Arial" w:cs="Arial" w:eastAsia="Arial" w:hAnsi="Arial"/>
          <w:sz w:val="12"/>
          <w:szCs w:val="12"/>
          <w:color w:val="auto"/>
        </w:rPr>
      </w:pPr>
      <w:r>
        <w:rPr>
          <w:rFonts w:ascii="Arial" w:cs="Arial" w:eastAsia="Arial" w:hAnsi="Arial"/>
          <w:sz w:val="13"/>
          <w:szCs w:val="13"/>
          <w:color w:val="auto"/>
        </w:rPr>
        <w:t>Free cash flow, which is cash flow from operations less capital expenditures.</w:t>
      </w:r>
    </w:p>
    <w:p>
      <w:pPr>
        <w:spacing w:after="0" w:line="151" w:lineRule="exact"/>
        <w:rPr>
          <w:sz w:val="20"/>
          <w:szCs w:val="20"/>
          <w:color w:val="auto"/>
        </w:rPr>
      </w:pPr>
    </w:p>
    <w:p>
      <w:pPr>
        <w:ind w:left="7" w:right="1320"/>
        <w:spacing w:after="0" w:line="366" w:lineRule="auto"/>
        <w:rPr>
          <w:sz w:val="20"/>
          <w:szCs w:val="20"/>
          <w:color w:val="auto"/>
        </w:rPr>
      </w:pPr>
      <w:r>
        <w:rPr>
          <w:rFonts w:ascii="Arial" w:cs="Arial" w:eastAsia="Arial" w:hAnsi="Arial"/>
          <w:sz w:val="13"/>
          <w:szCs w:val="13"/>
          <w:color w:val="auto"/>
        </w:rPr>
        <w:t xml:space="preserve">Refer to the “Non-GAAP Financial Measures” section of this release for a discussion of these non-GAAP measures and their reconciliation to the reported GAAP measures. </w:t>
      </w:r>
      <w:r>
        <w:rPr>
          <w:rFonts w:ascii="Arial" w:cs="Arial" w:eastAsia="Arial" w:hAnsi="Arial"/>
          <w:sz w:val="13"/>
          <w:szCs w:val="13"/>
          <w:b w:val="1"/>
          <w:bCs w:val="1"/>
          <w:color w:val="auto"/>
        </w:rPr>
        <w:t>Forward-Looking Statements</w:t>
      </w:r>
    </w:p>
    <w:p>
      <w:pPr>
        <w:ind w:left="7" w:right="20"/>
        <w:spacing w:after="0" w:line="251" w:lineRule="auto"/>
        <w:rPr>
          <w:sz w:val="20"/>
          <w:szCs w:val="20"/>
          <w:color w:val="auto"/>
        </w:rPr>
      </w:pPr>
      <w:r>
        <w:rPr>
          <w:rFonts w:ascii="Arial" w:cs="Arial" w:eastAsia="Arial" w:hAnsi="Arial"/>
          <w:sz w:val="13"/>
          <w:szCs w:val="13"/>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w:t>
      </w:r>
    </w:p>
    <w:p>
      <w:pPr>
        <w:spacing w:after="0" w:line="156"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67"/>
          </w:cols>
          <w:pgMar w:left="213" w:top="440" w:right="219" w:bottom="1440" w:gutter="0" w:footer="0" w:header="0"/>
        </w:sectPr>
      </w:pPr>
    </w:p>
    <w:bookmarkStart w:id="7" w:name="page8"/>
    <w:bookmarkEnd w:id="7"/>
    <w:p>
      <w:pPr>
        <w:spacing w:after="0" w:line="250" w:lineRule="auto"/>
        <w:rPr>
          <w:sz w:val="20"/>
          <w:szCs w:val="20"/>
          <w:color w:val="auto"/>
        </w:rPr>
      </w:pPr>
      <w:r>
        <w:rPr>
          <w:rFonts w:ascii="Arial" w:cs="Arial" w:eastAsia="Arial" w:hAnsi="Arial"/>
          <w:sz w:val="13"/>
          <w:szCs w:val="13"/>
          <w:color w:val="auto"/>
        </w:rPr>
        <w:t>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the shared services arrangements entered into by us as part of Project Own It; and other factors that are set forth in the “Risk Factors” section, the “Legal Proceedings” section, the “Management’s Discussion and Analysis of Financial Condition and Results of Operations” section and other sections of Xerox Corporation's 2018 Annual Report on Form 10-K, as well as in Xerox Corporation's and Xerox Holdings Corporation's Quarterly Reports on Form 10-Q and Current Reports on Form 8-K filed with the SEC. 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-XXX-</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Caroline Gransee-Linsey, Xerox, +1-203-849-2359, </w:t>
      </w:r>
      <w:r>
        <w:rPr>
          <w:rFonts w:ascii="Arial" w:cs="Arial" w:eastAsia="Arial" w:hAnsi="Arial"/>
          <w:sz w:val="13"/>
          <w:szCs w:val="13"/>
          <w:u w:val="single" w:color="auto"/>
          <w:color w:val="C00000"/>
        </w:rPr>
        <w:t>Caroline.Gransee-Linsey@xerox.com</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Ann Pettrone, Xerox, +1-203-849-2590, </w:t>
      </w:r>
      <w:r>
        <w:rPr>
          <w:rFonts w:ascii="Arial" w:cs="Arial" w:eastAsia="Arial" w:hAnsi="Arial"/>
          <w:sz w:val="13"/>
          <w:szCs w:val="13"/>
          <w:u w:val="single" w:color="auto"/>
          <w:color w:val="C00000"/>
        </w:rPr>
        <w:t>Ann.Pettrone@xerox.com</w:t>
      </w:r>
    </w:p>
    <w:p>
      <w:pPr>
        <w:spacing w:after="0" w:line="135" w:lineRule="exact"/>
        <w:rPr>
          <w:sz w:val="20"/>
          <w:szCs w:val="20"/>
          <w:color w:val="auto"/>
        </w:rPr>
      </w:pPr>
    </w:p>
    <w:p>
      <w:pPr>
        <w:ind w:right="120"/>
        <w:spacing w:after="0" w:line="293"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To receive RSS news feeds, visit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C00000"/>
        </w:rPr>
        <w:t>https://www.news.xerox.com</w:t>
      </w:r>
      <w:r>
        <w:rPr>
          <w:rFonts w:ascii="Arial" w:cs="Arial" w:eastAsia="Arial" w:hAnsi="Arial"/>
          <w:sz w:val="13"/>
          <w:szCs w:val="13"/>
          <w:color w:val="auto"/>
        </w:rPr>
        <w:t>. For open commentary, industry perspectives and views, visit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C00000"/>
        </w:rPr>
        <w:t>http://twitter.com/xerox</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C00000"/>
        </w:rPr>
        <w:t>http://www.facebook.com/XeroxCorp</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C00000"/>
        </w:rPr>
        <w:t>https://www.instagram.com/xerox/</w:t>
      </w:r>
      <w:r>
        <w:rPr>
          <w:rFonts w:ascii="Arial" w:cs="Arial" w:eastAsia="Arial" w:hAnsi="Arial"/>
          <w:sz w:val="13"/>
          <w:szCs w:val="13"/>
          <w:color w:val="000000"/>
        </w:rPr>
        <w:t>,</w:t>
      </w:r>
      <w:r>
        <w:rPr>
          <w:rFonts w:ascii="Arial" w:cs="Arial" w:eastAsia="Arial" w:hAnsi="Arial"/>
          <w:sz w:val="13"/>
          <w:szCs w:val="13"/>
          <w:color w:val="C00000"/>
        </w:rPr>
        <w:t xml:space="preserve"> </w:t>
      </w:r>
      <w:r>
        <w:rPr>
          <w:rFonts w:ascii="Arial" w:cs="Arial" w:eastAsia="Arial" w:hAnsi="Arial"/>
          <w:sz w:val="13"/>
          <w:szCs w:val="13"/>
          <w:u w:val="single" w:color="auto"/>
          <w:color w:val="C00000"/>
        </w:rPr>
        <w:t>http://www.linkedin.com/company/xerox</w:t>
      </w:r>
      <w:r>
        <w:rPr>
          <w:rFonts w:ascii="Arial" w:cs="Arial" w:eastAsia="Arial" w:hAnsi="Arial"/>
          <w:sz w:val="13"/>
          <w:szCs w:val="13"/>
          <w:color w:val="000000"/>
        </w:rPr>
        <w:t>,</w:t>
      </w:r>
      <w:r>
        <w:rPr>
          <w:rFonts w:ascii="Arial" w:cs="Arial" w:eastAsia="Arial" w:hAnsi="Arial"/>
          <w:sz w:val="13"/>
          <w:szCs w:val="13"/>
          <w:color w:val="C00000"/>
        </w:rPr>
        <w:t xml:space="preserve"> </w:t>
      </w:r>
      <w:r>
        <w:rPr>
          <w:rFonts w:ascii="Arial" w:cs="Arial" w:eastAsia="Arial" w:hAnsi="Arial"/>
          <w:sz w:val="13"/>
          <w:szCs w:val="13"/>
          <w:u w:val="single" w:color="auto"/>
          <w:color w:val="C00000"/>
        </w:rPr>
        <w:t>http://www.youtube.com/XeroxCorp</w:t>
      </w:r>
      <w:r>
        <w:rPr>
          <w:rFonts w:ascii="Arial" w:cs="Arial" w:eastAsia="Arial" w:hAnsi="Arial"/>
          <w:sz w:val="13"/>
          <w:szCs w:val="13"/>
          <w:color w:val="000000"/>
        </w:rPr>
        <w:t>.</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Xerox</w:t>
      </w:r>
      <w:r>
        <w:rPr>
          <w:rFonts w:ascii="Arial" w:cs="Arial" w:eastAsia="Arial" w:hAnsi="Arial"/>
          <w:sz w:val="17"/>
          <w:szCs w:val="17"/>
          <w:color w:val="auto"/>
          <w:vertAlign w:val="superscript"/>
        </w:rPr>
        <w:t>®</w:t>
      </w:r>
      <w:r>
        <w:rPr>
          <w:rFonts w:ascii="Arial" w:cs="Arial" w:eastAsia="Arial" w:hAnsi="Arial"/>
          <w:sz w:val="13"/>
          <w:szCs w:val="13"/>
          <w:color w:val="auto"/>
        </w:rPr>
        <w:t>, iGen</w:t>
      </w:r>
      <w:r>
        <w:rPr>
          <w:rFonts w:ascii="Arial" w:cs="Arial" w:eastAsia="Arial" w:hAnsi="Arial"/>
          <w:sz w:val="17"/>
          <w:szCs w:val="17"/>
          <w:color w:val="auto"/>
          <w:vertAlign w:val="superscript"/>
        </w:rPr>
        <w:t>®</w:t>
      </w:r>
      <w:r>
        <w:rPr>
          <w:rFonts w:ascii="Arial" w:cs="Arial" w:eastAsia="Arial" w:hAnsi="Arial"/>
          <w:sz w:val="13"/>
          <w:szCs w:val="13"/>
          <w:color w:val="auto"/>
        </w:rPr>
        <w:t>, PrimeLink™ and Powered by Xerox</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are trademarks of Xerox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40"/>
          </w:cols>
          <w:pgMar w:left="220" w:top="301" w:right="239" w:bottom="1440" w:gutter="0" w:footer="0" w:header="0"/>
        </w:sectPr>
      </w:pPr>
    </w:p>
    <w:bookmarkStart w:id="8" w:name="page9"/>
    <w:bookmarkEnd w:id="8"/>
    <w:p>
      <w:pPr>
        <w:ind w:left="7"/>
        <w:spacing w:after="0"/>
        <w:rPr>
          <w:sz w:val="20"/>
          <w:szCs w:val="20"/>
          <w:color w:val="auto"/>
        </w:rPr>
      </w:pPr>
      <w:r>
        <w:rPr>
          <w:rFonts w:ascii="Arial" w:cs="Arial" w:eastAsia="Arial" w:hAnsi="Arial"/>
          <w:sz w:val="12"/>
          <w:szCs w:val="12"/>
          <w:b w:val="1"/>
          <w:bCs w:val="1"/>
          <w:color w:val="DA2031"/>
        </w:rPr>
        <w:t>XEROX HOLDINGS CORPORATION</w:t>
      </w:r>
    </w:p>
    <w:p>
      <w:pPr>
        <w:spacing w:after="0" w:line="2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DA2031"/>
        </w:rPr>
        <w:t>CONDENSED CONSOLIDATED STATEMENTS OF INCOME (UNAUDITED)</w:t>
      </w:r>
    </w:p>
    <w:p>
      <w:pPr>
        <w:spacing w:after="0" w:line="289"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6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gridSpan w:val="3"/>
          </w:tcPr>
          <w:p>
            <w:pPr>
              <w:jc w:val="right"/>
              <w:ind w:right="291"/>
              <w:spacing w:after="0"/>
              <w:rPr>
                <w:sz w:val="20"/>
                <w:szCs w:val="20"/>
                <w:color w:val="auto"/>
              </w:rPr>
            </w:pPr>
            <w:r>
              <w:rPr>
                <w:rFonts w:ascii="Arial" w:cs="Arial" w:eastAsia="Arial" w:hAnsi="Arial"/>
                <w:sz w:val="10"/>
                <w:szCs w:val="10"/>
                <w:color w:val="auto"/>
                <w:w w:val="98"/>
              </w:rPr>
              <w:t>Three Months Ended</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3"/>
          </w:tcPr>
          <w:p>
            <w:pPr>
              <w:jc w:val="right"/>
              <w:spacing w:after="0"/>
              <w:rPr>
                <w:sz w:val="20"/>
                <w:szCs w:val="20"/>
                <w:color w:val="auto"/>
              </w:rPr>
            </w:pPr>
            <w:r>
              <w:rPr>
                <w:rFonts w:ascii="Arial" w:cs="Arial" w:eastAsia="Arial" w:hAnsi="Arial"/>
                <w:sz w:val="10"/>
                <w:szCs w:val="10"/>
                <w:color w:val="auto"/>
              </w:rPr>
              <w:t>Nine Months Ended</w:t>
            </w:r>
          </w:p>
        </w:tc>
        <w:tc>
          <w:tcPr>
            <w:tcW w:w="720" w:type="dxa"/>
            <w:vAlign w:val="bottom"/>
          </w:tcPr>
          <w:p>
            <w:pPr>
              <w:spacing w:after="0"/>
              <w:rPr>
                <w:sz w:val="10"/>
                <w:szCs w:val="10"/>
                <w:color w:val="auto"/>
              </w:rPr>
            </w:pPr>
          </w:p>
        </w:tc>
      </w:tr>
      <w:tr>
        <w:trPr>
          <w:trHeight w:val="120"/>
        </w:trPr>
        <w:tc>
          <w:tcPr>
            <w:tcW w:w="6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0"/>
                <w:szCs w:val="10"/>
                <w:color w:val="auto"/>
              </w:rPr>
              <w:t>September 30,</w:t>
            </w:r>
          </w:p>
        </w:tc>
        <w:tc>
          <w:tcPr>
            <w:tcW w:w="4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color w:val="auto"/>
              </w:rPr>
              <w:t>September 30,</w:t>
            </w:r>
          </w:p>
        </w:tc>
        <w:tc>
          <w:tcPr>
            <w:tcW w:w="720" w:type="dxa"/>
            <w:vAlign w:val="bottom"/>
            <w:tcBorders>
              <w:bottom w:val="single" w:sz="8" w:color="auto"/>
            </w:tcBorders>
          </w:tcPr>
          <w:p>
            <w:pPr>
              <w:spacing w:after="0"/>
              <w:rPr>
                <w:sz w:val="10"/>
                <w:szCs w:val="10"/>
                <w:color w:val="auto"/>
              </w:rPr>
            </w:pPr>
          </w:p>
        </w:tc>
      </w:tr>
      <w:tr>
        <w:trPr>
          <w:trHeight w:val="172"/>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 except per-share data)</w:t>
            </w:r>
          </w:p>
        </w:tc>
        <w:tc>
          <w:tcPr>
            <w:tcW w:w="120" w:type="dxa"/>
            <w:vAlign w:val="bottom"/>
            <w:tcBorders>
              <w:bottom w:val="single" w:sz="8" w:color="E5E5E5"/>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E5E5E5"/>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E5E5E5"/>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2018</w:t>
            </w:r>
          </w:p>
        </w:tc>
      </w:tr>
      <w:tr>
        <w:trPr>
          <w:trHeight w:val="176"/>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Revenues</w:t>
            </w:r>
          </w:p>
        </w:tc>
        <w:tc>
          <w:tcPr>
            <w:tcW w:w="7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r>
      <w:tr>
        <w:trPr>
          <w:trHeight w:val="182"/>
        </w:trPr>
        <w:tc>
          <w:tcPr>
            <w:tcW w:w="6560" w:type="dxa"/>
            <w:vAlign w:val="bottom"/>
            <w:gridSpan w:val="2"/>
          </w:tcPr>
          <w:p>
            <w:pPr>
              <w:ind w:left="240"/>
              <w:spacing w:after="0"/>
              <w:rPr>
                <w:sz w:val="20"/>
                <w:szCs w:val="20"/>
                <w:color w:val="auto"/>
              </w:rPr>
            </w:pPr>
            <w:r>
              <w:rPr>
                <w:rFonts w:ascii="Arial" w:cs="Arial" w:eastAsia="Arial" w:hAnsi="Arial"/>
                <w:sz w:val="10"/>
                <w:szCs w:val="10"/>
                <w:color w:val="auto"/>
              </w:rPr>
              <w:t>Sales</w:t>
            </w:r>
            <w:r>
              <w:rPr>
                <w:rFonts w:ascii="Arial" w:cs="Arial" w:eastAsia="Arial" w:hAnsi="Arial"/>
                <w:sz w:val="12"/>
                <w:szCs w:val="12"/>
                <w:color w:val="auto"/>
                <w:vertAlign w:val="superscript"/>
              </w:rPr>
              <w:t>(1)</w:t>
            </w:r>
          </w:p>
        </w:tc>
        <w:tc>
          <w:tcPr>
            <w:tcW w:w="720" w:type="dxa"/>
            <w:vAlign w:val="bottom"/>
          </w:tcPr>
          <w:p>
            <w:pPr>
              <w:jc w:val="right"/>
              <w:ind w:right="61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804</w:t>
            </w:r>
          </w:p>
        </w:tc>
        <w:tc>
          <w:tcPr>
            <w:tcW w:w="120" w:type="dxa"/>
            <w:vAlign w:val="bottom"/>
          </w:tcPr>
          <w:p>
            <w:pPr>
              <w:spacing w:after="0"/>
              <w:rPr>
                <w:sz w:val="15"/>
                <w:szCs w:val="15"/>
                <w:color w:val="auto"/>
              </w:rPr>
            </w:pPr>
          </w:p>
        </w:tc>
        <w:tc>
          <w:tcPr>
            <w:tcW w:w="740" w:type="dxa"/>
            <w:vAlign w:val="bottom"/>
          </w:tcPr>
          <w:p>
            <w:pPr>
              <w:jc w:val="right"/>
              <w:ind w:right="611"/>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856</w:t>
            </w:r>
          </w:p>
        </w:tc>
        <w:tc>
          <w:tcPr>
            <w:tcW w:w="120" w:type="dxa"/>
            <w:vAlign w:val="bottom"/>
          </w:tcPr>
          <w:p>
            <w:pPr>
              <w:spacing w:after="0"/>
              <w:rPr>
                <w:sz w:val="15"/>
                <w:szCs w:val="15"/>
                <w:color w:val="auto"/>
              </w:rPr>
            </w:pPr>
          </w:p>
        </w:tc>
        <w:tc>
          <w:tcPr>
            <w:tcW w:w="720" w:type="dxa"/>
            <w:vAlign w:val="bottom"/>
          </w:tcPr>
          <w:p>
            <w:pPr>
              <w:jc w:val="right"/>
              <w:ind w:right="591"/>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2,379</w:t>
            </w:r>
          </w:p>
        </w:tc>
        <w:tc>
          <w:tcPr>
            <w:tcW w:w="100" w:type="dxa"/>
            <w:vAlign w:val="bottom"/>
          </w:tcPr>
          <w:p>
            <w:pPr>
              <w:spacing w:after="0"/>
              <w:rPr>
                <w:sz w:val="15"/>
                <w:szCs w:val="15"/>
                <w:color w:val="auto"/>
              </w:rPr>
            </w:pPr>
          </w:p>
        </w:tc>
        <w:tc>
          <w:tcPr>
            <w:tcW w:w="4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2,628</w:t>
            </w:r>
          </w:p>
        </w:tc>
      </w:tr>
      <w:tr>
        <w:trPr>
          <w:trHeight w:val="182"/>
        </w:trPr>
        <w:tc>
          <w:tcPr>
            <w:tcW w:w="656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Services, maintenance and rentals</w:t>
            </w:r>
            <w:r>
              <w:rPr>
                <w:rFonts w:ascii="Arial" w:cs="Arial" w:eastAsia="Arial" w:hAnsi="Arial"/>
                <w:sz w:val="12"/>
                <w:szCs w:val="12"/>
                <w:color w:val="auto"/>
                <w:vertAlign w:val="superscript"/>
              </w:rPr>
              <w:t>(1)</w:t>
            </w:r>
          </w:p>
        </w:tc>
        <w:tc>
          <w:tcPr>
            <w:tcW w:w="720" w:type="dxa"/>
            <w:vAlign w:val="bottom"/>
            <w:shd w:val="clear" w:color="auto" w:fill="E5E5E5"/>
          </w:tcPr>
          <w:p>
            <w:pPr>
              <w:spacing w:after="0"/>
              <w:rPr>
                <w:sz w:val="15"/>
                <w:szCs w:val="15"/>
                <w:color w:val="auto"/>
              </w:rPr>
            </w:pPr>
          </w:p>
        </w:tc>
        <w:tc>
          <w:tcPr>
            <w:tcW w:w="4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1,336</w:t>
            </w:r>
          </w:p>
        </w:tc>
        <w:tc>
          <w:tcPr>
            <w:tcW w:w="12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1,431</w:t>
            </w:r>
          </w:p>
        </w:tc>
        <w:tc>
          <w:tcPr>
            <w:tcW w:w="1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4,132</w:t>
            </w:r>
          </w:p>
        </w:tc>
        <w:tc>
          <w:tcPr>
            <w:tcW w:w="10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4,465</w:t>
            </w:r>
          </w:p>
        </w:tc>
      </w:tr>
      <w:tr>
        <w:trPr>
          <w:trHeight w:val="178"/>
        </w:trPr>
        <w:tc>
          <w:tcPr>
            <w:tcW w:w="6560" w:type="dxa"/>
            <w:vAlign w:val="bottom"/>
            <w:tcBorders>
              <w:bottom w:val="single" w:sz="8" w:color="E5E5E5"/>
            </w:tcBorders>
            <w:gridSpan w:val="2"/>
          </w:tcPr>
          <w:p>
            <w:pPr>
              <w:ind w:left="240"/>
              <w:spacing w:after="0"/>
              <w:rPr>
                <w:sz w:val="20"/>
                <w:szCs w:val="20"/>
                <w:color w:val="auto"/>
              </w:rPr>
            </w:pPr>
            <w:r>
              <w:rPr>
                <w:rFonts w:ascii="Arial" w:cs="Arial" w:eastAsia="Arial" w:hAnsi="Arial"/>
                <w:sz w:val="10"/>
                <w:szCs w:val="10"/>
                <w:color w:val="auto"/>
              </w:rPr>
              <w:t>Financing</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60</w:t>
            </w:r>
          </w:p>
        </w:tc>
        <w:tc>
          <w:tcPr>
            <w:tcW w:w="120" w:type="dxa"/>
            <w:vAlign w:val="bottom"/>
            <w:tcBorders>
              <w:bottom w:val="single" w:sz="8" w:color="E5E5E5"/>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65</w:t>
            </w:r>
          </w:p>
        </w:tc>
        <w:tc>
          <w:tcPr>
            <w:tcW w:w="120" w:type="dxa"/>
            <w:vAlign w:val="bottom"/>
            <w:tcBorders>
              <w:bottom w:val="single" w:sz="8" w:color="E5E5E5"/>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184</w:t>
            </w:r>
          </w:p>
        </w:tc>
        <w:tc>
          <w:tcPr>
            <w:tcW w:w="100" w:type="dxa"/>
            <w:vAlign w:val="bottom"/>
            <w:tcBorders>
              <w:bottom w:val="single" w:sz="8" w:color="E5E5E5"/>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204</w:t>
            </w:r>
          </w:p>
        </w:tc>
      </w:tr>
      <w:tr>
        <w:trPr>
          <w:trHeight w:val="167"/>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Revenues</w:t>
            </w:r>
          </w:p>
        </w:tc>
        <w:tc>
          <w:tcPr>
            <w:tcW w:w="720" w:type="dxa"/>
            <w:vAlign w:val="bottom"/>
            <w:tcBorders>
              <w:bottom w:val="single" w:sz="8" w:color="auto"/>
            </w:tcBorders>
            <w:shd w:val="clear" w:color="auto" w:fill="E5E5E5"/>
          </w:tcPr>
          <w:p>
            <w:pPr>
              <w:spacing w:after="0"/>
              <w:rPr>
                <w:sz w:val="14"/>
                <w:szCs w:val="14"/>
                <w:color w:val="auto"/>
              </w:rPr>
            </w:pPr>
          </w:p>
        </w:tc>
        <w:tc>
          <w:tcPr>
            <w:tcW w:w="42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2,200</w:t>
            </w:r>
          </w:p>
        </w:tc>
        <w:tc>
          <w:tcPr>
            <w:tcW w:w="120" w:type="dxa"/>
            <w:vAlign w:val="bottom"/>
            <w:shd w:val="clear" w:color="auto" w:fill="E5E5E5"/>
          </w:tcPr>
          <w:p>
            <w:pPr>
              <w:spacing w:after="0"/>
              <w:rPr>
                <w:sz w:val="14"/>
                <w:szCs w:val="14"/>
                <w:color w:val="auto"/>
              </w:rPr>
            </w:pPr>
          </w:p>
        </w:tc>
        <w:tc>
          <w:tcPr>
            <w:tcW w:w="740" w:type="dxa"/>
            <w:vAlign w:val="bottom"/>
            <w:tcBorders>
              <w:bottom w:val="single" w:sz="8" w:color="auto"/>
            </w:tcBorders>
            <w:shd w:val="clear" w:color="auto" w:fill="E5E5E5"/>
          </w:tcPr>
          <w:p>
            <w:pPr>
              <w:spacing w:after="0"/>
              <w:rPr>
                <w:sz w:val="14"/>
                <w:szCs w:val="14"/>
                <w:color w:val="auto"/>
              </w:rPr>
            </w:pPr>
          </w:p>
        </w:tc>
        <w:tc>
          <w:tcPr>
            <w:tcW w:w="4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2,352</w:t>
            </w:r>
          </w:p>
        </w:tc>
        <w:tc>
          <w:tcPr>
            <w:tcW w:w="120" w:type="dxa"/>
            <w:vAlign w:val="bottom"/>
            <w:shd w:val="clear" w:color="auto" w:fill="E5E5E5"/>
          </w:tcPr>
          <w:p>
            <w:pPr>
              <w:spacing w:after="0"/>
              <w:rPr>
                <w:sz w:val="14"/>
                <w:szCs w:val="14"/>
                <w:color w:val="auto"/>
              </w:rPr>
            </w:pPr>
          </w:p>
        </w:tc>
        <w:tc>
          <w:tcPr>
            <w:tcW w:w="720" w:type="dxa"/>
            <w:vAlign w:val="bottom"/>
            <w:tcBorders>
              <w:bottom w:val="single" w:sz="8" w:color="auto"/>
            </w:tcBorders>
            <w:shd w:val="clear" w:color="auto" w:fill="E5E5E5"/>
          </w:tcPr>
          <w:p>
            <w:pPr>
              <w:spacing w:after="0"/>
              <w:rPr>
                <w:sz w:val="14"/>
                <w:szCs w:val="14"/>
                <w:color w:val="auto"/>
              </w:rPr>
            </w:pPr>
          </w:p>
        </w:tc>
        <w:tc>
          <w:tcPr>
            <w:tcW w:w="4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6,695</w:t>
            </w:r>
          </w:p>
        </w:tc>
        <w:tc>
          <w:tcPr>
            <w:tcW w:w="100" w:type="dxa"/>
            <w:vAlign w:val="bottom"/>
            <w:shd w:val="clear" w:color="auto" w:fill="E5E5E5"/>
          </w:tcPr>
          <w:p>
            <w:pPr>
              <w:spacing w:after="0"/>
              <w:rPr>
                <w:sz w:val="14"/>
                <w:szCs w:val="14"/>
                <w:color w:val="auto"/>
              </w:rPr>
            </w:pPr>
          </w:p>
        </w:tc>
        <w:tc>
          <w:tcPr>
            <w:tcW w:w="420" w:type="dxa"/>
            <w:vAlign w:val="bottom"/>
            <w:tcBorders>
              <w:bottom w:val="single" w:sz="8" w:color="auto"/>
            </w:tcBorders>
            <w:shd w:val="clear" w:color="auto" w:fill="E5E5E5"/>
          </w:tcPr>
          <w:p>
            <w:pPr>
              <w:spacing w:after="0"/>
              <w:rPr>
                <w:sz w:val="14"/>
                <w:szCs w:val="14"/>
                <w:color w:val="auto"/>
              </w:rPr>
            </w:pPr>
          </w:p>
        </w:tc>
        <w:tc>
          <w:tcPr>
            <w:tcW w:w="7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7,297</w:t>
            </w:r>
          </w:p>
        </w:tc>
      </w:tr>
      <w:tr>
        <w:trPr>
          <w:trHeight w:val="167"/>
        </w:trPr>
        <w:tc>
          <w:tcPr>
            <w:tcW w:w="6560" w:type="dxa"/>
            <w:vAlign w:val="bottom"/>
            <w:gridSpan w:val="2"/>
          </w:tcPr>
          <w:p>
            <w:pPr>
              <w:ind w:left="20"/>
              <w:spacing w:after="0"/>
              <w:rPr>
                <w:sz w:val="20"/>
                <w:szCs w:val="20"/>
                <w:color w:val="auto"/>
              </w:rPr>
            </w:pPr>
            <w:r>
              <w:rPr>
                <w:rFonts w:ascii="Arial" w:cs="Arial" w:eastAsia="Arial" w:hAnsi="Arial"/>
                <w:sz w:val="10"/>
                <w:szCs w:val="10"/>
                <w:b w:val="1"/>
                <w:bCs w:val="1"/>
                <w:color w:val="auto"/>
              </w:rPr>
              <w:t>Costs and Expenses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7"/>
        </w:trPr>
        <w:tc>
          <w:tcPr>
            <w:tcW w:w="656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Cost of sales</w:t>
            </w:r>
            <w:r>
              <w:rPr>
                <w:rFonts w:ascii="Arial" w:cs="Arial" w:eastAsia="Arial" w:hAnsi="Arial"/>
                <w:sz w:val="12"/>
                <w:szCs w:val="12"/>
                <w:color w:val="auto"/>
                <w:vertAlign w:val="superscript"/>
              </w:rPr>
              <w:t>(1)</w:t>
            </w: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515</w:t>
            </w: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539</w:t>
            </w: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1,531</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1,664</w:t>
            </w:r>
          </w:p>
        </w:tc>
      </w:tr>
      <w:tr>
        <w:trPr>
          <w:trHeight w:val="182"/>
        </w:trPr>
        <w:tc>
          <w:tcPr>
            <w:tcW w:w="6560" w:type="dxa"/>
            <w:vAlign w:val="bottom"/>
            <w:gridSpan w:val="2"/>
          </w:tcPr>
          <w:p>
            <w:pPr>
              <w:ind w:left="240"/>
              <w:spacing w:after="0"/>
              <w:rPr>
                <w:sz w:val="20"/>
                <w:szCs w:val="20"/>
                <w:color w:val="auto"/>
              </w:rPr>
            </w:pPr>
            <w:r>
              <w:rPr>
                <w:rFonts w:ascii="Arial" w:cs="Arial" w:eastAsia="Arial" w:hAnsi="Arial"/>
                <w:sz w:val="10"/>
                <w:szCs w:val="10"/>
                <w:color w:val="auto"/>
              </w:rPr>
              <w:t>Cost of services, maintenance and rentals</w:t>
            </w:r>
            <w:r>
              <w:rPr>
                <w:rFonts w:ascii="Arial" w:cs="Arial" w:eastAsia="Arial" w:hAnsi="Arial"/>
                <w:sz w:val="12"/>
                <w:szCs w:val="12"/>
                <w:color w:val="auto"/>
                <w:vertAlign w:val="superscript"/>
              </w:rPr>
              <w:t>(1)</w:t>
            </w:r>
          </w:p>
        </w:tc>
        <w:tc>
          <w:tcPr>
            <w:tcW w:w="720" w:type="dxa"/>
            <w:vAlign w:val="bottom"/>
          </w:tcPr>
          <w:p>
            <w:pPr>
              <w:spacing w:after="0"/>
              <w:rPr>
                <w:sz w:val="15"/>
                <w:szCs w:val="15"/>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772</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838</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2,400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2,620</w:t>
            </w:r>
          </w:p>
        </w:tc>
      </w:tr>
      <w:tr>
        <w:trPr>
          <w:trHeight w:val="182"/>
        </w:trPr>
        <w:tc>
          <w:tcPr>
            <w:tcW w:w="656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Cost of financing</w:t>
            </w:r>
          </w:p>
        </w:tc>
        <w:tc>
          <w:tcPr>
            <w:tcW w:w="720" w:type="dxa"/>
            <w:vAlign w:val="bottom"/>
            <w:shd w:val="clear" w:color="auto" w:fill="E5E5E5"/>
          </w:tcPr>
          <w:p>
            <w:pPr>
              <w:spacing w:after="0"/>
              <w:rPr>
                <w:sz w:val="15"/>
                <w:szCs w:val="15"/>
                <w:color w:val="auto"/>
              </w:rPr>
            </w:pPr>
          </w:p>
        </w:tc>
        <w:tc>
          <w:tcPr>
            <w:tcW w:w="4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33</w:t>
            </w:r>
          </w:p>
        </w:tc>
        <w:tc>
          <w:tcPr>
            <w:tcW w:w="12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33</w:t>
            </w:r>
          </w:p>
        </w:tc>
        <w:tc>
          <w:tcPr>
            <w:tcW w:w="1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98</w:t>
            </w:r>
          </w:p>
        </w:tc>
        <w:tc>
          <w:tcPr>
            <w:tcW w:w="10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100</w:t>
            </w:r>
          </w:p>
        </w:tc>
      </w:tr>
      <w:tr>
        <w:trPr>
          <w:trHeight w:val="178"/>
        </w:trPr>
        <w:tc>
          <w:tcPr>
            <w:tcW w:w="6560" w:type="dxa"/>
            <w:vAlign w:val="bottom"/>
            <w:gridSpan w:val="2"/>
          </w:tcPr>
          <w:p>
            <w:pPr>
              <w:ind w:left="240"/>
              <w:spacing w:after="0"/>
              <w:rPr>
                <w:sz w:val="20"/>
                <w:szCs w:val="20"/>
                <w:color w:val="auto"/>
              </w:rPr>
            </w:pPr>
            <w:r>
              <w:rPr>
                <w:rFonts w:ascii="Arial" w:cs="Arial" w:eastAsia="Arial" w:hAnsi="Arial"/>
                <w:sz w:val="10"/>
                <w:szCs w:val="10"/>
                <w:color w:val="auto"/>
              </w:rPr>
              <w:t>Research, development and engineering expenses</w:t>
            </w:r>
          </w:p>
        </w:tc>
        <w:tc>
          <w:tcPr>
            <w:tcW w:w="720" w:type="dxa"/>
            <w:vAlign w:val="bottom"/>
          </w:tcPr>
          <w:p>
            <w:pPr>
              <w:spacing w:after="0"/>
              <w:rPr>
                <w:sz w:val="15"/>
                <w:szCs w:val="15"/>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102</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280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303</w:t>
            </w:r>
          </w:p>
        </w:tc>
      </w:tr>
      <w:tr>
        <w:trPr>
          <w:trHeight w:val="187"/>
        </w:trPr>
        <w:tc>
          <w:tcPr>
            <w:tcW w:w="656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Selling, administrative and general expenses</w:t>
            </w: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513</w:t>
            </w: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583</w:t>
            </w: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1,580</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1,835</w:t>
            </w:r>
          </w:p>
        </w:tc>
      </w:tr>
      <w:tr>
        <w:trPr>
          <w:trHeight w:val="178"/>
        </w:trPr>
        <w:tc>
          <w:tcPr>
            <w:tcW w:w="6560" w:type="dxa"/>
            <w:vAlign w:val="bottom"/>
            <w:gridSpan w:val="2"/>
          </w:tcPr>
          <w:p>
            <w:pPr>
              <w:ind w:left="240"/>
              <w:spacing w:after="0"/>
              <w:rPr>
                <w:sz w:val="20"/>
                <w:szCs w:val="20"/>
                <w:color w:val="auto"/>
              </w:rPr>
            </w:pPr>
            <w:r>
              <w:rPr>
                <w:rFonts w:ascii="Arial" w:cs="Arial" w:eastAsia="Arial" w:hAnsi="Arial"/>
                <w:sz w:val="10"/>
                <w:szCs w:val="10"/>
                <w:color w:val="auto"/>
              </w:rPr>
              <w:t>Restructuring and related costs</w:t>
            </w:r>
          </w:p>
        </w:tc>
        <w:tc>
          <w:tcPr>
            <w:tcW w:w="720" w:type="dxa"/>
            <w:vAlign w:val="bottom"/>
          </w:tcPr>
          <w:p>
            <w:pPr>
              <w:spacing w:after="0"/>
              <w:rPr>
                <w:sz w:val="15"/>
                <w:szCs w:val="15"/>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27</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29</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176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91</w:t>
            </w:r>
          </w:p>
        </w:tc>
      </w:tr>
      <w:tr>
        <w:trPr>
          <w:trHeight w:val="187"/>
        </w:trPr>
        <w:tc>
          <w:tcPr>
            <w:tcW w:w="656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Amortization of intangible assets</w:t>
            </w: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9</w:t>
            </w: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12</w:t>
            </w: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35</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36</w:t>
            </w:r>
          </w:p>
        </w:tc>
      </w:tr>
      <w:tr>
        <w:trPr>
          <w:trHeight w:val="178"/>
        </w:trPr>
        <w:tc>
          <w:tcPr>
            <w:tcW w:w="6560" w:type="dxa"/>
            <w:vAlign w:val="bottom"/>
            <w:gridSpan w:val="2"/>
          </w:tcPr>
          <w:p>
            <w:pPr>
              <w:ind w:left="240"/>
              <w:spacing w:after="0"/>
              <w:rPr>
                <w:sz w:val="20"/>
                <w:szCs w:val="20"/>
                <w:color w:val="auto"/>
              </w:rPr>
            </w:pPr>
            <w:r>
              <w:rPr>
                <w:rFonts w:ascii="Arial" w:cs="Arial" w:eastAsia="Arial" w:hAnsi="Arial"/>
                <w:sz w:val="10"/>
                <w:szCs w:val="10"/>
                <w:color w:val="auto"/>
              </w:rPr>
              <w:t>Transaction and related costs, net</w:t>
            </w:r>
          </w:p>
        </w:tc>
        <w:tc>
          <w:tcPr>
            <w:tcW w:w="720" w:type="dxa"/>
            <w:vAlign w:val="bottom"/>
          </w:tcPr>
          <w:p>
            <w:pPr>
              <w:spacing w:after="0"/>
              <w:rPr>
                <w:sz w:val="15"/>
                <w:szCs w:val="15"/>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ind w:right="31"/>
              <w:spacing w:after="0"/>
              <w:rPr>
                <w:sz w:val="20"/>
                <w:szCs w:val="20"/>
                <w:color w:val="auto"/>
              </w:rPr>
            </w:pPr>
            <w:r>
              <w:rPr>
                <w:rFonts w:ascii="Arial" w:cs="Arial" w:eastAsia="Arial" w:hAnsi="Arial"/>
                <w:sz w:val="10"/>
                <w:szCs w:val="10"/>
                <w:color w:val="auto"/>
              </w:rPr>
              <w:t>(33)</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63</w:t>
            </w:r>
          </w:p>
        </w:tc>
      </w:tr>
      <w:tr>
        <w:trPr>
          <w:trHeight w:val="187"/>
        </w:trPr>
        <w:tc>
          <w:tcPr>
            <w:tcW w:w="656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Other expenses, net</w:t>
            </w:r>
          </w:p>
        </w:tc>
        <w:tc>
          <w:tcPr>
            <w:tcW w:w="72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(3)</w:t>
            </w:r>
          </w:p>
        </w:tc>
        <w:tc>
          <w:tcPr>
            <w:tcW w:w="120" w:type="dxa"/>
            <w:vAlign w:val="bottom"/>
            <w:shd w:val="clear" w:color="auto" w:fill="E5E5E5"/>
          </w:tcPr>
          <w:p>
            <w:pPr>
              <w:spacing w:after="0"/>
              <w:rPr>
                <w:sz w:val="16"/>
                <w:szCs w:val="16"/>
                <w:color w:val="auto"/>
              </w:rPr>
            </w:pPr>
          </w:p>
        </w:tc>
        <w:tc>
          <w:tcPr>
            <w:tcW w:w="74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57</w:t>
            </w:r>
          </w:p>
        </w:tc>
        <w:tc>
          <w:tcPr>
            <w:tcW w:w="120" w:type="dxa"/>
            <w:vAlign w:val="bottom"/>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74</w:t>
            </w:r>
          </w:p>
        </w:tc>
        <w:tc>
          <w:tcPr>
            <w:tcW w:w="100" w:type="dxa"/>
            <w:vAlign w:val="bottom"/>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126</w:t>
            </w:r>
          </w:p>
        </w:tc>
      </w:tr>
      <w:tr>
        <w:trPr>
          <w:trHeight w:val="158"/>
        </w:trPr>
        <w:tc>
          <w:tcPr>
            <w:tcW w:w="65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Total Costs and Expenses</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1,970</w:t>
            </w:r>
          </w:p>
        </w:tc>
        <w:tc>
          <w:tcPr>
            <w:tcW w:w="120" w:type="dxa"/>
            <w:vAlign w:val="bottom"/>
            <w:tcBorders>
              <w:bottom w:val="single" w:sz="8" w:color="E5E5E5"/>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2,160</w:t>
            </w:r>
          </w:p>
        </w:tc>
        <w:tc>
          <w:tcPr>
            <w:tcW w:w="120" w:type="dxa"/>
            <w:vAlign w:val="bottom"/>
            <w:tcBorders>
              <w:bottom w:val="single" w:sz="8" w:color="E5E5E5"/>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6,182</w:t>
            </w:r>
          </w:p>
        </w:tc>
        <w:tc>
          <w:tcPr>
            <w:tcW w:w="100" w:type="dxa"/>
            <w:vAlign w:val="bottom"/>
            <w:tcBorders>
              <w:bottom w:val="single" w:sz="8" w:color="E5E5E5"/>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6,838</w:t>
            </w:r>
          </w:p>
        </w:tc>
      </w:tr>
      <w:tr>
        <w:trPr>
          <w:trHeight w:val="167"/>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Income before Income Taxes &amp; Equity Income</w:t>
            </w:r>
            <w:r>
              <w:rPr>
                <w:rFonts w:ascii="Arial" w:cs="Arial" w:eastAsia="Arial" w:hAnsi="Arial"/>
                <w:sz w:val="12"/>
                <w:szCs w:val="12"/>
                <w:b w:val="1"/>
                <w:bCs w:val="1"/>
                <w:color w:val="auto"/>
                <w:vertAlign w:val="superscript"/>
              </w:rPr>
              <w:t>(2)</w:t>
            </w:r>
          </w:p>
        </w:tc>
        <w:tc>
          <w:tcPr>
            <w:tcW w:w="720" w:type="dxa"/>
            <w:vAlign w:val="bottom"/>
            <w:shd w:val="clear" w:color="auto" w:fill="E5E5E5"/>
          </w:tcPr>
          <w:p>
            <w:pPr>
              <w:spacing w:after="0"/>
              <w:rPr>
                <w:sz w:val="14"/>
                <w:szCs w:val="14"/>
                <w:color w:val="auto"/>
              </w:rPr>
            </w:pPr>
          </w:p>
        </w:tc>
        <w:tc>
          <w:tcPr>
            <w:tcW w:w="4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230</w:t>
            </w:r>
          </w:p>
        </w:tc>
        <w:tc>
          <w:tcPr>
            <w:tcW w:w="12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192</w:t>
            </w:r>
          </w:p>
        </w:tc>
        <w:tc>
          <w:tcPr>
            <w:tcW w:w="12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513</w:t>
            </w:r>
          </w:p>
        </w:tc>
        <w:tc>
          <w:tcPr>
            <w:tcW w:w="100" w:type="dxa"/>
            <w:vAlign w:val="bottom"/>
            <w:shd w:val="clear" w:color="auto" w:fill="E5E5E5"/>
          </w:tcPr>
          <w:p>
            <w:pPr>
              <w:spacing w:after="0"/>
              <w:rPr>
                <w:sz w:val="14"/>
                <w:szCs w:val="14"/>
                <w:color w:val="auto"/>
              </w:rPr>
            </w:pPr>
          </w:p>
        </w:tc>
        <w:tc>
          <w:tcPr>
            <w:tcW w:w="420" w:type="dxa"/>
            <w:vAlign w:val="bottom"/>
            <w:shd w:val="clear" w:color="auto" w:fill="E5E5E5"/>
          </w:tcPr>
          <w:p>
            <w:pPr>
              <w:spacing w:after="0"/>
              <w:rPr>
                <w:sz w:val="14"/>
                <w:szCs w:val="14"/>
                <w:color w:val="auto"/>
              </w:rPr>
            </w:pPr>
          </w:p>
        </w:tc>
        <w:tc>
          <w:tcPr>
            <w:tcW w:w="7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459</w:t>
            </w:r>
          </w:p>
        </w:tc>
      </w:tr>
      <w:tr>
        <w:trPr>
          <w:trHeight w:val="178"/>
        </w:trPr>
        <w:tc>
          <w:tcPr>
            <w:tcW w:w="6560" w:type="dxa"/>
            <w:vAlign w:val="bottom"/>
            <w:gridSpan w:val="2"/>
          </w:tcPr>
          <w:p>
            <w:pPr>
              <w:ind w:left="240"/>
              <w:spacing w:after="0"/>
              <w:rPr>
                <w:sz w:val="20"/>
                <w:szCs w:val="20"/>
                <w:color w:val="auto"/>
              </w:rPr>
            </w:pPr>
            <w:r>
              <w:rPr>
                <w:rFonts w:ascii="Arial" w:cs="Arial" w:eastAsia="Arial" w:hAnsi="Arial"/>
                <w:sz w:val="10"/>
                <w:szCs w:val="10"/>
                <w:color w:val="auto"/>
              </w:rPr>
              <w:t>Income tax expense</w:t>
            </w:r>
          </w:p>
        </w:tc>
        <w:tc>
          <w:tcPr>
            <w:tcW w:w="720" w:type="dxa"/>
            <w:vAlign w:val="bottom"/>
          </w:tcPr>
          <w:p>
            <w:pPr>
              <w:spacing w:after="0"/>
              <w:rPr>
                <w:sz w:val="15"/>
                <w:szCs w:val="15"/>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66</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142</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108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220</w:t>
            </w:r>
          </w:p>
        </w:tc>
      </w:tr>
      <w:tr>
        <w:trPr>
          <w:trHeight w:val="187"/>
        </w:trPr>
        <w:tc>
          <w:tcPr>
            <w:tcW w:w="656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Equity in net income (loss) of unconsolidated affiliates</w:t>
            </w:r>
          </w:p>
        </w:tc>
        <w:tc>
          <w:tcPr>
            <w:tcW w:w="72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58</w:t>
            </w:r>
          </w:p>
        </w:tc>
        <w:tc>
          <w:tcPr>
            <w:tcW w:w="120" w:type="dxa"/>
            <w:vAlign w:val="bottom"/>
            <w:shd w:val="clear" w:color="auto" w:fill="E5E5E5"/>
          </w:tcPr>
          <w:p>
            <w:pPr>
              <w:spacing w:after="0"/>
              <w:rPr>
                <w:sz w:val="16"/>
                <w:szCs w:val="16"/>
                <w:color w:val="auto"/>
              </w:rPr>
            </w:pPr>
          </w:p>
        </w:tc>
        <w:tc>
          <w:tcPr>
            <w:tcW w:w="74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43</w:t>
            </w:r>
          </w:p>
        </w:tc>
        <w:tc>
          <w:tcPr>
            <w:tcW w:w="120" w:type="dxa"/>
            <w:vAlign w:val="bottom"/>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137</w:t>
            </w:r>
          </w:p>
        </w:tc>
        <w:tc>
          <w:tcPr>
            <w:tcW w:w="100" w:type="dxa"/>
            <w:vAlign w:val="bottom"/>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(6)</w:t>
            </w:r>
          </w:p>
        </w:tc>
      </w:tr>
      <w:tr>
        <w:trPr>
          <w:trHeight w:val="158"/>
        </w:trPr>
        <w:tc>
          <w:tcPr>
            <w:tcW w:w="6560" w:type="dxa"/>
            <w:vAlign w:val="bottom"/>
            <w:gridSpan w:val="2"/>
          </w:tcPr>
          <w:p>
            <w:pPr>
              <w:ind w:left="20"/>
              <w:spacing w:after="0"/>
              <w:rPr>
                <w:sz w:val="20"/>
                <w:szCs w:val="20"/>
                <w:color w:val="auto"/>
              </w:rPr>
            </w:pPr>
            <w:r>
              <w:rPr>
                <w:rFonts w:ascii="Arial" w:cs="Arial" w:eastAsia="Arial" w:hAnsi="Arial"/>
                <w:sz w:val="10"/>
                <w:szCs w:val="10"/>
                <w:b w:val="1"/>
                <w:bCs w:val="1"/>
                <w:color w:val="auto"/>
              </w:rPr>
              <w:t>Net Income</w:t>
            </w:r>
          </w:p>
        </w:tc>
        <w:tc>
          <w:tcPr>
            <w:tcW w:w="720" w:type="dxa"/>
            <w:vAlign w:val="bottom"/>
          </w:tcPr>
          <w:p>
            <w:pPr>
              <w:spacing w:after="0"/>
              <w:rPr>
                <w:sz w:val="13"/>
                <w:szCs w:val="13"/>
                <w:color w:val="auto"/>
              </w:rPr>
            </w:pP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222</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93</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542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233</w:t>
            </w:r>
          </w:p>
        </w:tc>
      </w:tr>
      <w:tr>
        <w:trPr>
          <w:trHeight w:val="187"/>
        </w:trPr>
        <w:tc>
          <w:tcPr>
            <w:tcW w:w="656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Less: Net income attributable to noncontrolling interests</w:t>
            </w:r>
          </w:p>
        </w:tc>
        <w:tc>
          <w:tcPr>
            <w:tcW w:w="72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6"/>
                <w:szCs w:val="16"/>
                <w:color w:val="auto"/>
              </w:rPr>
            </w:pPr>
          </w:p>
        </w:tc>
        <w:tc>
          <w:tcPr>
            <w:tcW w:w="74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7</w:t>
            </w:r>
          </w:p>
        </w:tc>
        <w:tc>
          <w:tcPr>
            <w:tcW w:w="100" w:type="dxa"/>
            <w:vAlign w:val="bottom"/>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spacing w:after="0"/>
              <w:rPr>
                <w:sz w:val="16"/>
                <w:szCs w:val="16"/>
                <w:color w:val="auto"/>
              </w:rPr>
            </w:pPr>
          </w:p>
        </w:tc>
        <w:tc>
          <w:tcPr>
            <w:tcW w:w="7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9</w:t>
            </w:r>
          </w:p>
        </w:tc>
      </w:tr>
      <w:tr>
        <w:trPr>
          <w:trHeight w:val="161"/>
        </w:trPr>
        <w:tc>
          <w:tcPr>
            <w:tcW w:w="65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Net Income Attributable to Xerox Holdings</w:t>
            </w:r>
          </w:p>
        </w:tc>
        <w:tc>
          <w:tcPr>
            <w:tcW w:w="720" w:type="dxa"/>
            <w:vAlign w:val="bottom"/>
            <w:tcBorders>
              <w:bottom w:val="single" w:sz="8" w:color="auto"/>
            </w:tcBorders>
          </w:tcPr>
          <w:p>
            <w:pPr>
              <w:jc w:val="right"/>
              <w:ind w:right="61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221</w:t>
            </w:r>
          </w:p>
        </w:tc>
        <w:tc>
          <w:tcPr>
            <w:tcW w:w="120" w:type="dxa"/>
            <w:vAlign w:val="bottom"/>
            <w:tcBorders>
              <w:bottom w:val="single" w:sz="8" w:color="E5E5E5"/>
            </w:tcBorders>
          </w:tcPr>
          <w:p>
            <w:pPr>
              <w:spacing w:after="0"/>
              <w:rPr>
                <w:sz w:val="13"/>
                <w:szCs w:val="13"/>
                <w:color w:val="auto"/>
              </w:rPr>
            </w:pPr>
          </w:p>
        </w:tc>
        <w:tc>
          <w:tcPr>
            <w:tcW w:w="740" w:type="dxa"/>
            <w:vAlign w:val="bottom"/>
            <w:tcBorders>
              <w:bottom w:val="single" w:sz="8" w:color="auto"/>
            </w:tcBorders>
          </w:tcPr>
          <w:p>
            <w:pPr>
              <w:jc w:val="right"/>
              <w:ind w:right="611"/>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89</w:t>
            </w:r>
          </w:p>
        </w:tc>
        <w:tc>
          <w:tcPr>
            <w:tcW w:w="120" w:type="dxa"/>
            <w:vAlign w:val="bottom"/>
            <w:tcBorders>
              <w:bottom w:val="single" w:sz="8" w:color="E5E5E5"/>
            </w:tcBorders>
          </w:tcPr>
          <w:p>
            <w:pPr>
              <w:spacing w:after="0"/>
              <w:rPr>
                <w:sz w:val="13"/>
                <w:szCs w:val="13"/>
                <w:color w:val="auto"/>
              </w:rPr>
            </w:pPr>
          </w:p>
        </w:tc>
        <w:tc>
          <w:tcPr>
            <w:tcW w:w="72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535</w:t>
            </w:r>
          </w:p>
        </w:tc>
        <w:tc>
          <w:tcPr>
            <w:tcW w:w="100" w:type="dxa"/>
            <w:vAlign w:val="bottom"/>
            <w:tcBorders>
              <w:bottom w:val="single" w:sz="8" w:color="E5E5E5"/>
            </w:tcBorders>
          </w:tcPr>
          <w:p>
            <w:pPr>
              <w:spacing w:after="0"/>
              <w:rPr>
                <w:sz w:val="13"/>
                <w:szCs w:val="13"/>
                <w:color w:val="auto"/>
              </w:rPr>
            </w:pPr>
          </w:p>
        </w:tc>
        <w:tc>
          <w:tcPr>
            <w:tcW w:w="42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224</w:t>
            </w:r>
          </w:p>
        </w:tc>
      </w:tr>
      <w:tr>
        <w:trPr>
          <w:trHeight w:val="182"/>
        </w:trPr>
        <w:tc>
          <w:tcPr>
            <w:tcW w:w="64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r>
      <w:tr>
        <w:trPr>
          <w:trHeight w:val="178"/>
        </w:trPr>
        <w:tc>
          <w:tcPr>
            <w:tcW w:w="6560" w:type="dxa"/>
            <w:vAlign w:val="bottom"/>
            <w:gridSpan w:val="2"/>
          </w:tcPr>
          <w:p>
            <w:pPr>
              <w:ind w:left="20"/>
              <w:spacing w:after="0"/>
              <w:rPr>
                <w:sz w:val="20"/>
                <w:szCs w:val="20"/>
                <w:color w:val="auto"/>
              </w:rPr>
            </w:pPr>
            <w:r>
              <w:rPr>
                <w:rFonts w:ascii="Arial" w:cs="Arial" w:eastAsia="Arial" w:hAnsi="Arial"/>
                <w:sz w:val="10"/>
                <w:szCs w:val="10"/>
                <w:b w:val="1"/>
                <w:bCs w:val="1"/>
                <w:color w:val="auto"/>
              </w:rPr>
              <w:t>Basic Earnings per Share</w:t>
            </w:r>
          </w:p>
        </w:tc>
        <w:tc>
          <w:tcPr>
            <w:tcW w:w="720" w:type="dxa"/>
            <w:vAlign w:val="bottom"/>
          </w:tcPr>
          <w:p>
            <w:pPr>
              <w:jc w:val="right"/>
              <w:ind w:right="61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ind w:right="51"/>
              <w:spacing w:after="0"/>
              <w:rPr>
                <w:sz w:val="20"/>
                <w:szCs w:val="20"/>
                <w:color w:val="auto"/>
              </w:rPr>
            </w:pPr>
            <w:r>
              <w:rPr>
                <w:rFonts w:ascii="Arial" w:cs="Arial" w:eastAsia="Arial" w:hAnsi="Arial"/>
                <w:sz w:val="10"/>
                <w:szCs w:val="10"/>
                <w:color w:val="auto"/>
              </w:rPr>
              <w:t>0.99</w:t>
            </w:r>
          </w:p>
        </w:tc>
        <w:tc>
          <w:tcPr>
            <w:tcW w:w="120" w:type="dxa"/>
            <w:vAlign w:val="bottom"/>
          </w:tcPr>
          <w:p>
            <w:pPr>
              <w:spacing w:after="0"/>
              <w:rPr>
                <w:sz w:val="15"/>
                <w:szCs w:val="15"/>
                <w:color w:val="auto"/>
              </w:rPr>
            </w:pPr>
          </w:p>
        </w:tc>
        <w:tc>
          <w:tcPr>
            <w:tcW w:w="740" w:type="dxa"/>
            <w:vAlign w:val="bottom"/>
          </w:tcPr>
          <w:p>
            <w:pPr>
              <w:jc w:val="right"/>
              <w:ind w:right="611"/>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0.34</w:t>
            </w:r>
          </w:p>
        </w:tc>
        <w:tc>
          <w:tcPr>
            <w:tcW w:w="120" w:type="dxa"/>
            <w:vAlign w:val="bottom"/>
          </w:tcPr>
          <w:p>
            <w:pPr>
              <w:spacing w:after="0"/>
              <w:rPr>
                <w:sz w:val="15"/>
                <w:szCs w:val="15"/>
                <w:color w:val="auto"/>
              </w:rPr>
            </w:pPr>
          </w:p>
        </w:tc>
        <w:tc>
          <w:tcPr>
            <w:tcW w:w="720" w:type="dxa"/>
            <w:vAlign w:val="bottom"/>
          </w:tcPr>
          <w:p>
            <w:pPr>
              <w:jc w:val="right"/>
              <w:ind w:right="591"/>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2.34</w:t>
            </w:r>
          </w:p>
        </w:tc>
        <w:tc>
          <w:tcPr>
            <w:tcW w:w="100" w:type="dxa"/>
            <w:vAlign w:val="bottom"/>
          </w:tcPr>
          <w:p>
            <w:pPr>
              <w:spacing w:after="0"/>
              <w:rPr>
                <w:sz w:val="15"/>
                <w:szCs w:val="15"/>
                <w:color w:val="auto"/>
              </w:rPr>
            </w:pPr>
          </w:p>
        </w:tc>
        <w:tc>
          <w:tcPr>
            <w:tcW w:w="4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0.84</w:t>
            </w:r>
          </w:p>
        </w:tc>
      </w:tr>
      <w:tr>
        <w:trPr>
          <w:trHeight w:val="187"/>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Diluted Earnings per Share</w:t>
            </w:r>
          </w:p>
        </w:tc>
        <w:tc>
          <w:tcPr>
            <w:tcW w:w="720" w:type="dxa"/>
            <w:vAlign w:val="bottom"/>
            <w:shd w:val="clear" w:color="auto" w:fill="E5E5E5"/>
          </w:tcPr>
          <w:p>
            <w:pPr>
              <w:jc w:val="right"/>
              <w:ind w:right="61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0.96</w:t>
            </w: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jc w:val="right"/>
              <w:ind w:right="611"/>
              <w:spacing w:after="0"/>
              <w:rPr>
                <w:sz w:val="20"/>
                <w:szCs w:val="20"/>
                <w:color w:val="auto"/>
              </w:rPr>
            </w:pPr>
            <w:r>
              <w:rPr>
                <w:rFonts w:ascii="Arial" w:cs="Arial" w:eastAsia="Arial" w:hAnsi="Arial"/>
                <w:sz w:val="10"/>
                <w:szCs w:val="10"/>
                <w:color w:val="auto"/>
              </w:rPr>
              <w:t>$</w:t>
            </w: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0.34</w:t>
            </w:r>
          </w:p>
        </w:tc>
        <w:tc>
          <w:tcPr>
            <w:tcW w:w="120" w:type="dxa"/>
            <w:vAlign w:val="bottom"/>
            <w:shd w:val="clear" w:color="auto" w:fill="E5E5E5"/>
          </w:tcPr>
          <w:p>
            <w:pPr>
              <w:spacing w:after="0"/>
              <w:rPr>
                <w:sz w:val="16"/>
                <w:szCs w:val="16"/>
                <w:color w:val="auto"/>
              </w:rPr>
            </w:pPr>
          </w:p>
        </w:tc>
        <w:tc>
          <w:tcPr>
            <w:tcW w:w="720" w:type="dxa"/>
            <w:vAlign w:val="bottom"/>
            <w:shd w:val="clear" w:color="auto" w:fill="E5E5E5"/>
          </w:tcPr>
          <w:p>
            <w:pPr>
              <w:jc w:val="right"/>
              <w:ind w:right="591"/>
              <w:spacing w:after="0"/>
              <w:rPr>
                <w:sz w:val="20"/>
                <w:szCs w:val="20"/>
                <w:color w:val="auto"/>
              </w:rPr>
            </w:pPr>
            <w:r>
              <w:rPr>
                <w:rFonts w:ascii="Arial" w:cs="Arial" w:eastAsia="Arial" w:hAnsi="Arial"/>
                <w:sz w:val="10"/>
                <w:szCs w:val="10"/>
                <w:color w:val="auto"/>
              </w:rPr>
              <w:t>$</w:t>
            </w: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2.27</w:t>
            </w:r>
          </w:p>
        </w:tc>
        <w:tc>
          <w:tcPr>
            <w:tcW w:w="10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291"/>
              <w:spacing w:after="0"/>
              <w:rPr>
                <w:sz w:val="20"/>
                <w:szCs w:val="20"/>
                <w:color w:val="auto"/>
              </w:rPr>
            </w:pPr>
            <w:r>
              <w:rPr>
                <w:rFonts w:ascii="Arial" w:cs="Arial" w:eastAsia="Arial" w:hAnsi="Arial"/>
                <w:sz w:val="10"/>
                <w:szCs w:val="10"/>
                <w:color w:val="auto"/>
              </w:rPr>
              <w:t>$</w:t>
            </w:r>
          </w:p>
        </w:tc>
        <w:tc>
          <w:tcPr>
            <w:tcW w:w="7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0.83</w:t>
            </w:r>
          </w:p>
        </w:tc>
      </w:tr>
    </w:tbl>
    <w:p>
      <w:pPr>
        <w:spacing w:after="0" w:line="61" w:lineRule="exact"/>
        <w:rPr>
          <w:sz w:val="20"/>
          <w:szCs w:val="20"/>
          <w:color w:val="auto"/>
        </w:rPr>
      </w:pPr>
    </w:p>
    <w:p>
      <w:pPr>
        <w:ind w:left="7"/>
        <w:spacing w:after="0"/>
        <w:rPr>
          <w:sz w:val="20"/>
          <w:szCs w:val="20"/>
          <w:color w:val="auto"/>
        </w:rPr>
      </w:pPr>
      <w:r>
        <w:rPr>
          <w:rFonts w:ascii="Arial" w:cs="Arial" w:eastAsia="Arial" w:hAnsi="Arial"/>
          <w:sz w:val="9"/>
          <w:szCs w:val="9"/>
          <w:i w:val="1"/>
          <w:iCs w:val="1"/>
          <w:color w:val="auto"/>
        </w:rPr>
        <w:t>____________________________</w:t>
      </w:r>
    </w:p>
    <w:p>
      <w:pPr>
        <w:spacing w:after="0" w:line="70" w:lineRule="exact"/>
        <w:rPr>
          <w:sz w:val="20"/>
          <w:szCs w:val="20"/>
          <w:color w:val="auto"/>
        </w:rPr>
      </w:pPr>
    </w:p>
    <w:p>
      <w:pPr>
        <w:ind w:left="87" w:hanging="87"/>
        <w:spacing w:after="0"/>
        <w:tabs>
          <w:tab w:leader="none" w:pos="87" w:val="left"/>
        </w:tabs>
        <w:numPr>
          <w:ilvl w:val="0"/>
          <w:numId w:val="5"/>
        </w:numPr>
        <w:rPr>
          <w:rFonts w:ascii="Arial" w:cs="Arial" w:eastAsia="Arial" w:hAnsi="Arial"/>
          <w:sz w:val="6"/>
          <w:szCs w:val="6"/>
          <w:i w:val="1"/>
          <w:iCs w:val="1"/>
          <w:color w:val="auto"/>
        </w:rPr>
      </w:pPr>
      <w:r>
        <w:rPr>
          <w:rFonts w:ascii="Arial" w:cs="Arial" w:eastAsia="Arial" w:hAnsi="Arial"/>
          <w:sz w:val="9"/>
          <w:szCs w:val="9"/>
          <w:i w:val="1"/>
          <w:iCs w:val="1"/>
          <w:color w:val="auto"/>
        </w:rPr>
        <w:t>Certain prior year amounts have been conformed to the current year presentation. See Appendix III for this change in presentation.</w:t>
      </w:r>
    </w:p>
    <w:p>
      <w:pPr>
        <w:spacing w:after="0" w:line="33" w:lineRule="exact"/>
        <w:rPr>
          <w:rFonts w:ascii="Arial" w:cs="Arial" w:eastAsia="Arial" w:hAnsi="Arial"/>
          <w:sz w:val="6"/>
          <w:szCs w:val="6"/>
          <w:i w:val="1"/>
          <w:iCs w:val="1"/>
          <w:color w:val="auto"/>
        </w:rPr>
      </w:pPr>
    </w:p>
    <w:p>
      <w:pPr>
        <w:ind w:left="107" w:hanging="107"/>
        <w:spacing w:after="0"/>
        <w:tabs>
          <w:tab w:leader="none" w:pos="107" w:val="left"/>
        </w:tabs>
        <w:numPr>
          <w:ilvl w:val="0"/>
          <w:numId w:val="5"/>
        </w:numPr>
        <w:rPr>
          <w:rFonts w:ascii="Arial" w:cs="Arial" w:eastAsia="Arial" w:hAnsi="Arial"/>
          <w:sz w:val="6"/>
          <w:szCs w:val="6"/>
          <w:i w:val="1"/>
          <w:iCs w:val="1"/>
          <w:color w:val="auto"/>
        </w:rPr>
      </w:pPr>
      <w:r>
        <w:rPr>
          <w:rFonts w:ascii="Arial" w:cs="Arial" w:eastAsia="Arial" w:hAnsi="Arial"/>
          <w:sz w:val="9"/>
          <w:szCs w:val="9"/>
          <w:i w:val="1"/>
          <w:iCs w:val="1"/>
          <w:color w:val="auto"/>
        </w:rPr>
        <w:t>Referred to as “Pre-Tax Income” throughout the remainder of this document.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7"/>
          </w:cols>
          <w:pgMar w:left="213" w:top="481" w:right="1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DA2031"/>
        </w:rPr>
        <w:t>XEROX HOLDINGS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DA2031"/>
        </w:rPr>
        <w:t>CONDENSED CONSOLIDATED STATEMENTS OF COMPREHENSIVE INCOME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80" w:type="dxa"/>
            <w:vAlign w:val="bottom"/>
            <w:gridSpan w:val="3"/>
          </w:tcPr>
          <w:p>
            <w:pPr>
              <w:jc w:val="right"/>
              <w:ind w:right="611"/>
              <w:spacing w:after="0"/>
              <w:rPr>
                <w:sz w:val="20"/>
                <w:szCs w:val="20"/>
                <w:color w:val="auto"/>
              </w:rPr>
            </w:pPr>
            <w:r>
              <w:rPr>
                <w:rFonts w:ascii="Arial" w:cs="Arial" w:eastAsia="Arial" w:hAnsi="Arial"/>
                <w:sz w:val="10"/>
                <w:szCs w:val="10"/>
                <w:color w:val="auto"/>
              </w:rPr>
              <w:t>Three Months Ended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gridSpan w:val="3"/>
          </w:tcPr>
          <w:p>
            <w:pPr>
              <w:jc w:val="right"/>
              <w:ind w:right="71"/>
              <w:spacing w:after="0"/>
              <w:rPr>
                <w:sz w:val="20"/>
                <w:szCs w:val="20"/>
                <w:color w:val="auto"/>
              </w:rPr>
            </w:pPr>
            <w:r>
              <w:rPr>
                <w:rFonts w:ascii="Arial" w:cs="Arial" w:eastAsia="Arial" w:hAnsi="Arial"/>
                <w:sz w:val="10"/>
                <w:szCs w:val="10"/>
                <w:color w:val="auto"/>
              </w:rPr>
              <w:t>Nine Months Ended</w:t>
            </w:r>
          </w:p>
        </w:tc>
        <w:tc>
          <w:tcPr>
            <w:tcW w:w="980" w:type="dxa"/>
            <w:vAlign w:val="bottom"/>
          </w:tcPr>
          <w:p>
            <w:pPr>
              <w:spacing w:after="0"/>
              <w:rPr>
                <w:sz w:val="10"/>
                <w:szCs w:val="10"/>
                <w:color w:val="auto"/>
              </w:rPr>
            </w:pPr>
          </w:p>
        </w:tc>
      </w:tr>
      <w:tr>
        <w:trPr>
          <w:trHeight w:val="120"/>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0"/>
                <w:szCs w:val="10"/>
                <w:color w:val="auto"/>
              </w:rPr>
              <w:t>September 30,</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0"/>
                <w:szCs w:val="10"/>
                <w:color w:val="auto"/>
              </w:rPr>
              <w:t>September 30,</w:t>
            </w:r>
          </w:p>
        </w:tc>
        <w:tc>
          <w:tcPr>
            <w:tcW w:w="980" w:type="dxa"/>
            <w:vAlign w:val="bottom"/>
            <w:tcBorders>
              <w:bottom w:val="single" w:sz="8" w:color="auto"/>
            </w:tcBorders>
          </w:tcPr>
          <w:p>
            <w:pPr>
              <w:spacing w:after="0"/>
              <w:rPr>
                <w:sz w:val="10"/>
                <w:szCs w:val="10"/>
                <w:color w:val="auto"/>
              </w:rPr>
            </w:pPr>
          </w:p>
        </w:tc>
      </w:tr>
      <w:tr>
        <w:trPr>
          <w:trHeight w:val="172"/>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4"/>
                <w:szCs w:val="14"/>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2019</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E5E5E5"/>
            </w:tcBorders>
          </w:tcPr>
          <w:p>
            <w:pPr>
              <w:spacing w:after="0"/>
              <w:rPr>
                <w:sz w:val="14"/>
                <w:szCs w:val="14"/>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2018</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E5E5E5"/>
            </w:tcBorders>
          </w:tcPr>
          <w:p>
            <w:pPr>
              <w:spacing w:after="0"/>
              <w:rPr>
                <w:sz w:val="14"/>
                <w:szCs w:val="14"/>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2019</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E5E5E5"/>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0"/>
                <w:szCs w:val="10"/>
                <w:color w:val="auto"/>
              </w:rPr>
              <w:t>2018</w:t>
            </w:r>
          </w:p>
        </w:tc>
      </w:tr>
      <w:tr>
        <w:trPr>
          <w:trHeight w:val="167"/>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Net income</w:t>
            </w:r>
          </w:p>
        </w:tc>
        <w:tc>
          <w:tcPr>
            <w:tcW w:w="980" w:type="dxa"/>
            <w:vAlign w:val="bottom"/>
            <w:shd w:val="clear" w:color="auto" w:fill="E5E5E5"/>
          </w:tcPr>
          <w:p>
            <w:pPr>
              <w:jc w:val="right"/>
              <w:ind w:right="87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222</w:t>
            </w:r>
          </w:p>
        </w:tc>
        <w:tc>
          <w:tcPr>
            <w:tcW w:w="12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911"/>
              <w:spacing w:after="0"/>
              <w:rPr>
                <w:sz w:val="20"/>
                <w:szCs w:val="20"/>
                <w:color w:val="auto"/>
              </w:rPr>
            </w:pPr>
            <w:r>
              <w:rPr>
                <w:rFonts w:ascii="Arial" w:cs="Arial" w:eastAsia="Arial" w:hAnsi="Arial"/>
                <w:sz w:val="10"/>
                <w:szCs w:val="10"/>
                <w:color w:val="auto"/>
              </w:rPr>
              <w:t>$</w:t>
            </w:r>
          </w:p>
        </w:tc>
        <w:tc>
          <w:tcPr>
            <w:tcW w:w="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93</w:t>
            </w:r>
          </w:p>
        </w:tc>
        <w:tc>
          <w:tcPr>
            <w:tcW w:w="10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851"/>
              <w:spacing w:after="0"/>
              <w:rPr>
                <w:sz w:val="20"/>
                <w:szCs w:val="20"/>
                <w:color w:val="auto"/>
              </w:rPr>
            </w:pPr>
            <w:r>
              <w:rPr>
                <w:rFonts w:ascii="Arial" w:cs="Arial" w:eastAsia="Arial" w:hAnsi="Arial"/>
                <w:sz w:val="10"/>
                <w:szCs w:val="10"/>
                <w:color w:val="auto"/>
              </w:rPr>
              <w:t>$</w:t>
            </w:r>
          </w:p>
        </w:tc>
        <w:tc>
          <w:tcPr>
            <w:tcW w:w="5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542</w:t>
            </w:r>
          </w:p>
        </w:tc>
        <w:tc>
          <w:tcPr>
            <w:tcW w:w="120" w:type="dxa"/>
            <w:vAlign w:val="bottom"/>
            <w:shd w:val="clear" w:color="auto" w:fill="E5E5E5"/>
          </w:tcPr>
          <w:p>
            <w:pPr>
              <w:spacing w:after="0"/>
              <w:rPr>
                <w:sz w:val="14"/>
                <w:szCs w:val="14"/>
                <w:color w:val="auto"/>
              </w:rPr>
            </w:pPr>
          </w:p>
        </w:tc>
        <w:tc>
          <w:tcPr>
            <w:tcW w:w="480" w:type="dxa"/>
            <w:vAlign w:val="bottom"/>
            <w:shd w:val="clear" w:color="auto" w:fill="E5E5E5"/>
          </w:tcPr>
          <w:p>
            <w:pPr>
              <w:jc w:val="right"/>
              <w:ind w:right="3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233</w:t>
            </w:r>
          </w:p>
        </w:tc>
      </w:tr>
      <w:tr>
        <w:trPr>
          <w:trHeight w:val="178"/>
        </w:trPr>
        <w:tc>
          <w:tcPr>
            <w:tcW w:w="5160" w:type="dxa"/>
            <w:vAlign w:val="bottom"/>
            <w:tcBorders>
              <w:bottom w:val="single" w:sz="8" w:color="E5E5E5"/>
            </w:tcBorders>
            <w:gridSpan w:val="2"/>
          </w:tcPr>
          <w:p>
            <w:pPr>
              <w:ind w:left="240"/>
              <w:spacing w:after="0"/>
              <w:rPr>
                <w:sz w:val="20"/>
                <w:szCs w:val="20"/>
                <w:color w:val="auto"/>
              </w:rPr>
            </w:pPr>
            <w:r>
              <w:rPr>
                <w:rFonts w:ascii="Arial" w:cs="Arial" w:eastAsia="Arial" w:hAnsi="Arial"/>
                <w:sz w:val="10"/>
                <w:szCs w:val="10"/>
                <w:color w:val="auto"/>
              </w:rPr>
              <w:t>Less: Net income attributable to noncontrolling interests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E5E5E5"/>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7</w:t>
            </w:r>
          </w:p>
        </w:tc>
        <w:tc>
          <w:tcPr>
            <w:tcW w:w="120" w:type="dxa"/>
            <w:vAlign w:val="bottom"/>
            <w:tcBorders>
              <w:bottom w:val="single" w:sz="8" w:color="E5E5E5"/>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9</w:t>
            </w:r>
          </w:p>
        </w:tc>
      </w:tr>
      <w:tr>
        <w:trPr>
          <w:trHeight w:val="162"/>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Net Income Attributable to Xerox Holdings</w:t>
            </w:r>
          </w:p>
        </w:tc>
        <w:tc>
          <w:tcPr>
            <w:tcW w:w="980" w:type="dxa"/>
            <w:vAlign w:val="bottom"/>
            <w:tcBorders>
              <w:bottom w:val="single" w:sz="8" w:color="auto"/>
            </w:tcBorders>
            <w:shd w:val="clear" w:color="auto" w:fill="E5E5E5"/>
          </w:tcPr>
          <w:p>
            <w:pPr>
              <w:spacing w:after="0"/>
              <w:rPr>
                <w:sz w:val="14"/>
                <w:szCs w:val="14"/>
                <w:color w:val="auto"/>
              </w:rPr>
            </w:pPr>
          </w:p>
        </w:tc>
        <w:tc>
          <w:tcPr>
            <w:tcW w:w="5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221</w:t>
            </w:r>
          </w:p>
        </w:tc>
        <w:tc>
          <w:tcPr>
            <w:tcW w:w="120" w:type="dxa"/>
            <w:vAlign w:val="bottom"/>
            <w:shd w:val="clear" w:color="auto" w:fill="E5E5E5"/>
          </w:tcPr>
          <w:p>
            <w:pPr>
              <w:spacing w:after="0"/>
              <w:rPr>
                <w:sz w:val="14"/>
                <w:szCs w:val="14"/>
                <w:color w:val="auto"/>
              </w:rPr>
            </w:pPr>
          </w:p>
        </w:tc>
        <w:tc>
          <w:tcPr>
            <w:tcW w:w="1040" w:type="dxa"/>
            <w:vAlign w:val="bottom"/>
            <w:tcBorders>
              <w:bottom w:val="single" w:sz="8" w:color="auto"/>
            </w:tcBorders>
            <w:shd w:val="clear" w:color="auto" w:fill="E5E5E5"/>
          </w:tcPr>
          <w:p>
            <w:pPr>
              <w:spacing w:after="0"/>
              <w:rPr>
                <w:sz w:val="14"/>
                <w:szCs w:val="14"/>
                <w:color w:val="auto"/>
              </w:rPr>
            </w:pPr>
          </w:p>
        </w:tc>
        <w:tc>
          <w:tcPr>
            <w:tcW w:w="4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89</w:t>
            </w:r>
          </w:p>
        </w:tc>
        <w:tc>
          <w:tcPr>
            <w:tcW w:w="100" w:type="dxa"/>
            <w:vAlign w:val="bottom"/>
            <w:shd w:val="clear" w:color="auto" w:fill="E5E5E5"/>
          </w:tcPr>
          <w:p>
            <w:pPr>
              <w:spacing w:after="0"/>
              <w:rPr>
                <w:sz w:val="14"/>
                <w:szCs w:val="14"/>
                <w:color w:val="auto"/>
              </w:rPr>
            </w:pPr>
          </w:p>
        </w:tc>
        <w:tc>
          <w:tcPr>
            <w:tcW w:w="980" w:type="dxa"/>
            <w:vAlign w:val="bottom"/>
            <w:tcBorders>
              <w:bottom w:val="single" w:sz="8" w:color="auto"/>
            </w:tcBorders>
            <w:shd w:val="clear" w:color="auto" w:fill="E5E5E5"/>
          </w:tcPr>
          <w:p>
            <w:pPr>
              <w:spacing w:after="0"/>
              <w:rPr>
                <w:sz w:val="14"/>
                <w:szCs w:val="14"/>
                <w:color w:val="auto"/>
              </w:rPr>
            </w:pPr>
          </w:p>
        </w:tc>
        <w:tc>
          <w:tcPr>
            <w:tcW w:w="50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535</w:t>
            </w:r>
          </w:p>
        </w:tc>
        <w:tc>
          <w:tcPr>
            <w:tcW w:w="120" w:type="dxa"/>
            <w:vAlign w:val="bottom"/>
            <w:shd w:val="clear" w:color="auto" w:fill="E5E5E5"/>
          </w:tcPr>
          <w:p>
            <w:pPr>
              <w:spacing w:after="0"/>
              <w:rPr>
                <w:sz w:val="14"/>
                <w:szCs w:val="14"/>
                <w:color w:val="auto"/>
              </w:rPr>
            </w:pPr>
          </w:p>
        </w:tc>
        <w:tc>
          <w:tcPr>
            <w:tcW w:w="480" w:type="dxa"/>
            <w:vAlign w:val="bottom"/>
            <w:tcBorders>
              <w:bottom w:val="single" w:sz="8" w:color="auto"/>
            </w:tcBorders>
            <w:shd w:val="clear" w:color="auto" w:fill="E5E5E5"/>
          </w:tcPr>
          <w:p>
            <w:pPr>
              <w:spacing w:after="0"/>
              <w:rPr>
                <w:sz w:val="14"/>
                <w:szCs w:val="14"/>
                <w:color w:val="auto"/>
              </w:rPr>
            </w:pPr>
          </w:p>
        </w:tc>
        <w:tc>
          <w:tcPr>
            <w:tcW w:w="98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224</w:t>
            </w:r>
          </w:p>
        </w:tc>
      </w:tr>
      <w:tr>
        <w:trPr>
          <w:trHeight w:val="158"/>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2"/>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Other Comprehensive (Loss) Income, Net</w:t>
            </w:r>
          </w:p>
        </w:tc>
        <w:tc>
          <w:tcPr>
            <w:tcW w:w="98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r>
      <w:tr>
        <w:trPr>
          <w:trHeight w:val="178"/>
        </w:trPr>
        <w:tc>
          <w:tcPr>
            <w:tcW w:w="5160" w:type="dxa"/>
            <w:vAlign w:val="bottom"/>
            <w:gridSpan w:val="2"/>
          </w:tcPr>
          <w:p>
            <w:pPr>
              <w:ind w:left="240"/>
              <w:spacing w:after="0"/>
              <w:rPr>
                <w:sz w:val="20"/>
                <w:szCs w:val="20"/>
                <w:color w:val="auto"/>
              </w:rPr>
            </w:pPr>
            <w:r>
              <w:rPr>
                <w:rFonts w:ascii="Arial" w:cs="Arial" w:eastAsia="Arial" w:hAnsi="Arial"/>
                <w:sz w:val="10"/>
                <w:szCs w:val="10"/>
                <w:color w:val="auto"/>
              </w:rPr>
              <w:t>Translation adjustments, net</w:t>
            </w:r>
          </w:p>
        </w:tc>
        <w:tc>
          <w:tcPr>
            <w:tcW w:w="980" w:type="dxa"/>
            <w:vAlign w:val="bottom"/>
          </w:tcPr>
          <w:p>
            <w:pPr>
              <w:spacing w:after="0"/>
              <w:rPr>
                <w:sz w:val="15"/>
                <w:szCs w:val="15"/>
                <w:color w:val="auto"/>
              </w:rPr>
            </w:pPr>
          </w:p>
        </w:tc>
        <w:tc>
          <w:tcPr>
            <w:tcW w:w="520" w:type="dxa"/>
            <w:vAlign w:val="bottom"/>
          </w:tcPr>
          <w:p>
            <w:pPr>
              <w:jc w:val="right"/>
              <w:ind w:right="31"/>
              <w:spacing w:after="0"/>
              <w:rPr>
                <w:sz w:val="20"/>
                <w:szCs w:val="20"/>
                <w:color w:val="auto"/>
              </w:rPr>
            </w:pPr>
            <w:r>
              <w:rPr>
                <w:rFonts w:ascii="Arial" w:cs="Arial" w:eastAsia="Arial" w:hAnsi="Arial"/>
                <w:sz w:val="10"/>
                <w:szCs w:val="10"/>
                <w:color w:val="auto"/>
              </w:rPr>
              <w:t>(155)</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jc w:val="right"/>
              <w:ind w:right="31"/>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ind w:right="31"/>
              <w:spacing w:after="0"/>
              <w:rPr>
                <w:sz w:val="20"/>
                <w:szCs w:val="20"/>
                <w:color w:val="auto"/>
              </w:rPr>
            </w:pPr>
            <w:r>
              <w:rPr>
                <w:rFonts w:ascii="Arial" w:cs="Arial" w:eastAsia="Arial" w:hAnsi="Arial"/>
                <w:sz w:val="10"/>
                <w:szCs w:val="10"/>
                <w:color w:val="auto"/>
              </w:rPr>
              <w:t>(122)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0"/>
                <w:szCs w:val="10"/>
                <w:color w:val="auto"/>
              </w:rPr>
              <w:t>(159)</w:t>
            </w:r>
          </w:p>
        </w:tc>
      </w:tr>
      <w:tr>
        <w:trPr>
          <w:trHeight w:val="187"/>
        </w:trPr>
        <w:tc>
          <w:tcPr>
            <w:tcW w:w="516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Unrealized gains (losses), net</w:t>
            </w:r>
          </w:p>
        </w:tc>
        <w:tc>
          <w:tcPr>
            <w:tcW w:w="980" w:type="dxa"/>
            <w:vAlign w:val="bottom"/>
            <w:shd w:val="clear" w:color="auto" w:fill="E5E5E5"/>
          </w:tcPr>
          <w:p>
            <w:pPr>
              <w:spacing w:after="0"/>
              <w:rPr>
                <w:sz w:val="16"/>
                <w:szCs w:val="16"/>
                <w:color w:val="auto"/>
              </w:rPr>
            </w:pPr>
          </w:p>
        </w:tc>
        <w:tc>
          <w:tcPr>
            <w:tcW w:w="5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46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(9)</w:t>
            </w:r>
          </w:p>
        </w:tc>
        <w:tc>
          <w:tcPr>
            <w:tcW w:w="10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5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3</w:t>
            </w:r>
          </w:p>
        </w:tc>
        <w:tc>
          <w:tcPr>
            <w:tcW w:w="1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5</w:t>
            </w:r>
          </w:p>
        </w:tc>
      </w:tr>
      <w:tr>
        <w:trPr>
          <w:trHeight w:val="178"/>
        </w:trPr>
        <w:tc>
          <w:tcPr>
            <w:tcW w:w="5160" w:type="dxa"/>
            <w:vAlign w:val="bottom"/>
            <w:tcBorders>
              <w:bottom w:val="single" w:sz="8" w:color="E5E5E5"/>
            </w:tcBorders>
            <w:gridSpan w:val="2"/>
          </w:tcPr>
          <w:p>
            <w:pPr>
              <w:ind w:left="240"/>
              <w:spacing w:after="0"/>
              <w:rPr>
                <w:sz w:val="20"/>
                <w:szCs w:val="20"/>
                <w:color w:val="auto"/>
              </w:rPr>
            </w:pPr>
            <w:r>
              <w:rPr>
                <w:rFonts w:ascii="Arial" w:cs="Arial" w:eastAsia="Arial" w:hAnsi="Arial"/>
                <w:sz w:val="10"/>
                <w:szCs w:val="10"/>
                <w:color w:val="auto"/>
              </w:rPr>
              <w:t>Changes in defined benefit plans, net</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(48)</w:t>
            </w:r>
          </w:p>
        </w:tc>
        <w:tc>
          <w:tcPr>
            <w:tcW w:w="12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83</w:t>
            </w:r>
          </w:p>
        </w:tc>
        <w:tc>
          <w:tcPr>
            <w:tcW w:w="100" w:type="dxa"/>
            <w:vAlign w:val="bottom"/>
            <w:tcBorders>
              <w:bottom w:val="single" w:sz="8" w:color="E5E5E5"/>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(38)</w:t>
            </w:r>
          </w:p>
        </w:tc>
        <w:tc>
          <w:tcPr>
            <w:tcW w:w="120" w:type="dxa"/>
            <w:vAlign w:val="bottom"/>
            <w:tcBorders>
              <w:bottom w:val="single" w:sz="8" w:color="E5E5E5"/>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191</w:t>
            </w:r>
          </w:p>
        </w:tc>
      </w:tr>
      <w:tr>
        <w:trPr>
          <w:trHeight w:val="167"/>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Other Comprehensive (Loss) Income, Net</w:t>
            </w:r>
          </w:p>
        </w:tc>
        <w:tc>
          <w:tcPr>
            <w:tcW w:w="980" w:type="dxa"/>
            <w:vAlign w:val="bottom"/>
            <w:shd w:val="clear" w:color="auto" w:fill="E5E5E5"/>
          </w:tcPr>
          <w:p>
            <w:pPr>
              <w:spacing w:after="0"/>
              <w:rPr>
                <w:sz w:val="14"/>
                <w:szCs w:val="14"/>
                <w:color w:val="auto"/>
              </w:rPr>
            </w:pPr>
          </w:p>
        </w:tc>
        <w:tc>
          <w:tcPr>
            <w:tcW w:w="52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(202)</w:t>
            </w:r>
          </w:p>
        </w:tc>
        <w:tc>
          <w:tcPr>
            <w:tcW w:w="12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61</w:t>
            </w:r>
          </w:p>
        </w:tc>
        <w:tc>
          <w:tcPr>
            <w:tcW w:w="100" w:type="dxa"/>
            <w:vAlign w:val="bottom"/>
            <w:shd w:val="clear" w:color="auto" w:fill="E5E5E5"/>
          </w:tcPr>
          <w:p>
            <w:pPr>
              <w:spacing w:after="0"/>
              <w:rPr>
                <w:sz w:val="14"/>
                <w:szCs w:val="14"/>
                <w:color w:val="auto"/>
              </w:rPr>
            </w:pPr>
          </w:p>
        </w:tc>
        <w:tc>
          <w:tcPr>
            <w:tcW w:w="980" w:type="dxa"/>
            <w:vAlign w:val="bottom"/>
            <w:shd w:val="clear" w:color="auto" w:fill="E5E5E5"/>
          </w:tcPr>
          <w:p>
            <w:pPr>
              <w:spacing w:after="0"/>
              <w:rPr>
                <w:sz w:val="14"/>
                <w:szCs w:val="14"/>
                <w:color w:val="auto"/>
              </w:rPr>
            </w:pPr>
          </w:p>
        </w:tc>
        <w:tc>
          <w:tcPr>
            <w:tcW w:w="50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(157)</w:t>
            </w:r>
          </w:p>
        </w:tc>
        <w:tc>
          <w:tcPr>
            <w:tcW w:w="12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37</w:t>
            </w:r>
          </w:p>
        </w:tc>
      </w:tr>
      <w:tr>
        <w:trPr>
          <w:trHeight w:val="178"/>
        </w:trPr>
        <w:tc>
          <w:tcPr>
            <w:tcW w:w="5160" w:type="dxa"/>
            <w:vAlign w:val="bottom"/>
            <w:gridSpan w:val="2"/>
          </w:tcPr>
          <w:p>
            <w:pPr>
              <w:ind w:left="240"/>
              <w:spacing w:after="0"/>
              <w:rPr>
                <w:sz w:val="20"/>
                <w:szCs w:val="20"/>
                <w:color w:val="auto"/>
              </w:rPr>
            </w:pPr>
            <w:r>
              <w:rPr>
                <w:rFonts w:ascii="Arial" w:cs="Arial" w:eastAsia="Arial" w:hAnsi="Arial"/>
                <w:sz w:val="10"/>
                <w:szCs w:val="10"/>
                <w:color w:val="auto"/>
              </w:rPr>
              <w:t>Less: Other comprehensive income, net attributable to noncontrolling interests</w:t>
            </w:r>
          </w:p>
        </w:tc>
        <w:tc>
          <w:tcPr>
            <w:tcW w:w="980" w:type="dxa"/>
            <w:vAlign w:val="bottom"/>
          </w:tcPr>
          <w:p>
            <w:pPr>
              <w:spacing w:after="0"/>
              <w:rPr>
                <w:sz w:val="15"/>
                <w:szCs w:val="15"/>
                <w:color w:val="auto"/>
              </w:rPr>
            </w:pPr>
          </w:p>
        </w:tc>
        <w:tc>
          <w:tcPr>
            <w:tcW w:w="520" w:type="dxa"/>
            <w:vAlign w:val="bottom"/>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980" w:type="dxa"/>
            <w:vAlign w:val="bottom"/>
          </w:tcPr>
          <w:p>
            <w:pPr>
              <w:spacing w:after="0"/>
              <w:rPr>
                <w:sz w:val="15"/>
                <w:szCs w:val="15"/>
                <w:color w:val="auto"/>
              </w:rPr>
            </w:pPr>
          </w:p>
        </w:tc>
        <w:tc>
          <w:tcPr>
            <w:tcW w:w="500" w:type="dxa"/>
            <w:vAlign w:val="bottom"/>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0"/>
                <w:szCs w:val="10"/>
                <w:color w:val="auto"/>
              </w:rPr>
              <w:t>—</w:t>
            </w:r>
          </w:p>
        </w:tc>
      </w:tr>
      <w:tr>
        <w:trPr>
          <w:trHeight w:val="162"/>
        </w:trPr>
        <w:tc>
          <w:tcPr>
            <w:tcW w:w="5160" w:type="dxa"/>
            <w:vAlign w:val="bottom"/>
            <w:tcBorders>
              <w:top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Other Comprehensive (Loss) Income, Net Attributable to Xerox Holdings</w:t>
            </w:r>
          </w:p>
        </w:tc>
        <w:tc>
          <w:tcPr>
            <w:tcW w:w="980" w:type="dxa"/>
            <w:vAlign w:val="bottom"/>
            <w:tcBorders>
              <w:top w:val="single" w:sz="8" w:color="auto"/>
              <w:bottom w:val="single" w:sz="8" w:color="auto"/>
            </w:tcBorders>
            <w:shd w:val="clear" w:color="auto" w:fill="E5E5E5"/>
          </w:tcPr>
          <w:p>
            <w:pPr>
              <w:spacing w:after="0"/>
              <w:rPr>
                <w:sz w:val="14"/>
                <w:szCs w:val="14"/>
                <w:color w:val="auto"/>
              </w:rPr>
            </w:pPr>
          </w:p>
        </w:tc>
        <w:tc>
          <w:tcPr>
            <w:tcW w:w="520" w:type="dxa"/>
            <w:vAlign w:val="bottom"/>
            <w:tcBorders>
              <w:top w:val="single" w:sz="8" w:color="auto"/>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(203)</w:t>
            </w:r>
          </w:p>
        </w:tc>
        <w:tc>
          <w:tcPr>
            <w:tcW w:w="120" w:type="dxa"/>
            <w:vAlign w:val="bottom"/>
            <w:tcBorders>
              <w:top w:val="single" w:sz="8" w:color="E5E5E5"/>
            </w:tcBorders>
            <w:shd w:val="clear" w:color="auto" w:fill="E5E5E5"/>
          </w:tcPr>
          <w:p>
            <w:pPr>
              <w:spacing w:after="0"/>
              <w:rPr>
                <w:sz w:val="14"/>
                <w:szCs w:val="14"/>
                <w:color w:val="auto"/>
              </w:rPr>
            </w:pPr>
          </w:p>
        </w:tc>
        <w:tc>
          <w:tcPr>
            <w:tcW w:w="1040" w:type="dxa"/>
            <w:vAlign w:val="bottom"/>
            <w:tcBorders>
              <w:top w:val="single" w:sz="8" w:color="auto"/>
              <w:bottom w:val="single" w:sz="8" w:color="auto"/>
            </w:tcBorders>
            <w:shd w:val="clear" w:color="auto" w:fill="E5E5E5"/>
          </w:tcPr>
          <w:p>
            <w:pPr>
              <w:spacing w:after="0"/>
              <w:rPr>
                <w:sz w:val="14"/>
                <w:szCs w:val="14"/>
                <w:color w:val="auto"/>
              </w:rPr>
            </w:pPr>
          </w:p>
        </w:tc>
        <w:tc>
          <w:tcPr>
            <w:tcW w:w="460" w:type="dxa"/>
            <w:vAlign w:val="bottom"/>
            <w:tcBorders>
              <w:top w:val="single" w:sz="8" w:color="auto"/>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61</w:t>
            </w:r>
          </w:p>
        </w:tc>
        <w:tc>
          <w:tcPr>
            <w:tcW w:w="100" w:type="dxa"/>
            <w:vAlign w:val="bottom"/>
            <w:tcBorders>
              <w:top w:val="single" w:sz="8" w:color="E5E5E5"/>
            </w:tcBorders>
            <w:shd w:val="clear" w:color="auto" w:fill="E5E5E5"/>
          </w:tcPr>
          <w:p>
            <w:pPr>
              <w:spacing w:after="0"/>
              <w:rPr>
                <w:sz w:val="14"/>
                <w:szCs w:val="14"/>
                <w:color w:val="auto"/>
              </w:rPr>
            </w:pPr>
          </w:p>
        </w:tc>
        <w:tc>
          <w:tcPr>
            <w:tcW w:w="980" w:type="dxa"/>
            <w:vAlign w:val="bottom"/>
            <w:tcBorders>
              <w:top w:val="single" w:sz="8" w:color="auto"/>
              <w:bottom w:val="single" w:sz="8" w:color="auto"/>
            </w:tcBorders>
            <w:shd w:val="clear" w:color="auto" w:fill="E5E5E5"/>
          </w:tcPr>
          <w:p>
            <w:pPr>
              <w:spacing w:after="0"/>
              <w:rPr>
                <w:sz w:val="14"/>
                <w:szCs w:val="14"/>
                <w:color w:val="auto"/>
              </w:rPr>
            </w:pPr>
          </w:p>
        </w:tc>
        <w:tc>
          <w:tcPr>
            <w:tcW w:w="500" w:type="dxa"/>
            <w:vAlign w:val="bottom"/>
            <w:tcBorders>
              <w:top w:val="single" w:sz="8" w:color="auto"/>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(158)</w:t>
            </w:r>
          </w:p>
        </w:tc>
        <w:tc>
          <w:tcPr>
            <w:tcW w:w="120" w:type="dxa"/>
            <w:vAlign w:val="bottom"/>
            <w:tcBorders>
              <w:top w:val="single" w:sz="8" w:color="E5E5E5"/>
            </w:tcBorders>
            <w:shd w:val="clear" w:color="auto" w:fill="E5E5E5"/>
          </w:tcPr>
          <w:p>
            <w:pPr>
              <w:spacing w:after="0"/>
              <w:rPr>
                <w:sz w:val="14"/>
                <w:szCs w:val="14"/>
                <w:color w:val="auto"/>
              </w:rPr>
            </w:pPr>
          </w:p>
        </w:tc>
        <w:tc>
          <w:tcPr>
            <w:tcW w:w="480" w:type="dxa"/>
            <w:vAlign w:val="bottom"/>
            <w:tcBorders>
              <w:top w:val="single" w:sz="8" w:color="auto"/>
              <w:bottom w:val="single" w:sz="8" w:color="auto"/>
            </w:tcBorders>
            <w:shd w:val="clear" w:color="auto" w:fill="E5E5E5"/>
          </w:tcPr>
          <w:p>
            <w:pPr>
              <w:spacing w:after="0"/>
              <w:rPr>
                <w:sz w:val="14"/>
                <w:szCs w:val="14"/>
                <w:color w:val="auto"/>
              </w:rPr>
            </w:pPr>
          </w:p>
        </w:tc>
        <w:tc>
          <w:tcPr>
            <w:tcW w:w="980" w:type="dxa"/>
            <w:vAlign w:val="bottom"/>
            <w:tcBorders>
              <w:top w:val="single" w:sz="8" w:color="auto"/>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37</w:t>
            </w:r>
          </w:p>
        </w:tc>
      </w:tr>
      <w:tr>
        <w:trPr>
          <w:trHeight w:val="158"/>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2"/>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Comprehensive Income, Net</w:t>
            </w:r>
          </w:p>
        </w:tc>
        <w:tc>
          <w:tcPr>
            <w:tcW w:w="980" w:type="dxa"/>
            <w:vAlign w:val="bottom"/>
            <w:shd w:val="clear" w:color="auto" w:fill="E5E5E5"/>
          </w:tcPr>
          <w:p>
            <w:pPr>
              <w:spacing w:after="0"/>
              <w:rPr>
                <w:sz w:val="15"/>
                <w:szCs w:val="15"/>
                <w:color w:val="auto"/>
              </w:rPr>
            </w:pPr>
          </w:p>
        </w:tc>
        <w:tc>
          <w:tcPr>
            <w:tcW w:w="5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20</w:t>
            </w:r>
          </w:p>
        </w:tc>
        <w:tc>
          <w:tcPr>
            <w:tcW w:w="12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154</w:t>
            </w:r>
          </w:p>
        </w:tc>
        <w:tc>
          <w:tcPr>
            <w:tcW w:w="10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5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385</w:t>
            </w:r>
          </w:p>
        </w:tc>
        <w:tc>
          <w:tcPr>
            <w:tcW w:w="12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270</w:t>
            </w:r>
          </w:p>
        </w:tc>
      </w:tr>
      <w:tr>
        <w:trPr>
          <w:trHeight w:val="178"/>
        </w:trPr>
        <w:tc>
          <w:tcPr>
            <w:tcW w:w="5160" w:type="dxa"/>
            <w:vAlign w:val="bottom"/>
            <w:tcBorders>
              <w:bottom w:val="single" w:sz="8" w:color="E5E5E5"/>
            </w:tcBorders>
            <w:gridSpan w:val="2"/>
          </w:tcPr>
          <w:p>
            <w:pPr>
              <w:ind w:left="240"/>
              <w:spacing w:after="0"/>
              <w:rPr>
                <w:sz w:val="20"/>
                <w:szCs w:val="20"/>
                <w:color w:val="auto"/>
              </w:rPr>
            </w:pPr>
            <w:r>
              <w:rPr>
                <w:rFonts w:ascii="Arial" w:cs="Arial" w:eastAsia="Arial" w:hAnsi="Arial"/>
                <w:sz w:val="10"/>
                <w:szCs w:val="10"/>
                <w:color w:val="auto"/>
              </w:rPr>
              <w:t>Less: Comprehensive income, net attributable to noncontrolling interests</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E5E5E5"/>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8</w:t>
            </w:r>
          </w:p>
        </w:tc>
        <w:tc>
          <w:tcPr>
            <w:tcW w:w="120" w:type="dxa"/>
            <w:vAlign w:val="bottom"/>
            <w:tcBorders>
              <w:bottom w:val="single" w:sz="8" w:color="E5E5E5"/>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9</w:t>
            </w:r>
          </w:p>
        </w:tc>
      </w:tr>
      <w:tr>
        <w:trPr>
          <w:trHeight w:val="165"/>
        </w:trPr>
        <w:tc>
          <w:tcPr>
            <w:tcW w:w="51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Comprehensive Income, Net Attributable to Xerox Holdings</w:t>
            </w:r>
          </w:p>
        </w:tc>
        <w:tc>
          <w:tcPr>
            <w:tcW w:w="980" w:type="dxa"/>
            <w:vAlign w:val="bottom"/>
            <w:tcBorders>
              <w:bottom w:val="single" w:sz="8" w:color="auto"/>
            </w:tcBorders>
            <w:shd w:val="clear" w:color="auto" w:fill="E5E5E5"/>
          </w:tcPr>
          <w:p>
            <w:pPr>
              <w:jc w:val="right"/>
              <w:ind w:right="87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18</w:t>
            </w:r>
          </w:p>
        </w:tc>
        <w:tc>
          <w:tcPr>
            <w:tcW w:w="120" w:type="dxa"/>
            <w:vAlign w:val="bottom"/>
            <w:tcBorders>
              <w:bottom w:val="single" w:sz="8" w:color="E5E5E5"/>
            </w:tcBorders>
            <w:shd w:val="clear" w:color="auto" w:fill="E5E5E5"/>
          </w:tcPr>
          <w:p>
            <w:pPr>
              <w:spacing w:after="0"/>
              <w:rPr>
                <w:sz w:val="14"/>
                <w:szCs w:val="14"/>
                <w:color w:val="auto"/>
              </w:rPr>
            </w:pPr>
          </w:p>
        </w:tc>
        <w:tc>
          <w:tcPr>
            <w:tcW w:w="1040" w:type="dxa"/>
            <w:vAlign w:val="bottom"/>
            <w:tcBorders>
              <w:bottom w:val="single" w:sz="8" w:color="auto"/>
            </w:tcBorders>
            <w:shd w:val="clear" w:color="auto" w:fill="E5E5E5"/>
          </w:tcPr>
          <w:p>
            <w:pPr>
              <w:jc w:val="right"/>
              <w:ind w:right="911"/>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150</w:t>
            </w:r>
          </w:p>
        </w:tc>
        <w:tc>
          <w:tcPr>
            <w:tcW w:w="100" w:type="dxa"/>
            <w:vAlign w:val="bottom"/>
            <w:tcBorders>
              <w:bottom w:val="single" w:sz="8" w:color="E5E5E5"/>
            </w:tcBorders>
            <w:shd w:val="clear" w:color="auto" w:fill="E5E5E5"/>
          </w:tcPr>
          <w:p>
            <w:pPr>
              <w:spacing w:after="0"/>
              <w:rPr>
                <w:sz w:val="14"/>
                <w:szCs w:val="14"/>
                <w:color w:val="auto"/>
              </w:rPr>
            </w:pPr>
          </w:p>
        </w:tc>
        <w:tc>
          <w:tcPr>
            <w:tcW w:w="980" w:type="dxa"/>
            <w:vAlign w:val="bottom"/>
            <w:tcBorders>
              <w:bottom w:val="single" w:sz="8" w:color="auto"/>
            </w:tcBorders>
            <w:shd w:val="clear" w:color="auto" w:fill="E5E5E5"/>
          </w:tcPr>
          <w:p>
            <w:pPr>
              <w:jc w:val="right"/>
              <w:ind w:right="851"/>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377</w:t>
            </w:r>
          </w:p>
        </w:tc>
        <w:tc>
          <w:tcPr>
            <w:tcW w:w="120" w:type="dxa"/>
            <w:vAlign w:val="bottom"/>
            <w:tcBorders>
              <w:bottom w:val="single" w:sz="8" w:color="E5E5E5"/>
            </w:tcBorders>
            <w:shd w:val="clear" w:color="auto" w:fill="E5E5E5"/>
          </w:tcPr>
          <w:p>
            <w:pPr>
              <w:spacing w:after="0"/>
              <w:rPr>
                <w:sz w:val="14"/>
                <w:szCs w:val="14"/>
                <w:color w:val="auto"/>
              </w:rPr>
            </w:pPr>
          </w:p>
        </w:tc>
        <w:tc>
          <w:tcPr>
            <w:tcW w:w="480" w:type="dxa"/>
            <w:vAlign w:val="bottom"/>
            <w:tcBorders>
              <w:bottom w:val="single" w:sz="8" w:color="auto"/>
            </w:tcBorders>
            <w:shd w:val="clear" w:color="auto" w:fill="E5E5E5"/>
          </w:tcPr>
          <w:p>
            <w:pPr>
              <w:jc w:val="right"/>
              <w:ind w:right="37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261</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40"/>
          </w:cols>
          <w:pgMar w:left="220" w:top="481" w:right="23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DA2031"/>
        </w:rPr>
        <w:t>XEROX HOLDINGS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DA2031"/>
        </w:rPr>
        <w:t>CONDENSED CONSOLIDATED BALANCE SHEETS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 except share data in thousands)</w:t>
            </w:r>
          </w:p>
        </w:tc>
        <w:tc>
          <w:tcPr>
            <w:tcW w:w="120" w:type="dxa"/>
            <w:vAlign w:val="bottom"/>
            <w:tcBorders>
              <w:bottom w:val="single" w:sz="8" w:color="E5E5E5"/>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rPr>
              <w:t>September 30, 2019</w:t>
            </w:r>
          </w:p>
        </w:tc>
        <w:tc>
          <w:tcPr>
            <w:tcW w:w="100" w:type="dxa"/>
            <w:vAlign w:val="bottom"/>
            <w:tcBorders>
              <w:bottom w:val="single" w:sz="8" w:color="E5E5E5"/>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December 31, 2018</w:t>
            </w:r>
          </w:p>
        </w:tc>
      </w:tr>
      <w:tr>
        <w:trPr>
          <w:trHeight w:val="156"/>
        </w:trPr>
        <w:tc>
          <w:tcPr>
            <w:tcW w:w="79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Assets</w:t>
            </w:r>
          </w:p>
        </w:tc>
        <w:tc>
          <w:tcPr>
            <w:tcW w:w="260" w:type="dxa"/>
            <w:vAlign w:val="bottom"/>
            <w:tcBorders>
              <w:bottom w:val="single" w:sz="8" w:color="E5E5E5"/>
            </w:tcBorders>
            <w:shd w:val="clear" w:color="auto" w:fill="E5E5E5"/>
          </w:tcPr>
          <w:p>
            <w:pPr>
              <w:spacing w:after="0"/>
              <w:rPr>
                <w:sz w:val="13"/>
                <w:szCs w:val="13"/>
                <w:color w:val="auto"/>
              </w:rPr>
            </w:pPr>
          </w:p>
        </w:tc>
        <w:tc>
          <w:tcPr>
            <w:tcW w:w="1480" w:type="dxa"/>
            <w:vAlign w:val="bottom"/>
            <w:tcBorders>
              <w:bottom w:val="single" w:sz="8" w:color="E5E5E5"/>
            </w:tcBorders>
            <w:shd w:val="clear" w:color="auto" w:fill="E5E5E5"/>
          </w:tcPr>
          <w:p>
            <w:pPr>
              <w:spacing w:after="0"/>
              <w:rPr>
                <w:sz w:val="13"/>
                <w:szCs w:val="13"/>
                <w:color w:val="auto"/>
              </w:rPr>
            </w:pPr>
          </w:p>
        </w:tc>
        <w:tc>
          <w:tcPr>
            <w:tcW w:w="100" w:type="dxa"/>
            <w:vAlign w:val="bottom"/>
            <w:tcBorders>
              <w:bottom w:val="single" w:sz="8" w:color="E5E5E5"/>
            </w:tcBorders>
            <w:shd w:val="clear" w:color="auto" w:fill="E5E5E5"/>
          </w:tcPr>
          <w:p>
            <w:pPr>
              <w:spacing w:after="0"/>
              <w:rPr>
                <w:sz w:val="13"/>
                <w:szCs w:val="13"/>
                <w:color w:val="auto"/>
              </w:rPr>
            </w:pPr>
          </w:p>
        </w:tc>
        <w:tc>
          <w:tcPr>
            <w:tcW w:w="260" w:type="dxa"/>
            <w:vAlign w:val="bottom"/>
            <w:tcBorders>
              <w:bottom w:val="single" w:sz="8" w:color="E5E5E5"/>
            </w:tcBorders>
            <w:shd w:val="clear" w:color="auto" w:fill="E5E5E5"/>
          </w:tcPr>
          <w:p>
            <w:pPr>
              <w:spacing w:after="0"/>
              <w:rPr>
                <w:sz w:val="13"/>
                <w:szCs w:val="13"/>
                <w:color w:val="auto"/>
              </w:rPr>
            </w:pPr>
          </w:p>
        </w:tc>
        <w:tc>
          <w:tcPr>
            <w:tcW w:w="1460" w:type="dxa"/>
            <w:vAlign w:val="bottom"/>
            <w:tcBorders>
              <w:bottom w:val="single" w:sz="8" w:color="E5E5E5"/>
            </w:tcBorders>
            <w:shd w:val="clear" w:color="auto" w:fill="E5E5E5"/>
          </w:tcPr>
          <w:p>
            <w:pPr>
              <w:spacing w:after="0"/>
              <w:rPr>
                <w:sz w:val="13"/>
                <w:szCs w:val="13"/>
                <w:color w:val="auto"/>
              </w:rPr>
            </w:pP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Cash and cash equivalents</w:t>
            </w:r>
          </w:p>
        </w:tc>
        <w:tc>
          <w:tcPr>
            <w:tcW w:w="2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922</w:t>
            </w:r>
          </w:p>
        </w:tc>
        <w:tc>
          <w:tcPr>
            <w:tcW w:w="100" w:type="dxa"/>
            <w:vAlign w:val="bottom"/>
          </w:tcPr>
          <w:p>
            <w:pPr>
              <w:spacing w:after="0"/>
              <w:rPr>
                <w:sz w:val="15"/>
                <w:szCs w:val="15"/>
                <w:color w:val="auto"/>
              </w:rPr>
            </w:pPr>
          </w:p>
        </w:tc>
        <w:tc>
          <w:tcPr>
            <w:tcW w:w="2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1,084</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Accounts receivable, net</w:t>
            </w:r>
          </w:p>
        </w:tc>
        <w:tc>
          <w:tcPr>
            <w:tcW w:w="2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1,188</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1,276</w:t>
            </w: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Billed portion of finance receivables, net</w:t>
            </w:r>
          </w:p>
        </w:tc>
        <w:tc>
          <w:tcPr>
            <w:tcW w:w="2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106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105</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Finance receivables, net</w:t>
            </w:r>
          </w:p>
        </w:tc>
        <w:tc>
          <w:tcPr>
            <w:tcW w:w="2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1,145</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1,218</w:t>
            </w: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Inventories</w:t>
            </w:r>
          </w:p>
        </w:tc>
        <w:tc>
          <w:tcPr>
            <w:tcW w:w="2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758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818</w:t>
            </w:r>
          </w:p>
        </w:tc>
      </w:tr>
      <w:tr>
        <w:trPr>
          <w:trHeight w:val="182"/>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Other current assets</w:t>
            </w:r>
          </w:p>
        </w:tc>
        <w:tc>
          <w:tcPr>
            <w:tcW w:w="260" w:type="dxa"/>
            <w:vAlign w:val="bottom"/>
            <w:tcBorders>
              <w:bottom w:val="single" w:sz="8" w:color="auto"/>
            </w:tcBorders>
            <w:shd w:val="clear" w:color="auto" w:fill="E5E5E5"/>
          </w:tcPr>
          <w:p>
            <w:pPr>
              <w:spacing w:after="0"/>
              <w:rPr>
                <w:sz w:val="15"/>
                <w:szCs w:val="15"/>
                <w:color w:val="auto"/>
              </w:rPr>
            </w:pPr>
          </w:p>
        </w:tc>
        <w:tc>
          <w:tcPr>
            <w:tcW w:w="148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221</w:t>
            </w:r>
          </w:p>
        </w:tc>
        <w:tc>
          <w:tcPr>
            <w:tcW w:w="100" w:type="dxa"/>
            <w:vAlign w:val="bottom"/>
            <w:shd w:val="clear" w:color="auto" w:fill="E5E5E5"/>
          </w:tcPr>
          <w:p>
            <w:pPr>
              <w:spacing w:after="0"/>
              <w:rPr>
                <w:sz w:val="15"/>
                <w:szCs w:val="15"/>
                <w:color w:val="auto"/>
              </w:rPr>
            </w:pPr>
          </w:p>
        </w:tc>
        <w:tc>
          <w:tcPr>
            <w:tcW w:w="260" w:type="dxa"/>
            <w:vAlign w:val="bottom"/>
            <w:tcBorders>
              <w:bottom w:val="single" w:sz="8" w:color="auto"/>
            </w:tcBorders>
            <w:shd w:val="clear" w:color="auto" w:fill="E5E5E5"/>
          </w:tcPr>
          <w:p>
            <w:pPr>
              <w:spacing w:after="0"/>
              <w:rPr>
                <w:sz w:val="15"/>
                <w:szCs w:val="15"/>
                <w:color w:val="auto"/>
              </w:rPr>
            </w:pPr>
          </w:p>
        </w:tc>
        <w:tc>
          <w:tcPr>
            <w:tcW w:w="14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194</w:t>
            </w:r>
          </w:p>
        </w:tc>
      </w:tr>
      <w:tr>
        <w:trPr>
          <w:trHeight w:val="162"/>
        </w:trPr>
        <w:tc>
          <w:tcPr>
            <w:tcW w:w="7920" w:type="dxa"/>
            <w:vAlign w:val="bottom"/>
            <w:gridSpan w:val="2"/>
          </w:tcPr>
          <w:p>
            <w:pPr>
              <w:ind w:left="240"/>
              <w:spacing w:after="0"/>
              <w:rPr>
                <w:sz w:val="20"/>
                <w:szCs w:val="20"/>
                <w:color w:val="auto"/>
              </w:rPr>
            </w:pPr>
            <w:r>
              <w:rPr>
                <w:rFonts w:ascii="Arial" w:cs="Arial" w:eastAsia="Arial" w:hAnsi="Arial"/>
                <w:sz w:val="10"/>
                <w:szCs w:val="10"/>
                <w:color w:val="auto"/>
              </w:rPr>
              <w:t>Total current assets</w:t>
            </w:r>
          </w:p>
        </w:tc>
        <w:tc>
          <w:tcPr>
            <w:tcW w:w="260" w:type="dxa"/>
            <w:vAlign w:val="bottom"/>
          </w:tcPr>
          <w:p>
            <w:pPr>
              <w:spacing w:after="0"/>
              <w:rPr>
                <w:sz w:val="14"/>
                <w:szCs w:val="14"/>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4,340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4,695</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Finance receivables due after one year, net</w:t>
            </w:r>
          </w:p>
        </w:tc>
        <w:tc>
          <w:tcPr>
            <w:tcW w:w="2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2,037</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2,149</w:t>
            </w: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Equipment on operating leases, net</w:t>
            </w:r>
          </w:p>
        </w:tc>
        <w:tc>
          <w:tcPr>
            <w:tcW w:w="2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374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442</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Land, buildings and equipment, net</w:t>
            </w:r>
          </w:p>
        </w:tc>
        <w:tc>
          <w:tcPr>
            <w:tcW w:w="2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442</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499</w:t>
            </w: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Investments in affiliates, at equity</w:t>
            </w:r>
          </w:p>
        </w:tc>
        <w:tc>
          <w:tcPr>
            <w:tcW w:w="2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1,517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1,403</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Intangible assets, net</w:t>
            </w:r>
          </w:p>
        </w:tc>
        <w:tc>
          <w:tcPr>
            <w:tcW w:w="2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203</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220</w:t>
            </w: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Goodwill</w:t>
            </w:r>
          </w:p>
        </w:tc>
        <w:tc>
          <w:tcPr>
            <w:tcW w:w="2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3,853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3,867</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Deferred tax assets</w:t>
            </w:r>
          </w:p>
        </w:tc>
        <w:tc>
          <w:tcPr>
            <w:tcW w:w="2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688</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740</w:t>
            </w:r>
          </w:p>
        </w:tc>
      </w:tr>
      <w:tr>
        <w:trPr>
          <w:trHeight w:val="178"/>
        </w:trPr>
        <w:tc>
          <w:tcPr>
            <w:tcW w:w="79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Other long-term assets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1,206</w:t>
            </w:r>
          </w:p>
        </w:tc>
        <w:tc>
          <w:tcPr>
            <w:tcW w:w="10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859</w:t>
            </w:r>
          </w:p>
        </w:tc>
      </w:tr>
      <w:tr>
        <w:trPr>
          <w:trHeight w:val="178"/>
        </w:trPr>
        <w:tc>
          <w:tcPr>
            <w:tcW w:w="7920" w:type="dxa"/>
            <w:vAlign w:val="bottom"/>
            <w:tcBorders>
              <w:bottom w:val="single" w:sz="8" w:color="E5E5E5"/>
            </w:tcBorders>
            <w:gridSpan w:val="2"/>
            <w:shd w:val="clear" w:color="auto" w:fill="E5E5E5"/>
          </w:tcPr>
          <w:p>
            <w:pPr>
              <w:ind w:left="240"/>
              <w:spacing w:after="0"/>
              <w:rPr>
                <w:sz w:val="20"/>
                <w:szCs w:val="20"/>
                <w:color w:val="auto"/>
              </w:rPr>
            </w:pPr>
            <w:r>
              <w:rPr>
                <w:rFonts w:ascii="Arial" w:cs="Arial" w:eastAsia="Arial" w:hAnsi="Arial"/>
                <w:sz w:val="10"/>
                <w:szCs w:val="10"/>
                <w:b w:val="1"/>
                <w:bCs w:val="1"/>
                <w:color w:val="auto"/>
              </w:rPr>
              <w:t>Total Assets</w:t>
            </w:r>
          </w:p>
        </w:tc>
        <w:tc>
          <w:tcPr>
            <w:tcW w:w="260" w:type="dxa"/>
            <w:vAlign w:val="bottom"/>
            <w:tcBorders>
              <w:bottom w:val="single" w:sz="8" w:color="auto"/>
            </w:tcBorders>
            <w:shd w:val="clear" w:color="auto" w:fill="E5E5E5"/>
          </w:tcPr>
          <w:p>
            <w:pPr>
              <w:jc w:val="right"/>
              <w:ind w:right="131"/>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14,660</w:t>
            </w:r>
          </w:p>
        </w:tc>
        <w:tc>
          <w:tcPr>
            <w:tcW w:w="100" w:type="dxa"/>
            <w:vAlign w:val="bottom"/>
            <w:tcBorders>
              <w:bottom w:val="single" w:sz="8" w:color="E5E5E5"/>
            </w:tcBorders>
            <w:shd w:val="clear" w:color="auto" w:fill="E5E5E5"/>
          </w:tcPr>
          <w:p>
            <w:pPr>
              <w:spacing w:after="0"/>
              <w:rPr>
                <w:sz w:val="15"/>
                <w:szCs w:val="15"/>
                <w:color w:val="auto"/>
              </w:rPr>
            </w:pPr>
          </w:p>
        </w:tc>
        <w:tc>
          <w:tcPr>
            <w:tcW w:w="260" w:type="dxa"/>
            <w:vAlign w:val="bottom"/>
            <w:tcBorders>
              <w:bottom w:val="single" w:sz="8" w:color="auto"/>
            </w:tcBorders>
            <w:shd w:val="clear" w:color="auto" w:fill="E5E5E5"/>
          </w:tcPr>
          <w:p>
            <w:pPr>
              <w:jc w:val="right"/>
              <w:ind w:right="131"/>
              <w:spacing w:after="0"/>
              <w:rPr>
                <w:sz w:val="20"/>
                <w:szCs w:val="20"/>
                <w:color w:val="auto"/>
              </w:rPr>
            </w:pPr>
            <w:r>
              <w:rPr>
                <w:rFonts w:ascii="Arial" w:cs="Arial" w:eastAsia="Arial" w:hAnsi="Arial"/>
                <w:sz w:val="10"/>
                <w:szCs w:val="10"/>
                <w:color w:val="auto"/>
              </w:rPr>
              <w:t>$</w:t>
            </w:r>
          </w:p>
        </w:tc>
        <w:tc>
          <w:tcPr>
            <w:tcW w:w="14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14,874</w:t>
            </w:r>
          </w:p>
        </w:tc>
      </w:tr>
      <w:tr>
        <w:trPr>
          <w:trHeight w:val="166"/>
        </w:trPr>
        <w:tc>
          <w:tcPr>
            <w:tcW w:w="7920" w:type="dxa"/>
            <w:vAlign w:val="bottom"/>
            <w:gridSpan w:val="2"/>
          </w:tcPr>
          <w:p>
            <w:pPr>
              <w:ind w:left="20"/>
              <w:spacing w:after="0"/>
              <w:rPr>
                <w:sz w:val="20"/>
                <w:szCs w:val="20"/>
                <w:color w:val="auto"/>
              </w:rPr>
            </w:pPr>
            <w:r>
              <w:rPr>
                <w:rFonts w:ascii="Arial" w:cs="Arial" w:eastAsia="Arial" w:hAnsi="Arial"/>
                <w:sz w:val="10"/>
                <w:szCs w:val="10"/>
                <w:b w:val="1"/>
                <w:bCs w:val="1"/>
                <w:color w:val="auto"/>
              </w:rPr>
              <w:t>Liabilities and Equity</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Short-term debt and current portion of long-term debt</w:t>
            </w:r>
          </w:p>
        </w:tc>
        <w:tc>
          <w:tcPr>
            <w:tcW w:w="260" w:type="dxa"/>
            <w:vAlign w:val="bottom"/>
            <w:shd w:val="clear" w:color="auto" w:fill="E5E5E5"/>
          </w:tcPr>
          <w:p>
            <w:pPr>
              <w:jc w:val="right"/>
              <w:ind w:right="131"/>
              <w:spacing w:after="0"/>
              <w:rPr>
                <w:sz w:val="20"/>
                <w:szCs w:val="20"/>
                <w:color w:val="auto"/>
              </w:rPr>
            </w:pPr>
            <w:r>
              <w:rPr>
                <w:rFonts w:ascii="Arial" w:cs="Arial" w:eastAsia="Arial" w:hAnsi="Arial"/>
                <w:sz w:val="10"/>
                <w:szCs w:val="10"/>
                <w:color w:val="auto"/>
              </w:rPr>
              <w:t>$</w:t>
            </w: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1,602</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131"/>
              <w:spacing w:after="0"/>
              <w:rPr>
                <w:sz w:val="20"/>
                <w:szCs w:val="20"/>
                <w:color w:val="auto"/>
              </w:rPr>
            </w:pPr>
            <w:r>
              <w:rPr>
                <w:rFonts w:ascii="Arial" w:cs="Arial" w:eastAsia="Arial" w:hAnsi="Arial"/>
                <w:sz w:val="10"/>
                <w:szCs w:val="10"/>
                <w:color w:val="auto"/>
              </w:rPr>
              <w:t>$</w:t>
            </w: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961</w:t>
            </w: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Accounts payable</w:t>
            </w:r>
          </w:p>
        </w:tc>
        <w:tc>
          <w:tcPr>
            <w:tcW w:w="2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1,070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1,091</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Accrued compensation and benefits costs</w:t>
            </w:r>
          </w:p>
        </w:tc>
        <w:tc>
          <w:tcPr>
            <w:tcW w:w="2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321</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349</w:t>
            </w:r>
          </w:p>
        </w:tc>
      </w:tr>
      <w:tr>
        <w:trPr>
          <w:trHeight w:val="178"/>
        </w:trPr>
        <w:tc>
          <w:tcPr>
            <w:tcW w:w="79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Accrued expenses and other current liabilities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930</w:t>
            </w:r>
          </w:p>
        </w:tc>
        <w:tc>
          <w:tcPr>
            <w:tcW w:w="10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850</w:t>
            </w:r>
          </w:p>
        </w:tc>
      </w:tr>
      <w:tr>
        <w:trPr>
          <w:trHeight w:val="167"/>
        </w:trPr>
        <w:tc>
          <w:tcPr>
            <w:tcW w:w="792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Total current liabilities</w:t>
            </w:r>
          </w:p>
        </w:tc>
        <w:tc>
          <w:tcPr>
            <w:tcW w:w="260" w:type="dxa"/>
            <w:vAlign w:val="bottom"/>
            <w:shd w:val="clear" w:color="auto" w:fill="E5E5E5"/>
          </w:tcPr>
          <w:p>
            <w:pPr>
              <w:spacing w:after="0"/>
              <w:rPr>
                <w:sz w:val="14"/>
                <w:szCs w:val="14"/>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3,923</w:t>
            </w:r>
          </w:p>
        </w:tc>
        <w:tc>
          <w:tcPr>
            <w:tcW w:w="1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3,251</w:t>
            </w: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Long-term debt</w:t>
            </w:r>
          </w:p>
        </w:tc>
        <w:tc>
          <w:tcPr>
            <w:tcW w:w="2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3,230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4,269</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Pension and other benefit liabilities</w:t>
            </w:r>
          </w:p>
        </w:tc>
        <w:tc>
          <w:tcPr>
            <w:tcW w:w="2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1,599</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1,482</w:t>
            </w: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Post-retirement medical benefits</w:t>
            </w:r>
          </w:p>
        </w:tc>
        <w:tc>
          <w:tcPr>
            <w:tcW w:w="2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335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350</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Other long-term liabilities</w:t>
            </w:r>
          </w:p>
        </w:tc>
        <w:tc>
          <w:tcPr>
            <w:tcW w:w="260" w:type="dxa"/>
            <w:vAlign w:val="bottom"/>
            <w:tcBorders>
              <w:bottom w:val="single" w:sz="8" w:color="auto"/>
            </w:tcBorders>
            <w:shd w:val="clear" w:color="auto" w:fill="E5E5E5"/>
          </w:tcPr>
          <w:p>
            <w:pPr>
              <w:spacing w:after="0"/>
              <w:rPr>
                <w:sz w:val="16"/>
                <w:szCs w:val="16"/>
                <w:color w:val="auto"/>
              </w:rPr>
            </w:pPr>
          </w:p>
        </w:tc>
        <w:tc>
          <w:tcPr>
            <w:tcW w:w="148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473</w:t>
            </w:r>
          </w:p>
        </w:tc>
        <w:tc>
          <w:tcPr>
            <w:tcW w:w="100" w:type="dxa"/>
            <w:vAlign w:val="bottom"/>
            <w:shd w:val="clear" w:color="auto" w:fill="E5E5E5"/>
          </w:tcPr>
          <w:p>
            <w:pPr>
              <w:spacing w:after="0"/>
              <w:rPr>
                <w:sz w:val="16"/>
                <w:szCs w:val="16"/>
                <w:color w:val="auto"/>
              </w:rPr>
            </w:pPr>
          </w:p>
        </w:tc>
        <w:tc>
          <w:tcPr>
            <w:tcW w:w="260" w:type="dxa"/>
            <w:vAlign w:val="bottom"/>
            <w:tcBorders>
              <w:bottom w:val="single" w:sz="8" w:color="auto"/>
            </w:tcBorders>
            <w:shd w:val="clear" w:color="auto" w:fill="E5E5E5"/>
          </w:tcPr>
          <w:p>
            <w:pPr>
              <w:spacing w:after="0"/>
              <w:rPr>
                <w:sz w:val="16"/>
                <w:szCs w:val="16"/>
                <w:color w:val="auto"/>
              </w:rPr>
            </w:pPr>
          </w:p>
        </w:tc>
        <w:tc>
          <w:tcPr>
            <w:tcW w:w="14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269</w:t>
            </w:r>
          </w:p>
        </w:tc>
      </w:tr>
      <w:tr>
        <w:trPr>
          <w:trHeight w:val="158"/>
        </w:trPr>
        <w:tc>
          <w:tcPr>
            <w:tcW w:w="7920" w:type="dxa"/>
            <w:vAlign w:val="bottom"/>
            <w:tcBorders>
              <w:bottom w:val="single" w:sz="8" w:color="E5E5E5"/>
            </w:tcBorders>
            <w:gridSpan w:val="2"/>
          </w:tcPr>
          <w:p>
            <w:pPr>
              <w:ind w:left="240"/>
              <w:spacing w:after="0"/>
              <w:rPr>
                <w:sz w:val="20"/>
                <w:szCs w:val="20"/>
                <w:color w:val="auto"/>
              </w:rPr>
            </w:pPr>
            <w:r>
              <w:rPr>
                <w:rFonts w:ascii="Arial" w:cs="Arial" w:eastAsia="Arial" w:hAnsi="Arial"/>
                <w:sz w:val="10"/>
                <w:szCs w:val="10"/>
                <w:b w:val="1"/>
                <w:bCs w:val="1"/>
                <w:color w:val="auto"/>
              </w:rPr>
              <w:t>Total Liabilities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9,560</w:t>
            </w:r>
          </w:p>
        </w:tc>
        <w:tc>
          <w:tcPr>
            <w:tcW w:w="100" w:type="dxa"/>
            <w:vAlign w:val="bottom"/>
            <w:tcBorders>
              <w:bottom w:val="single" w:sz="8" w:color="E5E5E5"/>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9,621</w:t>
            </w:r>
          </w:p>
        </w:tc>
      </w:tr>
      <w:tr>
        <w:trPr>
          <w:trHeight w:val="158"/>
        </w:trPr>
        <w:tc>
          <w:tcPr>
            <w:tcW w:w="78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14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1460" w:type="dxa"/>
            <w:vAlign w:val="bottom"/>
            <w:shd w:val="clear" w:color="auto" w:fill="E5E5E5"/>
          </w:tcPr>
          <w:p>
            <w:pPr>
              <w:spacing w:after="0"/>
              <w:rPr>
                <w:sz w:val="13"/>
                <w:szCs w:val="13"/>
                <w:color w:val="auto"/>
              </w:rPr>
            </w:pPr>
          </w:p>
        </w:tc>
      </w:tr>
      <w:tr>
        <w:trPr>
          <w:trHeight w:val="178"/>
        </w:trPr>
        <w:tc>
          <w:tcPr>
            <w:tcW w:w="79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Convertible Preferred Stock</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214</w:t>
            </w:r>
          </w:p>
        </w:tc>
        <w:tc>
          <w:tcPr>
            <w:tcW w:w="10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214</w:t>
            </w:r>
          </w:p>
        </w:tc>
      </w:tr>
      <w:tr>
        <w:trPr>
          <w:trHeight w:val="158"/>
        </w:trPr>
        <w:tc>
          <w:tcPr>
            <w:tcW w:w="780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14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1460" w:type="dxa"/>
            <w:vAlign w:val="bottom"/>
            <w:shd w:val="clear" w:color="auto" w:fill="E5E5E5"/>
          </w:tcPr>
          <w:p>
            <w:pPr>
              <w:spacing w:after="0"/>
              <w:rPr>
                <w:sz w:val="13"/>
                <w:szCs w:val="13"/>
                <w:color w:val="auto"/>
              </w:rPr>
            </w:pP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Common stock</w:t>
            </w:r>
          </w:p>
        </w:tc>
        <w:tc>
          <w:tcPr>
            <w:tcW w:w="2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221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232</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Additional paid-in capital</w:t>
            </w:r>
          </w:p>
        </w:tc>
        <w:tc>
          <w:tcPr>
            <w:tcW w:w="2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3,000</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3,321</w:t>
            </w: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Treasury stock, at cost</w:t>
            </w:r>
          </w:p>
        </w:tc>
        <w:tc>
          <w:tcPr>
            <w:tcW w:w="260" w:type="dxa"/>
            <w:vAlign w:val="bottom"/>
          </w:tcPr>
          <w:p>
            <w:pPr>
              <w:spacing w:after="0"/>
              <w:rPr>
                <w:sz w:val="15"/>
                <w:szCs w:val="15"/>
                <w:color w:val="auto"/>
              </w:rPr>
            </w:pPr>
          </w:p>
        </w:tc>
        <w:tc>
          <w:tcPr>
            <w:tcW w:w="1480" w:type="dxa"/>
            <w:vAlign w:val="bottom"/>
          </w:tcPr>
          <w:p>
            <w:pPr>
              <w:jc w:val="right"/>
              <w:ind w:right="31"/>
              <w:spacing w:after="0"/>
              <w:rPr>
                <w:sz w:val="20"/>
                <w:szCs w:val="20"/>
                <w:color w:val="auto"/>
              </w:rPr>
            </w:pPr>
            <w:r>
              <w:rPr>
                <w:rFonts w:ascii="Arial" w:cs="Arial" w:eastAsia="Arial" w:hAnsi="Arial"/>
                <w:sz w:val="10"/>
                <w:szCs w:val="10"/>
                <w:color w:val="auto"/>
              </w:rPr>
              <w:t>(68)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31"/>
              <w:spacing w:after="0"/>
              <w:rPr>
                <w:sz w:val="20"/>
                <w:szCs w:val="20"/>
                <w:color w:val="auto"/>
              </w:rPr>
            </w:pPr>
            <w:r>
              <w:rPr>
                <w:rFonts w:ascii="Arial" w:cs="Arial" w:eastAsia="Arial" w:hAnsi="Arial"/>
                <w:sz w:val="10"/>
                <w:szCs w:val="10"/>
                <w:color w:val="auto"/>
              </w:rPr>
              <w:t>(55)</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Retained earnings</w:t>
            </w:r>
          </w:p>
        </w:tc>
        <w:tc>
          <w:tcPr>
            <w:tcW w:w="26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5,552</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5,072</w:t>
            </w:r>
          </w:p>
        </w:tc>
      </w:tr>
      <w:tr>
        <w:trPr>
          <w:trHeight w:val="178"/>
        </w:trPr>
        <w:tc>
          <w:tcPr>
            <w:tcW w:w="79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Accumulated other comprehensive loss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(3,850)</w:t>
            </w:r>
          </w:p>
        </w:tc>
        <w:tc>
          <w:tcPr>
            <w:tcW w:w="10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(3,565)</w:t>
            </w:r>
          </w:p>
        </w:tc>
      </w:tr>
      <w:tr>
        <w:trPr>
          <w:trHeight w:val="167"/>
        </w:trPr>
        <w:tc>
          <w:tcPr>
            <w:tcW w:w="792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Xerox Holdings shareholders’ equity</w:t>
            </w:r>
          </w:p>
        </w:tc>
        <w:tc>
          <w:tcPr>
            <w:tcW w:w="260" w:type="dxa"/>
            <w:vAlign w:val="bottom"/>
            <w:shd w:val="clear" w:color="auto" w:fill="E5E5E5"/>
          </w:tcPr>
          <w:p>
            <w:pPr>
              <w:spacing w:after="0"/>
              <w:rPr>
                <w:sz w:val="14"/>
                <w:szCs w:val="14"/>
                <w:color w:val="auto"/>
              </w:rPr>
            </w:pPr>
          </w:p>
        </w:tc>
        <w:tc>
          <w:tcPr>
            <w:tcW w:w="14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4,855</w:t>
            </w:r>
          </w:p>
        </w:tc>
        <w:tc>
          <w:tcPr>
            <w:tcW w:w="1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4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5,005</w:t>
            </w:r>
          </w:p>
        </w:tc>
      </w:tr>
      <w:tr>
        <w:trPr>
          <w:trHeight w:val="178"/>
        </w:trPr>
        <w:tc>
          <w:tcPr>
            <w:tcW w:w="79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Noncontrolling interests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31</w:t>
            </w:r>
          </w:p>
        </w:tc>
        <w:tc>
          <w:tcPr>
            <w:tcW w:w="10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34</w:t>
            </w:r>
          </w:p>
        </w:tc>
      </w:tr>
      <w:tr>
        <w:trPr>
          <w:trHeight w:val="167"/>
        </w:trPr>
        <w:tc>
          <w:tcPr>
            <w:tcW w:w="7920" w:type="dxa"/>
            <w:vAlign w:val="bottom"/>
            <w:gridSpan w:val="2"/>
            <w:shd w:val="clear" w:color="auto" w:fill="E5E5E5"/>
          </w:tcPr>
          <w:p>
            <w:pPr>
              <w:ind w:left="240"/>
              <w:spacing w:after="0"/>
              <w:rPr>
                <w:sz w:val="20"/>
                <w:szCs w:val="20"/>
                <w:color w:val="auto"/>
              </w:rPr>
            </w:pPr>
            <w:r>
              <w:rPr>
                <w:rFonts w:ascii="Arial" w:cs="Arial" w:eastAsia="Arial" w:hAnsi="Arial"/>
                <w:sz w:val="10"/>
                <w:szCs w:val="10"/>
                <w:b w:val="1"/>
                <w:bCs w:val="1"/>
                <w:color w:val="auto"/>
              </w:rPr>
              <w:t>Total Equity</w:t>
            </w:r>
          </w:p>
        </w:tc>
        <w:tc>
          <w:tcPr>
            <w:tcW w:w="260" w:type="dxa"/>
            <w:vAlign w:val="bottom"/>
            <w:tcBorders>
              <w:bottom w:val="single" w:sz="8" w:color="auto"/>
            </w:tcBorders>
            <w:shd w:val="clear" w:color="auto" w:fill="E5E5E5"/>
          </w:tcPr>
          <w:p>
            <w:pPr>
              <w:spacing w:after="0"/>
              <w:rPr>
                <w:sz w:val="14"/>
                <w:szCs w:val="14"/>
                <w:color w:val="auto"/>
              </w:rPr>
            </w:pPr>
          </w:p>
        </w:tc>
        <w:tc>
          <w:tcPr>
            <w:tcW w:w="148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4,886</w:t>
            </w:r>
          </w:p>
        </w:tc>
        <w:tc>
          <w:tcPr>
            <w:tcW w:w="100" w:type="dxa"/>
            <w:vAlign w:val="bottom"/>
            <w:shd w:val="clear" w:color="auto" w:fill="E5E5E5"/>
          </w:tcPr>
          <w:p>
            <w:pPr>
              <w:spacing w:after="0"/>
              <w:rPr>
                <w:sz w:val="14"/>
                <w:szCs w:val="14"/>
                <w:color w:val="auto"/>
              </w:rPr>
            </w:pPr>
          </w:p>
        </w:tc>
        <w:tc>
          <w:tcPr>
            <w:tcW w:w="260" w:type="dxa"/>
            <w:vAlign w:val="bottom"/>
            <w:tcBorders>
              <w:bottom w:val="single" w:sz="8" w:color="auto"/>
            </w:tcBorders>
            <w:shd w:val="clear" w:color="auto" w:fill="E5E5E5"/>
          </w:tcPr>
          <w:p>
            <w:pPr>
              <w:spacing w:after="0"/>
              <w:rPr>
                <w:sz w:val="14"/>
                <w:szCs w:val="14"/>
                <w:color w:val="auto"/>
              </w:rPr>
            </w:pPr>
          </w:p>
        </w:tc>
        <w:tc>
          <w:tcPr>
            <w:tcW w:w="14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5,039</w:t>
            </w:r>
          </w:p>
        </w:tc>
      </w:tr>
      <w:tr>
        <w:trPr>
          <w:trHeight w:val="161"/>
        </w:trPr>
        <w:tc>
          <w:tcPr>
            <w:tcW w:w="7920" w:type="dxa"/>
            <w:vAlign w:val="bottom"/>
            <w:tcBorders>
              <w:bottom w:val="single" w:sz="8" w:color="E5E5E5"/>
            </w:tcBorders>
            <w:gridSpan w:val="2"/>
          </w:tcPr>
          <w:p>
            <w:pPr>
              <w:ind w:left="240"/>
              <w:spacing w:after="0"/>
              <w:rPr>
                <w:sz w:val="20"/>
                <w:szCs w:val="20"/>
                <w:color w:val="auto"/>
              </w:rPr>
            </w:pPr>
            <w:r>
              <w:rPr>
                <w:rFonts w:ascii="Arial" w:cs="Arial" w:eastAsia="Arial" w:hAnsi="Arial"/>
                <w:sz w:val="10"/>
                <w:szCs w:val="10"/>
                <w:b w:val="1"/>
                <w:bCs w:val="1"/>
                <w:color w:val="auto"/>
              </w:rPr>
              <w:t>Total Liabilities and Equity</w:t>
            </w:r>
          </w:p>
        </w:tc>
        <w:tc>
          <w:tcPr>
            <w:tcW w:w="2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14,660</w:t>
            </w:r>
          </w:p>
        </w:tc>
        <w:tc>
          <w:tcPr>
            <w:tcW w:w="100" w:type="dxa"/>
            <w:vAlign w:val="bottom"/>
            <w:tcBorders>
              <w:bottom w:val="single" w:sz="8" w:color="E5E5E5"/>
            </w:tcBorders>
          </w:tcPr>
          <w:p>
            <w:pPr>
              <w:spacing w:after="0"/>
              <w:rPr>
                <w:sz w:val="13"/>
                <w:szCs w:val="13"/>
                <w:color w:val="auto"/>
              </w:rPr>
            </w:pPr>
          </w:p>
        </w:tc>
        <w:tc>
          <w:tcPr>
            <w:tcW w:w="2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14,874</w:t>
            </w:r>
          </w:p>
        </w:tc>
      </w:tr>
      <w:tr>
        <w:trPr>
          <w:trHeight w:val="192"/>
        </w:trPr>
        <w:tc>
          <w:tcPr>
            <w:tcW w:w="78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60" w:type="dxa"/>
            <w:vAlign w:val="bottom"/>
            <w:shd w:val="clear" w:color="auto" w:fill="E5E5E5"/>
          </w:tcPr>
          <w:p>
            <w:pPr>
              <w:spacing w:after="0"/>
              <w:rPr>
                <w:sz w:val="16"/>
                <w:szCs w:val="16"/>
                <w:color w:val="auto"/>
              </w:rPr>
            </w:pPr>
          </w:p>
        </w:tc>
      </w:tr>
      <w:tr>
        <w:trPr>
          <w:trHeight w:val="178"/>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Shares of common stock issued</w:t>
            </w:r>
          </w:p>
        </w:tc>
        <w:tc>
          <w:tcPr>
            <w:tcW w:w="2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221,292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0"/>
                <w:szCs w:val="10"/>
                <w:color w:val="auto"/>
              </w:rPr>
              <w:t>231,690</w:t>
            </w:r>
          </w:p>
        </w:tc>
      </w:tr>
      <w:tr>
        <w:trPr>
          <w:trHeight w:val="187"/>
        </w:trPr>
        <w:tc>
          <w:tcPr>
            <w:tcW w:w="79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Treasury stock</w:t>
            </w:r>
          </w:p>
        </w:tc>
        <w:tc>
          <w:tcPr>
            <w:tcW w:w="260" w:type="dxa"/>
            <w:vAlign w:val="bottom"/>
            <w:tcBorders>
              <w:bottom w:val="single" w:sz="8" w:color="auto"/>
            </w:tcBorders>
            <w:shd w:val="clear" w:color="auto" w:fill="E5E5E5"/>
          </w:tcPr>
          <w:p>
            <w:pPr>
              <w:spacing w:after="0"/>
              <w:rPr>
                <w:sz w:val="16"/>
                <w:szCs w:val="16"/>
                <w:color w:val="auto"/>
              </w:rPr>
            </w:pPr>
          </w:p>
        </w:tc>
        <w:tc>
          <w:tcPr>
            <w:tcW w:w="148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(2,329)</w:t>
            </w:r>
          </w:p>
        </w:tc>
        <w:tc>
          <w:tcPr>
            <w:tcW w:w="100" w:type="dxa"/>
            <w:vAlign w:val="bottom"/>
            <w:shd w:val="clear" w:color="auto" w:fill="E5E5E5"/>
          </w:tcPr>
          <w:p>
            <w:pPr>
              <w:spacing w:after="0"/>
              <w:rPr>
                <w:sz w:val="16"/>
                <w:szCs w:val="16"/>
                <w:color w:val="auto"/>
              </w:rPr>
            </w:pPr>
          </w:p>
        </w:tc>
        <w:tc>
          <w:tcPr>
            <w:tcW w:w="260" w:type="dxa"/>
            <w:vAlign w:val="bottom"/>
            <w:tcBorders>
              <w:bottom w:val="single" w:sz="8" w:color="auto"/>
            </w:tcBorders>
            <w:shd w:val="clear" w:color="auto" w:fill="E5E5E5"/>
          </w:tcPr>
          <w:p>
            <w:pPr>
              <w:spacing w:after="0"/>
              <w:rPr>
                <w:sz w:val="16"/>
                <w:szCs w:val="16"/>
                <w:color w:val="auto"/>
              </w:rPr>
            </w:pPr>
          </w:p>
        </w:tc>
        <w:tc>
          <w:tcPr>
            <w:tcW w:w="146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(2,067)</w:t>
            </w:r>
          </w:p>
        </w:tc>
      </w:tr>
      <w:tr>
        <w:trPr>
          <w:trHeight w:val="161"/>
        </w:trPr>
        <w:tc>
          <w:tcPr>
            <w:tcW w:w="792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 of Common Stock Outstanding</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218,963</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229,623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326" w:right="1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DA2031"/>
        </w:rPr>
        <w:t>XEROX HOLDINGS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DA2031"/>
        </w:rPr>
        <w:t>CONDENSED CONSOLIDATED STATEMENTS OF CASH FLOWS (UNAUDITED)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jc w:val="right"/>
              <w:ind w:right="11"/>
              <w:spacing w:after="0"/>
              <w:rPr>
                <w:sz w:val="20"/>
                <w:szCs w:val="20"/>
                <w:color w:val="auto"/>
              </w:rPr>
            </w:pPr>
            <w:r>
              <w:rPr>
                <w:rFonts w:ascii="Arial" w:cs="Arial" w:eastAsia="Arial" w:hAnsi="Arial"/>
                <w:sz w:val="10"/>
                <w:szCs w:val="10"/>
                <w:color w:val="auto"/>
              </w:rPr>
              <w:t>Three Months Ended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gridSpan w:val="4"/>
          </w:tcPr>
          <w:p>
            <w:pPr>
              <w:jc w:val="right"/>
              <w:ind w:right="491"/>
              <w:spacing w:after="0"/>
              <w:rPr>
                <w:sz w:val="20"/>
                <w:szCs w:val="20"/>
                <w:color w:val="auto"/>
              </w:rPr>
            </w:pPr>
            <w:r>
              <w:rPr>
                <w:rFonts w:ascii="Arial" w:cs="Arial" w:eastAsia="Arial" w:hAnsi="Arial"/>
                <w:sz w:val="10"/>
                <w:szCs w:val="10"/>
                <w:color w:val="auto"/>
              </w:rPr>
              <w:t>Nine Months Ended</w:t>
            </w:r>
          </w:p>
        </w:tc>
      </w:tr>
      <w:tr>
        <w:trPr>
          <w:trHeight w:val="120"/>
        </w:trPr>
        <w:tc>
          <w:tcPr>
            <w:tcW w:w="6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0"/>
                <w:szCs w:val="10"/>
                <w:color w:val="auto"/>
              </w:rPr>
              <w:t>September 30,</w:t>
            </w: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September 30,</w:t>
            </w:r>
          </w:p>
        </w:tc>
        <w:tc>
          <w:tcPr>
            <w:tcW w:w="600" w:type="dxa"/>
            <w:vAlign w:val="bottom"/>
            <w:tcBorders>
              <w:bottom w:val="single" w:sz="8" w:color="auto"/>
            </w:tcBorders>
          </w:tcPr>
          <w:p>
            <w:pPr>
              <w:spacing w:after="0"/>
              <w:rPr>
                <w:sz w:val="10"/>
                <w:szCs w:val="10"/>
                <w:color w:val="auto"/>
              </w:rPr>
            </w:pPr>
          </w:p>
        </w:tc>
      </w:tr>
      <w:tr>
        <w:trPr>
          <w:trHeight w:val="172"/>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2018</w:t>
            </w:r>
          </w:p>
        </w:tc>
        <w:tc>
          <w:tcPr>
            <w:tcW w:w="120" w:type="dxa"/>
            <w:vAlign w:val="bottom"/>
            <w:tcBorders>
              <w:bottom w:val="single" w:sz="8" w:color="E5E5E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rPr>
              <w:t>2018</w:t>
            </w:r>
          </w:p>
        </w:tc>
      </w:tr>
      <w:tr>
        <w:trPr>
          <w:trHeight w:val="176"/>
        </w:trPr>
        <w:tc>
          <w:tcPr>
            <w:tcW w:w="688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30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r>
      <w:tr>
        <w:trPr>
          <w:trHeight w:val="178"/>
        </w:trPr>
        <w:tc>
          <w:tcPr>
            <w:tcW w:w="688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30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222</w:t>
            </w:r>
          </w:p>
        </w:tc>
        <w:tc>
          <w:tcPr>
            <w:tcW w:w="120" w:type="dxa"/>
            <w:vAlign w:val="bottom"/>
          </w:tcPr>
          <w:p>
            <w:pPr>
              <w:spacing w:after="0"/>
              <w:rPr>
                <w:sz w:val="15"/>
                <w:szCs w:val="15"/>
                <w:color w:val="auto"/>
              </w:rPr>
            </w:pPr>
          </w:p>
        </w:tc>
        <w:tc>
          <w:tcPr>
            <w:tcW w:w="40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93</w:t>
            </w:r>
          </w:p>
        </w:tc>
        <w:tc>
          <w:tcPr>
            <w:tcW w:w="120" w:type="dxa"/>
            <w:vAlign w:val="bottom"/>
          </w:tcPr>
          <w:p>
            <w:pPr>
              <w:spacing w:after="0"/>
              <w:rPr>
                <w:sz w:val="15"/>
                <w:szCs w:val="15"/>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542</w:t>
            </w:r>
          </w:p>
        </w:tc>
        <w:tc>
          <w:tcPr>
            <w:tcW w:w="120" w:type="dxa"/>
            <w:vAlign w:val="bottom"/>
          </w:tcPr>
          <w:p>
            <w:pPr>
              <w:spacing w:after="0"/>
              <w:rPr>
                <w:sz w:val="15"/>
                <w:szCs w:val="15"/>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233</w:t>
            </w:r>
          </w:p>
        </w:tc>
      </w:tr>
      <w:tr>
        <w:trPr>
          <w:trHeight w:val="187"/>
        </w:trPr>
        <w:tc>
          <w:tcPr>
            <w:tcW w:w="688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Adjustments required to reconcile Net income to Cash flows from operating activities</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Depreciation and amortization</w:t>
            </w:r>
          </w:p>
        </w:tc>
        <w:tc>
          <w:tcPr>
            <w:tcW w:w="30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104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122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332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398</w:t>
            </w:r>
          </w:p>
        </w:tc>
      </w:tr>
      <w:tr>
        <w:trPr>
          <w:trHeight w:val="187"/>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Provisions</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16</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58</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56</w:t>
            </w: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Net gain on sales of businesses and assets</w:t>
            </w:r>
          </w:p>
        </w:tc>
        <w:tc>
          <w:tcPr>
            <w:tcW w:w="300" w:type="dxa"/>
            <w:vAlign w:val="bottom"/>
          </w:tcPr>
          <w:p>
            <w:pPr>
              <w:spacing w:after="0"/>
              <w:rPr>
                <w:sz w:val="15"/>
                <w:szCs w:val="15"/>
                <w:color w:val="auto"/>
              </w:rPr>
            </w:pPr>
          </w:p>
        </w:tc>
        <w:tc>
          <w:tcPr>
            <w:tcW w:w="980" w:type="dxa"/>
            <w:vAlign w:val="bottom"/>
          </w:tcPr>
          <w:p>
            <w:pPr>
              <w:jc w:val="right"/>
              <w:ind w:right="31"/>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(35)</w:t>
            </w:r>
          </w:p>
        </w:tc>
      </w:tr>
      <w:tr>
        <w:trPr>
          <w:trHeight w:val="187"/>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Undistributed equity in net income of unconsolidated affiliates</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(59)</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(43)</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(102)</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9</w:t>
            </w: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Stock-based compensation</w:t>
            </w:r>
          </w:p>
        </w:tc>
        <w:tc>
          <w:tcPr>
            <w:tcW w:w="30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41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44</w:t>
            </w:r>
          </w:p>
        </w:tc>
      </w:tr>
      <w:tr>
        <w:trPr>
          <w:trHeight w:val="187"/>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Restructuring and asset impairment charges</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8</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29</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80</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91</w:t>
            </w: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Payments for restructurings</w:t>
            </w:r>
          </w:p>
        </w:tc>
        <w:tc>
          <w:tcPr>
            <w:tcW w:w="300" w:type="dxa"/>
            <w:vAlign w:val="bottom"/>
          </w:tcPr>
          <w:p>
            <w:pPr>
              <w:spacing w:after="0"/>
              <w:rPr>
                <w:sz w:val="15"/>
                <w:szCs w:val="15"/>
                <w:color w:val="auto"/>
              </w:rPr>
            </w:pPr>
          </w:p>
        </w:tc>
        <w:tc>
          <w:tcPr>
            <w:tcW w:w="980" w:type="dxa"/>
            <w:vAlign w:val="bottom"/>
          </w:tcPr>
          <w:p>
            <w:pPr>
              <w:jc w:val="right"/>
              <w:ind w:right="31"/>
              <w:spacing w:after="0"/>
              <w:rPr>
                <w:sz w:val="20"/>
                <w:szCs w:val="20"/>
                <w:color w:val="auto"/>
              </w:rPr>
            </w:pPr>
            <w:r>
              <w:rPr>
                <w:rFonts w:ascii="Arial" w:cs="Arial" w:eastAsia="Arial" w:hAnsi="Arial"/>
                <w:sz w:val="10"/>
                <w:szCs w:val="10"/>
                <w:color w:val="auto"/>
              </w:rPr>
              <w:t>(17)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(39)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(71)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(130)</w:t>
            </w:r>
          </w:p>
        </w:tc>
      </w:tr>
      <w:tr>
        <w:trPr>
          <w:trHeight w:val="187"/>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Defined benefit pension cost</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21</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36</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89</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89</w:t>
            </w: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Contributions to defined benefit pension plans</w:t>
            </w:r>
          </w:p>
        </w:tc>
        <w:tc>
          <w:tcPr>
            <w:tcW w:w="300" w:type="dxa"/>
            <w:vAlign w:val="bottom"/>
          </w:tcPr>
          <w:p>
            <w:pPr>
              <w:spacing w:after="0"/>
              <w:rPr>
                <w:sz w:val="15"/>
                <w:szCs w:val="15"/>
                <w:color w:val="auto"/>
              </w:rPr>
            </w:pPr>
          </w:p>
        </w:tc>
        <w:tc>
          <w:tcPr>
            <w:tcW w:w="980" w:type="dxa"/>
            <w:vAlign w:val="bottom"/>
          </w:tcPr>
          <w:p>
            <w:pPr>
              <w:jc w:val="right"/>
              <w:ind w:right="31"/>
              <w:spacing w:after="0"/>
              <w:rPr>
                <w:sz w:val="20"/>
                <w:szCs w:val="20"/>
                <w:color w:val="auto"/>
              </w:rPr>
            </w:pPr>
            <w:r>
              <w:rPr>
                <w:rFonts w:ascii="Arial" w:cs="Arial" w:eastAsia="Arial" w:hAnsi="Arial"/>
                <w:sz w:val="10"/>
                <w:szCs w:val="10"/>
                <w:color w:val="auto"/>
              </w:rPr>
              <w:t>(37)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(36)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(107)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(111)</w:t>
            </w:r>
          </w:p>
        </w:tc>
      </w:tr>
      <w:tr>
        <w:trPr>
          <w:trHeight w:val="187"/>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Decrease in accounts receivable and billed portion of finance receivables</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51</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62</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37</w:t>
            </w: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Decrease (increase) in inventories</w:t>
            </w:r>
          </w:p>
        </w:tc>
        <w:tc>
          <w:tcPr>
            <w:tcW w:w="30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33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(91)</w:t>
            </w:r>
          </w:p>
        </w:tc>
      </w:tr>
      <w:tr>
        <w:trPr>
          <w:trHeight w:val="187"/>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Increase in equipment on operating leases</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(41)</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(63)</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(113)</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(182)</w:t>
            </w: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Decrease in finance receivables</w:t>
            </w:r>
          </w:p>
        </w:tc>
        <w:tc>
          <w:tcPr>
            <w:tcW w:w="30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39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124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181</w:t>
            </w:r>
          </w:p>
        </w:tc>
      </w:tr>
      <w:tr>
        <w:trPr>
          <w:trHeight w:val="187"/>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(Increase) decrease in other current and long-term assets</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(14)</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17</w:t>
            </w: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Increase (decrease) in accounts payable</w:t>
            </w:r>
          </w:p>
        </w:tc>
        <w:tc>
          <w:tcPr>
            <w:tcW w:w="30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(34)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12</w:t>
            </w:r>
          </w:p>
        </w:tc>
      </w:tr>
      <w:tr>
        <w:trPr>
          <w:trHeight w:val="187"/>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(Decrease) increase in accrued compensation</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(15)</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(99)</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(97)</w:t>
            </w: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Increase in other current and long-term liabilities</w:t>
            </w:r>
          </w:p>
        </w:tc>
        <w:tc>
          <w:tcPr>
            <w:tcW w:w="30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27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11</w:t>
            </w:r>
          </w:p>
        </w:tc>
      </w:tr>
      <w:tr>
        <w:trPr>
          <w:trHeight w:val="187"/>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Net change in income tax assets and liabilities</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40</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124</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27</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165</w:t>
            </w: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Net change in derivative assets and liabilities</w:t>
            </w:r>
          </w:p>
        </w:tc>
        <w:tc>
          <w:tcPr>
            <w:tcW w:w="30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(2)</w:t>
            </w:r>
          </w:p>
        </w:tc>
      </w:tr>
      <w:tr>
        <w:trPr>
          <w:trHeight w:val="182"/>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Other operating, net</w:t>
            </w:r>
          </w:p>
        </w:tc>
        <w:tc>
          <w:tcPr>
            <w:tcW w:w="300" w:type="dxa"/>
            <w:vAlign w:val="bottom"/>
            <w:tcBorders>
              <w:bottom w:val="single" w:sz="8" w:color="auto"/>
            </w:tcBorders>
            <w:shd w:val="clear" w:color="auto" w:fill="E5E5E5"/>
          </w:tcPr>
          <w:p>
            <w:pPr>
              <w:spacing w:after="0"/>
              <w:rPr>
                <w:sz w:val="15"/>
                <w:szCs w:val="15"/>
                <w:color w:val="auto"/>
              </w:rPr>
            </w:pPr>
          </w:p>
        </w:tc>
        <w:tc>
          <w:tcPr>
            <w:tcW w:w="98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11</w:t>
            </w:r>
          </w:p>
        </w:tc>
        <w:tc>
          <w:tcPr>
            <w:tcW w:w="120" w:type="dxa"/>
            <w:vAlign w:val="bottom"/>
            <w:shd w:val="clear" w:color="auto" w:fill="E5E5E5"/>
          </w:tcPr>
          <w:p>
            <w:pPr>
              <w:spacing w:after="0"/>
              <w:rPr>
                <w:sz w:val="15"/>
                <w:szCs w:val="15"/>
                <w:color w:val="auto"/>
              </w:rPr>
            </w:pPr>
          </w:p>
        </w:tc>
        <w:tc>
          <w:tcPr>
            <w:tcW w:w="400" w:type="dxa"/>
            <w:vAlign w:val="bottom"/>
            <w:tcBorders>
              <w:bottom w:val="single" w:sz="8" w:color="auto"/>
            </w:tcBorders>
            <w:shd w:val="clear" w:color="auto" w:fill="E5E5E5"/>
          </w:tcPr>
          <w:p>
            <w:pPr>
              <w:spacing w:after="0"/>
              <w:rPr>
                <w:sz w:val="15"/>
                <w:szCs w:val="15"/>
                <w:color w:val="auto"/>
              </w:rPr>
            </w:pPr>
          </w:p>
        </w:tc>
        <w:tc>
          <w:tcPr>
            <w:tcW w:w="76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(2)</w:t>
            </w:r>
          </w:p>
        </w:tc>
        <w:tc>
          <w:tcPr>
            <w:tcW w:w="120" w:type="dxa"/>
            <w:vAlign w:val="bottom"/>
            <w:shd w:val="clear" w:color="auto" w:fill="E5E5E5"/>
          </w:tcPr>
          <w:p>
            <w:pPr>
              <w:spacing w:after="0"/>
              <w:rPr>
                <w:sz w:val="15"/>
                <w:szCs w:val="15"/>
                <w:color w:val="auto"/>
              </w:rPr>
            </w:pPr>
          </w:p>
        </w:tc>
        <w:tc>
          <w:tcPr>
            <w:tcW w:w="200" w:type="dxa"/>
            <w:vAlign w:val="bottom"/>
            <w:tcBorders>
              <w:bottom w:val="single" w:sz="8" w:color="auto"/>
            </w:tcBorders>
            <w:shd w:val="clear" w:color="auto" w:fill="E5E5E5"/>
          </w:tcPr>
          <w:p>
            <w:pPr>
              <w:spacing w:after="0"/>
              <w:rPr>
                <w:sz w:val="15"/>
                <w:szCs w:val="15"/>
                <w:color w:val="auto"/>
              </w:rPr>
            </w:pPr>
          </w:p>
        </w:tc>
        <w:tc>
          <w:tcPr>
            <w:tcW w:w="70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18</w:t>
            </w:r>
          </w:p>
        </w:tc>
        <w:tc>
          <w:tcPr>
            <w:tcW w:w="120" w:type="dxa"/>
            <w:vAlign w:val="bottom"/>
            <w:shd w:val="clear" w:color="auto" w:fill="E5E5E5"/>
          </w:tcPr>
          <w:p>
            <w:pPr>
              <w:spacing w:after="0"/>
              <w:rPr>
                <w:sz w:val="15"/>
                <w:szCs w:val="15"/>
                <w:color w:val="auto"/>
              </w:rPr>
            </w:pPr>
          </w:p>
        </w:tc>
        <w:tc>
          <w:tcPr>
            <w:tcW w:w="300" w:type="dxa"/>
            <w:vAlign w:val="bottom"/>
            <w:tcBorders>
              <w:bottom w:val="single" w:sz="8" w:color="auto"/>
            </w:tcBorders>
            <w:shd w:val="clear" w:color="auto" w:fill="E5E5E5"/>
          </w:tcPr>
          <w:p>
            <w:pPr>
              <w:spacing w:after="0"/>
              <w:rPr>
                <w:sz w:val="15"/>
                <w:szCs w:val="15"/>
                <w:color w:val="auto"/>
              </w:rPr>
            </w:pPr>
          </w:p>
        </w:tc>
        <w:tc>
          <w:tcPr>
            <w:tcW w:w="60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30</w:t>
            </w:r>
          </w:p>
        </w:tc>
      </w:tr>
      <w:tr>
        <w:trPr>
          <w:trHeight w:val="162"/>
        </w:trPr>
        <w:tc>
          <w:tcPr>
            <w:tcW w:w="6880" w:type="dxa"/>
            <w:vAlign w:val="bottom"/>
            <w:gridSpan w:val="2"/>
          </w:tcPr>
          <w:p>
            <w:pPr>
              <w:ind w:left="460"/>
              <w:spacing w:after="0"/>
              <w:rPr>
                <w:sz w:val="20"/>
                <w:szCs w:val="20"/>
                <w:color w:val="auto"/>
              </w:rPr>
            </w:pPr>
            <w:r>
              <w:rPr>
                <w:rFonts w:ascii="Arial" w:cs="Arial" w:eastAsia="Arial" w:hAnsi="Arial"/>
                <w:sz w:val="10"/>
                <w:szCs w:val="10"/>
                <w:color w:val="auto"/>
              </w:rPr>
              <w:t>Net cash provided by operating activities</w:t>
            </w:r>
          </w:p>
        </w:tc>
        <w:tc>
          <w:tcPr>
            <w:tcW w:w="300" w:type="dxa"/>
            <w:vAlign w:val="bottom"/>
          </w:tcPr>
          <w:p>
            <w:pPr>
              <w:spacing w:after="0"/>
              <w:rPr>
                <w:sz w:val="14"/>
                <w:szCs w:val="14"/>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356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274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895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725</w:t>
            </w:r>
          </w:p>
        </w:tc>
      </w:tr>
      <w:tr>
        <w:trPr>
          <w:trHeight w:val="187"/>
        </w:trPr>
        <w:tc>
          <w:tcPr>
            <w:tcW w:w="688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Cost of additions to land, buildings, equipment and software</w:t>
            </w:r>
          </w:p>
        </w:tc>
        <w:tc>
          <w:tcPr>
            <w:tcW w:w="300" w:type="dxa"/>
            <w:vAlign w:val="bottom"/>
          </w:tcPr>
          <w:p>
            <w:pPr>
              <w:spacing w:after="0"/>
              <w:rPr>
                <w:sz w:val="15"/>
                <w:szCs w:val="15"/>
                <w:color w:val="auto"/>
              </w:rPr>
            </w:pPr>
          </w:p>
        </w:tc>
        <w:tc>
          <w:tcPr>
            <w:tcW w:w="980" w:type="dxa"/>
            <w:vAlign w:val="bottom"/>
          </w:tcPr>
          <w:p>
            <w:pPr>
              <w:jc w:val="right"/>
              <w:ind w:right="31"/>
              <w:spacing w:after="0"/>
              <w:rPr>
                <w:sz w:val="20"/>
                <w:szCs w:val="20"/>
                <w:color w:val="auto"/>
              </w:rPr>
            </w:pPr>
            <w:r>
              <w:rPr>
                <w:rFonts w:ascii="Arial" w:cs="Arial" w:eastAsia="Arial" w:hAnsi="Arial"/>
                <w:sz w:val="10"/>
                <w:szCs w:val="10"/>
                <w:color w:val="auto"/>
              </w:rPr>
              <w:t>(17)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(48)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(73)</w:t>
            </w:r>
          </w:p>
        </w:tc>
      </w:tr>
      <w:tr>
        <w:trPr>
          <w:trHeight w:val="187"/>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Proceeds from sales of businesses and assets</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20</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21</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32</w:t>
            </w: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Acquisitions, net of cash acquired</w:t>
            </w:r>
          </w:p>
        </w:tc>
        <w:tc>
          <w:tcPr>
            <w:tcW w:w="3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(42)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r>
      <w:tr>
        <w:trPr>
          <w:trHeight w:val="182"/>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Other investing, net</w:t>
            </w:r>
          </w:p>
        </w:tc>
        <w:tc>
          <w:tcPr>
            <w:tcW w:w="30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88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shd w:val="clear" w:color="auto" w:fill="E5E5E5"/>
          </w:tcPr>
          <w:p>
            <w:pPr>
              <w:spacing w:after="0"/>
              <w:rPr>
                <w:sz w:val="15"/>
                <w:szCs w:val="15"/>
                <w:color w:val="auto"/>
              </w:rPr>
            </w:pPr>
          </w:p>
        </w:tc>
        <w:tc>
          <w:tcPr>
            <w:tcW w:w="7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6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w:t>
            </w:r>
          </w:p>
        </w:tc>
      </w:tr>
      <w:tr>
        <w:trPr>
          <w:trHeight w:val="162"/>
        </w:trPr>
        <w:tc>
          <w:tcPr>
            <w:tcW w:w="6880" w:type="dxa"/>
            <w:vAlign w:val="bottom"/>
            <w:tcBorders>
              <w:bottom w:val="single" w:sz="8" w:color="E5E5E5"/>
            </w:tcBorders>
            <w:gridSpan w:val="2"/>
          </w:tcPr>
          <w:p>
            <w:pPr>
              <w:ind w:left="460"/>
              <w:spacing w:after="0"/>
              <w:rPr>
                <w:sz w:val="20"/>
                <w:szCs w:val="20"/>
                <w:color w:val="auto"/>
              </w:rPr>
            </w:pPr>
            <w:r>
              <w:rPr>
                <w:rFonts w:ascii="Arial" w:cs="Arial" w:eastAsia="Arial" w:hAnsi="Arial"/>
                <w:sz w:val="10"/>
                <w:szCs w:val="10"/>
                <w:color w:val="auto"/>
              </w:rPr>
              <w:t>Net cash provided by (used in) investing activities</w:t>
            </w: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4</w:t>
            </w:r>
          </w:p>
        </w:tc>
        <w:tc>
          <w:tcPr>
            <w:tcW w:w="120" w:type="dxa"/>
            <w:vAlign w:val="bottom"/>
            <w:tcBorders>
              <w:bottom w:val="single" w:sz="8" w:color="E5E5E5"/>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(23)</w:t>
            </w:r>
          </w:p>
        </w:tc>
        <w:tc>
          <w:tcPr>
            <w:tcW w:w="120" w:type="dxa"/>
            <w:vAlign w:val="bottom"/>
            <w:tcBorders>
              <w:bottom w:val="single" w:sz="8" w:color="E5E5E5"/>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(68)</w:t>
            </w:r>
          </w:p>
        </w:tc>
        <w:tc>
          <w:tcPr>
            <w:tcW w:w="120" w:type="dxa"/>
            <w:vAlign w:val="bottom"/>
            <w:tcBorders>
              <w:bottom w:val="single" w:sz="8" w:color="E5E5E5"/>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rPr>
              <w:t>(40)</w:t>
            </w:r>
          </w:p>
        </w:tc>
      </w:tr>
      <w:tr>
        <w:trPr>
          <w:trHeight w:val="176"/>
        </w:trPr>
        <w:tc>
          <w:tcPr>
            <w:tcW w:w="688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30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Net proceeds (payments) on debt</w:t>
            </w:r>
          </w:p>
        </w:tc>
        <w:tc>
          <w:tcPr>
            <w:tcW w:w="30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(399)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(306)</w:t>
            </w:r>
          </w:p>
        </w:tc>
      </w:tr>
      <w:tr>
        <w:trPr>
          <w:trHeight w:val="187"/>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Dividends</w:t>
            </w:r>
          </w:p>
        </w:tc>
        <w:tc>
          <w:tcPr>
            <w:tcW w:w="3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(61)</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76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(69)</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(183)</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0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(204)</w:t>
            </w:r>
          </w:p>
        </w:tc>
      </w:tr>
      <w:tr>
        <w:trPr>
          <w:trHeight w:val="178"/>
        </w:trPr>
        <w:tc>
          <w:tcPr>
            <w:tcW w:w="6880" w:type="dxa"/>
            <w:vAlign w:val="bottom"/>
            <w:gridSpan w:val="2"/>
          </w:tcPr>
          <w:p>
            <w:pPr>
              <w:ind w:left="240"/>
              <w:spacing w:after="0"/>
              <w:rPr>
                <w:sz w:val="20"/>
                <w:szCs w:val="20"/>
                <w:color w:val="auto"/>
              </w:rPr>
            </w:pPr>
            <w:r>
              <w:rPr>
                <w:rFonts w:ascii="Arial" w:cs="Arial" w:eastAsia="Arial" w:hAnsi="Arial"/>
                <w:sz w:val="10"/>
                <w:szCs w:val="10"/>
                <w:color w:val="auto"/>
              </w:rPr>
              <w:t>Payments to acquire treasury stock, including fees</w:t>
            </w:r>
          </w:p>
        </w:tc>
        <w:tc>
          <w:tcPr>
            <w:tcW w:w="300" w:type="dxa"/>
            <w:vAlign w:val="bottom"/>
          </w:tcPr>
          <w:p>
            <w:pPr>
              <w:spacing w:after="0"/>
              <w:rPr>
                <w:sz w:val="15"/>
                <w:szCs w:val="15"/>
                <w:color w:val="auto"/>
              </w:rPr>
            </w:pPr>
          </w:p>
        </w:tc>
        <w:tc>
          <w:tcPr>
            <w:tcW w:w="980" w:type="dxa"/>
            <w:vAlign w:val="bottom"/>
          </w:tcPr>
          <w:p>
            <w:pPr>
              <w:jc w:val="right"/>
              <w:ind w:right="31"/>
              <w:spacing w:after="0"/>
              <w:rPr>
                <w:sz w:val="20"/>
                <w:szCs w:val="20"/>
                <w:color w:val="auto"/>
              </w:rPr>
            </w:pPr>
            <w:r>
              <w:rPr>
                <w:rFonts w:ascii="Arial" w:cs="Arial" w:eastAsia="Arial" w:hAnsi="Arial"/>
                <w:sz w:val="10"/>
                <w:szCs w:val="10"/>
                <w:color w:val="auto"/>
              </w:rPr>
              <w:t>(68)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(284)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(368)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(284)</w:t>
            </w:r>
          </w:p>
        </w:tc>
      </w:tr>
      <w:tr>
        <w:trPr>
          <w:trHeight w:val="182"/>
        </w:trPr>
        <w:tc>
          <w:tcPr>
            <w:tcW w:w="688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Other financing, net</w:t>
            </w:r>
          </w:p>
        </w:tc>
        <w:tc>
          <w:tcPr>
            <w:tcW w:w="300" w:type="dxa"/>
            <w:vAlign w:val="bottom"/>
            <w:tcBorders>
              <w:bottom w:val="single" w:sz="8" w:color="auto"/>
            </w:tcBorders>
            <w:shd w:val="clear" w:color="auto" w:fill="E5E5E5"/>
          </w:tcPr>
          <w:p>
            <w:pPr>
              <w:spacing w:after="0"/>
              <w:rPr>
                <w:sz w:val="15"/>
                <w:szCs w:val="15"/>
                <w:color w:val="auto"/>
              </w:rPr>
            </w:pPr>
          </w:p>
        </w:tc>
        <w:tc>
          <w:tcPr>
            <w:tcW w:w="98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(10)</w:t>
            </w:r>
          </w:p>
        </w:tc>
        <w:tc>
          <w:tcPr>
            <w:tcW w:w="120" w:type="dxa"/>
            <w:vAlign w:val="bottom"/>
            <w:shd w:val="clear" w:color="auto" w:fill="E5E5E5"/>
          </w:tcPr>
          <w:p>
            <w:pPr>
              <w:spacing w:after="0"/>
              <w:rPr>
                <w:sz w:val="15"/>
                <w:szCs w:val="15"/>
                <w:color w:val="auto"/>
              </w:rPr>
            </w:pPr>
          </w:p>
        </w:tc>
        <w:tc>
          <w:tcPr>
            <w:tcW w:w="400" w:type="dxa"/>
            <w:vAlign w:val="bottom"/>
            <w:tcBorders>
              <w:bottom w:val="single" w:sz="8" w:color="auto"/>
            </w:tcBorders>
            <w:shd w:val="clear" w:color="auto" w:fill="E5E5E5"/>
          </w:tcPr>
          <w:p>
            <w:pPr>
              <w:spacing w:after="0"/>
              <w:rPr>
                <w:sz w:val="15"/>
                <w:szCs w:val="15"/>
                <w:color w:val="auto"/>
              </w:rPr>
            </w:pPr>
          </w:p>
        </w:tc>
        <w:tc>
          <w:tcPr>
            <w:tcW w:w="76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(6)</w:t>
            </w:r>
          </w:p>
        </w:tc>
        <w:tc>
          <w:tcPr>
            <w:tcW w:w="120" w:type="dxa"/>
            <w:vAlign w:val="bottom"/>
            <w:shd w:val="clear" w:color="auto" w:fill="E5E5E5"/>
          </w:tcPr>
          <w:p>
            <w:pPr>
              <w:spacing w:after="0"/>
              <w:rPr>
                <w:sz w:val="15"/>
                <w:szCs w:val="15"/>
                <w:color w:val="auto"/>
              </w:rPr>
            </w:pPr>
          </w:p>
        </w:tc>
        <w:tc>
          <w:tcPr>
            <w:tcW w:w="200" w:type="dxa"/>
            <w:vAlign w:val="bottom"/>
            <w:tcBorders>
              <w:bottom w:val="single" w:sz="8" w:color="auto"/>
            </w:tcBorders>
            <w:shd w:val="clear" w:color="auto" w:fill="E5E5E5"/>
          </w:tcPr>
          <w:p>
            <w:pPr>
              <w:spacing w:after="0"/>
              <w:rPr>
                <w:sz w:val="15"/>
                <w:szCs w:val="15"/>
                <w:color w:val="auto"/>
              </w:rPr>
            </w:pPr>
          </w:p>
        </w:tc>
        <w:tc>
          <w:tcPr>
            <w:tcW w:w="70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(33)</w:t>
            </w:r>
          </w:p>
        </w:tc>
        <w:tc>
          <w:tcPr>
            <w:tcW w:w="120" w:type="dxa"/>
            <w:vAlign w:val="bottom"/>
            <w:shd w:val="clear" w:color="auto" w:fill="E5E5E5"/>
          </w:tcPr>
          <w:p>
            <w:pPr>
              <w:spacing w:after="0"/>
              <w:rPr>
                <w:sz w:val="15"/>
                <w:szCs w:val="15"/>
                <w:color w:val="auto"/>
              </w:rPr>
            </w:pPr>
          </w:p>
        </w:tc>
        <w:tc>
          <w:tcPr>
            <w:tcW w:w="300" w:type="dxa"/>
            <w:vAlign w:val="bottom"/>
            <w:tcBorders>
              <w:bottom w:val="single" w:sz="8" w:color="auto"/>
            </w:tcBorders>
            <w:shd w:val="clear" w:color="auto" w:fill="E5E5E5"/>
          </w:tcPr>
          <w:p>
            <w:pPr>
              <w:spacing w:after="0"/>
              <w:rPr>
                <w:sz w:val="15"/>
                <w:szCs w:val="15"/>
                <w:color w:val="auto"/>
              </w:rPr>
            </w:pPr>
          </w:p>
        </w:tc>
        <w:tc>
          <w:tcPr>
            <w:tcW w:w="60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(21)</w:t>
            </w:r>
          </w:p>
        </w:tc>
      </w:tr>
      <w:tr>
        <w:trPr>
          <w:trHeight w:val="162"/>
        </w:trPr>
        <w:tc>
          <w:tcPr>
            <w:tcW w:w="6880" w:type="dxa"/>
            <w:vAlign w:val="bottom"/>
            <w:tcBorders>
              <w:bottom w:val="single" w:sz="8" w:color="E5E5E5"/>
            </w:tcBorders>
            <w:gridSpan w:val="2"/>
          </w:tcPr>
          <w:p>
            <w:pPr>
              <w:ind w:left="440"/>
              <w:spacing w:after="0"/>
              <w:rPr>
                <w:sz w:val="20"/>
                <w:szCs w:val="20"/>
                <w:color w:val="auto"/>
              </w:rPr>
            </w:pPr>
            <w:r>
              <w:rPr>
                <w:rFonts w:ascii="Arial" w:cs="Arial" w:eastAsia="Arial" w:hAnsi="Arial"/>
                <w:sz w:val="10"/>
                <w:szCs w:val="10"/>
                <w:color w:val="auto"/>
              </w:rPr>
              <w:t>Net cash used in financing activities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(137)</w:t>
            </w:r>
          </w:p>
        </w:tc>
        <w:tc>
          <w:tcPr>
            <w:tcW w:w="120" w:type="dxa"/>
            <w:vAlign w:val="bottom"/>
            <w:tcBorders>
              <w:bottom w:val="single" w:sz="8" w:color="E5E5E5"/>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(359)</w:t>
            </w:r>
          </w:p>
        </w:tc>
        <w:tc>
          <w:tcPr>
            <w:tcW w:w="120" w:type="dxa"/>
            <w:vAlign w:val="bottom"/>
            <w:tcBorders>
              <w:bottom w:val="single" w:sz="8" w:color="E5E5E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(983)</w:t>
            </w:r>
          </w:p>
        </w:tc>
        <w:tc>
          <w:tcPr>
            <w:tcW w:w="120" w:type="dxa"/>
            <w:vAlign w:val="bottom"/>
            <w:tcBorders>
              <w:bottom w:val="single" w:sz="8" w:color="E5E5E5"/>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(815)</w:t>
            </w:r>
          </w:p>
        </w:tc>
      </w:tr>
      <w:tr>
        <w:trPr>
          <w:trHeight w:val="162"/>
        </w:trPr>
        <w:tc>
          <w:tcPr>
            <w:tcW w:w="688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Effect of exchange rate changes on cash, cash equivalents and restricted cash</w:t>
            </w:r>
          </w:p>
        </w:tc>
        <w:tc>
          <w:tcPr>
            <w:tcW w:w="300" w:type="dxa"/>
            <w:vAlign w:val="bottom"/>
            <w:tcBorders>
              <w:bottom w:val="single" w:sz="8" w:color="auto"/>
            </w:tcBorders>
            <w:shd w:val="clear" w:color="auto" w:fill="E5E5E5"/>
          </w:tcPr>
          <w:p>
            <w:pPr>
              <w:spacing w:after="0"/>
              <w:rPr>
                <w:sz w:val="14"/>
                <w:szCs w:val="14"/>
                <w:color w:val="auto"/>
              </w:rPr>
            </w:pPr>
          </w:p>
        </w:tc>
        <w:tc>
          <w:tcPr>
            <w:tcW w:w="98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(20)</w:t>
            </w:r>
          </w:p>
        </w:tc>
        <w:tc>
          <w:tcPr>
            <w:tcW w:w="120" w:type="dxa"/>
            <w:vAlign w:val="bottom"/>
            <w:shd w:val="clear" w:color="auto" w:fill="E5E5E5"/>
          </w:tcPr>
          <w:p>
            <w:pPr>
              <w:spacing w:after="0"/>
              <w:rPr>
                <w:sz w:val="14"/>
                <w:szCs w:val="14"/>
                <w:color w:val="auto"/>
              </w:rPr>
            </w:pPr>
          </w:p>
        </w:tc>
        <w:tc>
          <w:tcPr>
            <w:tcW w:w="400" w:type="dxa"/>
            <w:vAlign w:val="bottom"/>
            <w:tcBorders>
              <w:bottom w:val="single" w:sz="8" w:color="auto"/>
            </w:tcBorders>
            <w:shd w:val="clear" w:color="auto" w:fill="E5E5E5"/>
          </w:tcPr>
          <w:p>
            <w:pPr>
              <w:spacing w:after="0"/>
              <w:rPr>
                <w:sz w:val="14"/>
                <w:szCs w:val="14"/>
                <w:color w:val="auto"/>
              </w:rPr>
            </w:pPr>
          </w:p>
        </w:tc>
        <w:tc>
          <w:tcPr>
            <w:tcW w:w="76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4"/>
                <w:szCs w:val="14"/>
                <w:color w:val="auto"/>
              </w:rPr>
            </w:pPr>
          </w:p>
        </w:tc>
        <w:tc>
          <w:tcPr>
            <w:tcW w:w="200" w:type="dxa"/>
            <w:vAlign w:val="bottom"/>
            <w:tcBorders>
              <w:bottom w:val="single" w:sz="8" w:color="auto"/>
            </w:tcBorders>
            <w:shd w:val="clear" w:color="auto" w:fill="E5E5E5"/>
          </w:tcPr>
          <w:p>
            <w:pPr>
              <w:spacing w:after="0"/>
              <w:rPr>
                <w:sz w:val="14"/>
                <w:szCs w:val="14"/>
                <w:color w:val="auto"/>
              </w:rPr>
            </w:pPr>
          </w:p>
        </w:tc>
        <w:tc>
          <w:tcPr>
            <w:tcW w:w="70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(13)</w:t>
            </w:r>
          </w:p>
        </w:tc>
        <w:tc>
          <w:tcPr>
            <w:tcW w:w="120" w:type="dxa"/>
            <w:vAlign w:val="bottom"/>
            <w:shd w:val="clear" w:color="auto" w:fill="E5E5E5"/>
          </w:tcPr>
          <w:p>
            <w:pPr>
              <w:spacing w:after="0"/>
              <w:rPr>
                <w:sz w:val="14"/>
                <w:szCs w:val="14"/>
                <w:color w:val="auto"/>
              </w:rPr>
            </w:pPr>
          </w:p>
        </w:tc>
        <w:tc>
          <w:tcPr>
            <w:tcW w:w="300" w:type="dxa"/>
            <w:vAlign w:val="bottom"/>
            <w:tcBorders>
              <w:bottom w:val="single" w:sz="8" w:color="auto"/>
            </w:tcBorders>
            <w:shd w:val="clear" w:color="auto" w:fill="E5E5E5"/>
          </w:tcPr>
          <w:p>
            <w:pPr>
              <w:spacing w:after="0"/>
              <w:rPr>
                <w:sz w:val="14"/>
                <w:szCs w:val="14"/>
                <w:color w:val="auto"/>
              </w:rPr>
            </w:pPr>
          </w:p>
        </w:tc>
        <w:tc>
          <w:tcPr>
            <w:tcW w:w="60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(20)</w:t>
            </w:r>
          </w:p>
        </w:tc>
      </w:tr>
      <w:tr>
        <w:trPr>
          <w:trHeight w:val="162"/>
        </w:trPr>
        <w:tc>
          <w:tcPr>
            <w:tcW w:w="6880" w:type="dxa"/>
            <w:vAlign w:val="bottom"/>
            <w:gridSpan w:val="2"/>
          </w:tcPr>
          <w:p>
            <w:pPr>
              <w:ind w:left="20"/>
              <w:spacing w:after="0"/>
              <w:rPr>
                <w:sz w:val="20"/>
                <w:szCs w:val="20"/>
                <w:color w:val="auto"/>
              </w:rPr>
            </w:pPr>
            <w:r>
              <w:rPr>
                <w:rFonts w:ascii="Arial" w:cs="Arial" w:eastAsia="Arial" w:hAnsi="Arial"/>
                <w:sz w:val="10"/>
                <w:szCs w:val="10"/>
                <w:color w:val="auto"/>
              </w:rPr>
              <w:t>Increase (decrease) in cash, cash equivalents and restricted cash</w:t>
            </w:r>
          </w:p>
        </w:tc>
        <w:tc>
          <w:tcPr>
            <w:tcW w:w="300" w:type="dxa"/>
            <w:vAlign w:val="bottom"/>
          </w:tcPr>
          <w:p>
            <w:pPr>
              <w:spacing w:after="0"/>
              <w:rPr>
                <w:sz w:val="14"/>
                <w:szCs w:val="14"/>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203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1"/>
              <w:spacing w:after="0"/>
              <w:rPr>
                <w:sz w:val="20"/>
                <w:szCs w:val="20"/>
                <w:color w:val="auto"/>
              </w:rPr>
            </w:pPr>
            <w:r>
              <w:rPr>
                <w:rFonts w:ascii="Arial" w:cs="Arial" w:eastAsia="Arial" w:hAnsi="Arial"/>
                <w:sz w:val="10"/>
                <w:szCs w:val="10"/>
                <w:color w:val="auto"/>
              </w:rPr>
              <w:t>(109)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(169)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(150)</w:t>
            </w:r>
          </w:p>
        </w:tc>
      </w:tr>
      <w:tr>
        <w:trPr>
          <w:trHeight w:val="187"/>
        </w:trPr>
        <w:tc>
          <w:tcPr>
            <w:tcW w:w="688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300" w:type="dxa"/>
            <w:vAlign w:val="bottom"/>
            <w:tcBorders>
              <w:bottom w:val="single" w:sz="8" w:color="auto"/>
            </w:tcBorders>
            <w:shd w:val="clear" w:color="auto" w:fill="E5E5E5"/>
          </w:tcPr>
          <w:p>
            <w:pPr>
              <w:spacing w:after="0"/>
              <w:rPr>
                <w:sz w:val="16"/>
                <w:szCs w:val="16"/>
                <w:color w:val="auto"/>
              </w:rPr>
            </w:pPr>
          </w:p>
        </w:tc>
        <w:tc>
          <w:tcPr>
            <w:tcW w:w="98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776</w:t>
            </w:r>
          </w:p>
        </w:tc>
        <w:tc>
          <w:tcPr>
            <w:tcW w:w="120" w:type="dxa"/>
            <w:vAlign w:val="bottom"/>
            <w:shd w:val="clear" w:color="auto" w:fill="E5E5E5"/>
          </w:tcPr>
          <w:p>
            <w:pPr>
              <w:spacing w:after="0"/>
              <w:rPr>
                <w:sz w:val="16"/>
                <w:szCs w:val="16"/>
                <w:color w:val="auto"/>
              </w:rPr>
            </w:pPr>
          </w:p>
        </w:tc>
        <w:tc>
          <w:tcPr>
            <w:tcW w:w="400" w:type="dxa"/>
            <w:vAlign w:val="bottom"/>
            <w:tcBorders>
              <w:bottom w:val="single" w:sz="8" w:color="auto"/>
            </w:tcBorders>
            <w:shd w:val="clear" w:color="auto" w:fill="E5E5E5"/>
          </w:tcPr>
          <w:p>
            <w:pPr>
              <w:spacing w:after="0"/>
              <w:rPr>
                <w:sz w:val="16"/>
                <w:szCs w:val="16"/>
                <w:color w:val="auto"/>
              </w:rPr>
            </w:pPr>
          </w:p>
        </w:tc>
        <w:tc>
          <w:tcPr>
            <w:tcW w:w="7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1,327</w:t>
            </w:r>
          </w:p>
        </w:tc>
        <w:tc>
          <w:tcPr>
            <w:tcW w:w="12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70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1,148</w:t>
            </w:r>
          </w:p>
        </w:tc>
        <w:tc>
          <w:tcPr>
            <w:tcW w:w="120" w:type="dxa"/>
            <w:vAlign w:val="bottom"/>
            <w:shd w:val="clear" w:color="auto" w:fill="E5E5E5"/>
          </w:tcPr>
          <w:p>
            <w:pPr>
              <w:spacing w:after="0"/>
              <w:rPr>
                <w:sz w:val="16"/>
                <w:szCs w:val="16"/>
                <w:color w:val="auto"/>
              </w:rPr>
            </w:pPr>
          </w:p>
        </w:tc>
        <w:tc>
          <w:tcPr>
            <w:tcW w:w="300" w:type="dxa"/>
            <w:vAlign w:val="bottom"/>
            <w:tcBorders>
              <w:bottom w:val="single" w:sz="8" w:color="auto"/>
            </w:tcBorders>
            <w:shd w:val="clear" w:color="auto" w:fill="E5E5E5"/>
          </w:tcPr>
          <w:p>
            <w:pPr>
              <w:spacing w:after="0"/>
              <w:rPr>
                <w:sz w:val="16"/>
                <w:szCs w:val="16"/>
                <w:color w:val="auto"/>
              </w:rPr>
            </w:pPr>
          </w:p>
        </w:tc>
        <w:tc>
          <w:tcPr>
            <w:tcW w:w="60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1,368</w:t>
            </w:r>
          </w:p>
        </w:tc>
      </w:tr>
      <w:tr>
        <w:trPr>
          <w:trHeight w:val="161"/>
        </w:trPr>
        <w:tc>
          <w:tcPr>
            <w:tcW w:w="6880" w:type="dxa"/>
            <w:vAlign w:val="bottom"/>
            <w:gridSpan w:val="2"/>
          </w:tcPr>
          <w:p>
            <w:pPr>
              <w:ind w:left="20"/>
              <w:spacing w:after="0"/>
              <w:rPr>
                <w:sz w:val="20"/>
                <w:szCs w:val="20"/>
                <w:color w:val="auto"/>
              </w:rPr>
            </w:pPr>
            <w:r>
              <w:rPr>
                <w:rFonts w:ascii="Arial" w:cs="Arial" w:eastAsia="Arial" w:hAnsi="Arial"/>
                <w:sz w:val="10"/>
                <w:szCs w:val="10"/>
                <w:b w:val="1"/>
                <w:bCs w:val="1"/>
                <w:color w:val="auto"/>
              </w:rPr>
              <w:t>Cash, Cash Equivalents and Restricted Cash at End of Period</w:t>
            </w:r>
          </w:p>
        </w:tc>
        <w:tc>
          <w:tcPr>
            <w:tcW w:w="30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979</w:t>
            </w:r>
          </w:p>
        </w:tc>
        <w:tc>
          <w:tcPr>
            <w:tcW w:w="120" w:type="dxa"/>
            <w:vAlign w:val="bottom"/>
          </w:tcPr>
          <w:p>
            <w:pPr>
              <w:spacing w:after="0"/>
              <w:rPr>
                <w:sz w:val="13"/>
                <w:szCs w:val="13"/>
                <w:color w:val="auto"/>
              </w:rPr>
            </w:pPr>
          </w:p>
        </w:tc>
        <w:tc>
          <w:tcPr>
            <w:tcW w:w="40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1,218</w:t>
            </w:r>
          </w:p>
        </w:tc>
        <w:tc>
          <w:tcPr>
            <w:tcW w:w="120" w:type="dxa"/>
            <w:vAlign w:val="bottom"/>
          </w:tcPr>
          <w:p>
            <w:pPr>
              <w:spacing w:after="0"/>
              <w:rPr>
                <w:sz w:val="13"/>
                <w:szCs w:val="13"/>
                <w:color w:val="auto"/>
              </w:rPr>
            </w:pPr>
          </w:p>
        </w:tc>
        <w:tc>
          <w:tcPr>
            <w:tcW w:w="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979</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1,218</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326" w:right="199" w:bottom="1440" w:gutter="0" w:footer="0" w:header="0"/>
        </w:sectPr>
      </w:pPr>
    </w:p>
    <w:bookmarkStart w:id="12" w:name="page13"/>
    <w:bookmarkEnd w:id="12"/>
    <w:p>
      <w:pPr>
        <w:ind w:left="7"/>
        <w:spacing w:after="0"/>
        <w:rPr>
          <w:sz w:val="20"/>
          <w:szCs w:val="20"/>
          <w:color w:val="auto"/>
        </w:rPr>
      </w:pPr>
      <w:r>
        <w:rPr>
          <w:rFonts w:ascii="Arial" w:cs="Arial" w:eastAsia="Arial" w:hAnsi="Arial"/>
          <w:sz w:val="17"/>
          <w:szCs w:val="17"/>
          <w:b w:val="1"/>
          <w:bCs w:val="1"/>
          <w:color w:val="DA2031"/>
        </w:rPr>
        <w:t>Revenues</w:t>
      </w:r>
    </w:p>
    <w:p>
      <w:pPr>
        <w:spacing w:after="0" w:line="131"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Three Months Ended</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16"/>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0"/>
                <w:szCs w:val="10"/>
                <w:color w:val="auto"/>
              </w:rPr>
              <w:t>September 30,</w:t>
            </w: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color w:val="auto"/>
              </w:rPr>
              <w:t>% of Total Revenue</w:t>
            </w:r>
          </w:p>
        </w:tc>
      </w:tr>
      <w:tr>
        <w:trPr>
          <w:trHeight w:val="119"/>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jc w:val="center"/>
              <w:ind w:left="7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color w:val="auto"/>
                <w:w w:val="98"/>
              </w:rPr>
              <w:t>2018</w:t>
            </w:r>
          </w:p>
        </w:tc>
        <w:tc>
          <w:tcPr>
            <w:tcW w:w="120" w:type="dxa"/>
            <w:vAlign w:val="bottom"/>
            <w:tcBorders>
              <w:bottom w:val="single" w:sz="8" w:color="E5E5E5"/>
            </w:tcBorders>
          </w:tcPr>
          <w:p>
            <w:pPr>
              <w:spacing w:after="0"/>
              <w:rPr>
                <w:sz w:val="10"/>
                <w:szCs w:val="10"/>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0"/>
                <w:szCs w:val="10"/>
                <w:color w:val="auto"/>
              </w:rPr>
              <w:t>Change</w:t>
            </w:r>
          </w:p>
        </w:tc>
        <w:tc>
          <w:tcPr>
            <w:tcW w:w="120" w:type="dxa"/>
            <w:vAlign w:val="bottom"/>
            <w:tcBorders>
              <w:bottom w:val="single" w:sz="8" w:color="E5E5E5"/>
            </w:tcBorders>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CC % Change</w:t>
            </w:r>
          </w:p>
        </w:tc>
        <w:tc>
          <w:tcPr>
            <w:tcW w:w="100" w:type="dxa"/>
            <w:vAlign w:val="bottom"/>
            <w:tcBorders>
              <w:bottom w:val="single" w:sz="8" w:color="E5E5E5"/>
            </w:tcBorders>
          </w:tcPr>
          <w:p>
            <w:pPr>
              <w:spacing w:after="0"/>
              <w:rPr>
                <w:sz w:val="10"/>
                <w:szCs w:val="10"/>
                <w:color w:val="auto"/>
              </w:rPr>
            </w:pPr>
          </w:p>
        </w:tc>
        <w:tc>
          <w:tcPr>
            <w:tcW w:w="740" w:type="dxa"/>
            <w:vAlign w:val="bottom"/>
            <w:tcBorders>
              <w:bottom w:val="single" w:sz="8" w:color="auto"/>
            </w:tcBorders>
          </w:tcPr>
          <w:p>
            <w:pPr>
              <w:jc w:val="center"/>
              <w:ind w:left="351"/>
              <w:spacing w:after="0"/>
              <w:rPr>
                <w:sz w:val="20"/>
                <w:szCs w:val="20"/>
                <w:color w:val="auto"/>
              </w:rPr>
            </w:pPr>
            <w:r>
              <w:rPr>
                <w:rFonts w:ascii="Arial" w:cs="Arial" w:eastAsia="Arial" w:hAnsi="Arial"/>
                <w:sz w:val="10"/>
                <w:szCs w:val="10"/>
                <w:color w:val="auto"/>
                <w:w w:val="98"/>
              </w:rPr>
              <w:t>2019</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E5E5E5"/>
            </w:tcBorders>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2018</w:t>
            </w:r>
          </w:p>
        </w:tc>
      </w:tr>
      <w:tr>
        <w:trPr>
          <w:trHeight w:val="167"/>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Equipment sales</w:t>
            </w:r>
          </w:p>
        </w:tc>
        <w:tc>
          <w:tcPr>
            <w:tcW w:w="280" w:type="dxa"/>
            <w:vAlign w:val="bottom"/>
            <w:shd w:val="clear" w:color="auto" w:fill="E5E5E5"/>
          </w:tcPr>
          <w:p>
            <w:pPr>
              <w:jc w:val="right"/>
              <w:ind w:right="151"/>
              <w:spacing w:after="0"/>
              <w:rPr>
                <w:sz w:val="20"/>
                <w:szCs w:val="20"/>
                <w:color w:val="auto"/>
              </w:rPr>
            </w:pPr>
            <w:r>
              <w:rPr>
                <w:rFonts w:ascii="Arial" w:cs="Arial" w:eastAsia="Arial" w:hAnsi="Arial"/>
                <w:sz w:val="10"/>
                <w:szCs w:val="10"/>
                <w:color w:val="auto"/>
              </w:rPr>
              <w:t>$</w:t>
            </w:r>
          </w:p>
        </w:tc>
        <w:tc>
          <w:tcPr>
            <w:tcW w:w="8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494</w:t>
            </w:r>
          </w:p>
        </w:tc>
        <w:tc>
          <w:tcPr>
            <w:tcW w:w="120" w:type="dxa"/>
            <w:vAlign w:val="bottom"/>
            <w:shd w:val="clear" w:color="auto" w:fill="E5E5E5"/>
          </w:tcPr>
          <w:p>
            <w:pPr>
              <w:spacing w:after="0"/>
              <w:rPr>
                <w:sz w:val="14"/>
                <w:szCs w:val="14"/>
                <w:color w:val="auto"/>
              </w:rPr>
            </w:pPr>
          </w:p>
        </w:tc>
        <w:tc>
          <w:tcPr>
            <w:tcW w:w="440" w:type="dxa"/>
            <w:vAlign w:val="bottom"/>
            <w:shd w:val="clear" w:color="auto" w:fill="E5E5E5"/>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511</w:t>
            </w:r>
          </w:p>
        </w:tc>
        <w:tc>
          <w:tcPr>
            <w:tcW w:w="1260" w:type="dxa"/>
            <w:vAlign w:val="bottom"/>
            <w:gridSpan w:val="2"/>
            <w:shd w:val="clear" w:color="auto" w:fill="E5E5E5"/>
          </w:tcPr>
          <w:p>
            <w:pPr>
              <w:jc w:val="center"/>
              <w:ind w:left="71"/>
              <w:spacing w:after="0"/>
              <w:rPr>
                <w:sz w:val="20"/>
                <w:szCs w:val="20"/>
                <w:color w:val="auto"/>
              </w:rPr>
            </w:pPr>
            <w:r>
              <w:rPr>
                <w:rFonts w:ascii="Arial" w:cs="Arial" w:eastAsia="Arial" w:hAnsi="Arial"/>
                <w:sz w:val="10"/>
                <w:szCs w:val="10"/>
                <w:color w:val="auto"/>
              </w:rPr>
              <w:t>(3.3)%</w:t>
            </w:r>
          </w:p>
        </w:tc>
        <w:tc>
          <w:tcPr>
            <w:tcW w:w="120" w:type="dxa"/>
            <w:vAlign w:val="bottom"/>
            <w:shd w:val="clear" w:color="auto" w:fill="E5E5E5"/>
          </w:tcPr>
          <w:p>
            <w:pPr>
              <w:spacing w:after="0"/>
              <w:rPr>
                <w:sz w:val="14"/>
                <w:szCs w:val="14"/>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0"/>
                <w:szCs w:val="10"/>
                <w:color w:val="auto"/>
                <w:w w:val="94"/>
              </w:rPr>
              <w:t>(2.2)%</w:t>
            </w:r>
          </w:p>
        </w:tc>
        <w:tc>
          <w:tcPr>
            <w:tcW w:w="100" w:type="dxa"/>
            <w:vAlign w:val="bottom"/>
            <w:shd w:val="clear" w:color="auto" w:fill="E5E5E5"/>
          </w:tcPr>
          <w:p>
            <w:pPr>
              <w:spacing w:after="0"/>
              <w:rPr>
                <w:sz w:val="14"/>
                <w:szCs w:val="14"/>
                <w:color w:val="auto"/>
              </w:rPr>
            </w:pPr>
          </w:p>
        </w:tc>
        <w:tc>
          <w:tcPr>
            <w:tcW w:w="740" w:type="dxa"/>
            <w:vAlign w:val="bottom"/>
            <w:shd w:val="clear" w:color="auto" w:fill="E5E5E5"/>
          </w:tcPr>
          <w:p>
            <w:pPr>
              <w:jc w:val="center"/>
              <w:ind w:left="371"/>
              <w:spacing w:after="0"/>
              <w:rPr>
                <w:sz w:val="20"/>
                <w:szCs w:val="20"/>
                <w:color w:val="auto"/>
              </w:rPr>
            </w:pPr>
            <w:r>
              <w:rPr>
                <w:rFonts w:ascii="Arial" w:cs="Arial" w:eastAsia="Arial" w:hAnsi="Arial"/>
                <w:sz w:val="10"/>
                <w:szCs w:val="10"/>
                <w:color w:val="auto"/>
                <w:w w:val="99"/>
              </w:rPr>
              <w:t>22%</w:t>
            </w:r>
          </w:p>
        </w:tc>
        <w:tc>
          <w:tcPr>
            <w:tcW w:w="1660" w:type="dxa"/>
            <w:vAlign w:val="bottom"/>
            <w:gridSpan w:val="3"/>
            <w:shd w:val="clear" w:color="auto" w:fill="E5E5E5"/>
          </w:tcPr>
          <w:p>
            <w:pPr>
              <w:jc w:val="center"/>
              <w:ind w:left="451"/>
              <w:spacing w:after="0"/>
              <w:rPr>
                <w:sz w:val="20"/>
                <w:szCs w:val="20"/>
                <w:color w:val="auto"/>
              </w:rPr>
            </w:pPr>
            <w:r>
              <w:rPr>
                <w:rFonts w:ascii="Arial" w:cs="Arial" w:eastAsia="Arial" w:hAnsi="Arial"/>
                <w:sz w:val="10"/>
                <w:szCs w:val="10"/>
                <w:color w:val="auto"/>
                <w:w w:val="99"/>
              </w:rPr>
              <w:t>22%</w:t>
            </w:r>
          </w:p>
        </w:tc>
      </w:tr>
      <w:tr>
        <w:trPr>
          <w:trHeight w:val="178"/>
        </w:trPr>
        <w:tc>
          <w:tcPr>
            <w:tcW w:w="40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Post sale revenue</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1,706</w:t>
            </w:r>
          </w:p>
        </w:tc>
        <w:tc>
          <w:tcPr>
            <w:tcW w:w="120" w:type="dxa"/>
            <w:vAlign w:val="bottom"/>
            <w:tcBorders>
              <w:bottom w:val="single" w:sz="8" w:color="E5E5E5"/>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1,841</w:t>
            </w:r>
          </w:p>
        </w:tc>
        <w:tc>
          <w:tcPr>
            <w:tcW w:w="1260" w:type="dxa"/>
            <w:vAlign w:val="bottom"/>
            <w:tcBorders>
              <w:bottom w:val="single" w:sz="8" w:color="E5E5E5"/>
            </w:tcBorders>
            <w:gridSpan w:val="2"/>
          </w:tcPr>
          <w:p>
            <w:pPr>
              <w:jc w:val="center"/>
              <w:ind w:left="71"/>
              <w:spacing w:after="0"/>
              <w:rPr>
                <w:sz w:val="20"/>
                <w:szCs w:val="20"/>
                <w:color w:val="auto"/>
              </w:rPr>
            </w:pPr>
            <w:r>
              <w:rPr>
                <w:rFonts w:ascii="Arial" w:cs="Arial" w:eastAsia="Arial" w:hAnsi="Arial"/>
                <w:sz w:val="10"/>
                <w:szCs w:val="10"/>
                <w:color w:val="auto"/>
              </w:rPr>
              <w:t>(7.3)%</w:t>
            </w:r>
          </w:p>
        </w:tc>
        <w:tc>
          <w:tcPr>
            <w:tcW w:w="120" w:type="dxa"/>
            <w:vAlign w:val="bottom"/>
            <w:tcBorders>
              <w:bottom w:val="single" w:sz="8" w:color="E5E5E5"/>
            </w:tcBorders>
          </w:tcPr>
          <w:p>
            <w:pPr>
              <w:spacing w:after="0"/>
              <w:rPr>
                <w:sz w:val="15"/>
                <w:szCs w:val="15"/>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0"/>
                <w:szCs w:val="10"/>
                <w:color w:val="auto"/>
                <w:w w:val="94"/>
              </w:rPr>
              <w:t>(6.2)%</w:t>
            </w:r>
          </w:p>
        </w:tc>
        <w:tc>
          <w:tcPr>
            <w:tcW w:w="100" w:type="dxa"/>
            <w:vAlign w:val="bottom"/>
            <w:tcBorders>
              <w:bottom w:val="single" w:sz="8" w:color="E5E5E5"/>
            </w:tcBorders>
          </w:tcPr>
          <w:p>
            <w:pPr>
              <w:spacing w:after="0"/>
              <w:rPr>
                <w:sz w:val="15"/>
                <w:szCs w:val="15"/>
                <w:color w:val="auto"/>
              </w:rPr>
            </w:pPr>
          </w:p>
        </w:tc>
        <w:tc>
          <w:tcPr>
            <w:tcW w:w="740" w:type="dxa"/>
            <w:vAlign w:val="bottom"/>
            <w:tcBorders>
              <w:bottom w:val="single" w:sz="8" w:color="auto"/>
            </w:tcBorders>
          </w:tcPr>
          <w:p>
            <w:pPr>
              <w:jc w:val="center"/>
              <w:ind w:left="371"/>
              <w:spacing w:after="0"/>
              <w:rPr>
                <w:sz w:val="20"/>
                <w:szCs w:val="20"/>
                <w:color w:val="auto"/>
              </w:rPr>
            </w:pPr>
            <w:r>
              <w:rPr>
                <w:rFonts w:ascii="Arial" w:cs="Arial" w:eastAsia="Arial" w:hAnsi="Arial"/>
                <w:sz w:val="10"/>
                <w:szCs w:val="10"/>
                <w:color w:val="auto"/>
                <w:w w:val="99"/>
              </w:rPr>
              <w:t>78%</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78%</w:t>
            </w:r>
          </w:p>
        </w:tc>
      </w:tr>
      <w:tr>
        <w:trPr>
          <w:trHeight w:val="165"/>
        </w:trPr>
        <w:tc>
          <w:tcPr>
            <w:tcW w:w="40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Revenue</w:t>
            </w:r>
          </w:p>
        </w:tc>
        <w:tc>
          <w:tcPr>
            <w:tcW w:w="280" w:type="dxa"/>
            <w:vAlign w:val="bottom"/>
            <w:tcBorders>
              <w:bottom w:val="single" w:sz="8" w:color="auto"/>
            </w:tcBorders>
            <w:shd w:val="clear" w:color="auto" w:fill="E5E5E5"/>
          </w:tcPr>
          <w:p>
            <w:pPr>
              <w:jc w:val="right"/>
              <w:ind w:right="15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2,200</w:t>
            </w:r>
          </w:p>
        </w:tc>
        <w:tc>
          <w:tcPr>
            <w:tcW w:w="120" w:type="dxa"/>
            <w:vAlign w:val="bottom"/>
            <w:tcBorders>
              <w:bottom w:val="single" w:sz="8" w:color="E5E5E5"/>
            </w:tcBorders>
            <w:shd w:val="clear" w:color="auto" w:fill="E5E5E5"/>
          </w:tcPr>
          <w:p>
            <w:pPr>
              <w:spacing w:after="0"/>
              <w:rPr>
                <w:sz w:val="14"/>
                <w:szCs w:val="14"/>
                <w:color w:val="auto"/>
              </w:rPr>
            </w:pPr>
          </w:p>
        </w:tc>
        <w:tc>
          <w:tcPr>
            <w:tcW w:w="440" w:type="dxa"/>
            <w:vAlign w:val="bottom"/>
            <w:tcBorders>
              <w:bottom w:val="single" w:sz="8" w:color="auto"/>
            </w:tcBorders>
            <w:shd w:val="clear" w:color="auto" w:fill="E5E5E5"/>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2,352</w:t>
            </w:r>
          </w:p>
        </w:tc>
        <w:tc>
          <w:tcPr>
            <w:tcW w:w="1260" w:type="dxa"/>
            <w:vAlign w:val="bottom"/>
            <w:tcBorders>
              <w:bottom w:val="single" w:sz="8" w:color="E5E5E5"/>
            </w:tcBorders>
            <w:gridSpan w:val="2"/>
            <w:shd w:val="clear" w:color="auto" w:fill="E5E5E5"/>
          </w:tcPr>
          <w:p>
            <w:pPr>
              <w:jc w:val="center"/>
              <w:ind w:left="71"/>
              <w:spacing w:after="0"/>
              <w:rPr>
                <w:sz w:val="20"/>
                <w:szCs w:val="20"/>
                <w:color w:val="auto"/>
              </w:rPr>
            </w:pPr>
            <w:r>
              <w:rPr>
                <w:rFonts w:ascii="Arial" w:cs="Arial" w:eastAsia="Arial" w:hAnsi="Arial"/>
                <w:sz w:val="10"/>
                <w:szCs w:val="10"/>
                <w:color w:val="auto"/>
              </w:rPr>
              <w:t>(6.5)%</w:t>
            </w:r>
          </w:p>
        </w:tc>
        <w:tc>
          <w:tcPr>
            <w:tcW w:w="120" w:type="dxa"/>
            <w:vAlign w:val="bottom"/>
            <w:tcBorders>
              <w:bottom w:val="single" w:sz="8" w:color="E5E5E5"/>
            </w:tcBorders>
            <w:shd w:val="clear" w:color="auto" w:fill="E5E5E5"/>
          </w:tcPr>
          <w:p>
            <w:pPr>
              <w:spacing w:after="0"/>
              <w:rPr>
                <w:sz w:val="14"/>
                <w:szCs w:val="14"/>
                <w:color w:val="auto"/>
              </w:rPr>
            </w:pPr>
          </w:p>
        </w:tc>
        <w:tc>
          <w:tcPr>
            <w:tcW w:w="11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0"/>
                <w:szCs w:val="10"/>
                <w:color w:val="auto"/>
                <w:w w:val="94"/>
              </w:rPr>
              <w:t>(5.3)%</w:t>
            </w:r>
          </w:p>
        </w:tc>
        <w:tc>
          <w:tcPr>
            <w:tcW w:w="100" w:type="dxa"/>
            <w:vAlign w:val="bottom"/>
            <w:tcBorders>
              <w:bottom w:val="single" w:sz="8" w:color="E5E5E5"/>
            </w:tcBorders>
            <w:shd w:val="clear" w:color="auto" w:fill="E5E5E5"/>
          </w:tcPr>
          <w:p>
            <w:pPr>
              <w:spacing w:after="0"/>
              <w:rPr>
                <w:sz w:val="14"/>
                <w:szCs w:val="14"/>
                <w:color w:val="auto"/>
              </w:rPr>
            </w:pPr>
          </w:p>
        </w:tc>
        <w:tc>
          <w:tcPr>
            <w:tcW w:w="740" w:type="dxa"/>
            <w:vAlign w:val="bottom"/>
            <w:tcBorders>
              <w:bottom w:val="single" w:sz="8" w:color="auto"/>
            </w:tcBorders>
            <w:shd w:val="clear" w:color="auto" w:fill="E5E5E5"/>
          </w:tcPr>
          <w:p>
            <w:pPr>
              <w:jc w:val="center"/>
              <w:ind w:left="371"/>
              <w:spacing w:after="0"/>
              <w:rPr>
                <w:sz w:val="20"/>
                <w:szCs w:val="20"/>
                <w:color w:val="auto"/>
              </w:rPr>
            </w:pPr>
            <w:r>
              <w:rPr>
                <w:rFonts w:ascii="Arial" w:cs="Arial" w:eastAsia="Arial" w:hAnsi="Arial"/>
                <w:sz w:val="10"/>
                <w:szCs w:val="10"/>
                <w:color w:val="auto"/>
                <w:w w:val="93"/>
              </w:rPr>
              <w:t>100%</w:t>
            </w:r>
          </w:p>
        </w:tc>
        <w:tc>
          <w:tcPr>
            <w:tcW w:w="400" w:type="dxa"/>
            <w:vAlign w:val="bottom"/>
            <w:tcBorders>
              <w:bottom w:val="single" w:sz="8" w:color="auto"/>
            </w:tcBorders>
            <w:shd w:val="clear" w:color="auto" w:fill="E5E5E5"/>
          </w:tcPr>
          <w:p>
            <w:pPr>
              <w:spacing w:after="0"/>
              <w:rPr>
                <w:sz w:val="14"/>
                <w:szCs w:val="14"/>
                <w:color w:val="auto"/>
              </w:rPr>
            </w:pPr>
          </w:p>
        </w:tc>
        <w:tc>
          <w:tcPr>
            <w:tcW w:w="120" w:type="dxa"/>
            <w:vAlign w:val="bottom"/>
            <w:tcBorders>
              <w:bottom w:val="single" w:sz="8" w:color="E5E5E5"/>
            </w:tcBorders>
            <w:shd w:val="clear" w:color="auto" w:fill="E5E5E5"/>
          </w:tcPr>
          <w:p>
            <w:pPr>
              <w:spacing w:after="0"/>
              <w:rPr>
                <w:sz w:val="14"/>
                <w:szCs w:val="14"/>
                <w:color w:val="auto"/>
              </w:rPr>
            </w:pPr>
          </w:p>
        </w:tc>
        <w:tc>
          <w:tcPr>
            <w:tcW w:w="11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0"/>
                <w:szCs w:val="10"/>
                <w:color w:val="auto"/>
                <w:w w:val="93"/>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91070" cy="115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1070" cy="115570"/>
                    </a:xfrm>
                    <a:prstGeom prst="rect">
                      <a:avLst/>
                    </a:prstGeom>
                    <a:noFill/>
                  </pic:spPr>
                </pic:pic>
              </a:graphicData>
            </a:graphic>
          </wp:anchor>
        </w:drawing>
      </w:r>
    </w:p>
    <w:p>
      <w:pPr>
        <w:spacing w:after="0" w:line="208" w:lineRule="exact"/>
        <w:rPr>
          <w:sz w:val="20"/>
          <w:szCs w:val="20"/>
          <w:color w:val="auto"/>
        </w:rPr>
      </w:pPr>
    </w:p>
    <w:p>
      <w:pPr>
        <w:ind w:left="27"/>
        <w:spacing w:after="0"/>
        <w:rPr>
          <w:sz w:val="20"/>
          <w:szCs w:val="20"/>
          <w:color w:val="auto"/>
        </w:rPr>
      </w:pPr>
      <w:r>
        <w:rPr>
          <w:rFonts w:ascii="Arial" w:cs="Arial" w:eastAsia="Arial" w:hAnsi="Arial"/>
          <w:sz w:val="10"/>
          <w:szCs w:val="10"/>
          <w:b w:val="1"/>
          <w:bCs w:val="1"/>
          <w:color w:val="auto"/>
        </w:rPr>
        <w:t>Reconciliation to Condensed Consolidated Statements of Income:</w:t>
      </w:r>
    </w:p>
    <w:p>
      <w:pPr>
        <w:sectPr>
          <w:pgSz w:w="11900" w:h="16838" w:orient="portrait"/>
          <w:cols w:equalWidth="0" w:num="1">
            <w:col w:w="11487"/>
          </w:cols>
          <w:pgMar w:left="213" w:top="440" w:right="199" w:bottom="1440" w:gutter="0" w:footer="0" w:header="0"/>
        </w:sectPr>
      </w:pPr>
    </w:p>
    <w:p>
      <w:pPr>
        <w:spacing w:after="0" w:line="76" w:lineRule="exact"/>
        <w:rPr>
          <w:sz w:val="20"/>
          <w:szCs w:val="20"/>
          <w:color w:val="auto"/>
        </w:rPr>
      </w:pPr>
    </w:p>
    <w:tbl>
      <w:tblPr>
        <w:tblLayout w:type="fixed"/>
        <w:tblInd w:w="7" w:type="dxa"/>
        <w:tblCellMar>
          <w:top w:w="0" w:type="dxa"/>
          <w:left w:w="0" w:type="dxa"/>
          <w:bottom w:w="0" w:type="dxa"/>
          <w:right w:w="0" w:type="dxa"/>
        </w:tblCellMar>
      </w:tblPr>
      <w:tr>
        <w:trPr>
          <w:trHeight w:val="155"/>
        </w:trPr>
        <w:tc>
          <w:tcPr>
            <w:tcW w:w="4020" w:type="dxa"/>
            <w:vAlign w:val="bottom"/>
          </w:tcPr>
          <w:p>
            <w:pPr>
              <w:ind w:left="20"/>
              <w:spacing w:after="0"/>
              <w:rPr>
                <w:sz w:val="20"/>
                <w:szCs w:val="20"/>
                <w:color w:val="auto"/>
              </w:rPr>
            </w:pPr>
            <w:r>
              <w:rPr>
                <w:rFonts w:ascii="Arial" w:cs="Arial" w:eastAsia="Arial" w:hAnsi="Arial"/>
                <w:sz w:val="10"/>
                <w:szCs w:val="10"/>
                <w:color w:val="auto"/>
              </w:rPr>
              <w:t>Sales</w:t>
            </w:r>
            <w:r>
              <w:rPr>
                <w:rFonts w:ascii="Arial" w:cs="Arial" w:eastAsia="Arial" w:hAnsi="Arial"/>
                <w:sz w:val="12"/>
                <w:szCs w:val="12"/>
                <w:color w:val="auto"/>
                <w:vertAlign w:val="superscript"/>
              </w:rPr>
              <w:t>(1)</w:t>
            </w:r>
          </w:p>
        </w:tc>
        <w:tc>
          <w:tcPr>
            <w:tcW w:w="44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804</w:t>
            </w:r>
          </w:p>
        </w:tc>
        <w:tc>
          <w:tcPr>
            <w:tcW w:w="120" w:type="dxa"/>
            <w:vAlign w:val="bottom"/>
          </w:tcPr>
          <w:p>
            <w:pPr>
              <w:spacing w:after="0"/>
              <w:rPr>
                <w:sz w:val="13"/>
                <w:szCs w:val="13"/>
                <w:color w:val="auto"/>
              </w:rPr>
            </w:pPr>
          </w:p>
        </w:tc>
        <w:tc>
          <w:tcPr>
            <w:tcW w:w="44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856</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rPr>
              <w:t>(6.1)%</w:t>
            </w:r>
          </w:p>
        </w:tc>
        <w:tc>
          <w:tcPr>
            <w:tcW w:w="1300" w:type="dxa"/>
            <w:vAlign w:val="bottom"/>
          </w:tcPr>
          <w:p>
            <w:pPr>
              <w:jc w:val="center"/>
              <w:ind w:right="11"/>
              <w:spacing w:after="0"/>
              <w:rPr>
                <w:sz w:val="20"/>
                <w:szCs w:val="20"/>
                <w:color w:val="auto"/>
              </w:rPr>
            </w:pPr>
            <w:r>
              <w:rPr>
                <w:rFonts w:ascii="Arial" w:cs="Arial" w:eastAsia="Arial" w:hAnsi="Arial"/>
                <w:sz w:val="10"/>
                <w:szCs w:val="10"/>
                <w:color w:val="auto"/>
                <w:w w:val="94"/>
              </w:rPr>
              <w:t>(5.0)%</w:t>
            </w:r>
          </w:p>
        </w:tc>
        <w:tc>
          <w:tcPr>
            <w:tcW w:w="1140" w:type="dxa"/>
            <w:vAlign w:val="bottom"/>
          </w:tcPr>
          <w:p>
            <w:pPr>
              <w:spacing w:after="0"/>
              <w:rPr>
                <w:sz w:val="13"/>
                <w:szCs w:val="13"/>
                <w:color w:val="auto"/>
              </w:rPr>
            </w:pPr>
          </w:p>
        </w:tc>
      </w:tr>
      <w:tr>
        <w:trPr>
          <w:trHeight w:val="155"/>
        </w:trPr>
        <w:tc>
          <w:tcPr>
            <w:tcW w:w="4020" w:type="dxa"/>
            <w:vAlign w:val="bottom"/>
          </w:tcPr>
          <w:p>
            <w:pPr>
              <w:ind w:left="20"/>
              <w:spacing w:after="0"/>
              <w:rPr>
                <w:sz w:val="20"/>
                <w:szCs w:val="20"/>
                <w:color w:val="auto"/>
              </w:rPr>
            </w:pPr>
            <w:r>
              <w:rPr>
                <w:rFonts w:ascii="Arial" w:cs="Arial" w:eastAsia="Arial" w:hAnsi="Arial"/>
                <w:sz w:val="10"/>
                <w:szCs w:val="10"/>
                <w:color w:val="auto"/>
              </w:rPr>
              <w:t>Less: Supplies, paper and other sales</w:t>
            </w:r>
            <w:r>
              <w:rPr>
                <w:rFonts w:ascii="Arial" w:cs="Arial" w:eastAsia="Arial" w:hAnsi="Arial"/>
                <w:sz w:val="12"/>
                <w:szCs w:val="12"/>
                <w:color w:val="auto"/>
                <w:vertAlign w:val="superscript"/>
              </w:rPr>
              <w:t>(1)</w:t>
            </w: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(310)</w:t>
            </w: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(345)</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w w:val="96"/>
              </w:rPr>
              <w:t>(10.1)%</w:t>
            </w:r>
          </w:p>
        </w:tc>
        <w:tc>
          <w:tcPr>
            <w:tcW w:w="1300" w:type="dxa"/>
            <w:vAlign w:val="bottom"/>
          </w:tcPr>
          <w:p>
            <w:pPr>
              <w:jc w:val="center"/>
              <w:ind w:right="11"/>
              <w:spacing w:after="0"/>
              <w:rPr>
                <w:sz w:val="20"/>
                <w:szCs w:val="20"/>
                <w:color w:val="auto"/>
              </w:rPr>
            </w:pPr>
            <w:r>
              <w:rPr>
                <w:rFonts w:ascii="Arial" w:cs="Arial" w:eastAsia="Arial" w:hAnsi="Arial"/>
                <w:sz w:val="10"/>
                <w:szCs w:val="10"/>
                <w:color w:val="auto"/>
                <w:w w:val="94"/>
              </w:rPr>
              <w:t>(9.2)%</w:t>
            </w:r>
          </w:p>
        </w:tc>
        <w:tc>
          <w:tcPr>
            <w:tcW w:w="1140" w:type="dxa"/>
            <w:vAlign w:val="bottom"/>
          </w:tcPr>
          <w:p>
            <w:pPr>
              <w:spacing w:after="0"/>
              <w:rPr>
                <w:sz w:val="13"/>
                <w:szCs w:val="13"/>
                <w:color w:val="auto"/>
              </w:rPr>
            </w:pPr>
          </w:p>
        </w:tc>
      </w:tr>
      <w:tr>
        <w:trPr>
          <w:trHeight w:val="161"/>
        </w:trPr>
        <w:tc>
          <w:tcPr>
            <w:tcW w:w="4020" w:type="dxa"/>
            <w:vAlign w:val="bottom"/>
          </w:tcPr>
          <w:p>
            <w:pPr>
              <w:ind w:left="20"/>
              <w:spacing w:after="0"/>
              <w:rPr>
                <w:sz w:val="20"/>
                <w:szCs w:val="20"/>
                <w:color w:val="auto"/>
              </w:rPr>
            </w:pPr>
            <w:r>
              <w:rPr>
                <w:rFonts w:ascii="Arial" w:cs="Arial" w:eastAsia="Arial" w:hAnsi="Arial"/>
                <w:sz w:val="10"/>
                <w:szCs w:val="10"/>
                <w:b w:val="1"/>
                <w:bCs w:val="1"/>
                <w:color w:val="auto"/>
              </w:rPr>
              <w:t>Equipment Sales</w:t>
            </w:r>
          </w:p>
        </w:tc>
        <w:tc>
          <w:tcPr>
            <w:tcW w:w="44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494</w:t>
            </w:r>
          </w:p>
        </w:tc>
        <w:tc>
          <w:tcPr>
            <w:tcW w:w="120" w:type="dxa"/>
            <w:vAlign w:val="bottom"/>
          </w:tcPr>
          <w:p>
            <w:pPr>
              <w:spacing w:after="0"/>
              <w:rPr>
                <w:sz w:val="13"/>
                <w:szCs w:val="13"/>
                <w:color w:val="auto"/>
              </w:rPr>
            </w:pPr>
          </w:p>
        </w:tc>
        <w:tc>
          <w:tcPr>
            <w:tcW w:w="44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511</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rPr>
              <w:t>(3.3)%</w:t>
            </w:r>
          </w:p>
        </w:tc>
        <w:tc>
          <w:tcPr>
            <w:tcW w:w="1300" w:type="dxa"/>
            <w:vAlign w:val="bottom"/>
          </w:tcPr>
          <w:p>
            <w:pPr>
              <w:jc w:val="center"/>
              <w:ind w:right="11"/>
              <w:spacing w:after="0"/>
              <w:rPr>
                <w:sz w:val="20"/>
                <w:szCs w:val="20"/>
                <w:color w:val="auto"/>
              </w:rPr>
            </w:pPr>
            <w:r>
              <w:rPr>
                <w:rFonts w:ascii="Arial" w:cs="Arial" w:eastAsia="Arial" w:hAnsi="Arial"/>
                <w:sz w:val="10"/>
                <w:szCs w:val="10"/>
                <w:color w:val="auto"/>
                <w:w w:val="94"/>
              </w:rPr>
              <w:t>(2.2)%</w:t>
            </w:r>
          </w:p>
        </w:tc>
        <w:tc>
          <w:tcPr>
            <w:tcW w:w="1140" w:type="dxa"/>
            <w:vAlign w:val="bottom"/>
          </w:tcPr>
          <w:p>
            <w:pPr>
              <w:spacing w:after="0"/>
              <w:rPr>
                <w:sz w:val="13"/>
                <w:szCs w:val="13"/>
                <w:color w:val="auto"/>
              </w:rPr>
            </w:pPr>
          </w:p>
        </w:tc>
      </w:tr>
      <w:tr>
        <w:trPr>
          <w:trHeight w:val="392"/>
        </w:trPr>
        <w:tc>
          <w:tcPr>
            <w:tcW w:w="4020" w:type="dxa"/>
            <w:vAlign w:val="bottom"/>
          </w:tcPr>
          <w:p>
            <w:pPr>
              <w:ind w:left="20"/>
              <w:spacing w:after="0"/>
              <w:rPr>
                <w:sz w:val="20"/>
                <w:szCs w:val="20"/>
                <w:color w:val="auto"/>
              </w:rPr>
            </w:pPr>
            <w:r>
              <w:rPr>
                <w:rFonts w:ascii="Arial" w:cs="Arial" w:eastAsia="Arial" w:hAnsi="Arial"/>
                <w:sz w:val="10"/>
                <w:szCs w:val="10"/>
                <w:color w:val="auto"/>
              </w:rPr>
              <w:t>Services, maintenance and rentals</w:t>
            </w:r>
            <w:r>
              <w:rPr>
                <w:rFonts w:ascii="Arial" w:cs="Arial" w:eastAsia="Arial" w:hAnsi="Arial"/>
                <w:sz w:val="12"/>
                <w:szCs w:val="12"/>
                <w:color w:val="auto"/>
                <w:vertAlign w:val="superscript"/>
              </w:rPr>
              <w:t>(1)</w:t>
            </w:r>
          </w:p>
        </w:tc>
        <w:tc>
          <w:tcPr>
            <w:tcW w:w="44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1,336</w:t>
            </w:r>
          </w:p>
        </w:tc>
        <w:tc>
          <w:tcPr>
            <w:tcW w:w="120" w:type="dxa"/>
            <w:vAlign w:val="bottom"/>
          </w:tcPr>
          <w:p>
            <w:pPr>
              <w:spacing w:after="0"/>
              <w:rPr>
                <w:sz w:val="24"/>
                <w:szCs w:val="24"/>
                <w:color w:val="auto"/>
              </w:rPr>
            </w:pPr>
          </w:p>
        </w:tc>
        <w:tc>
          <w:tcPr>
            <w:tcW w:w="44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1,431</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rPr>
              <w:t>(6.6)%</w:t>
            </w:r>
          </w:p>
        </w:tc>
        <w:tc>
          <w:tcPr>
            <w:tcW w:w="1300" w:type="dxa"/>
            <w:vAlign w:val="bottom"/>
          </w:tcPr>
          <w:p>
            <w:pPr>
              <w:jc w:val="center"/>
              <w:ind w:right="11"/>
              <w:spacing w:after="0"/>
              <w:rPr>
                <w:sz w:val="20"/>
                <w:szCs w:val="20"/>
                <w:color w:val="auto"/>
              </w:rPr>
            </w:pPr>
            <w:r>
              <w:rPr>
                <w:rFonts w:ascii="Arial" w:cs="Arial" w:eastAsia="Arial" w:hAnsi="Arial"/>
                <w:sz w:val="10"/>
                <w:szCs w:val="10"/>
                <w:color w:val="auto"/>
                <w:w w:val="94"/>
              </w:rPr>
              <w:t>(5.6)%</w:t>
            </w:r>
          </w:p>
        </w:tc>
        <w:tc>
          <w:tcPr>
            <w:tcW w:w="1140" w:type="dxa"/>
            <w:vAlign w:val="bottom"/>
          </w:tcPr>
          <w:p>
            <w:pPr>
              <w:spacing w:after="0"/>
              <w:rPr>
                <w:sz w:val="24"/>
                <w:szCs w:val="24"/>
                <w:color w:val="auto"/>
              </w:rPr>
            </w:pPr>
          </w:p>
        </w:tc>
      </w:tr>
      <w:tr>
        <w:trPr>
          <w:trHeight w:val="182"/>
        </w:trPr>
        <w:tc>
          <w:tcPr>
            <w:tcW w:w="4020" w:type="dxa"/>
            <w:vAlign w:val="bottom"/>
          </w:tcPr>
          <w:p>
            <w:pPr>
              <w:ind w:left="20"/>
              <w:spacing w:after="0"/>
              <w:rPr>
                <w:sz w:val="20"/>
                <w:szCs w:val="20"/>
                <w:color w:val="auto"/>
              </w:rPr>
            </w:pPr>
            <w:r>
              <w:rPr>
                <w:rFonts w:ascii="Arial" w:cs="Arial" w:eastAsia="Arial" w:hAnsi="Arial"/>
                <w:sz w:val="10"/>
                <w:szCs w:val="10"/>
                <w:color w:val="auto"/>
              </w:rPr>
              <w:t>Add: Supplies, paper and other sales</w:t>
            </w:r>
            <w:r>
              <w:rPr>
                <w:rFonts w:ascii="Arial" w:cs="Arial" w:eastAsia="Arial" w:hAnsi="Arial"/>
                <w:sz w:val="12"/>
                <w:szCs w:val="12"/>
                <w:color w:val="auto"/>
                <w:vertAlign w:val="superscript"/>
              </w:rPr>
              <w:t>(1)</w:t>
            </w:r>
          </w:p>
        </w:tc>
        <w:tc>
          <w:tcPr>
            <w:tcW w:w="440" w:type="dxa"/>
            <w:vAlign w:val="bottom"/>
          </w:tcPr>
          <w:p>
            <w:pPr>
              <w:spacing w:after="0"/>
              <w:rPr>
                <w:sz w:val="15"/>
                <w:szCs w:val="15"/>
                <w:color w:val="auto"/>
              </w:rPr>
            </w:pP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310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345</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w w:val="96"/>
              </w:rPr>
              <w:t>(10.1)%</w:t>
            </w:r>
          </w:p>
        </w:tc>
        <w:tc>
          <w:tcPr>
            <w:tcW w:w="1300" w:type="dxa"/>
            <w:vAlign w:val="bottom"/>
          </w:tcPr>
          <w:p>
            <w:pPr>
              <w:jc w:val="center"/>
              <w:ind w:right="11"/>
              <w:spacing w:after="0"/>
              <w:rPr>
                <w:sz w:val="20"/>
                <w:szCs w:val="20"/>
                <w:color w:val="auto"/>
              </w:rPr>
            </w:pPr>
            <w:r>
              <w:rPr>
                <w:rFonts w:ascii="Arial" w:cs="Arial" w:eastAsia="Arial" w:hAnsi="Arial"/>
                <w:sz w:val="10"/>
                <w:szCs w:val="10"/>
                <w:color w:val="auto"/>
                <w:w w:val="94"/>
              </w:rPr>
              <w:t>(9.2)%</w:t>
            </w:r>
          </w:p>
        </w:tc>
        <w:tc>
          <w:tcPr>
            <w:tcW w:w="1140" w:type="dxa"/>
            <w:vAlign w:val="bottom"/>
          </w:tcPr>
          <w:p>
            <w:pPr>
              <w:spacing w:after="0"/>
              <w:rPr>
                <w:sz w:val="15"/>
                <w:szCs w:val="15"/>
                <w:color w:val="auto"/>
              </w:rPr>
            </w:pPr>
          </w:p>
        </w:tc>
      </w:tr>
      <w:tr>
        <w:trPr>
          <w:trHeight w:val="146"/>
        </w:trPr>
        <w:tc>
          <w:tcPr>
            <w:tcW w:w="4020" w:type="dxa"/>
            <w:vAlign w:val="bottom"/>
          </w:tcPr>
          <w:p>
            <w:pPr>
              <w:ind w:left="20"/>
              <w:spacing w:after="0"/>
              <w:rPr>
                <w:sz w:val="20"/>
                <w:szCs w:val="20"/>
                <w:color w:val="auto"/>
              </w:rPr>
            </w:pPr>
            <w:r>
              <w:rPr>
                <w:rFonts w:ascii="Arial" w:cs="Arial" w:eastAsia="Arial" w:hAnsi="Arial"/>
                <w:sz w:val="10"/>
                <w:szCs w:val="10"/>
                <w:color w:val="auto"/>
              </w:rPr>
              <w:t>Add: Financing</w:t>
            </w: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60</w:t>
            </w: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65</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rPr>
              <w:t>(7.7)%</w:t>
            </w:r>
          </w:p>
        </w:tc>
        <w:tc>
          <w:tcPr>
            <w:tcW w:w="1300" w:type="dxa"/>
            <w:vAlign w:val="bottom"/>
          </w:tcPr>
          <w:p>
            <w:pPr>
              <w:jc w:val="center"/>
              <w:ind w:right="11"/>
              <w:spacing w:after="0"/>
              <w:rPr>
                <w:sz w:val="20"/>
                <w:szCs w:val="20"/>
                <w:color w:val="auto"/>
              </w:rPr>
            </w:pPr>
            <w:r>
              <w:rPr>
                <w:rFonts w:ascii="Arial" w:cs="Arial" w:eastAsia="Arial" w:hAnsi="Arial"/>
                <w:sz w:val="10"/>
                <w:szCs w:val="10"/>
                <w:color w:val="auto"/>
                <w:w w:val="94"/>
              </w:rPr>
              <w:t>(7.0)%</w:t>
            </w:r>
          </w:p>
        </w:tc>
        <w:tc>
          <w:tcPr>
            <w:tcW w:w="1140" w:type="dxa"/>
            <w:vAlign w:val="bottom"/>
          </w:tcPr>
          <w:p>
            <w:pPr>
              <w:spacing w:after="0"/>
              <w:rPr>
                <w:sz w:val="12"/>
                <w:szCs w:val="12"/>
                <w:color w:val="auto"/>
              </w:rPr>
            </w:pPr>
          </w:p>
        </w:tc>
      </w:tr>
      <w:tr>
        <w:trPr>
          <w:trHeight w:val="169"/>
        </w:trPr>
        <w:tc>
          <w:tcPr>
            <w:tcW w:w="4020" w:type="dxa"/>
            <w:vAlign w:val="bottom"/>
          </w:tcPr>
          <w:p>
            <w:pPr>
              <w:ind w:left="20"/>
              <w:spacing w:after="0"/>
              <w:rPr>
                <w:sz w:val="20"/>
                <w:szCs w:val="20"/>
                <w:color w:val="auto"/>
              </w:rPr>
            </w:pPr>
            <w:r>
              <w:rPr>
                <w:rFonts w:ascii="Arial" w:cs="Arial" w:eastAsia="Arial" w:hAnsi="Arial"/>
                <w:sz w:val="10"/>
                <w:szCs w:val="10"/>
                <w:b w:val="1"/>
                <w:bCs w:val="1"/>
                <w:color w:val="auto"/>
              </w:rPr>
              <w:t>Post Sale Revenue</w:t>
            </w:r>
          </w:p>
        </w:tc>
        <w:tc>
          <w:tcPr>
            <w:tcW w:w="44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1,706</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1,841</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rPr>
              <w:t>(7.3)%</w:t>
            </w:r>
          </w:p>
        </w:tc>
        <w:tc>
          <w:tcPr>
            <w:tcW w:w="1300" w:type="dxa"/>
            <w:vAlign w:val="bottom"/>
          </w:tcPr>
          <w:p>
            <w:pPr>
              <w:jc w:val="center"/>
              <w:ind w:right="11"/>
              <w:spacing w:after="0"/>
              <w:rPr>
                <w:sz w:val="20"/>
                <w:szCs w:val="20"/>
                <w:color w:val="auto"/>
              </w:rPr>
            </w:pPr>
            <w:r>
              <w:rPr>
                <w:rFonts w:ascii="Arial" w:cs="Arial" w:eastAsia="Arial" w:hAnsi="Arial"/>
                <w:sz w:val="10"/>
                <w:szCs w:val="10"/>
                <w:color w:val="auto"/>
                <w:w w:val="94"/>
              </w:rPr>
              <w:t>(6.2)%</w:t>
            </w:r>
          </w:p>
        </w:tc>
        <w:tc>
          <w:tcPr>
            <w:tcW w:w="1140" w:type="dxa"/>
            <w:vAlign w:val="bottom"/>
          </w:tcPr>
          <w:p>
            <w:pPr>
              <w:spacing w:after="0"/>
              <w:rPr>
                <w:sz w:val="14"/>
                <w:szCs w:val="14"/>
                <w:color w:val="auto"/>
              </w:rPr>
            </w:pPr>
          </w:p>
        </w:tc>
      </w:tr>
      <w:tr>
        <w:trPr>
          <w:trHeight w:val="329"/>
        </w:trPr>
        <w:tc>
          <w:tcPr>
            <w:tcW w:w="4020" w:type="dxa"/>
            <w:vAlign w:val="bottom"/>
          </w:tcPr>
          <w:p>
            <w:pPr>
              <w:ind w:left="20"/>
              <w:spacing w:after="0"/>
              <w:rPr>
                <w:sz w:val="20"/>
                <w:szCs w:val="20"/>
                <w:color w:val="auto"/>
              </w:rPr>
            </w:pPr>
            <w:r>
              <w:rPr>
                <w:rFonts w:ascii="Arial" w:cs="Arial" w:eastAsia="Arial" w:hAnsi="Arial"/>
                <w:sz w:val="10"/>
                <w:szCs w:val="10"/>
                <w:color w:val="auto"/>
              </w:rPr>
              <w:t>Americas</w:t>
            </w:r>
          </w:p>
        </w:tc>
        <w:tc>
          <w:tcPr>
            <w:tcW w:w="44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1,487</w:t>
            </w:r>
          </w:p>
        </w:tc>
        <w:tc>
          <w:tcPr>
            <w:tcW w:w="120" w:type="dxa"/>
            <w:vAlign w:val="bottom"/>
          </w:tcPr>
          <w:p>
            <w:pPr>
              <w:spacing w:after="0"/>
              <w:rPr>
                <w:sz w:val="24"/>
                <w:szCs w:val="24"/>
                <w:color w:val="auto"/>
              </w:rPr>
            </w:pPr>
          </w:p>
        </w:tc>
        <w:tc>
          <w:tcPr>
            <w:tcW w:w="44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1,544</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rPr>
              <w:t>(3.7)%</w:t>
            </w:r>
          </w:p>
        </w:tc>
        <w:tc>
          <w:tcPr>
            <w:tcW w:w="1300" w:type="dxa"/>
            <w:vAlign w:val="bottom"/>
          </w:tcPr>
          <w:p>
            <w:pPr>
              <w:jc w:val="center"/>
              <w:ind w:right="11"/>
              <w:spacing w:after="0"/>
              <w:rPr>
                <w:sz w:val="20"/>
                <w:szCs w:val="20"/>
                <w:color w:val="auto"/>
              </w:rPr>
            </w:pPr>
            <w:r>
              <w:rPr>
                <w:rFonts w:ascii="Arial" w:cs="Arial" w:eastAsia="Arial" w:hAnsi="Arial"/>
                <w:sz w:val="10"/>
                <w:szCs w:val="10"/>
                <w:color w:val="auto"/>
                <w:w w:val="94"/>
              </w:rPr>
              <w:t>(3.6)%</w:t>
            </w:r>
          </w:p>
        </w:tc>
        <w:tc>
          <w:tcPr>
            <w:tcW w:w="1140" w:type="dxa"/>
            <w:vAlign w:val="bottom"/>
          </w:tcPr>
          <w:p>
            <w:pPr>
              <w:jc w:val="center"/>
              <w:spacing w:after="0"/>
              <w:rPr>
                <w:sz w:val="20"/>
                <w:szCs w:val="20"/>
                <w:color w:val="auto"/>
              </w:rPr>
            </w:pPr>
            <w:r>
              <w:rPr>
                <w:rFonts w:ascii="Arial" w:cs="Arial" w:eastAsia="Arial" w:hAnsi="Arial"/>
                <w:sz w:val="10"/>
                <w:szCs w:val="10"/>
                <w:color w:val="auto"/>
                <w:w w:val="99"/>
              </w:rPr>
              <w:t>68%</w:t>
            </w:r>
          </w:p>
        </w:tc>
      </w:tr>
      <w:tr>
        <w:trPr>
          <w:trHeight w:val="182"/>
        </w:trPr>
        <w:tc>
          <w:tcPr>
            <w:tcW w:w="4020" w:type="dxa"/>
            <w:vAlign w:val="bottom"/>
          </w:tcPr>
          <w:p>
            <w:pPr>
              <w:ind w:left="20"/>
              <w:spacing w:after="0"/>
              <w:rPr>
                <w:sz w:val="20"/>
                <w:szCs w:val="20"/>
                <w:color w:val="auto"/>
              </w:rPr>
            </w:pPr>
            <w:r>
              <w:rPr>
                <w:rFonts w:ascii="Arial" w:cs="Arial" w:eastAsia="Arial" w:hAnsi="Arial"/>
                <w:sz w:val="10"/>
                <w:szCs w:val="10"/>
                <w:color w:val="auto"/>
              </w:rPr>
              <w:t>EMEA</w:t>
            </w:r>
          </w:p>
        </w:tc>
        <w:tc>
          <w:tcPr>
            <w:tcW w:w="440" w:type="dxa"/>
            <w:vAlign w:val="bottom"/>
          </w:tcPr>
          <w:p>
            <w:pPr>
              <w:spacing w:after="0"/>
              <w:rPr>
                <w:sz w:val="15"/>
                <w:szCs w:val="15"/>
                <w:color w:val="auto"/>
              </w:rPr>
            </w:pP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641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713</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w w:val="96"/>
              </w:rPr>
              <w:t>(10.1)%</w:t>
            </w:r>
          </w:p>
        </w:tc>
        <w:tc>
          <w:tcPr>
            <w:tcW w:w="1300" w:type="dxa"/>
            <w:vAlign w:val="bottom"/>
          </w:tcPr>
          <w:p>
            <w:pPr>
              <w:jc w:val="center"/>
              <w:ind w:right="11"/>
              <w:spacing w:after="0"/>
              <w:rPr>
                <w:sz w:val="20"/>
                <w:szCs w:val="20"/>
                <w:color w:val="auto"/>
              </w:rPr>
            </w:pPr>
            <w:r>
              <w:rPr>
                <w:rFonts w:ascii="Arial" w:cs="Arial" w:eastAsia="Arial" w:hAnsi="Arial"/>
                <w:sz w:val="10"/>
                <w:szCs w:val="10"/>
                <w:color w:val="auto"/>
                <w:w w:val="94"/>
              </w:rPr>
              <w:t>(6.8)%</w:t>
            </w:r>
          </w:p>
        </w:tc>
        <w:tc>
          <w:tcPr>
            <w:tcW w:w="1140" w:type="dxa"/>
            <w:vAlign w:val="bottom"/>
          </w:tcPr>
          <w:p>
            <w:pPr>
              <w:jc w:val="center"/>
              <w:spacing w:after="0"/>
              <w:rPr>
                <w:sz w:val="20"/>
                <w:szCs w:val="20"/>
                <w:color w:val="auto"/>
              </w:rPr>
            </w:pPr>
            <w:r>
              <w:rPr>
                <w:rFonts w:ascii="Arial" w:cs="Arial" w:eastAsia="Arial" w:hAnsi="Arial"/>
                <w:sz w:val="10"/>
                <w:szCs w:val="10"/>
                <w:color w:val="auto"/>
                <w:w w:val="99"/>
              </w:rPr>
              <w:t>29%</w:t>
            </w:r>
          </w:p>
        </w:tc>
      </w:tr>
      <w:tr>
        <w:trPr>
          <w:trHeight w:val="182"/>
        </w:trPr>
        <w:tc>
          <w:tcPr>
            <w:tcW w:w="4020" w:type="dxa"/>
            <w:vAlign w:val="bottom"/>
          </w:tcPr>
          <w:p>
            <w:pPr>
              <w:ind w:left="20"/>
              <w:spacing w:after="0"/>
              <w:rPr>
                <w:sz w:val="20"/>
                <w:szCs w:val="20"/>
                <w:color w:val="auto"/>
              </w:rPr>
            </w:pPr>
            <w:r>
              <w:rPr>
                <w:rFonts w:ascii="Arial" w:cs="Arial" w:eastAsia="Arial" w:hAnsi="Arial"/>
                <w:sz w:val="10"/>
                <w:szCs w:val="10"/>
                <w:color w:val="auto"/>
              </w:rPr>
              <w:t>Other</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72</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95</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w w:val="96"/>
              </w:rPr>
              <w:t>(24.2)%</w:t>
            </w:r>
          </w:p>
        </w:tc>
        <w:tc>
          <w:tcPr>
            <w:tcW w:w="1300" w:type="dxa"/>
            <w:vAlign w:val="bottom"/>
          </w:tcPr>
          <w:p>
            <w:pPr>
              <w:jc w:val="center"/>
              <w:spacing w:after="0"/>
              <w:rPr>
                <w:sz w:val="20"/>
                <w:szCs w:val="20"/>
                <w:color w:val="auto"/>
              </w:rPr>
            </w:pPr>
            <w:r>
              <w:rPr>
                <w:rFonts w:ascii="Arial" w:cs="Arial" w:eastAsia="Arial" w:hAnsi="Arial"/>
                <w:sz w:val="10"/>
                <w:szCs w:val="10"/>
                <w:color w:val="auto"/>
                <w:w w:val="96"/>
              </w:rPr>
              <w:t>(24.2)%</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3%</w:t>
            </w:r>
          </w:p>
        </w:tc>
      </w:tr>
      <w:tr>
        <w:trPr>
          <w:trHeight w:val="169"/>
        </w:trPr>
        <w:tc>
          <w:tcPr>
            <w:tcW w:w="4020" w:type="dxa"/>
            <w:vAlign w:val="bottom"/>
          </w:tcPr>
          <w:p>
            <w:pPr>
              <w:ind w:left="20"/>
              <w:spacing w:after="0"/>
              <w:rPr>
                <w:sz w:val="20"/>
                <w:szCs w:val="20"/>
                <w:color w:val="auto"/>
              </w:rPr>
            </w:pPr>
            <w:r>
              <w:rPr>
                <w:rFonts w:ascii="Arial" w:cs="Arial" w:eastAsia="Arial" w:hAnsi="Arial"/>
                <w:sz w:val="10"/>
                <w:szCs w:val="10"/>
                <w:b w:val="1"/>
                <w:bCs w:val="1"/>
                <w:color w:val="auto"/>
              </w:rPr>
              <w:t>Total Revenue</w:t>
            </w:r>
            <w:r>
              <w:rPr>
                <w:rFonts w:ascii="Arial" w:cs="Arial" w:eastAsia="Arial" w:hAnsi="Arial"/>
                <w:sz w:val="12"/>
                <w:szCs w:val="12"/>
                <w:b w:val="1"/>
                <w:bCs w:val="1"/>
                <w:color w:val="auto"/>
                <w:vertAlign w:val="superscript"/>
              </w:rPr>
              <w:t>(2)</w:t>
            </w:r>
          </w:p>
        </w:tc>
        <w:tc>
          <w:tcPr>
            <w:tcW w:w="44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2,200</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2,352</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rPr>
              <w:t>(6.5)%</w:t>
            </w:r>
          </w:p>
        </w:tc>
        <w:tc>
          <w:tcPr>
            <w:tcW w:w="1300" w:type="dxa"/>
            <w:vAlign w:val="bottom"/>
          </w:tcPr>
          <w:p>
            <w:pPr>
              <w:jc w:val="center"/>
              <w:ind w:right="11"/>
              <w:spacing w:after="0"/>
              <w:rPr>
                <w:sz w:val="20"/>
                <w:szCs w:val="20"/>
                <w:color w:val="auto"/>
              </w:rPr>
            </w:pPr>
            <w:r>
              <w:rPr>
                <w:rFonts w:ascii="Arial" w:cs="Arial" w:eastAsia="Arial" w:hAnsi="Arial"/>
                <w:sz w:val="10"/>
                <w:szCs w:val="10"/>
                <w:color w:val="auto"/>
                <w:w w:val="94"/>
              </w:rPr>
              <w:t>(5.3)%</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100%</w:t>
            </w:r>
          </w:p>
        </w:tc>
      </w:tr>
      <w:tr>
        <w:trPr>
          <w:trHeight w:val="329"/>
        </w:trPr>
        <w:tc>
          <w:tcPr>
            <w:tcW w:w="4020" w:type="dxa"/>
            <w:vAlign w:val="bottom"/>
          </w:tcPr>
          <w:p>
            <w:pPr>
              <w:ind w:left="20"/>
              <w:spacing w:after="0"/>
              <w:rPr>
                <w:sz w:val="20"/>
                <w:szCs w:val="20"/>
                <w:color w:val="auto"/>
              </w:rPr>
            </w:pPr>
            <w:r>
              <w:rPr>
                <w:rFonts w:ascii="Arial" w:cs="Arial" w:eastAsia="Arial" w:hAnsi="Arial"/>
                <w:sz w:val="10"/>
                <w:szCs w:val="10"/>
                <w:b w:val="1"/>
                <w:bCs w:val="1"/>
                <w:color w:val="auto"/>
              </w:rPr>
              <w:t>Memo:</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0"/>
                <w:szCs w:val="10"/>
                <w:color w:val="auto"/>
              </w:rPr>
              <w:t>Xerox Services</w:t>
            </w:r>
            <w:r>
              <w:rPr>
                <w:rFonts w:ascii="Arial" w:cs="Arial" w:eastAsia="Arial" w:hAnsi="Arial"/>
                <w:sz w:val="12"/>
                <w:szCs w:val="12"/>
                <w:color w:val="auto"/>
                <w:vertAlign w:val="superscript"/>
              </w:rPr>
              <w:t>(3)</w:t>
            </w:r>
          </w:p>
        </w:tc>
        <w:tc>
          <w:tcPr>
            <w:tcW w:w="44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830</w:t>
            </w:r>
          </w:p>
        </w:tc>
        <w:tc>
          <w:tcPr>
            <w:tcW w:w="120" w:type="dxa"/>
            <w:vAlign w:val="bottom"/>
          </w:tcPr>
          <w:p>
            <w:pPr>
              <w:spacing w:after="0"/>
              <w:rPr>
                <w:sz w:val="16"/>
                <w:szCs w:val="16"/>
                <w:color w:val="auto"/>
              </w:rPr>
            </w:pPr>
          </w:p>
        </w:tc>
        <w:tc>
          <w:tcPr>
            <w:tcW w:w="44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883</w:t>
            </w:r>
          </w:p>
        </w:tc>
        <w:tc>
          <w:tcPr>
            <w:tcW w:w="1320" w:type="dxa"/>
            <w:vAlign w:val="bottom"/>
          </w:tcPr>
          <w:p>
            <w:pPr>
              <w:jc w:val="center"/>
              <w:ind w:left="11"/>
              <w:spacing w:after="0"/>
              <w:rPr>
                <w:sz w:val="20"/>
                <w:szCs w:val="20"/>
                <w:color w:val="auto"/>
              </w:rPr>
            </w:pPr>
            <w:r>
              <w:rPr>
                <w:rFonts w:ascii="Arial" w:cs="Arial" w:eastAsia="Arial" w:hAnsi="Arial"/>
                <w:sz w:val="10"/>
                <w:szCs w:val="10"/>
                <w:color w:val="auto"/>
              </w:rPr>
              <w:t>(6.0)%</w:t>
            </w:r>
          </w:p>
        </w:tc>
        <w:tc>
          <w:tcPr>
            <w:tcW w:w="1300" w:type="dxa"/>
            <w:vAlign w:val="bottom"/>
          </w:tcPr>
          <w:p>
            <w:pPr>
              <w:jc w:val="center"/>
              <w:ind w:right="11"/>
              <w:spacing w:after="0"/>
              <w:rPr>
                <w:sz w:val="20"/>
                <w:szCs w:val="20"/>
                <w:color w:val="auto"/>
              </w:rPr>
            </w:pPr>
            <w:r>
              <w:rPr>
                <w:rFonts w:ascii="Arial" w:cs="Arial" w:eastAsia="Arial" w:hAnsi="Arial"/>
                <w:sz w:val="10"/>
                <w:szCs w:val="10"/>
                <w:color w:val="auto"/>
                <w:w w:val="94"/>
              </w:rPr>
              <w:t>(4.6)%</w:t>
            </w:r>
          </w:p>
        </w:tc>
        <w:tc>
          <w:tcPr>
            <w:tcW w:w="1140" w:type="dxa"/>
            <w:vAlign w:val="bottom"/>
          </w:tcPr>
          <w:p>
            <w:pPr>
              <w:jc w:val="center"/>
              <w:spacing w:after="0"/>
              <w:rPr>
                <w:sz w:val="20"/>
                <w:szCs w:val="20"/>
                <w:color w:val="auto"/>
              </w:rPr>
            </w:pPr>
            <w:r>
              <w:rPr>
                <w:rFonts w:ascii="Arial" w:cs="Arial" w:eastAsia="Arial" w:hAnsi="Arial"/>
                <w:sz w:val="10"/>
                <w:szCs w:val="10"/>
                <w:color w:val="auto"/>
                <w:w w:val="99"/>
              </w:rPr>
              <w:t>38%</w:t>
            </w:r>
          </w:p>
        </w:tc>
      </w:tr>
      <w:tr>
        <w:trPr>
          <w:trHeight w:val="88"/>
        </w:trPr>
        <w:tc>
          <w:tcPr>
            <w:tcW w:w="4020" w:type="dxa"/>
            <w:vAlign w:val="bottom"/>
          </w:tcPr>
          <w:p>
            <w:pPr>
              <w:spacing w:after="0"/>
              <w:rPr>
                <w:sz w:val="20"/>
                <w:szCs w:val="20"/>
                <w:color w:val="auto"/>
              </w:rPr>
            </w:pPr>
            <w:r>
              <w:rPr>
                <w:rFonts w:ascii="Arial" w:cs="Arial" w:eastAsia="Arial" w:hAnsi="Arial"/>
                <w:sz w:val="7"/>
                <w:szCs w:val="7"/>
                <w:color w:val="auto"/>
              </w:rPr>
              <w:t>____________________________</w:t>
            </w: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-1791335</wp:posOffset>
            </wp:positionV>
            <wp:extent cx="7291070" cy="1155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070" cy="115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-1559560</wp:posOffset>
            </wp:positionV>
            <wp:extent cx="7291070" cy="127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1276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-1316355</wp:posOffset>
            </wp:positionV>
            <wp:extent cx="7291070" cy="115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115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-1084580</wp:posOffset>
            </wp:positionV>
            <wp:extent cx="7291070" cy="115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115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-859155</wp:posOffset>
            </wp:positionV>
            <wp:extent cx="7291070" cy="1155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115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-627380</wp:posOffset>
            </wp:positionV>
            <wp:extent cx="7291070" cy="1155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115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-169545</wp:posOffset>
            </wp:positionV>
            <wp:extent cx="7291070" cy="115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1155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-395605</wp:posOffset>
            </wp:positionV>
            <wp:extent cx="7291070" cy="109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109855"/>
                    </a:xfrm>
                    <a:prstGeom prst="rect">
                      <a:avLst/>
                    </a:prstGeom>
                    <a:noFill/>
                  </pic:spPr>
                </pic:pic>
              </a:graphicData>
            </a:graphic>
          </wp:anchor>
        </w:drawing>
      </w:r>
    </w:p>
    <w:p>
      <w:pPr>
        <w:spacing w:after="0" w:line="6" w:lineRule="exact"/>
        <w:rPr>
          <w:sz w:val="20"/>
          <w:szCs w:val="20"/>
          <w:color w:val="auto"/>
        </w:rPr>
      </w:pPr>
    </w:p>
    <w:p>
      <w:pPr>
        <w:ind w:left="7"/>
        <w:spacing w:after="0"/>
        <w:rPr>
          <w:sz w:val="20"/>
          <w:szCs w:val="20"/>
          <w:color w:val="auto"/>
        </w:rPr>
      </w:pPr>
      <w:r>
        <w:rPr>
          <w:rFonts w:ascii="Arial" w:cs="Arial" w:eastAsia="Arial" w:hAnsi="Arial"/>
          <w:sz w:val="10"/>
          <w:szCs w:val="10"/>
          <w:i w:val="1"/>
          <w:iCs w:val="1"/>
          <w:color w:val="auto"/>
        </w:rPr>
        <w:t>CC - Constant Currency (see "Non-GAAP Financial Measures" section).</w:t>
      </w:r>
    </w:p>
    <w:p>
      <w:pPr>
        <w:ind w:left="227" w:hanging="227"/>
        <w:spacing w:after="0" w:line="198" w:lineRule="auto"/>
        <w:tabs>
          <w:tab w:leader="none" w:pos="227" w:val="left"/>
        </w:tabs>
        <w:numPr>
          <w:ilvl w:val="0"/>
          <w:numId w:val="6"/>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Certain prior year amounts have been conformed to the current year presentation. See Appendix III for this change in presentation.</w:t>
      </w:r>
    </w:p>
    <w:p>
      <w:pPr>
        <w:ind w:left="227" w:hanging="227"/>
        <w:spacing w:after="0" w:line="190" w:lineRule="auto"/>
        <w:tabs>
          <w:tab w:leader="none" w:pos="227" w:val="left"/>
        </w:tabs>
        <w:numPr>
          <w:ilvl w:val="0"/>
          <w:numId w:val="6"/>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Refer to Appendix II for our Geographic Sales Channels and Products and Offerings Definitions.</w:t>
      </w:r>
    </w:p>
    <w:p>
      <w:pPr>
        <w:ind w:left="227" w:hanging="227"/>
        <w:spacing w:after="0" w:line="220" w:lineRule="auto"/>
        <w:tabs>
          <w:tab w:leader="none" w:pos="227" w:val="left"/>
        </w:tabs>
        <w:numPr>
          <w:ilvl w:val="0"/>
          <w:numId w:val="6"/>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Excluding equipment revenue, Xerox Services was $719 million and $760 million in the third quarter 2019 and 2018, respectively, representing a decrease of 5.4% including a 1.6-percentage point unfavorable impact from currency.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60"/>
        <w:spacing w:after="0"/>
        <w:rPr>
          <w:sz w:val="20"/>
          <w:szCs w:val="20"/>
          <w:color w:val="auto"/>
        </w:rPr>
      </w:pPr>
      <w:r>
        <w:rPr>
          <w:rFonts w:ascii="Arial" w:cs="Arial" w:eastAsia="Arial" w:hAnsi="Arial"/>
          <w:sz w:val="10"/>
          <w:szCs w:val="10"/>
          <w:color w:val="auto"/>
        </w:rPr>
        <w:t>66%</w:t>
      </w:r>
    </w:p>
    <w:p>
      <w:pPr>
        <w:spacing w:after="0" w:line="67" w:lineRule="exact"/>
        <w:rPr>
          <w:sz w:val="20"/>
          <w:szCs w:val="20"/>
          <w:color w:val="auto"/>
        </w:rPr>
      </w:pPr>
    </w:p>
    <w:p>
      <w:pPr>
        <w:jc w:val="center"/>
        <w:ind w:right="460"/>
        <w:spacing w:after="0"/>
        <w:rPr>
          <w:sz w:val="20"/>
          <w:szCs w:val="20"/>
          <w:color w:val="auto"/>
        </w:rPr>
      </w:pPr>
      <w:r>
        <w:rPr>
          <w:rFonts w:ascii="Arial" w:cs="Arial" w:eastAsia="Arial" w:hAnsi="Arial"/>
          <w:sz w:val="10"/>
          <w:szCs w:val="10"/>
          <w:color w:val="auto"/>
        </w:rPr>
        <w:t>30%</w:t>
      </w:r>
    </w:p>
    <w:p>
      <w:pPr>
        <w:spacing w:after="0" w:line="67" w:lineRule="exact"/>
        <w:rPr>
          <w:sz w:val="20"/>
          <w:szCs w:val="20"/>
          <w:color w:val="auto"/>
        </w:rPr>
      </w:pPr>
    </w:p>
    <w:p>
      <w:pPr>
        <w:jc w:val="center"/>
        <w:ind w:right="460"/>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5715</wp:posOffset>
            </wp:positionV>
            <wp:extent cx="7239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900" cy="5715"/>
                    </a:xfrm>
                    <a:prstGeom prst="rect">
                      <a:avLst/>
                    </a:prstGeom>
                    <a:noFill/>
                  </pic:spPr>
                </pic:pic>
              </a:graphicData>
            </a:graphic>
          </wp:anchor>
        </w:drawing>
      </w:r>
    </w:p>
    <w:p>
      <w:pPr>
        <w:spacing w:after="0" w:line="38" w:lineRule="exact"/>
        <w:rPr>
          <w:sz w:val="20"/>
          <w:szCs w:val="20"/>
          <w:color w:val="auto"/>
        </w:rPr>
      </w:pPr>
    </w:p>
    <w:p>
      <w:pPr>
        <w:jc w:val="center"/>
        <w:ind w:right="460"/>
        <w:spacing w:after="0"/>
        <w:rPr>
          <w:sz w:val="20"/>
          <w:szCs w:val="20"/>
          <w:color w:val="auto"/>
        </w:rPr>
      </w:pPr>
      <w:r>
        <w:rPr>
          <w:rFonts w:ascii="Arial" w:cs="Arial" w:eastAsia="Arial" w:hAnsi="Arial"/>
          <w:sz w:val="9"/>
          <w:szCs w:val="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13335</wp:posOffset>
            </wp:positionV>
            <wp:extent cx="7239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900" cy="571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0"/>
          <w:szCs w:val="10"/>
          <w:color w:val="auto"/>
        </w:rPr>
        <w:t>38%</w:t>
      </w:r>
    </w:p>
    <w:p>
      <w:pPr>
        <w:spacing w:after="0" w:line="674" w:lineRule="exact"/>
        <w:rPr>
          <w:sz w:val="20"/>
          <w:szCs w:val="20"/>
          <w:color w:val="auto"/>
        </w:rPr>
      </w:pPr>
    </w:p>
    <w:p>
      <w:pPr>
        <w:sectPr>
          <w:pgSz w:w="11900" w:h="16838" w:orient="portrait"/>
          <w:cols w:equalWidth="0" w:num="2">
            <w:col w:w="10227" w:space="560"/>
            <w:col w:w="700"/>
          </w:cols>
          <w:pgMar w:left="213" w:top="440" w:right="199" w:bottom="1440" w:gutter="0" w:footer="0" w:header="0"/>
          <w:type w:val="continuous"/>
        </w:sectPr>
      </w:pPr>
    </w:p>
    <w:p>
      <w:pPr>
        <w:ind w:left="7" w:right="380"/>
        <w:spacing w:after="0" w:line="267" w:lineRule="auto"/>
        <w:rPr>
          <w:sz w:val="20"/>
          <w:szCs w:val="20"/>
          <w:color w:val="auto"/>
        </w:rPr>
      </w:pPr>
      <w:r>
        <w:rPr>
          <w:rFonts w:ascii="Arial" w:cs="Arial" w:eastAsia="Arial" w:hAnsi="Arial"/>
          <w:sz w:val="12"/>
          <w:szCs w:val="12"/>
          <w:color w:val="auto"/>
        </w:rPr>
        <w:t>Third quarter 2019 total revenue decreased 6.5% as compared to third quarter 2018, including a 1.2-percentage point unfavorable impact from currency, and an approximate 0.7-percentage point unfavorable impact from lower OEM sales. Third quarter 2019 total revenue reflected the following:</w:t>
      </w:r>
    </w:p>
    <w:p>
      <w:pPr>
        <w:spacing w:after="0" w:line="80" w:lineRule="exact"/>
        <w:rPr>
          <w:sz w:val="20"/>
          <w:szCs w:val="20"/>
          <w:color w:val="auto"/>
        </w:rPr>
      </w:pPr>
    </w:p>
    <w:p>
      <w:pPr>
        <w:ind w:left="227" w:right="40" w:hanging="227"/>
        <w:spacing w:after="0" w:line="259" w:lineRule="auto"/>
        <w:tabs>
          <w:tab w:leader="none" w:pos="227"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Post sale revenue </w:t>
      </w:r>
      <w:r>
        <w:rPr>
          <w:rFonts w:ascii="Arial" w:cs="Arial" w:eastAsia="Arial" w:hAnsi="Arial"/>
          <w:sz w:val="12"/>
          <w:szCs w:val="12"/>
          <w:color w:val="auto"/>
        </w:rPr>
        <w:t>primarily reflects contracted services, equipment maintenance, supplies and financing. These revenues are associated not only with the population of devices in the field, which is affected by</w:t>
      </w:r>
      <w:r>
        <w:rPr>
          <w:rFonts w:ascii="Arial" w:cs="Arial" w:eastAsia="Arial" w:hAnsi="Arial"/>
          <w:sz w:val="12"/>
          <w:szCs w:val="12"/>
          <w:b w:val="1"/>
          <w:bCs w:val="1"/>
          <w:color w:val="auto"/>
        </w:rPr>
        <w:t xml:space="preserve"> </w:t>
      </w:r>
      <w:r>
        <w:rPr>
          <w:rFonts w:ascii="Arial" w:cs="Arial" w:eastAsia="Arial" w:hAnsi="Arial"/>
          <w:sz w:val="12"/>
          <w:szCs w:val="12"/>
          <w:color w:val="auto"/>
        </w:rPr>
        <w:t>installs and removals, but also by the page volumes generated from the usage of such devices, and the revenue per printed page. Post sale revenue also includes transactional IT hardware sales and implementation services from our XBS organization. Post sale revenue decreased 7.3% as compared to third quarter 2018, including a 1.1-percentage point unfavorable impact from currency, and reflected the following:</w:t>
      </w:r>
    </w:p>
    <w:p>
      <w:pPr>
        <w:spacing w:after="0" w:line="2" w:lineRule="exact"/>
        <w:rPr>
          <w:rFonts w:ascii="Arial" w:cs="Arial" w:eastAsia="Arial" w:hAnsi="Arial"/>
          <w:sz w:val="12"/>
          <w:szCs w:val="12"/>
          <w:color w:val="auto"/>
        </w:rPr>
      </w:pPr>
    </w:p>
    <w:p>
      <w:pPr>
        <w:ind w:left="647" w:right="160" w:hanging="209"/>
        <w:spacing w:after="0" w:line="243" w:lineRule="auto"/>
        <w:tabs>
          <w:tab w:leader="none" w:pos="647" w:val="left"/>
        </w:tabs>
        <w:numPr>
          <w:ilvl w:val="1"/>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Services, maintenance and rentals revenue </w:t>
      </w:r>
      <w:r>
        <w:rPr>
          <w:rFonts w:ascii="Arial" w:cs="Arial" w:eastAsia="Arial" w:hAnsi="Arial"/>
          <w:sz w:val="12"/>
          <w:szCs w:val="12"/>
          <w:color w:val="auto"/>
        </w:rPr>
        <w:t>includes rental and maintenance revenue (including bundled supplies) as well as the post sale component of the document services revenue from our</w:t>
      </w:r>
      <w:r>
        <w:rPr>
          <w:rFonts w:ascii="Arial" w:cs="Arial" w:eastAsia="Arial" w:hAnsi="Arial"/>
          <w:sz w:val="12"/>
          <w:szCs w:val="12"/>
          <w:b w:val="1"/>
          <w:bCs w:val="1"/>
          <w:color w:val="auto"/>
        </w:rPr>
        <w:t xml:space="preserve"> </w:t>
      </w:r>
      <w:r>
        <w:rPr>
          <w:rFonts w:ascii="Arial" w:cs="Arial" w:eastAsia="Arial" w:hAnsi="Arial"/>
          <w:sz w:val="12"/>
          <w:szCs w:val="12"/>
          <w:color w:val="auto"/>
        </w:rPr>
        <w:t>Xerox Services offerings. These revenues decreased 6.6% as compared to third quarter 2018, including a 1.0-percentage point unfavorable impact from currency. The decline at constant currency</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reflected the continuing trend of lower page volumes (including a higher mix of lower usage products), an ongoing competitive price environment, and a lower population of devices, which are partially associated with continued lower Enterprise signings and lower installs in prior periods.</w:t>
      </w:r>
    </w:p>
    <w:p>
      <w:pPr>
        <w:spacing w:after="0" w:line="1" w:lineRule="exact"/>
        <w:rPr>
          <w:rFonts w:ascii="Arial" w:cs="Arial" w:eastAsia="Arial" w:hAnsi="Arial"/>
          <w:sz w:val="12"/>
          <w:szCs w:val="12"/>
          <w:color w:val="auto"/>
        </w:rPr>
      </w:pPr>
    </w:p>
    <w:p>
      <w:pPr>
        <w:ind w:left="647" w:right="20" w:hanging="209"/>
        <w:spacing w:after="0" w:line="244" w:lineRule="auto"/>
        <w:tabs>
          <w:tab w:leader="none" w:pos="647" w:val="left"/>
        </w:tabs>
        <w:numPr>
          <w:ilvl w:val="1"/>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Supplies, paper and other sales </w:t>
      </w:r>
      <w:r>
        <w:rPr>
          <w:rFonts w:ascii="Arial" w:cs="Arial" w:eastAsia="Arial" w:hAnsi="Arial"/>
          <w:sz w:val="12"/>
          <w:szCs w:val="12"/>
          <w:color w:val="auto"/>
        </w:rPr>
        <w:t>includes unbundled supplies and other sales. These revenues decreased 10.1% as compared to third quarter 2018, including a 0.9-percentage point unfavorable</w:t>
      </w:r>
      <w:r>
        <w:rPr>
          <w:rFonts w:ascii="Arial" w:cs="Arial" w:eastAsia="Arial" w:hAnsi="Arial"/>
          <w:sz w:val="12"/>
          <w:szCs w:val="12"/>
          <w:b w:val="1"/>
          <w:bCs w:val="1"/>
          <w:color w:val="auto"/>
        </w:rPr>
        <w:t xml:space="preserve"> </w:t>
      </w:r>
      <w:r>
        <w:rPr>
          <w:rFonts w:ascii="Arial" w:cs="Arial" w:eastAsia="Arial" w:hAnsi="Arial"/>
          <w:sz w:val="12"/>
          <w:szCs w:val="12"/>
          <w:color w:val="auto"/>
        </w:rPr>
        <w:t>impact from currency and a 3.9-percentage point unfavorable impact from lower OEM sales. Excluding OEM sales, the decline at constant currency</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reflected lower paper sales from developing markets (primarily from the Latin America region), as well as the impact of lower supplies revenues primarily associated with lower page volume trends. These declines were partially offset by the implementation of a large transactional IT sales arrangement from our XBS organization.</w:t>
      </w:r>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7"/>
          </w:cols>
          <w:pgMar w:left="213" w:top="440" w:right="199" w:bottom="1440" w:gutter="0" w:footer="0" w:header="0"/>
          <w:type w:val="continuous"/>
        </w:sectPr>
      </w:pPr>
    </w:p>
    <w:bookmarkStart w:id="13" w:name="page14"/>
    <w:bookmarkEnd w:id="13"/>
    <w:p>
      <w:pPr>
        <w:ind w:left="647" w:right="600" w:hanging="209"/>
        <w:spacing w:after="0" w:line="292" w:lineRule="auto"/>
        <w:tabs>
          <w:tab w:leader="none" w:pos="647"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Financing revenue </w:t>
      </w:r>
      <w:r>
        <w:rPr>
          <w:rFonts w:ascii="Arial" w:cs="Arial" w:eastAsia="Arial" w:hAnsi="Arial"/>
          <w:sz w:val="12"/>
          <w:szCs w:val="12"/>
          <w:color w:val="auto"/>
        </w:rPr>
        <w:t>is generated from financed equipment sale transactions. The 7.7% decline in these revenues reflected a continued decline in the finance receivables balance due to lower</w:t>
      </w:r>
      <w:r>
        <w:rPr>
          <w:rFonts w:ascii="Arial" w:cs="Arial" w:eastAsia="Arial" w:hAnsi="Arial"/>
          <w:sz w:val="12"/>
          <w:szCs w:val="12"/>
          <w:b w:val="1"/>
          <w:bCs w:val="1"/>
          <w:color w:val="auto"/>
        </w:rPr>
        <w:t xml:space="preserve"> </w:t>
      </w:r>
      <w:r>
        <w:rPr>
          <w:rFonts w:ascii="Arial" w:cs="Arial" w:eastAsia="Arial" w:hAnsi="Arial"/>
          <w:sz w:val="12"/>
          <w:szCs w:val="12"/>
          <w:color w:val="auto"/>
        </w:rPr>
        <w:t>equipment sales in prior periods and included a 0.7-percentage point unfavorable impact from currency.</w:t>
      </w:r>
    </w:p>
    <w:p>
      <w:pPr>
        <w:spacing w:after="0" w:line="370"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40" w:type="dxa"/>
            <w:vAlign w:val="bottom"/>
            <w:gridSpan w:val="3"/>
          </w:tcPr>
          <w:p>
            <w:pPr>
              <w:jc w:val="right"/>
              <w:ind w:right="271"/>
              <w:spacing w:after="0"/>
              <w:rPr>
                <w:sz w:val="20"/>
                <w:szCs w:val="20"/>
                <w:color w:val="auto"/>
              </w:rPr>
            </w:pPr>
            <w:r>
              <w:rPr>
                <w:rFonts w:ascii="Arial" w:cs="Arial" w:eastAsia="Arial" w:hAnsi="Arial"/>
                <w:sz w:val="10"/>
                <w:szCs w:val="10"/>
                <w:color w:val="auto"/>
                <w:w w:val="96"/>
              </w:rPr>
              <w:t>Three Months Ended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16"/>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0"/>
                <w:szCs w:val="10"/>
                <w:color w:val="auto"/>
              </w:rPr>
              <w:t>September 30,</w:t>
            </w: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tcBorders>
              <w:bottom w:val="single" w:sz="8" w:color="auto"/>
            </w:tcBorders>
            <w:gridSpan w:val="3"/>
          </w:tcPr>
          <w:p>
            <w:pPr>
              <w:ind w:left="620"/>
              <w:spacing w:after="0"/>
              <w:rPr>
                <w:sz w:val="20"/>
                <w:szCs w:val="20"/>
                <w:color w:val="auto"/>
              </w:rPr>
            </w:pPr>
            <w:r>
              <w:rPr>
                <w:rFonts w:ascii="Arial" w:cs="Arial" w:eastAsia="Arial" w:hAnsi="Arial"/>
                <w:sz w:val="10"/>
                <w:szCs w:val="10"/>
                <w:color w:val="auto"/>
              </w:rPr>
              <w:t>% of Equipment Sales</w:t>
            </w:r>
          </w:p>
        </w:tc>
      </w:tr>
      <w:tr>
        <w:trPr>
          <w:trHeight w:val="119"/>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2"/>
          </w:tcPr>
          <w:p>
            <w:pPr>
              <w:jc w:val="center"/>
              <w:ind w:left="51"/>
              <w:spacing w:after="0"/>
              <w:rPr>
                <w:sz w:val="20"/>
                <w:szCs w:val="20"/>
                <w:color w:val="auto"/>
              </w:rPr>
            </w:pPr>
            <w:r>
              <w:rPr>
                <w:rFonts w:ascii="Arial" w:cs="Arial" w:eastAsia="Arial" w:hAnsi="Arial"/>
                <w:sz w:val="10"/>
                <w:szCs w:val="10"/>
                <w:color w:val="auto"/>
                <w:w w:val="89"/>
              </w:rPr>
              <w:t>%</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2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E5E5E5"/>
            </w:tcBorders>
          </w:tcPr>
          <w:p>
            <w:pPr>
              <w:spacing w:after="0"/>
              <w:rPr>
                <w:sz w:val="10"/>
                <w:szCs w:val="10"/>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2018</w:t>
            </w: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E5E5E5"/>
            </w:tcBorders>
          </w:tcPr>
          <w:p>
            <w:pPr>
              <w:spacing w:after="0"/>
              <w:rPr>
                <w:sz w:val="10"/>
                <w:szCs w:val="10"/>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Change</w:t>
            </w:r>
          </w:p>
        </w:tc>
        <w:tc>
          <w:tcPr>
            <w:tcW w:w="100" w:type="dxa"/>
            <w:vAlign w:val="bottom"/>
            <w:tcBorders>
              <w:bottom w:val="single" w:sz="8" w:color="E5E5E5"/>
            </w:tcBorders>
          </w:tcPr>
          <w:p>
            <w:pPr>
              <w:spacing w:after="0"/>
              <w:rPr>
                <w:sz w:val="10"/>
                <w:szCs w:val="10"/>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0"/>
                <w:szCs w:val="10"/>
                <w:color w:val="auto"/>
              </w:rPr>
              <w:t>CC % Change</w:t>
            </w:r>
          </w:p>
        </w:tc>
        <w:tc>
          <w:tcPr>
            <w:tcW w:w="100" w:type="dxa"/>
            <w:vAlign w:val="bottom"/>
            <w:tcBorders>
              <w:bottom w:val="single" w:sz="8" w:color="E5E5E5"/>
            </w:tcBorders>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2019</w:t>
            </w:r>
          </w:p>
        </w:tc>
        <w:tc>
          <w:tcPr>
            <w:tcW w:w="100" w:type="dxa"/>
            <w:vAlign w:val="bottom"/>
            <w:tcBorders>
              <w:bottom w:val="single" w:sz="8" w:color="E5E5E5"/>
            </w:tcBorders>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2018</w:t>
            </w:r>
          </w:p>
        </w:tc>
      </w:tr>
      <w:tr>
        <w:trPr>
          <w:trHeight w:val="167"/>
        </w:trPr>
        <w:tc>
          <w:tcPr>
            <w:tcW w:w="47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Entry</w:t>
            </w:r>
          </w:p>
        </w:tc>
        <w:tc>
          <w:tcPr>
            <w:tcW w:w="640" w:type="dxa"/>
            <w:vAlign w:val="bottom"/>
            <w:shd w:val="clear" w:color="auto" w:fill="E5E5E5"/>
          </w:tcPr>
          <w:p>
            <w:pPr>
              <w:jc w:val="right"/>
              <w:ind w:right="511"/>
              <w:spacing w:after="0"/>
              <w:rPr>
                <w:sz w:val="20"/>
                <w:szCs w:val="20"/>
                <w:color w:val="auto"/>
              </w:rPr>
            </w:pPr>
            <w:r>
              <w:rPr>
                <w:rFonts w:ascii="Arial" w:cs="Arial" w:eastAsia="Arial" w:hAnsi="Arial"/>
                <w:sz w:val="10"/>
                <w:szCs w:val="10"/>
                <w:color w:val="auto"/>
              </w:rPr>
              <w:t>$</w:t>
            </w: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49</w:t>
            </w:r>
          </w:p>
        </w:tc>
        <w:tc>
          <w:tcPr>
            <w:tcW w:w="120" w:type="dxa"/>
            <w:vAlign w:val="bottom"/>
            <w:shd w:val="clear" w:color="auto" w:fill="E5E5E5"/>
          </w:tcPr>
          <w:p>
            <w:pPr>
              <w:spacing w:after="0"/>
              <w:rPr>
                <w:sz w:val="14"/>
                <w:szCs w:val="14"/>
                <w:color w:val="auto"/>
              </w:rPr>
            </w:pPr>
          </w:p>
        </w:tc>
        <w:tc>
          <w:tcPr>
            <w:tcW w:w="700" w:type="dxa"/>
            <w:vAlign w:val="bottom"/>
            <w:shd w:val="clear" w:color="auto" w:fill="E5E5E5"/>
          </w:tcPr>
          <w:p>
            <w:pPr>
              <w:jc w:val="right"/>
              <w:ind w:right="591"/>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56</w:t>
            </w:r>
          </w:p>
        </w:tc>
        <w:tc>
          <w:tcPr>
            <w:tcW w:w="1140" w:type="dxa"/>
            <w:vAlign w:val="bottom"/>
            <w:gridSpan w:val="2"/>
            <w:shd w:val="clear" w:color="auto" w:fill="E5E5E5"/>
          </w:tcPr>
          <w:p>
            <w:pPr>
              <w:jc w:val="center"/>
              <w:ind w:left="51"/>
              <w:spacing w:after="0"/>
              <w:rPr>
                <w:sz w:val="20"/>
                <w:szCs w:val="20"/>
                <w:color w:val="auto"/>
              </w:rPr>
            </w:pPr>
            <w:r>
              <w:rPr>
                <w:rFonts w:ascii="Arial" w:cs="Arial" w:eastAsia="Arial" w:hAnsi="Arial"/>
                <w:sz w:val="10"/>
                <w:szCs w:val="10"/>
                <w:color w:val="auto"/>
              </w:rPr>
              <w:t>(12.5)%</w:t>
            </w:r>
          </w:p>
        </w:tc>
        <w:tc>
          <w:tcPr>
            <w:tcW w:w="100" w:type="dxa"/>
            <w:vAlign w:val="bottom"/>
            <w:shd w:val="clear" w:color="auto" w:fill="E5E5E5"/>
          </w:tcPr>
          <w:p>
            <w:pPr>
              <w:spacing w:after="0"/>
              <w:rPr>
                <w:sz w:val="14"/>
                <w:szCs w:val="14"/>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(10.9)%</w:t>
            </w:r>
          </w:p>
        </w:tc>
        <w:tc>
          <w:tcPr>
            <w:tcW w:w="100" w:type="dxa"/>
            <w:vAlign w:val="bottom"/>
            <w:shd w:val="clear" w:color="auto" w:fill="E5E5E5"/>
          </w:tcPr>
          <w:p>
            <w:pPr>
              <w:spacing w:after="0"/>
              <w:rPr>
                <w:sz w:val="14"/>
                <w:szCs w:val="14"/>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w w:val="99"/>
              </w:rPr>
              <w:t>10%</w:t>
            </w:r>
          </w:p>
        </w:tc>
        <w:tc>
          <w:tcPr>
            <w:tcW w:w="100" w:type="dxa"/>
            <w:vAlign w:val="bottom"/>
            <w:shd w:val="clear" w:color="auto" w:fill="E5E5E5"/>
          </w:tcPr>
          <w:p>
            <w:pPr>
              <w:spacing w:after="0"/>
              <w:rPr>
                <w:sz w:val="14"/>
                <w:szCs w:val="14"/>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w w:val="99"/>
              </w:rPr>
              <w:t>11%</w:t>
            </w:r>
          </w:p>
        </w:tc>
      </w:tr>
      <w:tr>
        <w:trPr>
          <w:trHeight w:val="178"/>
        </w:trPr>
        <w:tc>
          <w:tcPr>
            <w:tcW w:w="4700" w:type="dxa"/>
            <w:vAlign w:val="bottom"/>
            <w:gridSpan w:val="2"/>
          </w:tcPr>
          <w:p>
            <w:pPr>
              <w:ind w:left="20"/>
              <w:spacing w:after="0"/>
              <w:rPr>
                <w:sz w:val="20"/>
                <w:szCs w:val="20"/>
                <w:color w:val="auto"/>
              </w:rPr>
            </w:pPr>
            <w:r>
              <w:rPr>
                <w:rFonts w:ascii="Arial" w:cs="Arial" w:eastAsia="Arial" w:hAnsi="Arial"/>
                <w:sz w:val="10"/>
                <w:szCs w:val="10"/>
                <w:color w:val="auto"/>
              </w:rPr>
              <w:t>Mid-range</w:t>
            </w:r>
          </w:p>
        </w:tc>
        <w:tc>
          <w:tcPr>
            <w:tcW w:w="640" w:type="dxa"/>
            <w:vAlign w:val="bottom"/>
          </w:tcPr>
          <w:p>
            <w:pPr>
              <w:spacing w:after="0"/>
              <w:rPr>
                <w:sz w:val="15"/>
                <w:szCs w:val="15"/>
                <w:color w:val="auto"/>
              </w:rPr>
            </w:pPr>
          </w:p>
        </w:tc>
        <w:tc>
          <w:tcPr>
            <w:tcW w:w="420" w:type="dxa"/>
            <w:vAlign w:val="bottom"/>
          </w:tcPr>
          <w:p>
            <w:pPr>
              <w:jc w:val="right"/>
              <w:ind w:right="71"/>
              <w:spacing w:after="0"/>
              <w:rPr>
                <w:sz w:val="20"/>
                <w:szCs w:val="20"/>
                <w:color w:val="auto"/>
              </w:rPr>
            </w:pPr>
            <w:r>
              <w:rPr>
                <w:rFonts w:ascii="Arial" w:cs="Arial" w:eastAsia="Arial" w:hAnsi="Arial"/>
                <w:sz w:val="10"/>
                <w:szCs w:val="10"/>
                <w:color w:val="auto"/>
              </w:rPr>
              <w:t>344</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jc w:val="right"/>
              <w:ind w:right="71"/>
              <w:spacing w:after="0"/>
              <w:rPr>
                <w:sz w:val="20"/>
                <w:szCs w:val="20"/>
                <w:color w:val="auto"/>
              </w:rPr>
            </w:pPr>
            <w:r>
              <w:rPr>
                <w:rFonts w:ascii="Arial" w:cs="Arial" w:eastAsia="Arial" w:hAnsi="Arial"/>
                <w:sz w:val="10"/>
                <w:szCs w:val="10"/>
                <w:color w:val="auto"/>
              </w:rPr>
              <w:t>351</w:t>
            </w:r>
          </w:p>
        </w:tc>
        <w:tc>
          <w:tcPr>
            <w:tcW w:w="1140" w:type="dxa"/>
            <w:vAlign w:val="bottom"/>
            <w:gridSpan w:val="2"/>
          </w:tcPr>
          <w:p>
            <w:pPr>
              <w:jc w:val="center"/>
              <w:ind w:left="51"/>
              <w:spacing w:after="0"/>
              <w:rPr>
                <w:sz w:val="20"/>
                <w:szCs w:val="20"/>
                <w:color w:val="auto"/>
              </w:rPr>
            </w:pPr>
            <w:r>
              <w:rPr>
                <w:rFonts w:ascii="Arial" w:cs="Arial" w:eastAsia="Arial" w:hAnsi="Arial"/>
                <w:sz w:val="10"/>
                <w:szCs w:val="10"/>
                <w:color w:val="auto"/>
                <w:w w:val="94"/>
              </w:rPr>
              <w:t>(2.0)%</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94"/>
              </w:rPr>
              <w:t>(1.2)%</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99"/>
              </w:rPr>
              <w:t>70%</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99"/>
              </w:rPr>
              <w:t>69%</w:t>
            </w:r>
          </w:p>
        </w:tc>
      </w:tr>
      <w:tr>
        <w:trPr>
          <w:trHeight w:val="187"/>
        </w:trPr>
        <w:tc>
          <w:tcPr>
            <w:tcW w:w="47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High-end</w:t>
            </w:r>
          </w:p>
        </w:tc>
        <w:tc>
          <w:tcPr>
            <w:tcW w:w="640" w:type="dxa"/>
            <w:vAlign w:val="bottom"/>
            <w:shd w:val="clear" w:color="auto" w:fill="E5E5E5"/>
          </w:tcPr>
          <w:p>
            <w:pPr>
              <w:spacing w:after="0"/>
              <w:rPr>
                <w:sz w:val="16"/>
                <w:szCs w:val="16"/>
                <w:color w:val="auto"/>
              </w:rPr>
            </w:pPr>
          </w:p>
        </w:tc>
        <w:tc>
          <w:tcPr>
            <w:tcW w:w="4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96</w:t>
            </w: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94</w:t>
            </w:r>
          </w:p>
        </w:tc>
        <w:tc>
          <w:tcPr>
            <w:tcW w:w="1140" w:type="dxa"/>
            <w:vAlign w:val="bottom"/>
            <w:gridSpan w:val="2"/>
            <w:shd w:val="clear" w:color="auto" w:fill="E5E5E5"/>
          </w:tcPr>
          <w:p>
            <w:pPr>
              <w:jc w:val="center"/>
              <w:ind w:left="51"/>
              <w:spacing w:after="0"/>
              <w:rPr>
                <w:sz w:val="20"/>
                <w:szCs w:val="20"/>
                <w:color w:val="auto"/>
              </w:rPr>
            </w:pPr>
            <w:r>
              <w:rPr>
                <w:rFonts w:ascii="Arial" w:cs="Arial" w:eastAsia="Arial" w:hAnsi="Arial"/>
                <w:sz w:val="10"/>
                <w:szCs w:val="10"/>
                <w:color w:val="auto"/>
              </w:rPr>
              <w:t>2.1%</w:t>
            </w:r>
          </w:p>
        </w:tc>
        <w:tc>
          <w:tcPr>
            <w:tcW w:w="100" w:type="dxa"/>
            <w:vAlign w:val="bottom"/>
            <w:shd w:val="clear" w:color="auto" w:fill="E5E5E5"/>
          </w:tcPr>
          <w:p>
            <w:pPr>
              <w:spacing w:after="0"/>
              <w:rPr>
                <w:sz w:val="16"/>
                <w:szCs w:val="16"/>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rPr>
              <w:t>3.4%</w:t>
            </w:r>
          </w:p>
        </w:tc>
        <w:tc>
          <w:tcPr>
            <w:tcW w:w="100" w:type="dxa"/>
            <w:vAlign w:val="bottom"/>
            <w:shd w:val="clear" w:color="auto" w:fill="E5E5E5"/>
          </w:tcPr>
          <w:p>
            <w:pPr>
              <w:spacing w:after="0"/>
              <w:rPr>
                <w:sz w:val="16"/>
                <w:szCs w:val="16"/>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w w:val="99"/>
              </w:rPr>
              <w:t>19%</w:t>
            </w:r>
          </w:p>
        </w:tc>
        <w:tc>
          <w:tcPr>
            <w:tcW w:w="100" w:type="dxa"/>
            <w:vAlign w:val="bottom"/>
            <w:shd w:val="clear" w:color="auto" w:fill="E5E5E5"/>
          </w:tcPr>
          <w:p>
            <w:pPr>
              <w:spacing w:after="0"/>
              <w:rPr>
                <w:sz w:val="16"/>
                <w:szCs w:val="16"/>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0"/>
                <w:szCs w:val="10"/>
                <w:color w:val="auto"/>
                <w:w w:val="99"/>
              </w:rPr>
              <w:t>18%</w:t>
            </w:r>
          </w:p>
        </w:tc>
      </w:tr>
      <w:tr>
        <w:trPr>
          <w:trHeight w:val="178"/>
        </w:trPr>
        <w:tc>
          <w:tcPr>
            <w:tcW w:w="470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Other</w:t>
            </w:r>
          </w:p>
        </w:tc>
        <w:tc>
          <w:tcPr>
            <w:tcW w:w="6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w:t>
            </w:r>
          </w:p>
        </w:tc>
        <w:tc>
          <w:tcPr>
            <w:tcW w:w="120" w:type="dxa"/>
            <w:vAlign w:val="bottom"/>
            <w:tcBorders>
              <w:bottom w:val="single" w:sz="8" w:color="E5E5E5"/>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10</w:t>
            </w:r>
          </w:p>
        </w:tc>
        <w:tc>
          <w:tcPr>
            <w:tcW w:w="1140" w:type="dxa"/>
            <w:vAlign w:val="bottom"/>
            <w:tcBorders>
              <w:bottom w:val="single" w:sz="8" w:color="E5E5E5"/>
            </w:tcBorders>
            <w:gridSpan w:val="2"/>
          </w:tcPr>
          <w:p>
            <w:pPr>
              <w:jc w:val="center"/>
              <w:ind w:left="51"/>
              <w:spacing w:after="0"/>
              <w:rPr>
                <w:sz w:val="20"/>
                <w:szCs w:val="20"/>
                <w:color w:val="auto"/>
              </w:rPr>
            </w:pPr>
            <w:r>
              <w:rPr>
                <w:rFonts w:ascii="Arial" w:cs="Arial" w:eastAsia="Arial" w:hAnsi="Arial"/>
                <w:sz w:val="10"/>
                <w:szCs w:val="10"/>
                <w:color w:val="auto"/>
              </w:rPr>
              <w:t>(50.0)%</w:t>
            </w:r>
          </w:p>
        </w:tc>
        <w:tc>
          <w:tcPr>
            <w:tcW w:w="100" w:type="dxa"/>
            <w:vAlign w:val="bottom"/>
            <w:tcBorders>
              <w:bottom w:val="single" w:sz="8" w:color="E5E5E5"/>
            </w:tcBorders>
          </w:tcPr>
          <w:p>
            <w:pPr>
              <w:spacing w:after="0"/>
              <w:rPr>
                <w:sz w:val="15"/>
                <w:szCs w:val="15"/>
                <w:color w:val="auto"/>
              </w:rPr>
            </w:pPr>
          </w:p>
        </w:tc>
        <w:tc>
          <w:tcPr>
            <w:tcW w:w="1040" w:type="dxa"/>
            <w:vAlign w:val="bottom"/>
            <w:tcBorders>
              <w:bottom w:val="single" w:sz="8" w:color="E5E5E5"/>
            </w:tcBorders>
          </w:tcPr>
          <w:p>
            <w:pPr>
              <w:jc w:val="center"/>
              <w:spacing w:after="0"/>
              <w:rPr>
                <w:sz w:val="20"/>
                <w:szCs w:val="20"/>
                <w:color w:val="auto"/>
              </w:rPr>
            </w:pPr>
            <w:r>
              <w:rPr>
                <w:rFonts w:ascii="Arial" w:cs="Arial" w:eastAsia="Arial" w:hAnsi="Arial"/>
                <w:sz w:val="10"/>
                <w:szCs w:val="10"/>
                <w:color w:val="auto"/>
              </w:rPr>
              <w:t>(50.0)%</w:t>
            </w:r>
          </w:p>
        </w:tc>
        <w:tc>
          <w:tcPr>
            <w:tcW w:w="10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2%</w:t>
            </w:r>
          </w:p>
        </w:tc>
      </w:tr>
      <w:tr>
        <w:trPr>
          <w:trHeight w:val="178"/>
        </w:trPr>
        <w:tc>
          <w:tcPr>
            <w:tcW w:w="47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Equipment Sales</w:t>
            </w:r>
          </w:p>
        </w:tc>
        <w:tc>
          <w:tcPr>
            <w:tcW w:w="640" w:type="dxa"/>
            <w:vAlign w:val="bottom"/>
            <w:tcBorders>
              <w:bottom w:val="single" w:sz="8" w:color="auto"/>
            </w:tcBorders>
            <w:shd w:val="clear" w:color="auto" w:fill="E5E5E5"/>
          </w:tcPr>
          <w:p>
            <w:pPr>
              <w:jc w:val="right"/>
              <w:ind w:right="511"/>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494</w:t>
            </w:r>
          </w:p>
        </w:tc>
        <w:tc>
          <w:tcPr>
            <w:tcW w:w="120" w:type="dxa"/>
            <w:vAlign w:val="bottom"/>
            <w:tcBorders>
              <w:bottom w:val="single" w:sz="8" w:color="E5E5E5"/>
            </w:tcBorders>
            <w:shd w:val="clear" w:color="auto" w:fill="E5E5E5"/>
          </w:tcPr>
          <w:p>
            <w:pPr>
              <w:spacing w:after="0"/>
              <w:rPr>
                <w:sz w:val="15"/>
                <w:szCs w:val="15"/>
                <w:color w:val="auto"/>
              </w:rPr>
            </w:pPr>
          </w:p>
        </w:tc>
        <w:tc>
          <w:tcPr>
            <w:tcW w:w="700" w:type="dxa"/>
            <w:vAlign w:val="bottom"/>
            <w:tcBorders>
              <w:bottom w:val="single" w:sz="8" w:color="auto"/>
            </w:tcBorders>
            <w:shd w:val="clear" w:color="auto" w:fill="E5E5E5"/>
          </w:tcPr>
          <w:p>
            <w:pPr>
              <w:jc w:val="right"/>
              <w:ind w:right="591"/>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511</w:t>
            </w:r>
          </w:p>
        </w:tc>
        <w:tc>
          <w:tcPr>
            <w:tcW w:w="1140" w:type="dxa"/>
            <w:vAlign w:val="bottom"/>
            <w:tcBorders>
              <w:bottom w:val="single" w:sz="8" w:color="E5E5E5"/>
            </w:tcBorders>
            <w:gridSpan w:val="2"/>
            <w:shd w:val="clear" w:color="auto" w:fill="E5E5E5"/>
          </w:tcPr>
          <w:p>
            <w:pPr>
              <w:jc w:val="center"/>
              <w:ind w:left="51"/>
              <w:spacing w:after="0"/>
              <w:rPr>
                <w:sz w:val="20"/>
                <w:szCs w:val="20"/>
                <w:color w:val="auto"/>
              </w:rPr>
            </w:pPr>
            <w:r>
              <w:rPr>
                <w:rFonts w:ascii="Arial" w:cs="Arial" w:eastAsia="Arial" w:hAnsi="Arial"/>
                <w:sz w:val="10"/>
                <w:szCs w:val="10"/>
                <w:color w:val="auto"/>
                <w:w w:val="94"/>
              </w:rPr>
              <w:t>(3.3)%</w:t>
            </w:r>
          </w:p>
        </w:tc>
        <w:tc>
          <w:tcPr>
            <w:tcW w:w="100" w:type="dxa"/>
            <w:vAlign w:val="bottom"/>
            <w:tcBorders>
              <w:bottom w:val="single" w:sz="8" w:color="E5E5E5"/>
            </w:tcBorders>
            <w:shd w:val="clear" w:color="auto" w:fill="E5E5E5"/>
          </w:tcPr>
          <w:p>
            <w:pPr>
              <w:spacing w:after="0"/>
              <w:rPr>
                <w:sz w:val="15"/>
                <w:szCs w:val="15"/>
                <w:color w:val="auto"/>
              </w:rPr>
            </w:pPr>
          </w:p>
        </w:tc>
        <w:tc>
          <w:tcPr>
            <w:tcW w:w="10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0"/>
                <w:szCs w:val="10"/>
                <w:color w:val="auto"/>
                <w:w w:val="94"/>
              </w:rPr>
              <w:t>(2.2)%</w:t>
            </w:r>
          </w:p>
        </w:tc>
        <w:tc>
          <w:tcPr>
            <w:tcW w:w="100" w:type="dxa"/>
            <w:vAlign w:val="bottom"/>
            <w:tcBorders>
              <w:bottom w:val="single" w:sz="8" w:color="E5E5E5"/>
            </w:tcBorders>
            <w:shd w:val="clear" w:color="auto" w:fill="E5E5E5"/>
          </w:tcPr>
          <w:p>
            <w:pPr>
              <w:spacing w:after="0"/>
              <w:rPr>
                <w:sz w:val="15"/>
                <w:szCs w:val="15"/>
                <w:color w:val="auto"/>
              </w:rPr>
            </w:pPr>
          </w:p>
        </w:tc>
        <w:tc>
          <w:tcPr>
            <w:tcW w:w="10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0"/>
                <w:szCs w:val="10"/>
                <w:color w:val="auto"/>
                <w:w w:val="93"/>
              </w:rPr>
              <w:t>100%</w:t>
            </w:r>
          </w:p>
        </w:tc>
        <w:tc>
          <w:tcPr>
            <w:tcW w:w="100" w:type="dxa"/>
            <w:vAlign w:val="bottom"/>
            <w:tcBorders>
              <w:bottom w:val="single" w:sz="8" w:color="E5E5E5"/>
            </w:tcBorders>
            <w:shd w:val="clear" w:color="auto" w:fill="E5E5E5"/>
          </w:tcPr>
          <w:p>
            <w:pPr>
              <w:spacing w:after="0"/>
              <w:rPr>
                <w:sz w:val="15"/>
                <w:szCs w:val="15"/>
                <w:color w:val="auto"/>
              </w:rPr>
            </w:pPr>
          </w:p>
        </w:tc>
        <w:tc>
          <w:tcPr>
            <w:tcW w:w="10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0"/>
                <w:szCs w:val="10"/>
                <w:color w:val="auto"/>
                <w:w w:val="93"/>
              </w:rPr>
              <w:t>100%</w:t>
            </w:r>
          </w:p>
        </w:tc>
      </w:tr>
      <w:tr>
        <w:trPr>
          <w:trHeight w:val="73"/>
        </w:trPr>
        <w:tc>
          <w:tcPr>
            <w:tcW w:w="4580" w:type="dxa"/>
            <w:vAlign w:val="bottom"/>
          </w:tcPr>
          <w:p>
            <w:pPr>
              <w:spacing w:after="0" w:line="74" w:lineRule="exact"/>
              <w:rPr>
                <w:sz w:val="20"/>
                <w:szCs w:val="20"/>
                <w:color w:val="auto"/>
              </w:rPr>
            </w:pPr>
            <w:r>
              <w:rPr>
                <w:rFonts w:ascii="Arial" w:cs="Arial" w:eastAsia="Arial" w:hAnsi="Arial"/>
                <w:sz w:val="7"/>
                <w:szCs w:val="7"/>
                <w:color w:val="auto"/>
              </w:rPr>
              <w:t>____________________________</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r>
    </w:tbl>
    <w:p>
      <w:pPr>
        <w:spacing w:after="0" w:line="26" w:lineRule="exact"/>
        <w:rPr>
          <w:sz w:val="20"/>
          <w:szCs w:val="20"/>
          <w:color w:val="auto"/>
        </w:rPr>
      </w:pPr>
    </w:p>
    <w:p>
      <w:pPr>
        <w:ind w:left="7"/>
        <w:spacing w:after="0"/>
        <w:rPr>
          <w:sz w:val="20"/>
          <w:szCs w:val="20"/>
          <w:color w:val="auto"/>
        </w:rPr>
      </w:pPr>
      <w:r>
        <w:rPr>
          <w:rFonts w:ascii="Arial" w:cs="Arial" w:eastAsia="Arial" w:hAnsi="Arial"/>
          <w:sz w:val="10"/>
          <w:szCs w:val="10"/>
          <w:i w:val="1"/>
          <w:iCs w:val="1"/>
          <w:color w:val="auto"/>
        </w:rPr>
        <w:t>CC - Constant Currency (see "Non-GAAP Financial Measures" section).</w:t>
      </w:r>
    </w:p>
    <w:p>
      <w:pPr>
        <w:spacing w:after="0" w:line="133" w:lineRule="exact"/>
        <w:rPr>
          <w:sz w:val="20"/>
          <w:szCs w:val="20"/>
          <w:color w:val="auto"/>
        </w:rPr>
      </w:pPr>
    </w:p>
    <w:p>
      <w:pPr>
        <w:ind w:left="227" w:right="20" w:hanging="227"/>
        <w:spacing w:after="0" w:line="235" w:lineRule="auto"/>
        <w:tabs>
          <w:tab w:leader="none" w:pos="227"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Equipment sales revenue </w:t>
      </w:r>
      <w:r>
        <w:rPr>
          <w:rFonts w:ascii="Arial" w:cs="Arial" w:eastAsia="Arial" w:hAnsi="Arial"/>
          <w:sz w:val="12"/>
          <w:szCs w:val="12"/>
          <w:color w:val="auto"/>
        </w:rPr>
        <w:t>decreased 3.3% as compared to third quarter 2018, including a 1.1-percentage point unfavorable impact from currency as well as the impact of price declines of approximately 5%.</w:t>
      </w:r>
      <w:r>
        <w:rPr>
          <w:rFonts w:ascii="Arial" w:cs="Arial" w:eastAsia="Arial" w:hAnsi="Arial"/>
          <w:sz w:val="12"/>
          <w:szCs w:val="12"/>
          <w:b w:val="1"/>
          <w:bCs w:val="1"/>
          <w:color w:val="auto"/>
        </w:rPr>
        <w:t xml:space="preserve"> </w:t>
      </w:r>
      <w:r>
        <w:rPr>
          <w:rFonts w:ascii="Arial" w:cs="Arial" w:eastAsia="Arial" w:hAnsi="Arial"/>
          <w:sz w:val="12"/>
          <w:szCs w:val="12"/>
          <w:color w:val="auto"/>
        </w:rPr>
        <w:t>The decline at constant currency</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was primarily driven by lower sales of our office-centric devices (entry and mid-range products) partially offset by higher sales of our production-centric systems (high-end). The decline at constant currency</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reflected the following:</w:t>
      </w:r>
    </w:p>
    <w:p>
      <w:pPr>
        <w:spacing w:after="0" w:line="1" w:lineRule="exact"/>
        <w:rPr>
          <w:rFonts w:ascii="Arial" w:cs="Arial" w:eastAsia="Arial" w:hAnsi="Arial"/>
          <w:sz w:val="12"/>
          <w:szCs w:val="12"/>
          <w:b w:val="1"/>
          <w:bCs w:val="1"/>
          <w:color w:val="auto"/>
        </w:rPr>
      </w:pPr>
    </w:p>
    <w:p>
      <w:pPr>
        <w:ind w:left="647" w:right="220" w:hanging="209"/>
        <w:spacing w:after="0" w:line="253" w:lineRule="auto"/>
        <w:tabs>
          <w:tab w:leader="none" w:pos="647" w:val="left"/>
        </w:tabs>
        <w:numPr>
          <w:ilvl w:val="1"/>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Entry - </w:t>
      </w:r>
      <w:r>
        <w:rPr>
          <w:rFonts w:ascii="Arial" w:cs="Arial" w:eastAsia="Arial" w:hAnsi="Arial"/>
          <w:sz w:val="12"/>
          <w:szCs w:val="12"/>
          <w:color w:val="auto"/>
        </w:rPr>
        <w:t>The decrease reflected lower sales of devices primarily from developing market regions in EMEA reflecting in part continued weakness and delayed decisions as a result of uncertainty in the</w:t>
      </w:r>
      <w:r>
        <w:rPr>
          <w:rFonts w:ascii="Arial" w:cs="Arial" w:eastAsia="Arial" w:hAnsi="Arial"/>
          <w:sz w:val="12"/>
          <w:szCs w:val="12"/>
          <w:b w:val="1"/>
          <w:bCs w:val="1"/>
          <w:color w:val="auto"/>
        </w:rPr>
        <w:t xml:space="preserve"> </w:t>
      </w:r>
      <w:r>
        <w:rPr>
          <w:rFonts w:ascii="Arial" w:cs="Arial" w:eastAsia="Arial" w:hAnsi="Arial"/>
          <w:sz w:val="12"/>
          <w:szCs w:val="12"/>
          <w:color w:val="auto"/>
        </w:rPr>
        <w:t>economic environment. Revenues from entry products through our indirect channels in the U.S. also declined as they were further impacted by price investments, and lower sales of devices from the lower end of the portfolio.</w:t>
      </w:r>
    </w:p>
    <w:p>
      <w:pPr>
        <w:spacing w:after="0" w:line="1" w:lineRule="exact"/>
        <w:rPr>
          <w:rFonts w:ascii="Arial" w:cs="Arial" w:eastAsia="Arial" w:hAnsi="Arial"/>
          <w:sz w:val="12"/>
          <w:szCs w:val="12"/>
          <w:color w:val="auto"/>
        </w:rPr>
      </w:pPr>
    </w:p>
    <w:p>
      <w:pPr>
        <w:ind w:left="647" w:right="220" w:hanging="209"/>
        <w:spacing w:after="0" w:line="253" w:lineRule="auto"/>
        <w:tabs>
          <w:tab w:leader="none" w:pos="647" w:val="left"/>
        </w:tabs>
        <w:numPr>
          <w:ilvl w:val="1"/>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Mid-range - </w:t>
      </w:r>
      <w:r>
        <w:rPr>
          <w:rFonts w:ascii="Arial" w:cs="Arial" w:eastAsia="Arial" w:hAnsi="Arial"/>
          <w:sz w:val="12"/>
          <w:szCs w:val="12"/>
          <w:color w:val="auto"/>
        </w:rPr>
        <w:t>The decrease reflected lower sales from EMEA, primarily from developing market regions reflecting in part continued weakness and delayed decisions as a result of uncertainty in the</w:t>
      </w:r>
      <w:r>
        <w:rPr>
          <w:rFonts w:ascii="Arial" w:cs="Arial" w:eastAsia="Arial" w:hAnsi="Arial"/>
          <w:sz w:val="12"/>
          <w:szCs w:val="12"/>
          <w:b w:val="1"/>
          <w:bCs w:val="1"/>
          <w:color w:val="auto"/>
        </w:rPr>
        <w:t xml:space="preserve"> </w:t>
      </w:r>
      <w:r>
        <w:rPr>
          <w:rFonts w:ascii="Arial" w:cs="Arial" w:eastAsia="Arial" w:hAnsi="Arial"/>
          <w:sz w:val="12"/>
          <w:szCs w:val="12"/>
          <w:color w:val="auto"/>
        </w:rPr>
        <w:t>economic environment. Revenues from our Americas region were flat as compared to the prior year, reflecting the favorable impact of a large account order (part of a refresh cycle), some of which occurred earlier than anticipated, offsetting lower sales from our US indirect channels and from our XBS sales organization, which continued to gradually stabilize from the impact of organizational changes that were part of our Project Own It transformation actions (including the transitioning of accounts to implement coverage changes, consolidation of real estate locations and the reduction of management layers).</w:t>
      </w:r>
    </w:p>
    <w:p>
      <w:pPr>
        <w:spacing w:after="0" w:line="2" w:lineRule="exact"/>
        <w:rPr>
          <w:rFonts w:ascii="Arial" w:cs="Arial" w:eastAsia="Arial" w:hAnsi="Arial"/>
          <w:sz w:val="12"/>
          <w:szCs w:val="12"/>
          <w:color w:val="auto"/>
        </w:rPr>
      </w:pPr>
    </w:p>
    <w:p>
      <w:pPr>
        <w:ind w:left="647" w:right="240" w:hanging="209"/>
        <w:spacing w:after="0" w:line="267" w:lineRule="auto"/>
        <w:tabs>
          <w:tab w:leader="none" w:pos="647" w:val="left"/>
        </w:tabs>
        <w:numPr>
          <w:ilvl w:val="1"/>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High-end - </w:t>
      </w:r>
      <w:r>
        <w:rPr>
          <w:rFonts w:ascii="Arial" w:cs="Arial" w:eastAsia="Arial" w:hAnsi="Arial"/>
          <w:sz w:val="12"/>
          <w:szCs w:val="12"/>
          <w:color w:val="auto"/>
        </w:rPr>
        <w:t>The increase reflected higher sales of color systems associated with continued demand for our Iridesse production press and installs of our Versant production systems, as well as higher</w:t>
      </w:r>
      <w:r>
        <w:rPr>
          <w:rFonts w:ascii="Arial" w:cs="Arial" w:eastAsia="Arial" w:hAnsi="Arial"/>
          <w:sz w:val="12"/>
          <w:szCs w:val="12"/>
          <w:b w:val="1"/>
          <w:bCs w:val="1"/>
          <w:color w:val="auto"/>
        </w:rPr>
        <w:t xml:space="preserve"> </w:t>
      </w:r>
      <w:r>
        <w:rPr>
          <w:rFonts w:ascii="Arial" w:cs="Arial" w:eastAsia="Arial" w:hAnsi="Arial"/>
          <w:sz w:val="12"/>
          <w:szCs w:val="12"/>
          <w:color w:val="auto"/>
        </w:rPr>
        <w:t>sales of our iGen press in the U.S., partially offset by lower sales of black-and-white systems.</w:t>
      </w:r>
    </w:p>
    <w:p>
      <w:pPr>
        <w:spacing w:after="0" w:line="155"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Total Installs</w:t>
      </w:r>
    </w:p>
    <w:p>
      <w:pPr>
        <w:spacing w:after="0" w:line="20" w:lineRule="exact"/>
        <w:rPr>
          <w:sz w:val="20"/>
          <w:szCs w:val="20"/>
          <w:color w:val="auto"/>
        </w:rPr>
      </w:pPr>
    </w:p>
    <w:p>
      <w:pPr>
        <w:jc w:val="both"/>
        <w:ind w:left="7" w:right="440"/>
        <w:spacing w:after="0" w:line="260" w:lineRule="auto"/>
        <w:rPr>
          <w:sz w:val="20"/>
          <w:szCs w:val="20"/>
          <w:color w:val="auto"/>
        </w:rPr>
      </w:pPr>
      <w:r>
        <w:rPr>
          <w:rFonts w:ascii="Arial" w:cs="Arial" w:eastAsia="Arial" w:hAnsi="Arial"/>
          <w:sz w:val="12"/>
          <w:szCs w:val="12"/>
          <w:color w:val="auto"/>
        </w:rPr>
        <w:t>Installs reflect new placement of devices only. Revenue associated with equipment installations may be reflected up-front in Equipment sales or over time either through rental income or as part of our Xerox Services revenues (which are both reported within our post sale revenues), depending on the terms and conditions of our agreements with customers. Installs include activity from Xerox Services and Xerox-branded products shipped to our XBS sales unit. Detail by product group (see Appendix II) is shown below:</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Entry</w:t>
      </w:r>
      <w:r>
        <w:rPr>
          <w:rFonts w:ascii="Arial" w:cs="Arial" w:eastAsia="Arial" w:hAnsi="Arial"/>
          <w:sz w:val="14"/>
          <w:szCs w:val="14"/>
          <w:i w:val="1"/>
          <w:iCs w:val="1"/>
          <w:color w:val="auto"/>
          <w:vertAlign w:val="superscript"/>
        </w:rPr>
        <w:t>2</w:t>
      </w:r>
    </w:p>
    <w:p>
      <w:pPr>
        <w:ind w:left="227" w:hanging="227"/>
        <w:spacing w:after="0"/>
        <w:tabs>
          <w:tab w:leader="none" w:pos="227" w:val="left"/>
        </w:tabs>
        <w:numPr>
          <w:ilvl w:val="0"/>
          <w:numId w:val="10"/>
        </w:numPr>
        <w:rPr>
          <w:rFonts w:ascii="Arial" w:cs="Arial" w:eastAsia="Arial" w:hAnsi="Arial"/>
          <w:sz w:val="12"/>
          <w:szCs w:val="12"/>
          <w:color w:val="auto"/>
        </w:rPr>
      </w:pPr>
      <w:r>
        <w:rPr>
          <w:rFonts w:ascii="Arial" w:cs="Arial" w:eastAsia="Arial" w:hAnsi="Arial"/>
          <w:sz w:val="12"/>
          <w:szCs w:val="12"/>
          <w:color w:val="auto"/>
        </w:rPr>
        <w:t>10% increase in color multifunction devices reflecting higher installs of ConnectKey devices primarily from our indirect channels in the U.S. partially offset by lower installs from EMEA.</w:t>
      </w:r>
    </w:p>
    <w:p>
      <w:pPr>
        <w:spacing w:after="0" w:line="7" w:lineRule="exact"/>
        <w:rPr>
          <w:rFonts w:ascii="Arial" w:cs="Arial" w:eastAsia="Arial" w:hAnsi="Arial"/>
          <w:sz w:val="12"/>
          <w:szCs w:val="12"/>
          <w:color w:val="auto"/>
        </w:rPr>
      </w:pPr>
    </w:p>
    <w:p>
      <w:pPr>
        <w:ind w:left="227" w:hanging="227"/>
        <w:spacing w:after="0"/>
        <w:tabs>
          <w:tab w:leader="none" w:pos="227" w:val="left"/>
        </w:tabs>
        <w:numPr>
          <w:ilvl w:val="0"/>
          <w:numId w:val="10"/>
        </w:numPr>
        <w:rPr>
          <w:rFonts w:ascii="Arial" w:cs="Arial" w:eastAsia="Arial" w:hAnsi="Arial"/>
          <w:sz w:val="12"/>
          <w:szCs w:val="12"/>
          <w:color w:val="auto"/>
        </w:rPr>
      </w:pPr>
      <w:r>
        <w:rPr>
          <w:rFonts w:ascii="Arial" w:cs="Arial" w:eastAsia="Arial" w:hAnsi="Arial"/>
          <w:sz w:val="12"/>
          <w:szCs w:val="12"/>
          <w:color w:val="auto"/>
        </w:rPr>
        <w:t>6% decrease in black-and-white multifunction devices driven by lower activity primarily from our indirect channels in the U.S. and from EMEA.</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Mid-Range</w:t>
      </w:r>
      <w:r>
        <w:rPr>
          <w:rFonts w:ascii="Arial" w:cs="Arial" w:eastAsia="Arial" w:hAnsi="Arial"/>
          <w:sz w:val="14"/>
          <w:szCs w:val="14"/>
          <w:i w:val="1"/>
          <w:iCs w:val="1"/>
          <w:color w:val="auto"/>
          <w:vertAlign w:val="superscript"/>
        </w:rPr>
        <w:t>3</w:t>
      </w:r>
    </w:p>
    <w:p>
      <w:pPr>
        <w:ind w:left="5707" w:right="4880" w:hanging="5707"/>
        <w:spacing w:after="0" w:line="553" w:lineRule="auto"/>
        <w:tabs>
          <w:tab w:leader="none" w:pos="219" w:val="left"/>
        </w:tabs>
        <w:numPr>
          <w:ilvl w:val="0"/>
          <w:numId w:val="11"/>
        </w:numPr>
        <w:rPr>
          <w:rFonts w:ascii="Arial" w:cs="Arial" w:eastAsia="Arial" w:hAnsi="Arial"/>
          <w:sz w:val="12"/>
          <w:szCs w:val="12"/>
          <w:color w:val="auto"/>
        </w:rPr>
      </w:pPr>
      <w:r>
        <w:rPr>
          <w:rFonts w:ascii="Arial" w:cs="Arial" w:eastAsia="Arial" w:hAnsi="Arial"/>
          <w:sz w:val="12"/>
          <w:szCs w:val="12"/>
          <w:color w:val="auto"/>
        </w:rPr>
        <w:t>2% increase in mid-range color installs primarily reflecting installs associated with a large account's refresh cycle order. 9</w:t>
      </w:r>
    </w:p>
    <w:p>
      <w:pPr>
        <w:sectPr>
          <w:pgSz w:w="11900" w:h="16838" w:orient="portrait"/>
          <w:cols w:equalWidth="0" w:num="1">
            <w:col w:w="11487"/>
          </w:cols>
          <w:pgMar w:left="213" w:top="444" w:right="199" w:bottom="1440" w:gutter="0" w:footer="0" w:header="0"/>
        </w:sectPr>
      </w:pPr>
    </w:p>
    <w:bookmarkStart w:id="14" w:name="page15"/>
    <w:bookmarkEnd w:id="14"/>
    <w:p>
      <w:pPr>
        <w:ind w:left="227" w:right="40" w:hanging="227"/>
        <w:spacing w:after="0" w:line="267" w:lineRule="auto"/>
        <w:tabs>
          <w:tab w:leader="none" w:pos="227" w:val="left"/>
        </w:tabs>
        <w:numPr>
          <w:ilvl w:val="0"/>
          <w:numId w:val="12"/>
        </w:numPr>
        <w:rPr>
          <w:rFonts w:ascii="Arial" w:cs="Arial" w:eastAsia="Arial" w:hAnsi="Arial"/>
          <w:sz w:val="12"/>
          <w:szCs w:val="12"/>
          <w:color w:val="auto"/>
        </w:rPr>
      </w:pPr>
      <w:r>
        <w:rPr>
          <w:rFonts w:ascii="Arial" w:cs="Arial" w:eastAsia="Arial" w:hAnsi="Arial"/>
          <w:sz w:val="12"/>
          <w:szCs w:val="12"/>
          <w:color w:val="auto"/>
        </w:rPr>
        <w:t>20% decrease in mid-range black-and-white reflecting lower installs of ConnectKey devices primarily from developing market regions and from our indirect channels in the U.S. The decline also reflected global market trends.</w:t>
      </w:r>
    </w:p>
    <w:p>
      <w:pPr>
        <w:spacing w:after="0" w:line="79"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High-End</w:t>
      </w:r>
      <w:r>
        <w:rPr>
          <w:rFonts w:ascii="Arial" w:cs="Arial" w:eastAsia="Arial" w:hAnsi="Arial"/>
          <w:sz w:val="14"/>
          <w:szCs w:val="14"/>
          <w:i w:val="1"/>
          <w:iCs w:val="1"/>
          <w:color w:val="auto"/>
          <w:vertAlign w:val="superscript"/>
        </w:rPr>
        <w:t>3</w:t>
      </w:r>
    </w:p>
    <w:p>
      <w:pPr>
        <w:ind w:left="227" w:hanging="227"/>
        <w:spacing w:after="0" w:line="253" w:lineRule="auto"/>
        <w:tabs>
          <w:tab w:leader="none" w:pos="227" w:val="left"/>
        </w:tabs>
        <w:numPr>
          <w:ilvl w:val="0"/>
          <w:numId w:val="13"/>
        </w:numPr>
        <w:rPr>
          <w:rFonts w:ascii="Arial" w:cs="Arial" w:eastAsia="Arial" w:hAnsi="Arial"/>
          <w:sz w:val="12"/>
          <w:szCs w:val="12"/>
          <w:color w:val="auto"/>
        </w:rPr>
      </w:pPr>
      <w:r>
        <w:rPr>
          <w:rFonts w:ascii="Arial" w:cs="Arial" w:eastAsia="Arial" w:hAnsi="Arial"/>
          <w:sz w:val="12"/>
          <w:szCs w:val="12"/>
          <w:color w:val="auto"/>
        </w:rPr>
        <w:t>12% increase in high-end color installs reflecting continued demand for our Iridesse production press and higher installs of our lower-end Versant production systems as well as higher activity from iGen in North America.</w:t>
      </w:r>
    </w:p>
    <w:p>
      <w:pPr>
        <w:ind w:left="227" w:hanging="227"/>
        <w:spacing w:after="0"/>
        <w:tabs>
          <w:tab w:leader="none" w:pos="227" w:val="left"/>
        </w:tabs>
        <w:numPr>
          <w:ilvl w:val="0"/>
          <w:numId w:val="13"/>
        </w:numPr>
        <w:rPr>
          <w:rFonts w:ascii="Arial" w:cs="Arial" w:eastAsia="Arial" w:hAnsi="Arial"/>
          <w:sz w:val="12"/>
          <w:szCs w:val="12"/>
          <w:color w:val="auto"/>
        </w:rPr>
      </w:pPr>
      <w:r>
        <w:rPr>
          <w:rFonts w:ascii="Arial" w:cs="Arial" w:eastAsia="Arial" w:hAnsi="Arial"/>
          <w:sz w:val="12"/>
          <w:szCs w:val="12"/>
          <w:color w:val="auto"/>
        </w:rPr>
        <w:t>22% decrease in high-end black-and-white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
        <w:spacing w:after="0"/>
        <w:rPr>
          <w:sz w:val="20"/>
          <w:szCs w:val="20"/>
          <w:color w:val="auto"/>
        </w:rPr>
      </w:pPr>
      <w:r>
        <w:rPr>
          <w:rFonts w:ascii="Arial" w:cs="Arial" w:eastAsia="Arial" w:hAnsi="Arial"/>
          <w:sz w:val="7"/>
          <w:szCs w:val="7"/>
          <w:color w:val="auto"/>
        </w:rPr>
        <w:t>___________________________</w:t>
      </w:r>
    </w:p>
    <w:p>
      <w:pPr>
        <w:spacing w:after="0" w:line="15" w:lineRule="exact"/>
        <w:rPr>
          <w:sz w:val="20"/>
          <w:szCs w:val="20"/>
          <w:color w:val="auto"/>
        </w:rPr>
      </w:pPr>
    </w:p>
    <w:p>
      <w:pPr>
        <w:ind w:left="227" w:hanging="227"/>
        <w:spacing w:after="0"/>
        <w:tabs>
          <w:tab w:leader="none" w:pos="227" w:val="left"/>
        </w:tabs>
        <w:numPr>
          <w:ilvl w:val="0"/>
          <w:numId w:val="14"/>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See the “Non-GAAP Financial Measures” section for an explanation of the non-GAAP financial measure.</w:t>
      </w:r>
    </w:p>
    <w:p>
      <w:pPr>
        <w:ind w:left="227" w:hanging="227"/>
        <w:spacing w:after="0" w:line="190" w:lineRule="auto"/>
        <w:tabs>
          <w:tab w:leader="none" w:pos="227" w:val="left"/>
        </w:tabs>
        <w:numPr>
          <w:ilvl w:val="0"/>
          <w:numId w:val="14"/>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When combined with OEM sales, Entry color multifunction devices increased 10%, while Entry black-and-white multifunction devices decreased 7%.</w:t>
      </w:r>
    </w:p>
    <w:p>
      <w:pPr>
        <w:ind w:left="227" w:hanging="227"/>
        <w:spacing w:after="0" w:line="201" w:lineRule="auto"/>
        <w:tabs>
          <w:tab w:leader="none" w:pos="227" w:val="left"/>
        </w:tabs>
        <w:numPr>
          <w:ilvl w:val="0"/>
          <w:numId w:val="14"/>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Mid-range and High-end color installations exclude Fuji Xerox digital front-end sales; including Fuji Xerox digital front-end sales, Mid-range color devices increased 2%, and High-end color systems increased 12%.</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47"/>
          </w:cols>
          <w:pgMar w:left="213" w:top="458" w:right="239" w:bottom="1440" w:gutter="0" w:footer="0" w:header="0"/>
        </w:sectPr>
      </w:pPr>
    </w:p>
    <w:bookmarkStart w:id="15" w:name="page16"/>
    <w:bookmarkEnd w:id="15"/>
    <w:p>
      <w:pPr>
        <w:ind w:left="7"/>
        <w:spacing w:after="0"/>
        <w:rPr>
          <w:sz w:val="20"/>
          <w:szCs w:val="20"/>
          <w:color w:val="auto"/>
        </w:rPr>
      </w:pPr>
      <w:r>
        <w:rPr>
          <w:rFonts w:ascii="Arial" w:cs="Arial" w:eastAsia="Arial" w:hAnsi="Arial"/>
          <w:sz w:val="17"/>
          <w:szCs w:val="17"/>
          <w:b w:val="1"/>
          <w:bCs w:val="1"/>
          <w:color w:val="DA2031"/>
        </w:rPr>
        <w:t>Costs, Expenses and Other Income</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DA2031"/>
        </w:rPr>
        <w:t>Summary of Key Financial Ratios</w:t>
      </w:r>
    </w:p>
    <w:p>
      <w:pPr>
        <w:spacing w:after="0" w:line="133"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following is a summary of key financial ratios used to assess our performance:</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120"/>
        </w:trPr>
        <w:tc>
          <w:tcPr>
            <w:tcW w:w="7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color w:val="auto"/>
                <w:w w:val="97"/>
              </w:rPr>
              <w:t>Three Months Ended September 30,</w:t>
            </w: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r>
        <w:trPr>
          <w:trHeight w:val="172"/>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0"/>
                <w:szCs w:val="10"/>
                <w:color w:val="auto"/>
              </w:rPr>
              <w:t>2018</w:t>
            </w:r>
          </w:p>
        </w:tc>
        <w:tc>
          <w:tcPr>
            <w:tcW w:w="120" w:type="dxa"/>
            <w:vAlign w:val="bottom"/>
            <w:tcBorders>
              <w:bottom w:val="single" w:sz="8" w:color="E5E5E5"/>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color w:val="auto"/>
              </w:rPr>
              <w:t>B/(W)</w:t>
            </w:r>
          </w:p>
        </w:tc>
      </w:tr>
      <w:tr>
        <w:trPr>
          <w:trHeight w:val="167"/>
        </w:trPr>
        <w:tc>
          <w:tcPr>
            <w:tcW w:w="71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Gross Profit</w:t>
            </w:r>
          </w:p>
        </w:tc>
        <w:tc>
          <w:tcPr>
            <w:tcW w:w="320" w:type="dxa"/>
            <w:vAlign w:val="bottom"/>
            <w:shd w:val="clear" w:color="auto" w:fill="E5E5E5"/>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880</w:t>
            </w:r>
          </w:p>
        </w:tc>
        <w:tc>
          <w:tcPr>
            <w:tcW w:w="44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942</w:t>
            </w:r>
          </w:p>
        </w:tc>
        <w:tc>
          <w:tcPr>
            <w:tcW w:w="120" w:type="dxa"/>
            <w:vAlign w:val="bottom"/>
            <w:shd w:val="clear" w:color="auto" w:fill="E5E5E5"/>
          </w:tcPr>
          <w:p>
            <w:pPr>
              <w:spacing w:after="0"/>
              <w:rPr>
                <w:sz w:val="14"/>
                <w:szCs w:val="14"/>
                <w:color w:val="auto"/>
              </w:rPr>
            </w:pPr>
          </w:p>
        </w:tc>
        <w:tc>
          <w:tcPr>
            <w:tcW w:w="260" w:type="dxa"/>
            <w:vAlign w:val="bottom"/>
            <w:shd w:val="clear" w:color="auto" w:fill="E5E5E5"/>
          </w:tcPr>
          <w:p>
            <w:pPr>
              <w:jc w:val="right"/>
              <w:ind w:right="15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(62)</w:t>
            </w:r>
          </w:p>
        </w:tc>
      </w:tr>
      <w:tr>
        <w:trPr>
          <w:trHeight w:val="178"/>
        </w:trPr>
        <w:tc>
          <w:tcPr>
            <w:tcW w:w="7120" w:type="dxa"/>
            <w:vAlign w:val="bottom"/>
            <w:gridSpan w:val="2"/>
          </w:tcPr>
          <w:p>
            <w:pPr>
              <w:ind w:left="20"/>
              <w:spacing w:after="0"/>
              <w:rPr>
                <w:sz w:val="20"/>
                <w:szCs w:val="20"/>
                <w:color w:val="auto"/>
              </w:rPr>
            </w:pPr>
            <w:r>
              <w:rPr>
                <w:rFonts w:ascii="Arial" w:cs="Arial" w:eastAsia="Arial" w:hAnsi="Arial"/>
                <w:sz w:val="10"/>
                <w:szCs w:val="10"/>
                <w:color w:val="auto"/>
              </w:rPr>
              <w:t>RD&amp;E</w:t>
            </w:r>
          </w:p>
        </w:tc>
        <w:tc>
          <w:tcPr>
            <w:tcW w:w="320" w:type="dxa"/>
            <w:vAlign w:val="bottom"/>
          </w:tcPr>
          <w:p>
            <w:pPr>
              <w:spacing w:after="0"/>
              <w:rPr>
                <w:sz w:val="15"/>
                <w:szCs w:val="15"/>
                <w:color w:val="auto"/>
              </w:rPr>
            </w:pP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102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71"/>
              <w:spacing w:after="0"/>
              <w:rPr>
                <w:sz w:val="20"/>
                <w:szCs w:val="20"/>
                <w:color w:val="auto"/>
              </w:rPr>
            </w:pPr>
            <w:r>
              <w:rPr>
                <w:rFonts w:ascii="Arial" w:cs="Arial" w:eastAsia="Arial" w:hAnsi="Arial"/>
                <w:sz w:val="10"/>
                <w:szCs w:val="10"/>
                <w:color w:val="auto"/>
              </w:rPr>
              <w:t>2</w:t>
            </w:r>
          </w:p>
        </w:tc>
      </w:tr>
      <w:tr>
        <w:trPr>
          <w:trHeight w:val="187"/>
        </w:trPr>
        <w:tc>
          <w:tcPr>
            <w:tcW w:w="71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SAG</w:t>
            </w:r>
          </w:p>
        </w:tc>
        <w:tc>
          <w:tcPr>
            <w:tcW w:w="32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513</w:t>
            </w: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583</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70</w:t>
            </w:r>
          </w:p>
        </w:tc>
      </w:tr>
      <w:tr>
        <w:trPr>
          <w:trHeight w:val="192"/>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2"/>
        </w:trPr>
        <w:tc>
          <w:tcPr>
            <w:tcW w:w="71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Equipment Gross Margin</w:t>
            </w:r>
          </w:p>
        </w:tc>
        <w:tc>
          <w:tcPr>
            <w:tcW w:w="320" w:type="dxa"/>
            <w:vAlign w:val="bottom"/>
            <w:shd w:val="clear" w:color="auto" w:fill="E5E5E5"/>
          </w:tcPr>
          <w:p>
            <w:pPr>
              <w:spacing w:after="0"/>
              <w:rPr>
                <w:sz w:val="15"/>
                <w:szCs w:val="15"/>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0"/>
                <w:szCs w:val="10"/>
                <w:color w:val="auto"/>
              </w:rPr>
              <w:t>34.4%</w:t>
            </w: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0"/>
                <w:szCs w:val="10"/>
                <w:color w:val="auto"/>
              </w:rPr>
              <w:t>34.6%</w:t>
            </w: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1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(0.2) pts.</w:t>
            </w:r>
          </w:p>
        </w:tc>
      </w:tr>
      <w:tr>
        <w:trPr>
          <w:trHeight w:val="178"/>
        </w:trPr>
        <w:tc>
          <w:tcPr>
            <w:tcW w:w="7120" w:type="dxa"/>
            <w:vAlign w:val="bottom"/>
            <w:gridSpan w:val="2"/>
          </w:tcPr>
          <w:p>
            <w:pPr>
              <w:ind w:left="20"/>
              <w:spacing w:after="0"/>
              <w:rPr>
                <w:sz w:val="20"/>
                <w:szCs w:val="20"/>
                <w:color w:val="auto"/>
              </w:rPr>
            </w:pPr>
            <w:r>
              <w:rPr>
                <w:rFonts w:ascii="Arial" w:cs="Arial" w:eastAsia="Arial" w:hAnsi="Arial"/>
                <w:sz w:val="10"/>
                <w:szCs w:val="10"/>
                <w:color w:val="auto"/>
              </w:rPr>
              <w:t>Post sale Gross Margin</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41.6%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71"/>
              <w:spacing w:after="0"/>
              <w:rPr>
                <w:sz w:val="20"/>
                <w:szCs w:val="20"/>
                <w:color w:val="auto"/>
              </w:rPr>
            </w:pPr>
            <w:r>
              <w:rPr>
                <w:rFonts w:ascii="Arial" w:cs="Arial" w:eastAsia="Arial" w:hAnsi="Arial"/>
                <w:sz w:val="10"/>
                <w:szCs w:val="10"/>
                <w:color w:val="auto"/>
              </w:rPr>
              <w:t>0.0 pts.</w:t>
            </w:r>
          </w:p>
        </w:tc>
      </w:tr>
      <w:tr>
        <w:trPr>
          <w:trHeight w:val="187"/>
        </w:trPr>
        <w:tc>
          <w:tcPr>
            <w:tcW w:w="71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Total Gross Margin</w:t>
            </w:r>
          </w:p>
        </w:tc>
        <w:tc>
          <w:tcPr>
            <w:tcW w:w="32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0"/>
                <w:szCs w:val="10"/>
                <w:color w:val="auto"/>
              </w:rPr>
              <w:t>40.0%</w:t>
            </w: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0"/>
                <w:szCs w:val="10"/>
                <w:color w:val="auto"/>
              </w:rPr>
              <w:t>40.1%</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(0.1) pts.</w:t>
            </w:r>
          </w:p>
        </w:tc>
      </w:tr>
      <w:tr>
        <w:trPr>
          <w:trHeight w:val="178"/>
        </w:trPr>
        <w:tc>
          <w:tcPr>
            <w:tcW w:w="7120" w:type="dxa"/>
            <w:vAlign w:val="bottom"/>
            <w:gridSpan w:val="2"/>
          </w:tcPr>
          <w:p>
            <w:pPr>
              <w:ind w:left="20"/>
              <w:spacing w:after="0"/>
              <w:rPr>
                <w:sz w:val="20"/>
                <w:szCs w:val="20"/>
                <w:color w:val="auto"/>
              </w:rPr>
            </w:pPr>
            <w:r>
              <w:rPr>
                <w:rFonts w:ascii="Arial" w:cs="Arial" w:eastAsia="Arial" w:hAnsi="Arial"/>
                <w:sz w:val="10"/>
                <w:szCs w:val="10"/>
                <w:color w:val="auto"/>
              </w:rPr>
              <w:t>RD&amp;E as a % of Revenue</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71"/>
              <w:spacing w:after="0"/>
              <w:rPr>
                <w:sz w:val="20"/>
                <w:szCs w:val="20"/>
                <w:color w:val="auto"/>
              </w:rPr>
            </w:pPr>
            <w:r>
              <w:rPr>
                <w:rFonts w:ascii="Arial" w:cs="Arial" w:eastAsia="Arial" w:hAnsi="Arial"/>
                <w:sz w:val="10"/>
                <w:szCs w:val="10"/>
                <w:color w:val="auto"/>
              </w:rPr>
              <w:t>(0.2) pts.</w:t>
            </w:r>
          </w:p>
        </w:tc>
      </w:tr>
      <w:tr>
        <w:trPr>
          <w:trHeight w:val="187"/>
        </w:trPr>
        <w:tc>
          <w:tcPr>
            <w:tcW w:w="71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SAG as a % of Revenue</w:t>
            </w:r>
          </w:p>
        </w:tc>
        <w:tc>
          <w:tcPr>
            <w:tcW w:w="32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0"/>
                <w:szCs w:val="10"/>
                <w:color w:val="auto"/>
              </w:rPr>
              <w:t>23.3%</w:t>
            </w:r>
          </w:p>
        </w:tc>
        <w:tc>
          <w:tcPr>
            <w:tcW w:w="1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0"/>
                <w:szCs w:val="10"/>
                <w:color w:val="auto"/>
              </w:rPr>
              <w:t>24.8%</w:t>
            </w: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1.5 pts.</w:t>
            </w:r>
          </w:p>
        </w:tc>
      </w:tr>
      <w:tr>
        <w:trPr>
          <w:trHeight w:val="192"/>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2"/>
        </w:trPr>
        <w:tc>
          <w:tcPr>
            <w:tcW w:w="71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Pre-tax Income</w:t>
            </w:r>
          </w:p>
        </w:tc>
        <w:tc>
          <w:tcPr>
            <w:tcW w:w="320" w:type="dxa"/>
            <w:vAlign w:val="bottom"/>
            <w:shd w:val="clear" w:color="auto" w:fill="E5E5E5"/>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230</w:t>
            </w:r>
          </w:p>
        </w:tc>
        <w:tc>
          <w:tcPr>
            <w:tcW w:w="44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10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192</w:t>
            </w: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jc w:val="right"/>
              <w:ind w:right="15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38</w:t>
            </w:r>
          </w:p>
        </w:tc>
      </w:tr>
      <w:tr>
        <w:trPr>
          <w:trHeight w:val="178"/>
        </w:trPr>
        <w:tc>
          <w:tcPr>
            <w:tcW w:w="7120" w:type="dxa"/>
            <w:vAlign w:val="bottom"/>
            <w:gridSpan w:val="2"/>
          </w:tcPr>
          <w:p>
            <w:pPr>
              <w:ind w:left="20"/>
              <w:spacing w:after="0"/>
              <w:rPr>
                <w:sz w:val="20"/>
                <w:szCs w:val="20"/>
                <w:color w:val="auto"/>
              </w:rPr>
            </w:pPr>
            <w:r>
              <w:rPr>
                <w:rFonts w:ascii="Arial" w:cs="Arial" w:eastAsia="Arial" w:hAnsi="Arial"/>
                <w:sz w:val="10"/>
                <w:szCs w:val="10"/>
                <w:color w:val="auto"/>
              </w:rPr>
              <w:t>Pre-tax Income Margin</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10.5%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8.2%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71"/>
              <w:spacing w:after="0"/>
              <w:rPr>
                <w:sz w:val="20"/>
                <w:szCs w:val="20"/>
                <w:color w:val="auto"/>
              </w:rPr>
            </w:pPr>
            <w:r>
              <w:rPr>
                <w:rFonts w:ascii="Arial" w:cs="Arial" w:eastAsia="Arial" w:hAnsi="Arial"/>
                <w:sz w:val="10"/>
                <w:szCs w:val="10"/>
                <w:color w:val="auto"/>
              </w:rPr>
              <w:t>2.3 pts.</w:t>
            </w:r>
          </w:p>
        </w:tc>
      </w:tr>
      <w:tr>
        <w:trPr>
          <w:trHeight w:val="196"/>
        </w:trPr>
        <w:tc>
          <w:tcPr>
            <w:tcW w:w="70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182"/>
        </w:trPr>
        <w:tc>
          <w:tcPr>
            <w:tcW w:w="7120" w:type="dxa"/>
            <w:vAlign w:val="bottom"/>
            <w:gridSpan w:val="2"/>
          </w:tcPr>
          <w:p>
            <w:pPr>
              <w:ind w:left="20"/>
              <w:spacing w:after="0"/>
              <w:rPr>
                <w:sz w:val="20"/>
                <w:szCs w:val="20"/>
                <w:color w:val="auto"/>
              </w:rPr>
            </w:pPr>
            <w:r>
              <w:rPr>
                <w:rFonts w:ascii="Arial" w:cs="Arial" w:eastAsia="Arial" w:hAnsi="Arial"/>
                <w:sz w:val="10"/>
                <w:szCs w:val="10"/>
                <w:color w:val="auto"/>
              </w:rPr>
              <w:t>Adjusted</w:t>
            </w:r>
            <w:r>
              <w:rPr>
                <w:rFonts w:ascii="Arial" w:cs="Arial" w:eastAsia="Arial" w:hAnsi="Arial"/>
                <w:sz w:val="12"/>
                <w:szCs w:val="12"/>
                <w:color w:val="auto"/>
                <w:vertAlign w:val="superscript"/>
              </w:rPr>
              <w:t>(1)</w:t>
            </w:r>
            <w:r>
              <w:rPr>
                <w:rFonts w:ascii="Arial" w:cs="Arial" w:eastAsia="Arial" w:hAnsi="Arial"/>
                <w:sz w:val="10"/>
                <w:szCs w:val="10"/>
                <w:color w:val="auto"/>
              </w:rPr>
              <w:t xml:space="preserve"> Operating Profit</w:t>
            </w: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267</w:t>
            </w:r>
          </w:p>
        </w:tc>
        <w:tc>
          <w:tcPr>
            <w:tcW w:w="4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257</w:t>
            </w:r>
          </w:p>
        </w:tc>
        <w:tc>
          <w:tcPr>
            <w:tcW w:w="120" w:type="dxa"/>
            <w:vAlign w:val="bottom"/>
          </w:tcPr>
          <w:p>
            <w:pPr>
              <w:spacing w:after="0"/>
              <w:rPr>
                <w:sz w:val="15"/>
                <w:szCs w:val="15"/>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71"/>
              <w:spacing w:after="0"/>
              <w:rPr>
                <w:sz w:val="20"/>
                <w:szCs w:val="20"/>
                <w:color w:val="auto"/>
              </w:rPr>
            </w:pPr>
            <w:r>
              <w:rPr>
                <w:rFonts w:ascii="Arial" w:cs="Arial" w:eastAsia="Arial" w:hAnsi="Arial"/>
                <w:sz w:val="10"/>
                <w:szCs w:val="10"/>
                <w:color w:val="auto"/>
              </w:rPr>
              <w:t>10</w:t>
            </w:r>
          </w:p>
        </w:tc>
      </w:tr>
      <w:tr>
        <w:trPr>
          <w:trHeight w:val="182"/>
        </w:trPr>
        <w:tc>
          <w:tcPr>
            <w:tcW w:w="71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Adjusted</w:t>
            </w:r>
            <w:r>
              <w:rPr>
                <w:rFonts w:ascii="Arial" w:cs="Arial" w:eastAsia="Arial" w:hAnsi="Arial"/>
                <w:sz w:val="12"/>
                <w:szCs w:val="12"/>
                <w:color w:val="auto"/>
                <w:vertAlign w:val="superscript"/>
              </w:rPr>
              <w:t>(1)</w:t>
            </w:r>
            <w:r>
              <w:rPr>
                <w:rFonts w:ascii="Arial" w:cs="Arial" w:eastAsia="Arial" w:hAnsi="Arial"/>
                <w:sz w:val="10"/>
                <w:szCs w:val="10"/>
                <w:color w:val="auto"/>
              </w:rPr>
              <w:t xml:space="preserve"> Operating Margin</w:t>
            </w:r>
          </w:p>
        </w:tc>
        <w:tc>
          <w:tcPr>
            <w:tcW w:w="320" w:type="dxa"/>
            <w:vAlign w:val="bottom"/>
            <w:shd w:val="clear" w:color="auto" w:fill="E5E5E5"/>
          </w:tcPr>
          <w:p>
            <w:pPr>
              <w:spacing w:after="0"/>
              <w:rPr>
                <w:sz w:val="15"/>
                <w:szCs w:val="15"/>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0"/>
                <w:szCs w:val="10"/>
                <w:color w:val="auto"/>
              </w:rPr>
              <w:t>12.1%</w:t>
            </w: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0"/>
                <w:szCs w:val="10"/>
                <w:color w:val="auto"/>
              </w:rPr>
              <w:t>10.9%</w:t>
            </w: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1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1.2 pts.</w:t>
            </w:r>
          </w:p>
        </w:tc>
      </w:tr>
      <w:tr>
        <w:trPr>
          <w:trHeight w:val="88"/>
        </w:trPr>
        <w:tc>
          <w:tcPr>
            <w:tcW w:w="7000" w:type="dxa"/>
            <w:vAlign w:val="bottom"/>
          </w:tcPr>
          <w:p>
            <w:pPr>
              <w:spacing w:after="0"/>
              <w:rPr>
                <w:sz w:val="20"/>
                <w:szCs w:val="20"/>
                <w:color w:val="auto"/>
              </w:rPr>
            </w:pPr>
            <w:r>
              <w:rPr>
                <w:rFonts w:ascii="Arial" w:cs="Arial" w:eastAsia="Arial" w:hAnsi="Arial"/>
                <w:sz w:val="7"/>
                <w:szCs w:val="7"/>
                <w:color w:val="auto"/>
              </w:rPr>
              <w:t>____________________________</w:t>
            </w: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r>
    </w:tbl>
    <w:p>
      <w:pPr>
        <w:spacing w:after="0" w:line="24" w:lineRule="exact"/>
        <w:rPr>
          <w:sz w:val="20"/>
          <w:szCs w:val="20"/>
          <w:color w:val="auto"/>
        </w:rPr>
      </w:pPr>
    </w:p>
    <w:p>
      <w:pPr>
        <w:ind w:left="87" w:hanging="87"/>
        <w:spacing w:after="0"/>
        <w:tabs>
          <w:tab w:leader="none" w:pos="87" w:val="left"/>
        </w:tabs>
        <w:numPr>
          <w:ilvl w:val="0"/>
          <w:numId w:val="15"/>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See the “Non-GAAP Financial Measures” section for an explanation of the non-GAAP financial measure.</w:t>
      </w:r>
    </w:p>
    <w:p>
      <w:pPr>
        <w:spacing w:after="0" w:line="98"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Pre-tax Income Margin</w:t>
      </w:r>
    </w:p>
    <w:p>
      <w:pPr>
        <w:spacing w:after="0" w:line="20" w:lineRule="exact"/>
        <w:rPr>
          <w:sz w:val="20"/>
          <w:szCs w:val="20"/>
          <w:color w:val="auto"/>
        </w:rPr>
      </w:pPr>
    </w:p>
    <w:p>
      <w:pPr>
        <w:ind w:left="7" w:right="20"/>
        <w:spacing w:after="0" w:line="260" w:lineRule="auto"/>
        <w:rPr>
          <w:sz w:val="20"/>
          <w:szCs w:val="20"/>
          <w:color w:val="auto"/>
        </w:rPr>
      </w:pPr>
      <w:r>
        <w:rPr>
          <w:rFonts w:ascii="Arial" w:cs="Arial" w:eastAsia="Arial" w:hAnsi="Arial"/>
          <w:sz w:val="12"/>
          <w:szCs w:val="12"/>
          <w:color w:val="auto"/>
        </w:rPr>
        <w:t>Third quarter 2019 pre-tax income margin of 10.5% increased 2.3-percentage points as compared to third quarter 2018. The increase was primarily driven by lower operating expenses, mainly reflecting the net benefit from our Project Own It transformation actions, which more than offset the adverse impact of lower revenues. The increase also reflected lower Other Expenses, net, partially offset by higher Transaction and related costs, net, due to a prior year credit associated with recoveries from insurance and other vendors.</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Adjusted</w:t>
      </w:r>
      <w:r>
        <w:rPr>
          <w:rFonts w:ascii="Arial" w:cs="Arial" w:eastAsia="Arial" w:hAnsi="Arial"/>
          <w:sz w:val="14"/>
          <w:szCs w:val="14"/>
          <w:i w:val="1"/>
          <w:iCs w:val="1"/>
          <w:color w:val="auto"/>
          <w:vertAlign w:val="superscript"/>
        </w:rPr>
        <w:t>1</w:t>
      </w:r>
      <w:r>
        <w:rPr>
          <w:rFonts w:ascii="Arial" w:cs="Arial" w:eastAsia="Arial" w:hAnsi="Arial"/>
          <w:sz w:val="12"/>
          <w:szCs w:val="12"/>
          <w:i w:val="1"/>
          <w:iCs w:val="1"/>
          <w:color w:val="auto"/>
        </w:rPr>
        <w:t xml:space="preserve"> </w:t>
      </w:r>
      <w:r>
        <w:rPr>
          <w:rFonts w:ascii="Arial" w:cs="Arial" w:eastAsia="Arial" w:hAnsi="Arial"/>
          <w:sz w:val="12"/>
          <w:szCs w:val="12"/>
          <w:i w:val="1"/>
          <w:iCs w:val="1"/>
          <w:u w:val="single" w:color="auto"/>
          <w:color w:val="auto"/>
        </w:rPr>
        <w:t>Operating Margin</w:t>
      </w:r>
    </w:p>
    <w:p>
      <w:pPr>
        <w:jc w:val="both"/>
        <w:ind w:left="7" w:right="60"/>
        <w:spacing w:after="0"/>
        <w:rPr>
          <w:sz w:val="20"/>
          <w:szCs w:val="20"/>
          <w:color w:val="auto"/>
        </w:rPr>
      </w:pPr>
      <w:r>
        <w:rPr>
          <w:rFonts w:ascii="Arial" w:cs="Arial" w:eastAsia="Arial" w:hAnsi="Arial"/>
          <w:sz w:val="12"/>
          <w:szCs w:val="12"/>
          <w:color w:val="auto"/>
        </w:rPr>
        <w:t>Third quarter 2019 adjusted</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operating margin of 12.1% increased by 1.2-percentage points as compared to third quarter 2018 primarily reflecting the impact of SAG reductions and cost productivity associated with our Project Own It transformation actions, which more than offset the pace of revenue decline and an approximate 0.2-percentage point unfavorable impact from transaction currency. The increase also reflected a $5 million favorable impact from higher costs in the prior year related to the termination of certain IT projects.</w:t>
      </w:r>
    </w:p>
    <w:p>
      <w:pPr>
        <w:spacing w:after="0" w:line="1" w:lineRule="exact"/>
        <w:rPr>
          <w:sz w:val="20"/>
          <w:szCs w:val="20"/>
          <w:color w:val="auto"/>
        </w:rPr>
      </w:pPr>
    </w:p>
    <w:p>
      <w:pPr>
        <w:ind w:left="7"/>
        <w:spacing w:after="0"/>
        <w:rPr>
          <w:sz w:val="20"/>
          <w:szCs w:val="20"/>
          <w:color w:val="auto"/>
        </w:rPr>
      </w:pPr>
      <w:r>
        <w:rPr>
          <w:rFonts w:ascii="Arial" w:cs="Arial" w:eastAsia="Arial" w:hAnsi="Arial"/>
          <w:sz w:val="7"/>
          <w:szCs w:val="7"/>
          <w:color w:val="auto"/>
        </w:rPr>
        <w:t>____________________________</w:t>
      </w:r>
    </w:p>
    <w:p>
      <w:pPr>
        <w:spacing w:after="0" w:line="4" w:lineRule="exact"/>
        <w:rPr>
          <w:sz w:val="20"/>
          <w:szCs w:val="20"/>
          <w:color w:val="auto"/>
        </w:rPr>
      </w:pPr>
    </w:p>
    <w:p>
      <w:pPr>
        <w:ind w:left="87" w:hanging="87"/>
        <w:spacing w:after="0"/>
        <w:tabs>
          <w:tab w:leader="none" w:pos="87" w:val="left"/>
        </w:tabs>
        <w:numPr>
          <w:ilvl w:val="0"/>
          <w:numId w:val="16"/>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Refer to the Operating Income and Margin reconciliation table in the “Non-GAAP Financial Measures” section.</w:t>
      </w:r>
    </w:p>
    <w:p>
      <w:pPr>
        <w:spacing w:after="0" w:line="55"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Gross Margin</w:t>
      </w:r>
    </w:p>
    <w:p>
      <w:pPr>
        <w:spacing w:after="0" w:line="20" w:lineRule="exact"/>
        <w:rPr>
          <w:sz w:val="20"/>
          <w:szCs w:val="20"/>
          <w:color w:val="auto"/>
        </w:rPr>
      </w:pPr>
    </w:p>
    <w:p>
      <w:pPr>
        <w:ind w:left="7" w:right="40"/>
        <w:spacing w:after="0" w:line="267" w:lineRule="auto"/>
        <w:rPr>
          <w:sz w:val="20"/>
          <w:szCs w:val="20"/>
          <w:color w:val="auto"/>
        </w:rPr>
      </w:pPr>
      <w:r>
        <w:rPr>
          <w:rFonts w:ascii="Arial" w:cs="Arial" w:eastAsia="Arial" w:hAnsi="Arial"/>
          <w:sz w:val="12"/>
          <w:szCs w:val="12"/>
          <w:color w:val="auto"/>
        </w:rPr>
        <w:t>Third quarter 2019 gross margin of 40.0% decreased by 0.1-percentage points compared to third quarter 2018, and reflected an approximate 0.2-percentage point unfavorable impact from transaction currency, and the impact of lower equipment and supplies sales revenues as well as lower page volumes offset by cost productivity and restructuring savings associated with our Project Own It transformation actions.</w:t>
      </w:r>
    </w:p>
    <w:p>
      <w:pPr>
        <w:spacing w:after="0" w:line="58" w:lineRule="exact"/>
        <w:rPr>
          <w:sz w:val="20"/>
          <w:szCs w:val="20"/>
          <w:color w:val="auto"/>
        </w:rPr>
      </w:pPr>
    </w:p>
    <w:p>
      <w:pPr>
        <w:ind w:left="7" w:right="280"/>
        <w:spacing w:after="0" w:line="267" w:lineRule="auto"/>
        <w:rPr>
          <w:sz w:val="20"/>
          <w:szCs w:val="20"/>
          <w:color w:val="auto"/>
        </w:rPr>
      </w:pPr>
      <w:r>
        <w:rPr>
          <w:rFonts w:ascii="Arial" w:cs="Arial" w:eastAsia="Arial" w:hAnsi="Arial"/>
          <w:sz w:val="12"/>
          <w:szCs w:val="12"/>
          <w:color w:val="auto"/>
        </w:rPr>
        <w:t>Third quarter 2019 equipment gross margin of 34.4% decreased by 0.2-percentage points as compared to third quarter 2018, reflecting cost productivity and the favorable mix impact of higher sales of high-end production systems offset by an approximate 0.6-percentage point unfavorable impact from transaction currency and selective price investments.</w:t>
      </w:r>
    </w:p>
    <w:p>
      <w:pPr>
        <w:spacing w:after="0" w:line="58" w:lineRule="exact"/>
        <w:rPr>
          <w:sz w:val="20"/>
          <w:szCs w:val="20"/>
          <w:color w:val="auto"/>
        </w:rPr>
      </w:pPr>
    </w:p>
    <w:p>
      <w:pPr>
        <w:ind w:left="7" w:right="160"/>
        <w:spacing w:after="0" w:line="267" w:lineRule="auto"/>
        <w:rPr>
          <w:sz w:val="20"/>
          <w:szCs w:val="20"/>
          <w:color w:val="auto"/>
        </w:rPr>
      </w:pPr>
      <w:r>
        <w:rPr>
          <w:rFonts w:ascii="Arial" w:cs="Arial" w:eastAsia="Arial" w:hAnsi="Arial"/>
          <w:sz w:val="12"/>
          <w:szCs w:val="12"/>
          <w:color w:val="auto"/>
        </w:rPr>
        <w:t>Third quarter 2019 post sale gross margin of 41.6% was flat as compared to third quarter 2018 as a result of productivity and restructuring savings associated with our Project Own It transformation actions, which entirely offset the impact of lower revenues, including lower pricing on contract renewals.</w:t>
      </w:r>
    </w:p>
    <w:p>
      <w:pPr>
        <w:spacing w:after="0" w:line="58" w:lineRule="exact"/>
        <w:rPr>
          <w:sz w:val="20"/>
          <w:szCs w:val="20"/>
          <w:color w:val="auto"/>
        </w:rPr>
      </w:pPr>
    </w:p>
    <w:p>
      <w:pPr>
        <w:ind w:left="7" w:right="80"/>
        <w:spacing w:after="0" w:line="267" w:lineRule="auto"/>
        <w:rPr>
          <w:sz w:val="20"/>
          <w:szCs w:val="20"/>
          <w:color w:val="auto"/>
        </w:rPr>
      </w:pPr>
      <w:r>
        <w:rPr>
          <w:rFonts w:ascii="Arial" w:cs="Arial" w:eastAsia="Arial" w:hAnsi="Arial"/>
          <w:sz w:val="12"/>
          <w:szCs w:val="12"/>
          <w:color w:val="auto"/>
        </w:rPr>
        <w:t>Gross margins are expected to be negatively impacted in future periods as a result of an increase in the cost of our imported products from higher import tariffs. We are taking actions to mitigate the impact of these tariffs, such as</w:t>
      </w:r>
    </w:p>
    <w:p>
      <w:pPr>
        <w:spacing w:after="0" w:line="14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7"/>
          </w:cols>
          <w:pgMar w:left="213" w:top="440" w:right="199" w:bottom="1440" w:gutter="0" w:footer="0" w:header="0"/>
        </w:sectPr>
      </w:pPr>
    </w:p>
    <w:bookmarkStart w:id="16" w:name="page17"/>
    <w:bookmarkEnd w:id="16"/>
    <w:p>
      <w:pPr>
        <w:ind w:left="7" w:right="940"/>
        <w:spacing w:after="0" w:line="317" w:lineRule="auto"/>
        <w:rPr>
          <w:sz w:val="20"/>
          <w:szCs w:val="20"/>
          <w:color w:val="auto"/>
        </w:rPr>
      </w:pPr>
      <w:r>
        <w:rPr>
          <w:rFonts w:ascii="Arial" w:cs="Arial" w:eastAsia="Arial" w:hAnsi="Arial"/>
          <w:sz w:val="12"/>
          <w:szCs w:val="12"/>
          <w:color w:val="auto"/>
        </w:rPr>
        <w:t xml:space="preserve">raising prices on certain products, however, we currently estimate approximately $24 million cost impact from these higher tariffs in 2019, with a significant portion impacting the fourth quarter 2019. </w:t>
      </w:r>
      <w:r>
        <w:rPr>
          <w:rFonts w:ascii="Arial" w:cs="Arial" w:eastAsia="Arial" w:hAnsi="Arial"/>
          <w:sz w:val="12"/>
          <w:szCs w:val="12"/>
          <w:i w:val="1"/>
          <w:iCs w:val="1"/>
          <w:u w:val="single" w:color="auto"/>
          <w:color w:val="auto"/>
        </w:rPr>
        <w:t>Research, Development and Engineering Expenses (RD&amp;E)</w:t>
      </w:r>
    </w:p>
    <w:p>
      <w:pPr>
        <w:ind w:left="7" w:right="200"/>
        <w:spacing w:after="0" w:line="267" w:lineRule="auto"/>
        <w:rPr>
          <w:sz w:val="20"/>
          <w:szCs w:val="20"/>
          <w:color w:val="auto"/>
        </w:rPr>
      </w:pPr>
      <w:r>
        <w:rPr>
          <w:rFonts w:ascii="Arial" w:cs="Arial" w:eastAsia="Arial" w:hAnsi="Arial"/>
          <w:sz w:val="12"/>
          <w:szCs w:val="12"/>
          <w:color w:val="auto"/>
        </w:rPr>
        <w:t>Third quarter 2019 RD&amp;E as a percentage of revenue of 4.5% increased by 0.2-percentage points as compared to third quarter 2018, primarily due to lower revenues as expenses were essentially flat year-over-year.</w:t>
      </w:r>
    </w:p>
    <w:p>
      <w:pPr>
        <w:spacing w:after="0" w:line="58" w:lineRule="exact"/>
        <w:rPr>
          <w:sz w:val="20"/>
          <w:szCs w:val="20"/>
          <w:color w:val="auto"/>
        </w:rPr>
      </w:pPr>
    </w:p>
    <w:p>
      <w:pPr>
        <w:ind w:left="7" w:right="140"/>
        <w:spacing w:after="0" w:line="267" w:lineRule="auto"/>
        <w:rPr>
          <w:sz w:val="20"/>
          <w:szCs w:val="20"/>
          <w:color w:val="auto"/>
        </w:rPr>
      </w:pPr>
      <w:r>
        <w:rPr>
          <w:rFonts w:ascii="Arial" w:cs="Arial" w:eastAsia="Arial" w:hAnsi="Arial"/>
          <w:sz w:val="12"/>
          <w:szCs w:val="12"/>
          <w:color w:val="auto"/>
        </w:rPr>
        <w:t>RD&amp;E of $100 million decreased $2 million as compared to third quarter 2018 and reflected cost productivity and restructuring savings from our Project Own It transformation actions partially offset by the timing of investments that started to ramp during the quarter.</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Selling, Administrative and General Expenses (SAG)</w:t>
      </w:r>
    </w:p>
    <w:p>
      <w:pPr>
        <w:spacing w:after="0" w:line="20" w:lineRule="exact"/>
        <w:rPr>
          <w:sz w:val="20"/>
          <w:szCs w:val="20"/>
          <w:color w:val="auto"/>
        </w:rPr>
      </w:pPr>
    </w:p>
    <w:p>
      <w:pPr>
        <w:ind w:left="7" w:right="60"/>
        <w:spacing w:after="0" w:line="267" w:lineRule="auto"/>
        <w:rPr>
          <w:sz w:val="20"/>
          <w:szCs w:val="20"/>
          <w:color w:val="auto"/>
        </w:rPr>
      </w:pPr>
      <w:r>
        <w:rPr>
          <w:rFonts w:ascii="Arial" w:cs="Arial" w:eastAsia="Arial" w:hAnsi="Arial"/>
          <w:sz w:val="12"/>
          <w:szCs w:val="12"/>
          <w:color w:val="auto"/>
        </w:rPr>
        <w:t>SAG as a percentage of revenue of 23.3% decreased by 1.5-percentage points as compared to third quarter 2018, primarily reflecting the benefit from productivity and restructuring associated with our Project Own It transformation actions.</w:t>
      </w:r>
    </w:p>
    <w:p>
      <w:pPr>
        <w:spacing w:after="0" w:line="94" w:lineRule="exact"/>
        <w:rPr>
          <w:sz w:val="20"/>
          <w:szCs w:val="20"/>
          <w:color w:val="auto"/>
        </w:rPr>
      </w:pPr>
    </w:p>
    <w:p>
      <w:pPr>
        <w:ind w:left="7" w:right="220"/>
        <w:spacing w:after="0" w:line="258" w:lineRule="auto"/>
        <w:rPr>
          <w:sz w:val="20"/>
          <w:szCs w:val="20"/>
          <w:color w:val="auto"/>
        </w:rPr>
      </w:pPr>
      <w:r>
        <w:rPr>
          <w:rFonts w:ascii="Arial" w:cs="Arial" w:eastAsia="Arial" w:hAnsi="Arial"/>
          <w:sz w:val="12"/>
          <w:szCs w:val="12"/>
          <w:color w:val="auto"/>
        </w:rPr>
        <w:t>SAG of $513 million decreased by $70 million as compared to third quarter 2018, reflecting productivity and restructuring savings associated with our Project Own It transformation actions as well as lower compensation and incentives (consistent with lower revenues); the decrease also includes the favorable impacts of approximately $6 million from translation currency and $5 million from higher costs in the prior year associated with the termination of certain IT projects. Bad debt expense of $13 million was $3 million higher compared to third quarter 2018 and on a trailing twelve-month basis (TTM) remained at less than one percent of total receivables.</w:t>
      </w:r>
    </w:p>
    <w:p>
      <w:pPr>
        <w:spacing w:after="0" w:line="88"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Restructuring and Related Costs</w:t>
      </w:r>
    </w:p>
    <w:p>
      <w:pPr>
        <w:spacing w:after="0" w:line="20" w:lineRule="exact"/>
        <w:rPr>
          <w:sz w:val="20"/>
          <w:szCs w:val="20"/>
          <w:color w:val="auto"/>
        </w:rPr>
      </w:pPr>
    </w:p>
    <w:p>
      <w:pPr>
        <w:ind w:left="7" w:right="100"/>
        <w:spacing w:after="0" w:line="260" w:lineRule="auto"/>
        <w:rPr>
          <w:sz w:val="20"/>
          <w:szCs w:val="20"/>
          <w:color w:val="auto"/>
        </w:rPr>
      </w:pPr>
      <w:r>
        <w:rPr>
          <w:rFonts w:ascii="Arial" w:cs="Arial" w:eastAsia="Arial" w:hAnsi="Arial"/>
          <w:sz w:val="12"/>
          <w:szCs w:val="12"/>
          <w:color w:val="212121"/>
        </w:rPr>
        <w:t xml:space="preserve">During the second half of 2018, we started our Project Own It transformation initiative. The primary goal of this initiative is to improve productivity by driving end-to-end transformation of our processes and systems to create greater focus, speed, accountability and effectiveness and to reduce costs. We incurred restructuring and related costs of $27 million for the </w:t>
      </w:r>
      <w:r>
        <w:rPr>
          <w:rFonts w:ascii="Arial" w:cs="Arial" w:eastAsia="Arial" w:hAnsi="Arial"/>
          <w:sz w:val="12"/>
          <w:szCs w:val="12"/>
          <w:color w:val="000000"/>
        </w:rPr>
        <w:t>third</w:t>
      </w:r>
      <w:r>
        <w:rPr>
          <w:rFonts w:ascii="Arial" w:cs="Arial" w:eastAsia="Arial" w:hAnsi="Arial"/>
          <w:sz w:val="12"/>
          <w:szCs w:val="12"/>
          <w:color w:val="212121"/>
        </w:rPr>
        <w:t xml:space="preserve"> quarter 2019 primarily related to costs to implement initiatives under our business transformation projects including Project Own It. The following is a breakdown of those costs:</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9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jc w:val="right"/>
              <w:ind w:right="431"/>
              <w:spacing w:after="0"/>
              <w:rPr>
                <w:sz w:val="20"/>
                <w:szCs w:val="20"/>
                <w:color w:val="auto"/>
              </w:rPr>
            </w:pPr>
            <w:r>
              <w:rPr>
                <w:rFonts w:ascii="Arial" w:cs="Arial" w:eastAsia="Arial" w:hAnsi="Arial"/>
                <w:sz w:val="10"/>
                <w:szCs w:val="10"/>
                <w:color w:val="auto"/>
              </w:rPr>
              <w:t>Three Months Ended</w:t>
            </w:r>
          </w:p>
        </w:tc>
      </w:tr>
      <w:tr>
        <w:trPr>
          <w:trHeight w:val="120"/>
        </w:trPr>
        <w:tc>
          <w:tcPr>
            <w:tcW w:w="952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color w:val="auto"/>
              </w:rPr>
              <w:t>September 30, 2019</w:t>
            </w:r>
          </w:p>
        </w:tc>
      </w:tr>
      <w:tr>
        <w:trPr>
          <w:trHeight w:val="167"/>
        </w:trPr>
        <w:tc>
          <w:tcPr>
            <w:tcW w:w="964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 xml:space="preserve">Restructuring Severance </w:t>
            </w:r>
            <w:r>
              <w:rPr>
                <w:rFonts w:ascii="Arial" w:cs="Arial" w:eastAsia="Arial" w:hAnsi="Arial"/>
                <w:sz w:val="12"/>
                <w:szCs w:val="12"/>
                <w:color w:val="auto"/>
                <w:vertAlign w:val="superscript"/>
              </w:rPr>
              <w:t>(1)</w:t>
            </w:r>
          </w:p>
        </w:tc>
        <w:tc>
          <w:tcPr>
            <w:tcW w:w="260" w:type="dxa"/>
            <w:vAlign w:val="bottom"/>
            <w:shd w:val="clear" w:color="auto" w:fill="E5E5E5"/>
          </w:tcPr>
          <w:p>
            <w:pPr>
              <w:jc w:val="right"/>
              <w:ind w:right="131"/>
              <w:spacing w:after="0"/>
              <w:rPr>
                <w:sz w:val="20"/>
                <w:szCs w:val="20"/>
                <w:color w:val="auto"/>
              </w:rPr>
            </w:pPr>
            <w:r>
              <w:rPr>
                <w:rFonts w:ascii="Arial" w:cs="Arial" w:eastAsia="Arial" w:hAnsi="Arial"/>
                <w:sz w:val="10"/>
                <w:szCs w:val="10"/>
                <w:color w:val="auto"/>
              </w:rPr>
              <w:t>$</w:t>
            </w:r>
          </w:p>
        </w:tc>
        <w:tc>
          <w:tcPr>
            <w:tcW w:w="15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12</w:t>
            </w:r>
          </w:p>
        </w:tc>
      </w:tr>
      <w:tr>
        <w:trPr>
          <w:trHeight w:val="182"/>
        </w:trPr>
        <w:tc>
          <w:tcPr>
            <w:tcW w:w="9640" w:type="dxa"/>
            <w:vAlign w:val="bottom"/>
            <w:gridSpan w:val="2"/>
          </w:tcPr>
          <w:p>
            <w:pPr>
              <w:ind w:left="20"/>
              <w:spacing w:after="0"/>
              <w:rPr>
                <w:sz w:val="20"/>
                <w:szCs w:val="20"/>
                <w:color w:val="auto"/>
              </w:rPr>
            </w:pPr>
            <w:r>
              <w:rPr>
                <w:rFonts w:ascii="Arial" w:cs="Arial" w:eastAsia="Arial" w:hAnsi="Arial"/>
                <w:sz w:val="10"/>
                <w:szCs w:val="10"/>
                <w:color w:val="auto"/>
              </w:rPr>
              <w:t xml:space="preserve">Asset Impairments </w:t>
            </w:r>
            <w:r>
              <w:rPr>
                <w:rFonts w:ascii="Arial" w:cs="Arial" w:eastAsia="Arial" w:hAnsi="Arial"/>
                <w:sz w:val="12"/>
                <w:szCs w:val="12"/>
                <w:color w:val="auto"/>
                <w:vertAlign w:val="superscript"/>
              </w:rPr>
              <w:t>(2)</w:t>
            </w:r>
          </w:p>
        </w:tc>
        <w:tc>
          <w:tcPr>
            <w:tcW w:w="260" w:type="dxa"/>
            <w:vAlign w:val="bottom"/>
          </w:tcPr>
          <w:p>
            <w:pPr>
              <w:spacing w:after="0"/>
              <w:rPr>
                <w:sz w:val="15"/>
                <w:szCs w:val="15"/>
                <w:color w:val="auto"/>
              </w:rPr>
            </w:pPr>
          </w:p>
        </w:tc>
        <w:tc>
          <w:tcPr>
            <w:tcW w:w="1580" w:type="dxa"/>
            <w:vAlign w:val="bottom"/>
          </w:tcPr>
          <w:p>
            <w:pPr>
              <w:jc w:val="right"/>
              <w:ind w:right="71"/>
              <w:spacing w:after="0"/>
              <w:rPr>
                <w:sz w:val="20"/>
                <w:szCs w:val="20"/>
                <w:color w:val="auto"/>
              </w:rPr>
            </w:pPr>
            <w:r>
              <w:rPr>
                <w:rFonts w:ascii="Arial" w:cs="Arial" w:eastAsia="Arial" w:hAnsi="Arial"/>
                <w:sz w:val="10"/>
                <w:szCs w:val="10"/>
                <w:color w:val="auto"/>
              </w:rPr>
              <w:t>2</w:t>
            </w:r>
          </w:p>
        </w:tc>
      </w:tr>
      <w:tr>
        <w:trPr>
          <w:trHeight w:val="182"/>
        </w:trPr>
        <w:tc>
          <w:tcPr>
            <w:tcW w:w="964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 xml:space="preserve">Other contractual termination costs </w:t>
            </w:r>
            <w:r>
              <w:rPr>
                <w:rFonts w:ascii="Arial" w:cs="Arial" w:eastAsia="Arial" w:hAnsi="Arial"/>
                <w:sz w:val="12"/>
                <w:szCs w:val="12"/>
                <w:color w:val="auto"/>
                <w:vertAlign w:val="superscript"/>
              </w:rPr>
              <w:t>(3)</w:t>
            </w:r>
          </w:p>
        </w:tc>
        <w:tc>
          <w:tcPr>
            <w:tcW w:w="260" w:type="dxa"/>
            <w:vAlign w:val="bottom"/>
            <w:shd w:val="clear" w:color="auto" w:fill="E5E5E5"/>
          </w:tcPr>
          <w:p>
            <w:pPr>
              <w:spacing w:after="0"/>
              <w:rPr>
                <w:sz w:val="15"/>
                <w:szCs w:val="15"/>
                <w:color w:val="auto"/>
              </w:rPr>
            </w:pPr>
          </w:p>
        </w:tc>
        <w:tc>
          <w:tcPr>
            <w:tcW w:w="15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w:t>
            </w:r>
          </w:p>
        </w:tc>
      </w:tr>
      <w:tr>
        <w:trPr>
          <w:trHeight w:val="182"/>
        </w:trPr>
        <w:tc>
          <w:tcPr>
            <w:tcW w:w="964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 xml:space="preserve">Net reversals </w:t>
            </w:r>
            <w:r>
              <w:rPr>
                <w:rFonts w:ascii="Arial" w:cs="Arial" w:eastAsia="Arial" w:hAnsi="Arial"/>
                <w:sz w:val="12"/>
                <w:szCs w:val="12"/>
                <w:color w:val="auto"/>
                <w:vertAlign w:val="superscript"/>
              </w:rPr>
              <w:t>(4)</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(7)</w:t>
            </w:r>
          </w:p>
        </w:tc>
      </w:tr>
      <w:tr>
        <w:trPr>
          <w:trHeight w:val="162"/>
        </w:trPr>
        <w:tc>
          <w:tcPr>
            <w:tcW w:w="964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Restructuring and asset impairment costs</w:t>
            </w:r>
          </w:p>
        </w:tc>
        <w:tc>
          <w:tcPr>
            <w:tcW w:w="260" w:type="dxa"/>
            <w:vAlign w:val="bottom"/>
            <w:shd w:val="clear" w:color="auto" w:fill="E5E5E5"/>
          </w:tcPr>
          <w:p>
            <w:pPr>
              <w:spacing w:after="0"/>
              <w:rPr>
                <w:sz w:val="14"/>
                <w:szCs w:val="14"/>
                <w:color w:val="auto"/>
              </w:rPr>
            </w:pPr>
          </w:p>
        </w:tc>
        <w:tc>
          <w:tcPr>
            <w:tcW w:w="15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8</w:t>
            </w:r>
          </w:p>
        </w:tc>
      </w:tr>
      <w:tr>
        <w:trPr>
          <w:trHeight w:val="182"/>
        </w:trPr>
        <w:tc>
          <w:tcPr>
            <w:tcW w:w="9640" w:type="dxa"/>
            <w:vAlign w:val="bottom"/>
            <w:gridSpan w:val="2"/>
          </w:tcPr>
          <w:p>
            <w:pPr>
              <w:ind w:left="20"/>
              <w:spacing w:after="0"/>
              <w:rPr>
                <w:sz w:val="20"/>
                <w:szCs w:val="20"/>
                <w:color w:val="auto"/>
              </w:rPr>
            </w:pPr>
            <w:r>
              <w:rPr>
                <w:rFonts w:ascii="Arial" w:cs="Arial" w:eastAsia="Arial" w:hAnsi="Arial"/>
                <w:sz w:val="10"/>
                <w:szCs w:val="10"/>
                <w:color w:val="auto"/>
              </w:rPr>
              <w:t xml:space="preserve">Retention related severance/bonuses </w:t>
            </w:r>
            <w:r>
              <w:rPr>
                <w:rFonts w:ascii="Arial" w:cs="Arial" w:eastAsia="Arial" w:hAnsi="Arial"/>
                <w:sz w:val="12"/>
                <w:szCs w:val="12"/>
                <w:color w:val="auto"/>
                <w:vertAlign w:val="superscript"/>
              </w:rPr>
              <w:t>(5)</w:t>
            </w:r>
          </w:p>
        </w:tc>
        <w:tc>
          <w:tcPr>
            <w:tcW w:w="260" w:type="dxa"/>
            <w:vAlign w:val="bottom"/>
          </w:tcPr>
          <w:p>
            <w:pPr>
              <w:spacing w:after="0"/>
              <w:rPr>
                <w:sz w:val="15"/>
                <w:szCs w:val="15"/>
                <w:color w:val="auto"/>
              </w:rPr>
            </w:pPr>
          </w:p>
        </w:tc>
        <w:tc>
          <w:tcPr>
            <w:tcW w:w="1580" w:type="dxa"/>
            <w:vAlign w:val="bottom"/>
          </w:tcPr>
          <w:p>
            <w:pPr>
              <w:jc w:val="right"/>
              <w:ind w:right="71"/>
              <w:spacing w:after="0"/>
              <w:rPr>
                <w:sz w:val="20"/>
                <w:szCs w:val="20"/>
                <w:color w:val="auto"/>
              </w:rPr>
            </w:pPr>
            <w:r>
              <w:rPr>
                <w:rFonts w:ascii="Arial" w:cs="Arial" w:eastAsia="Arial" w:hAnsi="Arial"/>
                <w:sz w:val="10"/>
                <w:szCs w:val="10"/>
                <w:color w:val="auto"/>
              </w:rPr>
              <w:t>11</w:t>
            </w:r>
          </w:p>
        </w:tc>
      </w:tr>
      <w:tr>
        <w:trPr>
          <w:trHeight w:val="182"/>
        </w:trPr>
        <w:tc>
          <w:tcPr>
            <w:tcW w:w="964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 xml:space="preserve">Contractual severance costs </w:t>
            </w:r>
            <w:r>
              <w:rPr>
                <w:rFonts w:ascii="Arial" w:cs="Arial" w:eastAsia="Arial" w:hAnsi="Arial"/>
                <w:sz w:val="12"/>
                <w:szCs w:val="12"/>
                <w:color w:val="auto"/>
                <w:vertAlign w:val="superscript"/>
              </w:rPr>
              <w:t>(6)</w:t>
            </w:r>
          </w:p>
        </w:tc>
        <w:tc>
          <w:tcPr>
            <w:tcW w:w="260" w:type="dxa"/>
            <w:vAlign w:val="bottom"/>
            <w:shd w:val="clear" w:color="auto" w:fill="E5E5E5"/>
          </w:tcPr>
          <w:p>
            <w:pPr>
              <w:spacing w:after="0"/>
              <w:rPr>
                <w:sz w:val="15"/>
                <w:szCs w:val="15"/>
                <w:color w:val="auto"/>
              </w:rPr>
            </w:pPr>
          </w:p>
        </w:tc>
        <w:tc>
          <w:tcPr>
            <w:tcW w:w="15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w:t>
            </w:r>
          </w:p>
        </w:tc>
      </w:tr>
      <w:tr>
        <w:trPr>
          <w:trHeight w:val="182"/>
        </w:trPr>
        <w:tc>
          <w:tcPr>
            <w:tcW w:w="964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 xml:space="preserve">Consulting and other costs </w:t>
            </w:r>
            <w:r>
              <w:rPr>
                <w:rFonts w:ascii="Arial" w:cs="Arial" w:eastAsia="Arial" w:hAnsi="Arial"/>
                <w:sz w:val="12"/>
                <w:szCs w:val="12"/>
                <w:color w:val="auto"/>
                <w:vertAlign w:val="superscript"/>
              </w:rPr>
              <w:t>(7)</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w:t>
            </w:r>
          </w:p>
        </w:tc>
      </w:tr>
      <w:tr>
        <w:trPr>
          <w:trHeight w:val="173"/>
        </w:trPr>
        <w:tc>
          <w:tcPr>
            <w:tcW w:w="96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w:t>
            </w:r>
          </w:p>
        </w:tc>
        <w:tc>
          <w:tcPr>
            <w:tcW w:w="260" w:type="dxa"/>
            <w:vAlign w:val="bottom"/>
            <w:tcBorders>
              <w:bottom w:val="single" w:sz="8" w:color="auto"/>
            </w:tcBorders>
            <w:shd w:val="clear" w:color="auto" w:fill="E5E5E5"/>
          </w:tcPr>
          <w:p>
            <w:pPr>
              <w:jc w:val="right"/>
              <w:ind w:right="131"/>
              <w:spacing w:after="0"/>
              <w:rPr>
                <w:sz w:val="20"/>
                <w:szCs w:val="20"/>
                <w:color w:val="auto"/>
              </w:rPr>
            </w:pPr>
            <w:r>
              <w:rPr>
                <w:rFonts w:ascii="Arial" w:cs="Arial" w:eastAsia="Arial" w:hAnsi="Arial"/>
                <w:sz w:val="10"/>
                <w:szCs w:val="10"/>
                <w:color w:val="auto"/>
              </w:rPr>
              <w:t>$</w:t>
            </w:r>
          </w:p>
        </w:tc>
        <w:tc>
          <w:tcPr>
            <w:tcW w:w="158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27</w:t>
            </w:r>
          </w:p>
        </w:tc>
      </w:tr>
      <w:tr>
        <w:trPr>
          <w:trHeight w:val="73"/>
        </w:trPr>
        <w:tc>
          <w:tcPr>
            <w:tcW w:w="9520" w:type="dxa"/>
            <w:vAlign w:val="bottom"/>
          </w:tcPr>
          <w:p>
            <w:pPr>
              <w:spacing w:after="0" w:line="74" w:lineRule="exact"/>
              <w:rPr>
                <w:sz w:val="20"/>
                <w:szCs w:val="20"/>
                <w:color w:val="auto"/>
              </w:rPr>
            </w:pPr>
            <w:r>
              <w:rPr>
                <w:rFonts w:ascii="Arial" w:cs="Arial" w:eastAsia="Arial" w:hAnsi="Arial"/>
                <w:sz w:val="7"/>
                <w:szCs w:val="7"/>
                <w:color w:val="auto"/>
              </w:rPr>
              <w:t>___________________</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80" w:type="dxa"/>
            <w:vAlign w:val="bottom"/>
          </w:tcPr>
          <w:p>
            <w:pPr>
              <w:spacing w:after="0"/>
              <w:rPr>
                <w:sz w:val="6"/>
                <w:szCs w:val="6"/>
                <w:color w:val="auto"/>
              </w:rPr>
            </w:pPr>
          </w:p>
        </w:tc>
      </w:tr>
    </w:tbl>
    <w:p>
      <w:pPr>
        <w:spacing w:after="0" w:line="44" w:lineRule="exact"/>
        <w:rPr>
          <w:sz w:val="20"/>
          <w:szCs w:val="20"/>
          <w:color w:val="auto"/>
        </w:rPr>
      </w:pPr>
    </w:p>
    <w:p>
      <w:pPr>
        <w:ind w:left="227" w:hanging="227"/>
        <w:spacing w:after="0"/>
        <w:tabs>
          <w:tab w:leader="none" w:pos="227" w:val="left"/>
        </w:tabs>
        <w:numPr>
          <w:ilvl w:val="0"/>
          <w:numId w:val="17"/>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Reflects headcount reductions of approximately 150 employees worldwide.</w:t>
      </w:r>
    </w:p>
    <w:p>
      <w:pPr>
        <w:ind w:left="227" w:hanging="227"/>
        <w:spacing w:after="0" w:line="190" w:lineRule="auto"/>
        <w:tabs>
          <w:tab w:leader="none" w:pos="227" w:val="left"/>
        </w:tabs>
        <w:numPr>
          <w:ilvl w:val="0"/>
          <w:numId w:val="17"/>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Primarily related to the exit and abandonment of leased and owned facilities. The charge includes the accelerated write-off of $2 million for leased right-of-use asset balances net of any potential sublease income and other recoveries.</w:t>
      </w:r>
    </w:p>
    <w:p>
      <w:pPr>
        <w:ind w:left="227" w:hanging="227"/>
        <w:spacing w:after="0" w:line="190" w:lineRule="auto"/>
        <w:tabs>
          <w:tab w:leader="none" w:pos="227" w:val="left"/>
        </w:tabs>
        <w:numPr>
          <w:ilvl w:val="0"/>
          <w:numId w:val="17"/>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Primarily include additional costs incurred upon the exit from our facilities including decommissioning costs and associated contractual termination costs.</w:t>
      </w:r>
    </w:p>
    <w:p>
      <w:pPr>
        <w:ind w:left="227" w:hanging="227"/>
        <w:spacing w:after="0" w:line="190" w:lineRule="auto"/>
        <w:tabs>
          <w:tab w:leader="none" w:pos="227" w:val="left"/>
        </w:tabs>
        <w:numPr>
          <w:ilvl w:val="0"/>
          <w:numId w:val="17"/>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Reflects net reversals for changes in estimated reserves from prior period initiatives as well as $4 million in favorable adjustments from the early termination of prior period impaired leases.</w:t>
      </w:r>
    </w:p>
    <w:p>
      <w:pPr>
        <w:ind w:left="227" w:hanging="227"/>
        <w:spacing w:after="0" w:line="190" w:lineRule="auto"/>
        <w:tabs>
          <w:tab w:leader="none" w:pos="227" w:val="left"/>
        </w:tabs>
        <w:numPr>
          <w:ilvl w:val="0"/>
          <w:numId w:val="17"/>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Includes retention related severance and bonuses for employees expected to continue working beyond their minimum notification period before termination.</w:t>
      </w:r>
    </w:p>
    <w:p>
      <w:pPr>
        <w:ind w:left="227" w:hanging="227"/>
        <w:spacing w:after="0" w:line="190" w:lineRule="auto"/>
        <w:tabs>
          <w:tab w:leader="none" w:pos="227" w:val="left"/>
        </w:tabs>
        <w:numPr>
          <w:ilvl w:val="0"/>
          <w:numId w:val="17"/>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Reflects severance and other related costs we are contractually required to pay on employees transferred (approximately 2,200 employees) as part of the shared service arrangement entered into with HCL Technologies.</w:t>
      </w:r>
    </w:p>
    <w:p>
      <w:pPr>
        <w:ind w:left="227" w:hanging="227"/>
        <w:spacing w:after="0" w:line="201" w:lineRule="auto"/>
        <w:tabs>
          <w:tab w:leader="none" w:pos="227" w:val="left"/>
        </w:tabs>
        <w:numPr>
          <w:ilvl w:val="0"/>
          <w:numId w:val="17"/>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Represents professional support services associated with our business transformation initiatives.</w:t>
      </w:r>
    </w:p>
    <w:p>
      <w:pPr>
        <w:spacing w:after="0" w:line="136" w:lineRule="exact"/>
        <w:rPr>
          <w:sz w:val="20"/>
          <w:szCs w:val="20"/>
          <w:color w:val="auto"/>
        </w:rPr>
      </w:pPr>
    </w:p>
    <w:p>
      <w:pPr>
        <w:ind w:left="7" w:right="40"/>
        <w:spacing w:after="0" w:line="267" w:lineRule="auto"/>
        <w:rPr>
          <w:sz w:val="20"/>
          <w:szCs w:val="20"/>
          <w:color w:val="auto"/>
        </w:rPr>
      </w:pPr>
      <w:r>
        <w:rPr>
          <w:rFonts w:ascii="Arial" w:cs="Arial" w:eastAsia="Arial" w:hAnsi="Arial"/>
          <w:sz w:val="12"/>
          <w:szCs w:val="12"/>
          <w:color w:val="auto"/>
        </w:rPr>
        <w:t>Third quarter 2019 actions impacted several functional areas, with approximately 50% focused on gross margin improvements, approximately 45% focused on SAG reductions, and the remainder focused on RD&amp;E optimization.</w:t>
      </w:r>
    </w:p>
    <w:p>
      <w:pPr>
        <w:spacing w:after="0" w:line="58" w:lineRule="exact"/>
        <w:rPr>
          <w:sz w:val="20"/>
          <w:szCs w:val="20"/>
          <w:color w:val="auto"/>
        </w:rPr>
      </w:pPr>
    </w:p>
    <w:p>
      <w:pPr>
        <w:ind w:left="7" w:right="600"/>
        <w:spacing w:after="0" w:line="267" w:lineRule="auto"/>
        <w:rPr>
          <w:sz w:val="20"/>
          <w:szCs w:val="20"/>
          <w:color w:val="auto"/>
        </w:rPr>
      </w:pPr>
      <w:r>
        <w:rPr>
          <w:rFonts w:ascii="Arial" w:cs="Arial" w:eastAsia="Arial" w:hAnsi="Arial"/>
          <w:sz w:val="12"/>
          <w:szCs w:val="12"/>
          <w:color w:val="auto"/>
        </w:rPr>
        <w:t>The implementation of our Project Own It initiatives as well as other business transformation initiatives is expected to result in significant cost savings in 2019 and future years. However, expected savings associated with these initiatives may be offset to some extent by business disruption during the implementation phase and until the initiatives are fully implemented and stabilized.</w:t>
      </w:r>
    </w:p>
    <w:p>
      <w:pPr>
        <w:spacing w:after="0" w:line="14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7"/>
          </w:cols>
          <w:pgMar w:left="213" w:top="531" w:right="199" w:bottom="1440" w:gutter="0" w:footer="0" w:header="0"/>
        </w:sectPr>
      </w:pPr>
    </w:p>
    <w:bookmarkStart w:id="17" w:name="page18"/>
    <w:bookmarkEnd w:id="17"/>
    <w:p>
      <w:pPr>
        <w:ind w:right="140"/>
        <w:spacing w:after="0" w:line="260" w:lineRule="auto"/>
        <w:rPr>
          <w:sz w:val="20"/>
          <w:szCs w:val="20"/>
          <w:color w:val="auto"/>
        </w:rPr>
      </w:pPr>
      <w:r>
        <w:rPr>
          <w:rFonts w:ascii="Arial" w:cs="Arial" w:eastAsia="Arial" w:hAnsi="Arial"/>
          <w:sz w:val="12"/>
          <w:szCs w:val="12"/>
          <w:color w:val="auto"/>
        </w:rPr>
        <w:t>Third quarter 2018 restructuring and related costs of $29 million included $40 million of severance costs related to headcount reductions of approximately 900 employees worldwide and $1 million of lease cancellation costs. These costs were partially offset by $12 million of net reversals for changes in estimated reserves from prior period initiatives. Third quarter 2018 actions impacted several functional areas, with approximately 30% focused on gross margin improvements, approximately 65% on SAG reductions, and the remainder focused on RD&amp;E optimization.</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The restructuring reserve balance as of September 30, 2019 for all programs was $57 million, which is expected to be paid over the next twelve months.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Transaction and Related Costs, Net</w:t>
      </w:r>
    </w:p>
    <w:p>
      <w:pPr>
        <w:spacing w:after="0" w:line="20" w:lineRule="exact"/>
        <w:rPr>
          <w:sz w:val="20"/>
          <w:szCs w:val="20"/>
          <w:color w:val="auto"/>
        </w:rPr>
      </w:pPr>
    </w:p>
    <w:p>
      <w:pPr>
        <w:ind w:right="80"/>
        <w:spacing w:after="0" w:line="258" w:lineRule="auto"/>
        <w:rPr>
          <w:sz w:val="20"/>
          <w:szCs w:val="20"/>
          <w:color w:val="auto"/>
        </w:rPr>
      </w:pPr>
      <w:r>
        <w:rPr>
          <w:rFonts w:ascii="Arial" w:cs="Arial" w:eastAsia="Arial" w:hAnsi="Arial"/>
          <w:sz w:val="12"/>
          <w:szCs w:val="12"/>
          <w:color w:val="auto"/>
        </w:rPr>
        <w:t>There were $4 million of Transaction and related costs, net recognized during third quarter 2019 as compared to a $33 million credit in third quarter 2018 which was primarily associated with recoveries from insurance and other vendors. These expenses primarily relate to on-going costs for litigation associated with the terminated Fuji transaction, which are expected to continue. We also continue to pursue recoveries from insurance carriers and other parties for costs and expenses related to the terminated Fuji transaction and related shareholder litigation and therefore additional recoveries and adjustments may be recorded in future periods, when finalized.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Amortization of Intangible Assets</w:t>
      </w:r>
    </w:p>
    <w:p>
      <w:pPr>
        <w:spacing w:after="0" w:line="20" w:lineRule="exact"/>
        <w:rPr>
          <w:sz w:val="20"/>
          <w:szCs w:val="20"/>
          <w:color w:val="auto"/>
        </w:rPr>
      </w:pPr>
    </w:p>
    <w:p>
      <w:pPr>
        <w:ind w:right="160"/>
        <w:spacing w:after="0" w:line="267" w:lineRule="auto"/>
        <w:rPr>
          <w:sz w:val="20"/>
          <w:szCs w:val="20"/>
          <w:color w:val="auto"/>
        </w:rPr>
      </w:pPr>
      <w:r>
        <w:rPr>
          <w:rFonts w:ascii="Arial" w:cs="Arial" w:eastAsia="Arial" w:hAnsi="Arial"/>
          <w:sz w:val="12"/>
          <w:szCs w:val="12"/>
          <w:color w:val="auto"/>
        </w:rPr>
        <w:t>Third quarter 2019 Amortization of intangible assets of $9 million decreased by $3 million compared to third quarter 2018 as a result of the write-off of trade names in prior periods associated with our realignment and consolidation of certain XBS sales units as part of Project Own It transformation actions.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Worldwide Employment</w:t>
      </w:r>
    </w:p>
    <w:p>
      <w:pPr>
        <w:spacing w:after="0" w:line="20" w:lineRule="exact"/>
        <w:rPr>
          <w:sz w:val="20"/>
          <w:szCs w:val="20"/>
          <w:color w:val="auto"/>
        </w:rPr>
      </w:pPr>
    </w:p>
    <w:p>
      <w:pPr>
        <w:ind w:right="120"/>
        <w:spacing w:after="0" w:line="260" w:lineRule="auto"/>
        <w:rPr>
          <w:sz w:val="20"/>
          <w:szCs w:val="20"/>
          <w:color w:val="auto"/>
        </w:rPr>
      </w:pPr>
      <w:r>
        <w:rPr>
          <w:rFonts w:ascii="Arial" w:cs="Arial" w:eastAsia="Arial" w:hAnsi="Arial"/>
          <w:sz w:val="12"/>
          <w:szCs w:val="12"/>
          <w:color w:val="auto"/>
        </w:rPr>
        <w:t>Worldwide employment was approximately 27,600 as of September 30, 2019 and decreased by approximately 4,800 from December 31, 2018. The reduction resulted from net attrition (attrition net of gross hires), of which a large portion is not expected to be backfilled, as well as the impact of organizational changes including employees transferred as part of the shared services arrangement entered into with HCL Technologies earlier this year.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DA2031"/>
        </w:rPr>
        <w:t>Other Expenses,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gridSpan w:val="3"/>
          </w:tcPr>
          <w:p>
            <w:pPr>
              <w:jc w:val="right"/>
              <w:ind w:right="131"/>
              <w:spacing w:after="0"/>
              <w:rPr>
                <w:sz w:val="20"/>
                <w:szCs w:val="20"/>
                <w:color w:val="auto"/>
              </w:rPr>
            </w:pPr>
            <w:r>
              <w:rPr>
                <w:rFonts w:ascii="Arial" w:cs="Arial" w:eastAsia="Arial" w:hAnsi="Arial"/>
                <w:sz w:val="10"/>
                <w:szCs w:val="10"/>
                <w:color w:val="auto"/>
              </w:rPr>
              <w:t>Three Months Ended</w:t>
            </w:r>
          </w:p>
        </w:tc>
        <w:tc>
          <w:tcPr>
            <w:tcW w:w="1140" w:type="dxa"/>
            <w:vAlign w:val="bottom"/>
          </w:tcPr>
          <w:p>
            <w:pPr>
              <w:spacing w:after="0"/>
              <w:rPr>
                <w:sz w:val="10"/>
                <w:szCs w:val="10"/>
                <w:color w:val="auto"/>
              </w:rPr>
            </w:pPr>
          </w:p>
        </w:tc>
      </w:tr>
      <w:tr>
        <w:trPr>
          <w:trHeight w:val="120"/>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0"/>
                <w:szCs w:val="10"/>
                <w:color w:val="auto"/>
              </w:rPr>
              <w:t>September 30,</w:t>
            </w:r>
          </w:p>
        </w:tc>
        <w:tc>
          <w:tcPr>
            <w:tcW w:w="1140" w:type="dxa"/>
            <w:vAlign w:val="bottom"/>
            <w:tcBorders>
              <w:bottom w:val="single" w:sz="8" w:color="auto"/>
            </w:tcBorders>
          </w:tcPr>
          <w:p>
            <w:pPr>
              <w:spacing w:after="0"/>
              <w:rPr>
                <w:sz w:val="10"/>
                <w:szCs w:val="10"/>
                <w:color w:val="auto"/>
              </w:rPr>
            </w:pPr>
          </w:p>
        </w:tc>
      </w:tr>
      <w:tr>
        <w:trPr>
          <w:trHeight w:val="172"/>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00" w:type="dxa"/>
            <w:vAlign w:val="bottom"/>
            <w:tcBorders>
              <w:bottom w:val="single" w:sz="8" w:color="E5E5E5"/>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11"/>
              <w:spacing w:after="0"/>
              <w:rPr>
                <w:sz w:val="20"/>
                <w:szCs w:val="20"/>
                <w:color w:val="auto"/>
              </w:rPr>
            </w:pPr>
            <w:r>
              <w:rPr>
                <w:rFonts w:ascii="Arial" w:cs="Arial" w:eastAsia="Arial" w:hAnsi="Arial"/>
                <w:sz w:val="10"/>
                <w:szCs w:val="10"/>
                <w:color w:val="auto"/>
              </w:rPr>
              <w:t>2019</w:t>
            </w:r>
          </w:p>
        </w:tc>
        <w:tc>
          <w:tcPr>
            <w:tcW w:w="100" w:type="dxa"/>
            <w:vAlign w:val="bottom"/>
            <w:tcBorders>
              <w:bottom w:val="single" w:sz="8" w:color="E5E5E5"/>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91"/>
              <w:spacing w:after="0"/>
              <w:rPr>
                <w:sz w:val="20"/>
                <w:szCs w:val="20"/>
                <w:color w:val="auto"/>
              </w:rPr>
            </w:pPr>
            <w:r>
              <w:rPr>
                <w:rFonts w:ascii="Arial" w:cs="Arial" w:eastAsia="Arial" w:hAnsi="Arial"/>
                <w:sz w:val="10"/>
                <w:szCs w:val="10"/>
                <w:color w:val="auto"/>
              </w:rPr>
              <w:t>2018</w:t>
            </w:r>
          </w:p>
        </w:tc>
      </w:tr>
      <w:tr>
        <w:trPr>
          <w:trHeight w:val="167"/>
        </w:trPr>
        <w:tc>
          <w:tcPr>
            <w:tcW w:w="79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Non-financing interest expense</w:t>
            </w:r>
          </w:p>
        </w:tc>
        <w:tc>
          <w:tcPr>
            <w:tcW w:w="420" w:type="dxa"/>
            <w:vAlign w:val="bottom"/>
            <w:shd w:val="clear" w:color="auto" w:fill="E5E5E5"/>
          </w:tcPr>
          <w:p>
            <w:pPr>
              <w:jc w:val="right"/>
              <w:ind w:right="291"/>
              <w:spacing w:after="0"/>
              <w:rPr>
                <w:sz w:val="20"/>
                <w:szCs w:val="20"/>
                <w:color w:val="auto"/>
              </w:rPr>
            </w:pPr>
            <w:r>
              <w:rPr>
                <w:rFonts w:ascii="Arial" w:cs="Arial" w:eastAsia="Arial" w:hAnsi="Arial"/>
                <w:sz w:val="10"/>
                <w:szCs w:val="10"/>
                <w:color w:val="auto"/>
              </w:rPr>
              <w:t>$</w:t>
            </w:r>
          </w:p>
        </w:tc>
        <w:tc>
          <w:tcPr>
            <w:tcW w:w="13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27</w:t>
            </w:r>
          </w:p>
        </w:tc>
        <w:tc>
          <w:tcPr>
            <w:tcW w:w="100" w:type="dxa"/>
            <w:vAlign w:val="bottom"/>
            <w:shd w:val="clear" w:color="auto" w:fill="E5E5E5"/>
          </w:tcPr>
          <w:p>
            <w:pPr>
              <w:spacing w:after="0"/>
              <w:rPr>
                <w:sz w:val="14"/>
                <w:szCs w:val="14"/>
                <w:color w:val="auto"/>
              </w:rPr>
            </w:pPr>
          </w:p>
        </w:tc>
        <w:tc>
          <w:tcPr>
            <w:tcW w:w="560" w:type="dxa"/>
            <w:vAlign w:val="bottom"/>
            <w:shd w:val="clear" w:color="auto" w:fill="E5E5E5"/>
          </w:tcPr>
          <w:p>
            <w:pPr>
              <w:jc w:val="right"/>
              <w:ind w:right="431"/>
              <w:spacing w:after="0"/>
              <w:rPr>
                <w:sz w:val="20"/>
                <w:szCs w:val="20"/>
                <w:color w:val="auto"/>
              </w:rPr>
            </w:pPr>
            <w:r>
              <w:rPr>
                <w:rFonts w:ascii="Arial" w:cs="Arial" w:eastAsia="Arial" w:hAnsi="Arial"/>
                <w:sz w:val="10"/>
                <w:szCs w:val="10"/>
                <w:color w:val="auto"/>
              </w:rPr>
              <w:t>$</w:t>
            </w:r>
          </w:p>
        </w:tc>
        <w:tc>
          <w:tcPr>
            <w:tcW w:w="11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28</w:t>
            </w:r>
          </w:p>
        </w:tc>
      </w:tr>
      <w:tr>
        <w:trPr>
          <w:trHeight w:val="178"/>
        </w:trPr>
        <w:tc>
          <w:tcPr>
            <w:tcW w:w="7900" w:type="dxa"/>
            <w:vAlign w:val="bottom"/>
            <w:gridSpan w:val="2"/>
          </w:tcPr>
          <w:p>
            <w:pPr>
              <w:ind w:left="20"/>
              <w:spacing w:after="0"/>
              <w:rPr>
                <w:sz w:val="20"/>
                <w:szCs w:val="20"/>
                <w:color w:val="auto"/>
              </w:rPr>
            </w:pPr>
            <w:r>
              <w:rPr>
                <w:rFonts w:ascii="Arial" w:cs="Arial" w:eastAsia="Arial" w:hAnsi="Arial"/>
                <w:sz w:val="10"/>
                <w:szCs w:val="10"/>
                <w:color w:val="auto"/>
              </w:rPr>
              <w:t>Non-service retirement-related costs</w:t>
            </w:r>
          </w:p>
        </w:tc>
        <w:tc>
          <w:tcPr>
            <w:tcW w:w="420" w:type="dxa"/>
            <w:vAlign w:val="bottom"/>
          </w:tcPr>
          <w:p>
            <w:pPr>
              <w:spacing w:after="0"/>
              <w:rPr>
                <w:sz w:val="15"/>
                <w:szCs w:val="15"/>
                <w:color w:val="auto"/>
              </w:rPr>
            </w:pPr>
          </w:p>
        </w:tc>
        <w:tc>
          <w:tcPr>
            <w:tcW w:w="1320" w:type="dxa"/>
            <w:vAlign w:val="bottom"/>
          </w:tcPr>
          <w:p>
            <w:pPr>
              <w:jc w:val="right"/>
              <w:ind w:right="3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Arial" w:cs="Arial" w:eastAsia="Arial" w:hAnsi="Arial"/>
                <w:sz w:val="10"/>
                <w:szCs w:val="10"/>
                <w:color w:val="auto"/>
              </w:rPr>
              <w:t>33</w:t>
            </w:r>
          </w:p>
        </w:tc>
      </w:tr>
      <w:tr>
        <w:trPr>
          <w:trHeight w:val="187"/>
        </w:trPr>
        <w:tc>
          <w:tcPr>
            <w:tcW w:w="79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Interest income</w:t>
            </w:r>
          </w:p>
        </w:tc>
        <w:tc>
          <w:tcPr>
            <w:tcW w:w="420" w:type="dxa"/>
            <w:vAlign w:val="bottom"/>
            <w:shd w:val="clear" w:color="auto" w:fill="E5E5E5"/>
          </w:tcPr>
          <w:p>
            <w:pPr>
              <w:spacing w:after="0"/>
              <w:rPr>
                <w:sz w:val="16"/>
                <w:szCs w:val="16"/>
                <w:color w:val="auto"/>
              </w:rPr>
            </w:pPr>
          </w:p>
        </w:tc>
        <w:tc>
          <w:tcPr>
            <w:tcW w:w="132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(2)</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11"/>
              <w:spacing w:after="0"/>
              <w:rPr>
                <w:sz w:val="20"/>
                <w:szCs w:val="20"/>
                <w:color w:val="auto"/>
              </w:rPr>
            </w:pPr>
            <w:r>
              <w:rPr>
                <w:rFonts w:ascii="Arial" w:cs="Arial" w:eastAsia="Arial" w:hAnsi="Arial"/>
                <w:sz w:val="10"/>
                <w:szCs w:val="10"/>
                <w:color w:val="auto"/>
              </w:rPr>
              <w:t>(5)</w:t>
            </w:r>
          </w:p>
        </w:tc>
      </w:tr>
      <w:tr>
        <w:trPr>
          <w:trHeight w:val="178"/>
        </w:trPr>
        <w:tc>
          <w:tcPr>
            <w:tcW w:w="7900" w:type="dxa"/>
            <w:vAlign w:val="bottom"/>
            <w:gridSpan w:val="2"/>
          </w:tcPr>
          <w:p>
            <w:pPr>
              <w:ind w:left="20"/>
              <w:spacing w:after="0"/>
              <w:rPr>
                <w:sz w:val="20"/>
                <w:szCs w:val="20"/>
                <w:color w:val="auto"/>
              </w:rPr>
            </w:pPr>
            <w:r>
              <w:rPr>
                <w:rFonts w:ascii="Arial" w:cs="Arial" w:eastAsia="Arial" w:hAnsi="Arial"/>
                <w:sz w:val="10"/>
                <w:szCs w:val="10"/>
                <w:color w:val="auto"/>
              </w:rPr>
              <w:t>Gains on sales of businesses and assets</w:t>
            </w:r>
          </w:p>
        </w:tc>
        <w:tc>
          <w:tcPr>
            <w:tcW w:w="420" w:type="dxa"/>
            <w:vAlign w:val="bottom"/>
          </w:tcPr>
          <w:p>
            <w:pPr>
              <w:spacing w:after="0"/>
              <w:rPr>
                <w:sz w:val="15"/>
                <w:szCs w:val="15"/>
                <w:color w:val="auto"/>
              </w:rPr>
            </w:pPr>
          </w:p>
        </w:tc>
        <w:tc>
          <w:tcPr>
            <w:tcW w:w="1320" w:type="dxa"/>
            <w:vAlign w:val="bottom"/>
          </w:tcPr>
          <w:p>
            <w:pPr>
              <w:jc w:val="right"/>
              <w:ind w:right="31"/>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ind w:right="11"/>
              <w:spacing w:after="0"/>
              <w:rPr>
                <w:sz w:val="20"/>
                <w:szCs w:val="20"/>
                <w:color w:val="auto"/>
              </w:rPr>
            </w:pPr>
            <w:r>
              <w:rPr>
                <w:rFonts w:ascii="Arial" w:cs="Arial" w:eastAsia="Arial" w:hAnsi="Arial"/>
                <w:sz w:val="10"/>
                <w:szCs w:val="10"/>
                <w:color w:val="auto"/>
              </w:rPr>
              <w:t>(3)</w:t>
            </w:r>
          </w:p>
        </w:tc>
      </w:tr>
      <w:tr>
        <w:trPr>
          <w:trHeight w:val="187"/>
        </w:trPr>
        <w:tc>
          <w:tcPr>
            <w:tcW w:w="79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Litigation matters</w:t>
            </w:r>
          </w:p>
        </w:tc>
        <w:tc>
          <w:tcPr>
            <w:tcW w:w="420" w:type="dxa"/>
            <w:vAlign w:val="bottom"/>
            <w:shd w:val="clear" w:color="auto" w:fill="E5E5E5"/>
          </w:tcPr>
          <w:p>
            <w:pPr>
              <w:spacing w:after="0"/>
              <w:rPr>
                <w:sz w:val="16"/>
                <w:szCs w:val="16"/>
                <w:color w:val="auto"/>
              </w:rPr>
            </w:pPr>
          </w:p>
        </w:tc>
        <w:tc>
          <w:tcPr>
            <w:tcW w:w="132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(8)</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1</w:t>
            </w:r>
          </w:p>
        </w:tc>
      </w:tr>
      <w:tr>
        <w:trPr>
          <w:trHeight w:val="178"/>
        </w:trPr>
        <w:tc>
          <w:tcPr>
            <w:tcW w:w="7900" w:type="dxa"/>
            <w:vAlign w:val="bottom"/>
            <w:gridSpan w:val="2"/>
          </w:tcPr>
          <w:p>
            <w:pPr>
              <w:ind w:left="20"/>
              <w:spacing w:after="0"/>
              <w:rPr>
                <w:sz w:val="20"/>
                <w:szCs w:val="20"/>
                <w:color w:val="auto"/>
              </w:rPr>
            </w:pPr>
            <w:r>
              <w:rPr>
                <w:rFonts w:ascii="Arial" w:cs="Arial" w:eastAsia="Arial" w:hAnsi="Arial"/>
                <w:sz w:val="10"/>
                <w:szCs w:val="10"/>
                <w:color w:val="auto"/>
              </w:rPr>
              <w:t>Contract termination costs - IT services</w:t>
            </w:r>
          </w:p>
        </w:tc>
        <w:tc>
          <w:tcPr>
            <w:tcW w:w="420" w:type="dxa"/>
            <w:vAlign w:val="bottom"/>
          </w:tcPr>
          <w:p>
            <w:pPr>
              <w:spacing w:after="0"/>
              <w:rPr>
                <w:sz w:val="15"/>
                <w:szCs w:val="15"/>
                <w:color w:val="auto"/>
              </w:rPr>
            </w:pPr>
          </w:p>
        </w:tc>
        <w:tc>
          <w:tcPr>
            <w:tcW w:w="1320" w:type="dxa"/>
            <w:vAlign w:val="bottom"/>
          </w:tcPr>
          <w:p>
            <w:pPr>
              <w:jc w:val="right"/>
              <w:ind w:right="31"/>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Arial" w:cs="Arial" w:eastAsia="Arial" w:hAnsi="Arial"/>
                <w:sz w:val="10"/>
                <w:szCs w:val="10"/>
                <w:color w:val="auto"/>
              </w:rPr>
              <w:t>—</w:t>
            </w:r>
          </w:p>
        </w:tc>
      </w:tr>
      <w:tr>
        <w:trPr>
          <w:trHeight w:val="187"/>
        </w:trPr>
        <w:tc>
          <w:tcPr>
            <w:tcW w:w="79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Currency losses, net</w:t>
            </w:r>
          </w:p>
        </w:tc>
        <w:tc>
          <w:tcPr>
            <w:tcW w:w="420" w:type="dxa"/>
            <w:vAlign w:val="bottom"/>
            <w:shd w:val="clear" w:color="auto" w:fill="E5E5E5"/>
          </w:tcPr>
          <w:p>
            <w:pPr>
              <w:spacing w:after="0"/>
              <w:rPr>
                <w:sz w:val="16"/>
                <w:szCs w:val="16"/>
                <w:color w:val="auto"/>
              </w:rPr>
            </w:pPr>
          </w:p>
        </w:tc>
        <w:tc>
          <w:tcPr>
            <w:tcW w:w="13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w:t>
            </w:r>
          </w:p>
        </w:tc>
        <w:tc>
          <w:tcPr>
            <w:tcW w:w="1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3</w:t>
            </w:r>
          </w:p>
        </w:tc>
      </w:tr>
      <w:tr>
        <w:trPr>
          <w:trHeight w:val="178"/>
        </w:trPr>
        <w:tc>
          <w:tcPr>
            <w:tcW w:w="7900" w:type="dxa"/>
            <w:vAlign w:val="bottom"/>
            <w:gridSpan w:val="2"/>
          </w:tcPr>
          <w:p>
            <w:pPr>
              <w:ind w:left="20"/>
              <w:spacing w:after="0"/>
              <w:rPr>
                <w:sz w:val="20"/>
                <w:szCs w:val="20"/>
                <w:color w:val="auto"/>
              </w:rPr>
            </w:pPr>
            <w:r>
              <w:rPr>
                <w:rFonts w:ascii="Arial" w:cs="Arial" w:eastAsia="Arial" w:hAnsi="Arial"/>
                <w:sz w:val="10"/>
                <w:szCs w:val="10"/>
                <w:color w:val="auto"/>
              </w:rPr>
              <w:t>Loss on sales of accounts receivable</w:t>
            </w:r>
          </w:p>
        </w:tc>
        <w:tc>
          <w:tcPr>
            <w:tcW w:w="420" w:type="dxa"/>
            <w:vAlign w:val="bottom"/>
          </w:tcPr>
          <w:p>
            <w:pPr>
              <w:spacing w:after="0"/>
              <w:rPr>
                <w:sz w:val="15"/>
                <w:szCs w:val="15"/>
                <w:color w:val="auto"/>
              </w:rPr>
            </w:pPr>
          </w:p>
        </w:tc>
        <w:tc>
          <w:tcPr>
            <w:tcW w:w="1320" w:type="dxa"/>
            <w:vAlign w:val="bottom"/>
          </w:tcPr>
          <w:p>
            <w:pPr>
              <w:jc w:val="right"/>
              <w:ind w:right="7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Arial" w:cs="Arial" w:eastAsia="Arial" w:hAnsi="Arial"/>
                <w:sz w:val="10"/>
                <w:szCs w:val="10"/>
                <w:color w:val="auto"/>
              </w:rPr>
              <w:t>1</w:t>
            </w:r>
          </w:p>
        </w:tc>
      </w:tr>
      <w:tr>
        <w:trPr>
          <w:trHeight w:val="187"/>
        </w:trPr>
        <w:tc>
          <w:tcPr>
            <w:tcW w:w="79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All other expenses, net</w:t>
            </w:r>
          </w:p>
        </w:tc>
        <w:tc>
          <w:tcPr>
            <w:tcW w:w="420" w:type="dxa"/>
            <w:vAlign w:val="bottom"/>
            <w:tcBorders>
              <w:bottom w:val="single" w:sz="8" w:color="auto"/>
            </w:tcBorders>
            <w:shd w:val="clear" w:color="auto" w:fill="E5E5E5"/>
          </w:tcPr>
          <w:p>
            <w:pPr>
              <w:spacing w:after="0"/>
              <w:rPr>
                <w:sz w:val="16"/>
                <w:szCs w:val="16"/>
                <w:color w:val="auto"/>
              </w:rPr>
            </w:pPr>
          </w:p>
        </w:tc>
        <w:tc>
          <w:tcPr>
            <w:tcW w:w="132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4</w:t>
            </w:r>
          </w:p>
        </w:tc>
        <w:tc>
          <w:tcPr>
            <w:tcW w:w="100" w:type="dxa"/>
            <w:vAlign w:val="bottom"/>
            <w:shd w:val="clear" w:color="auto" w:fill="E5E5E5"/>
          </w:tcPr>
          <w:p>
            <w:pPr>
              <w:spacing w:after="0"/>
              <w:rPr>
                <w:sz w:val="16"/>
                <w:szCs w:val="16"/>
                <w:color w:val="auto"/>
              </w:rPr>
            </w:pPr>
          </w:p>
        </w:tc>
        <w:tc>
          <w:tcPr>
            <w:tcW w:w="560" w:type="dxa"/>
            <w:vAlign w:val="bottom"/>
            <w:tcBorders>
              <w:bottom w:val="single" w:sz="8" w:color="auto"/>
            </w:tcBorders>
            <w:shd w:val="clear" w:color="auto" w:fill="E5E5E5"/>
          </w:tcPr>
          <w:p>
            <w:pPr>
              <w:spacing w:after="0"/>
              <w:rPr>
                <w:sz w:val="16"/>
                <w:szCs w:val="16"/>
                <w:color w:val="auto"/>
              </w:rPr>
            </w:pPr>
          </w:p>
        </w:tc>
        <w:tc>
          <w:tcPr>
            <w:tcW w:w="1140" w:type="dxa"/>
            <w:vAlign w:val="bottom"/>
            <w:tcBorders>
              <w:bottom w:val="single" w:sz="8" w:color="auto"/>
            </w:tcBorders>
            <w:shd w:val="clear" w:color="auto" w:fill="E5E5E5"/>
          </w:tcPr>
          <w:p>
            <w:pPr>
              <w:jc w:val="right"/>
              <w:ind w:right="11"/>
              <w:spacing w:after="0"/>
              <w:rPr>
                <w:sz w:val="20"/>
                <w:szCs w:val="20"/>
                <w:color w:val="auto"/>
              </w:rPr>
            </w:pPr>
            <w:r>
              <w:rPr>
                <w:rFonts w:ascii="Arial" w:cs="Arial" w:eastAsia="Arial" w:hAnsi="Arial"/>
                <w:sz w:val="10"/>
                <w:szCs w:val="10"/>
                <w:color w:val="auto"/>
              </w:rPr>
              <w:t>(1)</w:t>
            </w:r>
          </w:p>
        </w:tc>
      </w:tr>
      <w:tr>
        <w:trPr>
          <w:trHeight w:val="161"/>
        </w:trPr>
        <w:tc>
          <w:tcPr>
            <w:tcW w:w="7900" w:type="dxa"/>
            <w:vAlign w:val="bottom"/>
            <w:gridSpan w:val="2"/>
          </w:tcPr>
          <w:p>
            <w:pPr>
              <w:ind w:left="20"/>
              <w:spacing w:after="0"/>
              <w:rPr>
                <w:sz w:val="20"/>
                <w:szCs w:val="20"/>
                <w:color w:val="auto"/>
              </w:rPr>
            </w:pPr>
            <w:r>
              <w:rPr>
                <w:rFonts w:ascii="Arial" w:cs="Arial" w:eastAsia="Arial" w:hAnsi="Arial"/>
                <w:sz w:val="10"/>
                <w:szCs w:val="10"/>
                <w:b w:val="1"/>
                <w:bCs w:val="1"/>
                <w:color w:val="auto"/>
              </w:rPr>
              <w:t>Other expenses, net</w:t>
            </w:r>
          </w:p>
        </w:tc>
        <w:tc>
          <w:tcPr>
            <w:tcW w:w="42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57</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Non-financing interest expense</w:t>
      </w:r>
    </w:p>
    <w:p>
      <w:pPr>
        <w:spacing w:after="0" w:line="20"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Third quarter 2019 non-financing interest expense of $27 million was $1 million lower than third quarter 2018. When combined with financing interest expense (Cost of financing), total interest expense decreased by $1 million from third quarter 2018 primarily due to a lower debt balance.</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Non-service retirement-related costs</w:t>
      </w:r>
    </w:p>
    <w:p>
      <w:pPr>
        <w:spacing w:after="0" w:line="20" w:lineRule="exact"/>
        <w:rPr>
          <w:sz w:val="20"/>
          <w:szCs w:val="20"/>
          <w:color w:val="auto"/>
        </w:rPr>
      </w:pPr>
    </w:p>
    <w:p>
      <w:pPr>
        <w:ind w:right="340"/>
        <w:spacing w:after="0" w:line="267" w:lineRule="auto"/>
        <w:rPr>
          <w:sz w:val="20"/>
          <w:szCs w:val="20"/>
          <w:color w:val="auto"/>
        </w:rPr>
      </w:pPr>
      <w:r>
        <w:rPr>
          <w:rFonts w:ascii="Arial" w:cs="Arial" w:eastAsia="Arial" w:hAnsi="Arial"/>
          <w:sz w:val="12"/>
          <w:szCs w:val="12"/>
          <w:color w:val="auto"/>
        </w:rPr>
        <w:t>Third quarter 2019 non-service retirement-related costs were $35 million lower than third quarter 2018, primarily driven by the favorable impact of a 2018 amendment to our U.S. Retiree Health Plan and lower losses from pension settlements in the U.S.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Gains on sales of businesses and assets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Third quarter 2019 gains on sales of businesses and assets were $16 million higher than third quarter 2018, reflecting the sale of non-core business assets.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60"/>
          </w:cols>
          <w:pgMar w:left="220" w:top="531" w:right="219" w:bottom="1440" w:gutter="0" w:footer="0" w:header="0"/>
        </w:sectPr>
      </w:pPr>
    </w:p>
    <w:bookmarkStart w:id="18" w:name="page19"/>
    <w:bookmarkEnd w:id="18"/>
    <w:p>
      <w:pPr>
        <w:ind w:left="7"/>
        <w:spacing w:after="0"/>
        <w:rPr>
          <w:sz w:val="20"/>
          <w:szCs w:val="20"/>
          <w:color w:val="auto"/>
        </w:rPr>
      </w:pPr>
      <w:r>
        <w:rPr>
          <w:rFonts w:ascii="Arial" w:cs="Arial" w:eastAsia="Arial" w:hAnsi="Arial"/>
          <w:sz w:val="12"/>
          <w:szCs w:val="12"/>
          <w:i w:val="1"/>
          <w:iCs w:val="1"/>
          <w:u w:val="single" w:color="auto"/>
          <w:color w:val="auto"/>
        </w:rPr>
        <w:t>Litigation matters</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2"/>
          <w:szCs w:val="12"/>
          <w:color w:val="auto"/>
        </w:rPr>
        <w:t>Third quarter 2019 litigation matters were $9 million lower than third quarter 2018, reflecting the favorable resolution of certain litigation matters in third quarter 2019.</w:t>
      </w:r>
    </w:p>
    <w:p>
      <w:pPr>
        <w:spacing w:after="0" w:line="69"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Contract termination costs - IT services</w:t>
      </w:r>
    </w:p>
    <w:p>
      <w:pPr>
        <w:spacing w:after="0" w:line="20" w:lineRule="exact"/>
        <w:rPr>
          <w:sz w:val="20"/>
          <w:szCs w:val="20"/>
          <w:color w:val="auto"/>
        </w:rPr>
      </w:pPr>
    </w:p>
    <w:p>
      <w:pPr>
        <w:ind w:left="7" w:right="460"/>
        <w:spacing w:after="0" w:line="267" w:lineRule="auto"/>
        <w:rPr>
          <w:sz w:val="20"/>
          <w:szCs w:val="20"/>
          <w:color w:val="auto"/>
        </w:rPr>
      </w:pPr>
      <w:r>
        <w:rPr>
          <w:rFonts w:ascii="Arial" w:cs="Arial" w:eastAsia="Arial" w:hAnsi="Arial"/>
          <w:sz w:val="12"/>
          <w:szCs w:val="12"/>
          <w:color w:val="auto"/>
        </w:rPr>
        <w:t>Contract termination costs - IT services was an $8 million credit in third quarter 2019 reflecting an adjustment to a $43 million penalty recorded in fourth quarter 2018, associated with the termination of an IT services arrangement.</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DA2031"/>
        </w:rPr>
        <w:t>Income Taxes</w:t>
      </w:r>
    </w:p>
    <w:p>
      <w:pPr>
        <w:spacing w:after="0" w:line="95" w:lineRule="exact"/>
        <w:rPr>
          <w:sz w:val="20"/>
          <w:szCs w:val="20"/>
          <w:color w:val="auto"/>
        </w:rPr>
      </w:pPr>
    </w:p>
    <w:p>
      <w:pPr>
        <w:ind w:left="7" w:right="60"/>
        <w:spacing w:after="0" w:line="229" w:lineRule="auto"/>
        <w:rPr>
          <w:sz w:val="20"/>
          <w:szCs w:val="20"/>
          <w:color w:val="auto"/>
        </w:rPr>
      </w:pPr>
      <w:r>
        <w:rPr>
          <w:rFonts w:ascii="Arial" w:cs="Arial" w:eastAsia="Arial" w:hAnsi="Arial"/>
          <w:sz w:val="12"/>
          <w:szCs w:val="12"/>
          <w:color w:val="auto"/>
        </w:rPr>
        <w:t>Third quarter 2019 effective tax rate was 28.7%. On an adjusted</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basis, third quarter 2019 effective tax rate was 26.5%. These rates were higher than the U.S. federal statutory tax rate of 21% primarily due to state taxes and the geographical mix of profits. The adjusted</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effective tax rate excludes the tax impacts associated with the following charges: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73" w:lineRule="exact"/>
        <w:rPr>
          <w:sz w:val="20"/>
          <w:szCs w:val="20"/>
          <w:color w:val="auto"/>
        </w:rPr>
      </w:pPr>
    </w:p>
    <w:p>
      <w:pPr>
        <w:ind w:left="7"/>
        <w:spacing w:after="0" w:line="234" w:lineRule="auto"/>
        <w:rPr>
          <w:sz w:val="20"/>
          <w:szCs w:val="20"/>
          <w:color w:val="auto"/>
        </w:rPr>
      </w:pPr>
      <w:r>
        <w:rPr>
          <w:rFonts w:ascii="Arial" w:cs="Arial" w:eastAsia="Arial" w:hAnsi="Arial"/>
          <w:sz w:val="12"/>
          <w:szCs w:val="12"/>
          <w:color w:val="auto"/>
        </w:rPr>
        <w:t>Third quarter 2018 effective tax rate was 74.0% and included an additional charge of $95 million related to a change in the provisional estimated impact from the 2017 Tax Cuts Jobs Act (the "Tax Act"). On an adjusted</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basis, third quarter 2018 effective tax rate was 24.5%. This rate was higher than the U.S. federal statutory tax rate of 21% primarily due to state taxes and the geographical mix of profits. In addition to excluding the impact of the Tax Act, the adjusted</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effective tax rate excludes the tax impacts associated with the following charges: Restructuring and related costs, Amortization of intangible assets, Transaction and related costs, net, and non-service retirement-related costs.</w:t>
      </w:r>
    </w:p>
    <w:p>
      <w:pPr>
        <w:spacing w:after="0" w:line="74" w:lineRule="exact"/>
        <w:rPr>
          <w:sz w:val="20"/>
          <w:szCs w:val="20"/>
          <w:color w:val="auto"/>
        </w:rPr>
      </w:pPr>
    </w:p>
    <w:p>
      <w:pPr>
        <w:ind w:left="7" w:right="340"/>
        <w:spacing w:after="0" w:line="267" w:lineRule="auto"/>
        <w:rPr>
          <w:sz w:val="20"/>
          <w:szCs w:val="20"/>
          <w:color w:val="auto"/>
        </w:rPr>
      </w:pPr>
      <w:r>
        <w:rPr>
          <w:rFonts w:ascii="Arial" w:cs="Arial" w:eastAsia="Arial" w:hAnsi="Arial"/>
          <w:sz w:val="12"/>
          <w:szCs w:val="12"/>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20" w:lineRule="exact"/>
        <w:rPr>
          <w:sz w:val="20"/>
          <w:szCs w:val="20"/>
          <w:color w:val="auto"/>
        </w:rPr>
      </w:pPr>
    </w:p>
    <w:p>
      <w:pPr>
        <w:ind w:left="7"/>
        <w:spacing w:after="0"/>
        <w:rPr>
          <w:sz w:val="20"/>
          <w:szCs w:val="20"/>
          <w:color w:val="auto"/>
        </w:rPr>
      </w:pPr>
      <w:r>
        <w:rPr>
          <w:rFonts w:ascii="Arial" w:cs="Arial" w:eastAsia="Arial" w:hAnsi="Arial"/>
          <w:sz w:val="7"/>
          <w:szCs w:val="7"/>
          <w:color w:val="auto"/>
        </w:rPr>
        <w:t>______________</w:t>
      </w:r>
    </w:p>
    <w:p>
      <w:pPr>
        <w:spacing w:after="0" w:line="7" w:lineRule="exact"/>
        <w:rPr>
          <w:sz w:val="20"/>
          <w:szCs w:val="20"/>
          <w:color w:val="auto"/>
        </w:rPr>
      </w:pPr>
    </w:p>
    <w:p>
      <w:pPr>
        <w:ind w:left="227" w:hanging="227"/>
        <w:spacing w:after="0"/>
        <w:tabs>
          <w:tab w:leader="none" w:pos="227" w:val="left"/>
        </w:tabs>
        <w:numPr>
          <w:ilvl w:val="0"/>
          <w:numId w:val="18"/>
        </w:numPr>
        <w:rPr>
          <w:rFonts w:ascii="Arial" w:cs="Arial" w:eastAsia="Arial" w:hAnsi="Arial"/>
          <w:sz w:val="10"/>
          <w:szCs w:val="10"/>
          <w:i w:val="1"/>
          <w:iCs w:val="1"/>
          <w:color w:val="auto"/>
        </w:rPr>
      </w:pPr>
      <w:r>
        <w:rPr>
          <w:rFonts w:ascii="Arial" w:cs="Arial" w:eastAsia="Arial" w:hAnsi="Arial"/>
          <w:sz w:val="10"/>
          <w:szCs w:val="10"/>
          <w:i w:val="1"/>
          <w:iCs w:val="1"/>
          <w:color w:val="auto"/>
        </w:rPr>
        <w:t>Refer to the Effective Tax Rate reconciliation table in the "Non-GAAP Financial Measures" section.</w:t>
      </w:r>
    </w:p>
    <w:p>
      <w:pPr>
        <w:spacing w:after="0" w:line="155"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DA2031"/>
        </w:rPr>
        <w:t>Equity in Net Income of Unconsolidated Affiliates</w:t>
      </w:r>
    </w:p>
    <w:p>
      <w:pPr>
        <w:spacing w:after="0" w:line="96" w:lineRule="exact"/>
        <w:rPr>
          <w:sz w:val="20"/>
          <w:szCs w:val="20"/>
          <w:color w:val="auto"/>
        </w:rPr>
      </w:pPr>
    </w:p>
    <w:p>
      <w:pPr>
        <w:jc w:val="both"/>
        <w:ind w:left="7" w:right="300"/>
        <w:spacing w:after="0" w:line="267" w:lineRule="auto"/>
        <w:rPr>
          <w:sz w:val="20"/>
          <w:szCs w:val="20"/>
          <w:color w:val="auto"/>
        </w:rPr>
      </w:pPr>
      <w:r>
        <w:rPr>
          <w:rFonts w:ascii="Arial" w:cs="Arial" w:eastAsia="Arial" w:hAnsi="Arial"/>
          <w:sz w:val="12"/>
          <w:szCs w:val="12"/>
          <w:color w:val="auto"/>
        </w:rPr>
        <w:t>Equity in net income of unconsolidated affiliates primarily reflects our 25% share of Fuji Xerox net income. Third quarter 2019 equity income of $58 million increased $15 million compared to third quarter 2018, primarily reflecting savings from Fuji Xerox restructuring and the benefit of $7 million of lower year-over-year charges related to our share of Fuji Xerox after-tax restructuring and other charges in the prior year.</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DA2031"/>
        </w:rPr>
        <w:t>Net Income</w:t>
      </w:r>
    </w:p>
    <w:p>
      <w:pPr>
        <w:spacing w:after="0" w:line="131" w:lineRule="exact"/>
        <w:rPr>
          <w:sz w:val="20"/>
          <w:szCs w:val="20"/>
          <w:color w:val="auto"/>
        </w:rPr>
      </w:pPr>
    </w:p>
    <w:p>
      <w:pPr>
        <w:ind w:left="7" w:right="40"/>
        <w:spacing w:after="0" w:line="242" w:lineRule="auto"/>
        <w:rPr>
          <w:sz w:val="20"/>
          <w:szCs w:val="20"/>
          <w:color w:val="auto"/>
        </w:rPr>
      </w:pPr>
      <w:r>
        <w:rPr>
          <w:rFonts w:ascii="Arial" w:cs="Arial" w:eastAsia="Arial" w:hAnsi="Arial"/>
          <w:sz w:val="12"/>
          <w:szCs w:val="12"/>
          <w:color w:val="auto"/>
        </w:rPr>
        <w:t>Third quarter 2019 net income attributable to Xerox Holdings was $221 million, or $0.96 per diluted share. On an adjusted</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basis, net income attributable to Xerox Holdings was $248 million, or $1.08 per diluted share. Third quarter 2019 adjustments to net income included Restructuring and related costs, Amortization of intangible assets, Transaction and related cost, net as well as non-service retirement-related costs and other discrete, unusual or infrequent items as described in our Non-GAAP Financial Measures section.</w:t>
      </w:r>
    </w:p>
    <w:p>
      <w:pPr>
        <w:spacing w:after="0" w:line="72" w:lineRule="exact"/>
        <w:rPr>
          <w:sz w:val="20"/>
          <w:szCs w:val="20"/>
          <w:color w:val="auto"/>
        </w:rPr>
      </w:pPr>
    </w:p>
    <w:p>
      <w:pPr>
        <w:ind w:left="7" w:right="140"/>
        <w:spacing w:after="0" w:line="244" w:lineRule="auto"/>
        <w:rPr>
          <w:sz w:val="20"/>
          <w:szCs w:val="20"/>
          <w:color w:val="auto"/>
        </w:rPr>
      </w:pPr>
      <w:r>
        <w:rPr>
          <w:rFonts w:ascii="Arial" w:cs="Arial" w:eastAsia="Arial" w:hAnsi="Arial"/>
          <w:sz w:val="12"/>
          <w:szCs w:val="12"/>
          <w:color w:val="auto"/>
        </w:rPr>
        <w:t>Third quarter 2018 net income attributable to Xerox Holdings was $89 million, or $0.34 per diluted share, which included an estimated non-cash charge of $95 million or $0.37 per diluted share associated with the Tax Act. On an adjusted</w:t>
      </w:r>
      <w:r>
        <w:rPr>
          <w:rFonts w:ascii="Arial" w:cs="Arial" w:eastAsia="Arial" w:hAnsi="Arial"/>
          <w:sz w:val="14"/>
          <w:szCs w:val="14"/>
          <w:color w:val="auto"/>
          <w:vertAlign w:val="superscript"/>
        </w:rPr>
        <w:t>1</w:t>
      </w:r>
      <w:r>
        <w:rPr>
          <w:rFonts w:ascii="Arial" w:cs="Arial" w:eastAsia="Arial" w:hAnsi="Arial"/>
          <w:sz w:val="12"/>
          <w:szCs w:val="12"/>
          <w:color w:val="auto"/>
        </w:rPr>
        <w:t xml:space="preserve"> basis, net income attributable to Xerox Holdings was $222 million, or $0.85 per diluted share. Third quarter 2018 adjustments to net income included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w:t>
      </w:r>
    </w:p>
    <w:p>
      <w:pPr>
        <w:spacing w:after="0" w:line="20" w:lineRule="exact"/>
        <w:rPr>
          <w:sz w:val="20"/>
          <w:szCs w:val="20"/>
          <w:color w:val="auto"/>
        </w:rPr>
      </w:pPr>
    </w:p>
    <w:p>
      <w:pPr>
        <w:ind w:left="227" w:hanging="227"/>
        <w:spacing w:after="0"/>
        <w:tabs>
          <w:tab w:leader="none" w:pos="227" w:val="left"/>
        </w:tabs>
        <w:numPr>
          <w:ilvl w:val="0"/>
          <w:numId w:val="19"/>
        </w:numPr>
        <w:rPr>
          <w:rFonts w:ascii="Arial" w:cs="Arial" w:eastAsia="Arial" w:hAnsi="Arial"/>
          <w:sz w:val="10"/>
          <w:szCs w:val="10"/>
          <w:i w:val="1"/>
          <w:iCs w:val="1"/>
          <w:color w:val="auto"/>
        </w:rPr>
      </w:pPr>
      <w:r>
        <w:rPr>
          <w:rFonts w:ascii="Arial" w:cs="Arial" w:eastAsia="Arial" w:hAnsi="Arial"/>
          <w:sz w:val="10"/>
          <w:szCs w:val="10"/>
          <w:i w:val="1"/>
          <w:iCs w:val="1"/>
          <w:color w:val="auto"/>
        </w:rPr>
        <w:t>Refer to the "Non-GAAP Financial Measures" section for the calculation of adjusted EPS. The calculations of basic and diluted earnings per share are included as Appendix I.</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7"/>
          </w:cols>
          <w:pgMar w:left="213" w:top="519" w:right="199" w:bottom="1440" w:gutter="0" w:footer="0" w:header="0"/>
        </w:sectPr>
      </w:pPr>
    </w:p>
    <w:bookmarkStart w:id="19" w:name="page20"/>
    <w:bookmarkEnd w:id="19"/>
    <w:p>
      <w:pPr>
        <w:ind w:left="7"/>
        <w:spacing w:after="0"/>
        <w:rPr>
          <w:sz w:val="20"/>
          <w:szCs w:val="20"/>
          <w:color w:val="auto"/>
        </w:rPr>
      </w:pPr>
      <w:r>
        <w:rPr>
          <w:rFonts w:ascii="Arial" w:cs="Arial" w:eastAsia="Arial" w:hAnsi="Arial"/>
          <w:sz w:val="17"/>
          <w:szCs w:val="17"/>
          <w:b w:val="1"/>
          <w:bCs w:val="1"/>
          <w:color w:val="DA2031"/>
        </w:rPr>
        <w:t>Capital Resources and Liquidity</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following summarizes our cash, cash equivalents and restricted cash:</w:t>
      </w:r>
    </w:p>
    <w:p>
      <w:pPr>
        <w:spacing w:after="0" w:line="116"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6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gridSpan w:val="3"/>
          </w:tcPr>
          <w:p>
            <w:pPr>
              <w:jc w:val="right"/>
              <w:ind w:right="71"/>
              <w:spacing w:after="0"/>
              <w:rPr>
                <w:sz w:val="20"/>
                <w:szCs w:val="20"/>
                <w:color w:val="auto"/>
              </w:rPr>
            </w:pPr>
            <w:r>
              <w:rPr>
                <w:rFonts w:ascii="Arial" w:cs="Arial" w:eastAsia="Arial" w:hAnsi="Arial"/>
                <w:sz w:val="10"/>
                <w:szCs w:val="10"/>
                <w:color w:val="auto"/>
              </w:rPr>
              <w:t>Three Months Ended</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0"/>
        </w:trPr>
        <w:tc>
          <w:tcPr>
            <w:tcW w:w="6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0"/>
                <w:szCs w:val="10"/>
                <w:color w:val="auto"/>
              </w:rPr>
              <w:t>September 30,</w:t>
            </w: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2"/>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0"/>
                <w:szCs w:val="10"/>
                <w:color w:val="auto"/>
              </w:rPr>
              <w:t>2018</w:t>
            </w:r>
          </w:p>
        </w:tc>
        <w:tc>
          <w:tcPr>
            <w:tcW w:w="120" w:type="dxa"/>
            <w:vAlign w:val="bottom"/>
            <w:tcBorders>
              <w:bottom w:val="single" w:sz="8" w:color="E5E5E5"/>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1"/>
              <w:spacing w:after="0"/>
              <w:rPr>
                <w:sz w:val="20"/>
                <w:szCs w:val="20"/>
                <w:color w:val="auto"/>
              </w:rPr>
            </w:pPr>
            <w:r>
              <w:rPr>
                <w:rFonts w:ascii="Arial" w:cs="Arial" w:eastAsia="Arial" w:hAnsi="Arial"/>
                <w:sz w:val="10"/>
                <w:szCs w:val="10"/>
                <w:color w:val="auto"/>
              </w:rPr>
              <w:t>Change</w:t>
            </w:r>
          </w:p>
        </w:tc>
      </w:tr>
      <w:tr>
        <w:trPr>
          <w:trHeight w:val="167"/>
        </w:trPr>
        <w:tc>
          <w:tcPr>
            <w:tcW w:w="678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Net cash provided by operating activities</w:t>
            </w:r>
          </w:p>
        </w:tc>
        <w:tc>
          <w:tcPr>
            <w:tcW w:w="360" w:type="dxa"/>
            <w:vAlign w:val="bottom"/>
            <w:shd w:val="clear" w:color="auto" w:fill="E5E5E5"/>
          </w:tcPr>
          <w:p>
            <w:pPr>
              <w:jc w:val="right"/>
              <w:ind w:right="231"/>
              <w:spacing w:after="0"/>
              <w:rPr>
                <w:sz w:val="20"/>
                <w:szCs w:val="20"/>
                <w:color w:val="auto"/>
              </w:rPr>
            </w:pPr>
            <w:r>
              <w:rPr>
                <w:rFonts w:ascii="Arial" w:cs="Arial" w:eastAsia="Arial" w:hAnsi="Arial"/>
                <w:sz w:val="10"/>
                <w:szCs w:val="10"/>
                <w:color w:val="auto"/>
              </w:rPr>
              <w:t>$</w:t>
            </w:r>
          </w:p>
        </w:tc>
        <w:tc>
          <w:tcPr>
            <w:tcW w:w="11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356</w:t>
            </w:r>
          </w:p>
        </w:tc>
        <w:tc>
          <w:tcPr>
            <w:tcW w:w="120" w:type="dxa"/>
            <w:vAlign w:val="bottom"/>
            <w:shd w:val="clear" w:color="auto" w:fill="E5E5E5"/>
          </w:tcPr>
          <w:p>
            <w:pPr>
              <w:spacing w:after="0"/>
              <w:rPr>
                <w:sz w:val="14"/>
                <w:szCs w:val="14"/>
                <w:color w:val="auto"/>
              </w:rPr>
            </w:pPr>
          </w:p>
        </w:tc>
        <w:tc>
          <w:tcPr>
            <w:tcW w:w="500" w:type="dxa"/>
            <w:vAlign w:val="bottom"/>
            <w:shd w:val="clear" w:color="auto" w:fill="E5E5E5"/>
          </w:tcPr>
          <w:p>
            <w:pPr>
              <w:jc w:val="right"/>
              <w:ind w:right="371"/>
              <w:spacing w:after="0"/>
              <w:rPr>
                <w:sz w:val="20"/>
                <w:szCs w:val="20"/>
                <w:color w:val="auto"/>
              </w:rPr>
            </w:pPr>
            <w:r>
              <w:rPr>
                <w:rFonts w:ascii="Arial" w:cs="Arial" w:eastAsia="Arial" w:hAnsi="Arial"/>
                <w:sz w:val="10"/>
                <w:szCs w:val="10"/>
                <w:color w:val="auto"/>
              </w:rPr>
              <w:t>$</w:t>
            </w:r>
          </w:p>
        </w:tc>
        <w:tc>
          <w:tcPr>
            <w:tcW w:w="98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274</w:t>
            </w:r>
          </w:p>
        </w:tc>
        <w:tc>
          <w:tcPr>
            <w:tcW w:w="120" w:type="dxa"/>
            <w:vAlign w:val="bottom"/>
            <w:shd w:val="clear" w:color="auto" w:fill="E5E5E5"/>
          </w:tcPr>
          <w:p>
            <w:pPr>
              <w:spacing w:after="0"/>
              <w:rPr>
                <w:sz w:val="14"/>
                <w:szCs w:val="14"/>
                <w:color w:val="auto"/>
              </w:rPr>
            </w:pPr>
          </w:p>
        </w:tc>
        <w:tc>
          <w:tcPr>
            <w:tcW w:w="280" w:type="dxa"/>
            <w:vAlign w:val="bottom"/>
            <w:shd w:val="clear" w:color="auto" w:fill="E5E5E5"/>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82</w:t>
            </w:r>
          </w:p>
        </w:tc>
      </w:tr>
      <w:tr>
        <w:trPr>
          <w:trHeight w:val="192"/>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2"/>
        </w:trPr>
        <w:tc>
          <w:tcPr>
            <w:tcW w:w="678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Net cash provided by (used in) investing activities</w:t>
            </w:r>
          </w:p>
        </w:tc>
        <w:tc>
          <w:tcPr>
            <w:tcW w:w="360" w:type="dxa"/>
            <w:vAlign w:val="bottom"/>
            <w:shd w:val="clear" w:color="auto" w:fill="E5E5E5"/>
          </w:tcPr>
          <w:p>
            <w:pPr>
              <w:spacing w:after="0"/>
              <w:rPr>
                <w:sz w:val="15"/>
                <w:szCs w:val="15"/>
                <w:color w:val="auto"/>
              </w:rPr>
            </w:pPr>
          </w:p>
        </w:tc>
        <w:tc>
          <w:tcPr>
            <w:tcW w:w="11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11"/>
              <w:spacing w:after="0"/>
              <w:rPr>
                <w:sz w:val="20"/>
                <w:szCs w:val="20"/>
                <w:color w:val="auto"/>
              </w:rPr>
            </w:pPr>
            <w:r>
              <w:rPr>
                <w:rFonts w:ascii="Arial" w:cs="Arial" w:eastAsia="Arial" w:hAnsi="Arial"/>
                <w:sz w:val="10"/>
                <w:szCs w:val="10"/>
                <w:color w:val="auto"/>
              </w:rPr>
              <w:t>(23)</w:t>
            </w:r>
          </w:p>
        </w:tc>
        <w:tc>
          <w:tcPr>
            <w:tcW w:w="12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12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27</w:t>
            </w:r>
          </w:p>
        </w:tc>
      </w:tr>
      <w:tr>
        <w:trPr>
          <w:trHeight w:val="192"/>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2"/>
        </w:trPr>
        <w:tc>
          <w:tcPr>
            <w:tcW w:w="678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Net cash used in financing activities</w:t>
            </w:r>
          </w:p>
        </w:tc>
        <w:tc>
          <w:tcPr>
            <w:tcW w:w="360" w:type="dxa"/>
            <w:vAlign w:val="bottom"/>
            <w:shd w:val="clear" w:color="auto" w:fill="E5E5E5"/>
          </w:tcPr>
          <w:p>
            <w:pPr>
              <w:spacing w:after="0"/>
              <w:rPr>
                <w:sz w:val="15"/>
                <w:szCs w:val="15"/>
                <w:color w:val="auto"/>
              </w:rPr>
            </w:pPr>
          </w:p>
        </w:tc>
        <w:tc>
          <w:tcPr>
            <w:tcW w:w="114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(137)</w:t>
            </w:r>
          </w:p>
        </w:tc>
        <w:tc>
          <w:tcPr>
            <w:tcW w:w="12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11"/>
              <w:spacing w:after="0"/>
              <w:rPr>
                <w:sz w:val="20"/>
                <w:szCs w:val="20"/>
                <w:color w:val="auto"/>
              </w:rPr>
            </w:pPr>
            <w:r>
              <w:rPr>
                <w:rFonts w:ascii="Arial" w:cs="Arial" w:eastAsia="Arial" w:hAnsi="Arial"/>
                <w:sz w:val="10"/>
                <w:szCs w:val="10"/>
                <w:color w:val="auto"/>
              </w:rPr>
              <w:t>(359)</w:t>
            </w:r>
          </w:p>
        </w:tc>
        <w:tc>
          <w:tcPr>
            <w:tcW w:w="12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12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222</w:t>
            </w:r>
          </w:p>
        </w:tc>
      </w:tr>
      <w:tr>
        <w:trPr>
          <w:trHeight w:val="192"/>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8"/>
        </w:trPr>
        <w:tc>
          <w:tcPr>
            <w:tcW w:w="678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Effect of exchange rate changes on cash, cash equivalents and restricted cash</w:t>
            </w:r>
          </w:p>
        </w:tc>
        <w:tc>
          <w:tcPr>
            <w:tcW w:w="360" w:type="dxa"/>
            <w:vAlign w:val="bottom"/>
            <w:tcBorders>
              <w:bottom w:val="single" w:sz="8" w:color="auto"/>
            </w:tcBorders>
            <w:shd w:val="clear" w:color="auto" w:fill="E5E5E5"/>
          </w:tcPr>
          <w:p>
            <w:pPr>
              <w:spacing w:after="0"/>
              <w:rPr>
                <w:sz w:val="15"/>
                <w:szCs w:val="15"/>
                <w:color w:val="auto"/>
              </w:rPr>
            </w:pPr>
          </w:p>
        </w:tc>
        <w:tc>
          <w:tcPr>
            <w:tcW w:w="114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(20)</w:t>
            </w:r>
          </w:p>
        </w:tc>
        <w:tc>
          <w:tcPr>
            <w:tcW w:w="120" w:type="dxa"/>
            <w:vAlign w:val="bottom"/>
            <w:shd w:val="clear" w:color="auto" w:fill="E5E5E5"/>
          </w:tcPr>
          <w:p>
            <w:pPr>
              <w:spacing w:after="0"/>
              <w:rPr>
                <w:sz w:val="15"/>
                <w:szCs w:val="15"/>
                <w:color w:val="auto"/>
              </w:rPr>
            </w:pPr>
          </w:p>
        </w:tc>
        <w:tc>
          <w:tcPr>
            <w:tcW w:w="500" w:type="dxa"/>
            <w:vAlign w:val="bottom"/>
            <w:tcBorders>
              <w:bottom w:val="single" w:sz="8" w:color="auto"/>
            </w:tcBorders>
            <w:shd w:val="clear" w:color="auto" w:fill="E5E5E5"/>
          </w:tcPr>
          <w:p>
            <w:pPr>
              <w:spacing w:after="0"/>
              <w:rPr>
                <w:sz w:val="15"/>
                <w:szCs w:val="15"/>
                <w:color w:val="auto"/>
              </w:rPr>
            </w:pPr>
          </w:p>
        </w:tc>
        <w:tc>
          <w:tcPr>
            <w:tcW w:w="980" w:type="dxa"/>
            <w:vAlign w:val="bottom"/>
            <w:tcBorders>
              <w:bottom w:val="single" w:sz="8" w:color="auto"/>
            </w:tcBorders>
            <w:shd w:val="clear" w:color="auto" w:fill="E5E5E5"/>
          </w:tcPr>
          <w:p>
            <w:pPr>
              <w:jc w:val="right"/>
              <w:ind w:right="11"/>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5"/>
                <w:szCs w:val="15"/>
                <w:color w:val="auto"/>
              </w:rPr>
            </w:pPr>
          </w:p>
        </w:tc>
        <w:tc>
          <w:tcPr>
            <w:tcW w:w="280" w:type="dxa"/>
            <w:vAlign w:val="bottom"/>
            <w:tcBorders>
              <w:bottom w:val="single" w:sz="8" w:color="auto"/>
            </w:tcBorders>
            <w:shd w:val="clear" w:color="auto" w:fill="E5E5E5"/>
          </w:tcPr>
          <w:p>
            <w:pPr>
              <w:spacing w:after="0"/>
              <w:rPr>
                <w:sz w:val="15"/>
                <w:szCs w:val="15"/>
                <w:color w:val="auto"/>
              </w:rPr>
            </w:pPr>
          </w:p>
        </w:tc>
        <w:tc>
          <w:tcPr>
            <w:tcW w:w="120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(19)</w:t>
            </w:r>
          </w:p>
        </w:tc>
      </w:tr>
      <w:tr>
        <w:trPr>
          <w:trHeight w:val="162"/>
        </w:trPr>
        <w:tc>
          <w:tcPr>
            <w:tcW w:w="6780" w:type="dxa"/>
            <w:vAlign w:val="bottom"/>
            <w:gridSpan w:val="2"/>
          </w:tcPr>
          <w:p>
            <w:pPr>
              <w:ind w:left="20"/>
              <w:spacing w:after="0"/>
              <w:rPr>
                <w:sz w:val="20"/>
                <w:szCs w:val="20"/>
                <w:color w:val="auto"/>
              </w:rPr>
            </w:pPr>
            <w:r>
              <w:rPr>
                <w:rFonts w:ascii="Arial" w:cs="Arial" w:eastAsia="Arial" w:hAnsi="Arial"/>
                <w:sz w:val="10"/>
                <w:szCs w:val="10"/>
                <w:color w:val="auto"/>
              </w:rPr>
              <w:t>Increase (decrease) in cash, cash equivalents and restricted cash</w:t>
            </w:r>
          </w:p>
        </w:tc>
        <w:tc>
          <w:tcPr>
            <w:tcW w:w="360" w:type="dxa"/>
            <w:vAlign w:val="bottom"/>
          </w:tcPr>
          <w:p>
            <w:pPr>
              <w:spacing w:after="0"/>
              <w:rPr>
                <w:sz w:val="14"/>
                <w:szCs w:val="14"/>
                <w:color w:val="auto"/>
              </w:rPr>
            </w:pPr>
          </w:p>
        </w:tc>
        <w:tc>
          <w:tcPr>
            <w:tcW w:w="1140" w:type="dxa"/>
            <w:vAlign w:val="bottom"/>
          </w:tcPr>
          <w:p>
            <w:pPr>
              <w:jc w:val="right"/>
              <w:ind w:right="71"/>
              <w:spacing w:after="0"/>
              <w:rPr>
                <w:sz w:val="20"/>
                <w:szCs w:val="20"/>
                <w:color w:val="auto"/>
              </w:rPr>
            </w:pPr>
            <w:r>
              <w:rPr>
                <w:rFonts w:ascii="Arial" w:cs="Arial" w:eastAsia="Arial" w:hAnsi="Arial"/>
                <w:sz w:val="10"/>
                <w:szCs w:val="10"/>
                <w:color w:val="auto"/>
              </w:rPr>
              <w:t>203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11"/>
              <w:spacing w:after="0"/>
              <w:rPr>
                <w:sz w:val="20"/>
                <w:szCs w:val="20"/>
                <w:color w:val="auto"/>
              </w:rPr>
            </w:pPr>
            <w:r>
              <w:rPr>
                <w:rFonts w:ascii="Arial" w:cs="Arial" w:eastAsia="Arial" w:hAnsi="Arial"/>
                <w:sz w:val="10"/>
                <w:szCs w:val="10"/>
                <w:color w:val="auto"/>
              </w:rPr>
              <w:t>(109)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71"/>
              <w:spacing w:after="0"/>
              <w:rPr>
                <w:sz w:val="20"/>
                <w:szCs w:val="20"/>
                <w:color w:val="auto"/>
              </w:rPr>
            </w:pPr>
            <w:r>
              <w:rPr>
                <w:rFonts w:ascii="Arial" w:cs="Arial" w:eastAsia="Arial" w:hAnsi="Arial"/>
                <w:sz w:val="10"/>
                <w:szCs w:val="10"/>
                <w:color w:val="auto"/>
              </w:rPr>
              <w:t>312</w:t>
            </w:r>
          </w:p>
        </w:tc>
      </w:tr>
      <w:tr>
        <w:trPr>
          <w:trHeight w:val="187"/>
        </w:trPr>
        <w:tc>
          <w:tcPr>
            <w:tcW w:w="678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360" w:type="dxa"/>
            <w:vAlign w:val="bottom"/>
            <w:tcBorders>
              <w:bottom w:val="single" w:sz="8" w:color="auto"/>
            </w:tcBorders>
            <w:shd w:val="clear" w:color="auto" w:fill="E5E5E5"/>
          </w:tcPr>
          <w:p>
            <w:pPr>
              <w:spacing w:after="0"/>
              <w:rPr>
                <w:sz w:val="16"/>
                <w:szCs w:val="16"/>
                <w:color w:val="auto"/>
              </w:rPr>
            </w:pPr>
          </w:p>
        </w:tc>
        <w:tc>
          <w:tcPr>
            <w:tcW w:w="114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776</w:t>
            </w:r>
          </w:p>
        </w:tc>
        <w:tc>
          <w:tcPr>
            <w:tcW w:w="120" w:type="dxa"/>
            <w:vAlign w:val="bottom"/>
            <w:shd w:val="clear" w:color="auto" w:fill="E5E5E5"/>
          </w:tcPr>
          <w:p>
            <w:pPr>
              <w:spacing w:after="0"/>
              <w:rPr>
                <w:sz w:val="16"/>
                <w:szCs w:val="16"/>
                <w:color w:val="auto"/>
              </w:rPr>
            </w:pPr>
          </w:p>
        </w:tc>
        <w:tc>
          <w:tcPr>
            <w:tcW w:w="500" w:type="dxa"/>
            <w:vAlign w:val="bottom"/>
            <w:tcBorders>
              <w:bottom w:val="single" w:sz="8" w:color="auto"/>
            </w:tcBorders>
            <w:shd w:val="clear" w:color="auto" w:fill="E5E5E5"/>
          </w:tcPr>
          <w:p>
            <w:pPr>
              <w:spacing w:after="0"/>
              <w:rPr>
                <w:sz w:val="16"/>
                <w:szCs w:val="16"/>
                <w:color w:val="auto"/>
              </w:rPr>
            </w:pPr>
          </w:p>
        </w:tc>
        <w:tc>
          <w:tcPr>
            <w:tcW w:w="98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1,327</w:t>
            </w:r>
          </w:p>
        </w:tc>
        <w:tc>
          <w:tcPr>
            <w:tcW w:w="120" w:type="dxa"/>
            <w:vAlign w:val="bottom"/>
            <w:shd w:val="clear" w:color="auto" w:fill="E5E5E5"/>
          </w:tcPr>
          <w:p>
            <w:pPr>
              <w:spacing w:after="0"/>
              <w:rPr>
                <w:sz w:val="16"/>
                <w:szCs w:val="16"/>
                <w:color w:val="auto"/>
              </w:rPr>
            </w:pPr>
          </w:p>
        </w:tc>
        <w:tc>
          <w:tcPr>
            <w:tcW w:w="280" w:type="dxa"/>
            <w:vAlign w:val="bottom"/>
            <w:tcBorders>
              <w:bottom w:val="single" w:sz="8" w:color="auto"/>
            </w:tcBorders>
            <w:shd w:val="clear" w:color="auto" w:fill="E5E5E5"/>
          </w:tcPr>
          <w:p>
            <w:pPr>
              <w:spacing w:after="0"/>
              <w:rPr>
                <w:sz w:val="16"/>
                <w:szCs w:val="16"/>
                <w:color w:val="auto"/>
              </w:rPr>
            </w:pPr>
          </w:p>
        </w:tc>
        <w:tc>
          <w:tcPr>
            <w:tcW w:w="120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(551)</w:t>
            </w:r>
          </w:p>
        </w:tc>
      </w:tr>
      <w:tr>
        <w:trPr>
          <w:trHeight w:val="161"/>
        </w:trPr>
        <w:tc>
          <w:tcPr>
            <w:tcW w:w="6780" w:type="dxa"/>
            <w:vAlign w:val="bottom"/>
            <w:gridSpan w:val="2"/>
          </w:tcPr>
          <w:p>
            <w:pPr>
              <w:ind w:left="20"/>
              <w:spacing w:after="0"/>
              <w:rPr>
                <w:sz w:val="20"/>
                <w:szCs w:val="20"/>
                <w:color w:val="auto"/>
              </w:rPr>
            </w:pPr>
            <w:r>
              <w:rPr>
                <w:rFonts w:ascii="Arial" w:cs="Arial" w:eastAsia="Arial" w:hAnsi="Arial"/>
                <w:sz w:val="10"/>
                <w:szCs w:val="10"/>
                <w:b w:val="1"/>
                <w:bCs w:val="1"/>
                <w:color w:val="auto"/>
              </w:rPr>
              <w:t>Cash, Cash Equivalents and Restricted Cash at End of Period</w:t>
            </w:r>
          </w:p>
        </w:tc>
        <w:tc>
          <w:tcPr>
            <w:tcW w:w="36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979</w:t>
            </w:r>
          </w:p>
        </w:tc>
        <w:tc>
          <w:tcPr>
            <w:tcW w:w="120" w:type="dxa"/>
            <w:vAlign w:val="bottom"/>
          </w:tcPr>
          <w:p>
            <w:pPr>
              <w:spacing w:after="0"/>
              <w:rPr>
                <w:sz w:val="13"/>
                <w:szCs w:val="13"/>
                <w:color w:val="auto"/>
              </w:rPr>
            </w:pPr>
          </w:p>
        </w:tc>
        <w:tc>
          <w:tcPr>
            <w:tcW w:w="50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1,218</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(239)</w:t>
            </w:r>
          </w:p>
        </w:tc>
      </w:tr>
    </w:tbl>
    <w:p>
      <w:pPr>
        <w:spacing w:after="0" w:line="133"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Cash Flows from Operating Activities</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2"/>
          <w:szCs w:val="12"/>
          <w:color w:val="auto"/>
        </w:rPr>
        <w:t>Net cash provided by operating activities was $356 million in third quarter 2019. The $82 million increase in operating cash from third quarter 2018 was primarily due to the following:</w:t>
      </w:r>
    </w:p>
    <w:p>
      <w:pPr>
        <w:spacing w:after="0" w:line="8" w:lineRule="exact"/>
        <w:rPr>
          <w:sz w:val="20"/>
          <w:szCs w:val="20"/>
          <w:color w:val="auto"/>
        </w:rPr>
      </w:pPr>
    </w:p>
    <w:p>
      <w:pPr>
        <w:ind w:left="227" w:hanging="227"/>
        <w:spacing w:after="0"/>
        <w:tabs>
          <w:tab w:leader="none" w:pos="2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$50 million increase from accounts receivable primarily due to the timing of collections and lower revenues.</w:t>
      </w:r>
    </w:p>
    <w:p>
      <w:pPr>
        <w:spacing w:after="0" w:line="7" w:lineRule="exact"/>
        <w:rPr>
          <w:rFonts w:ascii="Arial" w:cs="Arial" w:eastAsia="Arial" w:hAnsi="Arial"/>
          <w:sz w:val="12"/>
          <w:szCs w:val="12"/>
          <w:color w:val="auto"/>
        </w:rPr>
      </w:pPr>
    </w:p>
    <w:p>
      <w:pPr>
        <w:ind w:left="227" w:hanging="227"/>
        <w:spacing w:after="0"/>
        <w:tabs>
          <w:tab w:leader="none" w:pos="2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$37 million increase from accounts payable primarily due to the year-over-year timing of supplier and vendor payments.</w:t>
      </w:r>
    </w:p>
    <w:p>
      <w:pPr>
        <w:spacing w:after="0" w:line="7" w:lineRule="exact"/>
        <w:rPr>
          <w:rFonts w:ascii="Arial" w:cs="Arial" w:eastAsia="Arial" w:hAnsi="Arial"/>
          <w:sz w:val="12"/>
          <w:szCs w:val="12"/>
          <w:color w:val="auto"/>
        </w:rPr>
      </w:pPr>
    </w:p>
    <w:p>
      <w:pPr>
        <w:ind w:left="227" w:hanging="227"/>
        <w:spacing w:after="0"/>
        <w:tabs>
          <w:tab w:leader="none" w:pos="2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$36 million increase primarily due to lower levels of inventories partially reflecting lower sales volume and improved inventory management.</w:t>
      </w:r>
    </w:p>
    <w:p>
      <w:pPr>
        <w:spacing w:after="0" w:line="7" w:lineRule="exact"/>
        <w:rPr>
          <w:rFonts w:ascii="Arial" w:cs="Arial" w:eastAsia="Arial" w:hAnsi="Arial"/>
          <w:sz w:val="12"/>
          <w:szCs w:val="12"/>
          <w:color w:val="auto"/>
        </w:rPr>
      </w:pPr>
    </w:p>
    <w:p>
      <w:pPr>
        <w:ind w:left="227" w:hanging="227"/>
        <w:spacing w:after="0"/>
        <w:tabs>
          <w:tab w:leader="none" w:pos="2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$22 million increase from lower restructuring payments primarily due to timing of payments.</w:t>
      </w:r>
    </w:p>
    <w:p>
      <w:pPr>
        <w:spacing w:after="0" w:line="7" w:lineRule="exact"/>
        <w:rPr>
          <w:rFonts w:ascii="Arial" w:cs="Arial" w:eastAsia="Arial" w:hAnsi="Arial"/>
          <w:sz w:val="12"/>
          <w:szCs w:val="12"/>
          <w:color w:val="auto"/>
        </w:rPr>
      </w:pPr>
    </w:p>
    <w:p>
      <w:pPr>
        <w:ind w:left="227" w:hanging="227"/>
        <w:spacing w:after="0"/>
        <w:tabs>
          <w:tab w:leader="none" w:pos="2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$22 million increase due to lower placements of equipment on operating leases.</w:t>
      </w:r>
    </w:p>
    <w:p>
      <w:pPr>
        <w:spacing w:after="0" w:line="7" w:lineRule="exact"/>
        <w:rPr>
          <w:rFonts w:ascii="Arial" w:cs="Arial" w:eastAsia="Arial" w:hAnsi="Arial"/>
          <w:sz w:val="12"/>
          <w:szCs w:val="12"/>
          <w:color w:val="auto"/>
        </w:rPr>
      </w:pPr>
    </w:p>
    <w:p>
      <w:pPr>
        <w:ind w:left="227" w:hanging="227"/>
        <w:spacing w:after="0"/>
        <w:tabs>
          <w:tab w:leader="none" w:pos="2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$34 million decrease due to a lower net run-off of finance receivables reflecting stronger originations, particularly in our XBS channel as a result of an increased percentage financed.</w:t>
      </w:r>
    </w:p>
    <w:p>
      <w:pPr>
        <w:spacing w:after="0" w:line="7" w:lineRule="exact"/>
        <w:rPr>
          <w:rFonts w:ascii="Arial" w:cs="Arial" w:eastAsia="Arial" w:hAnsi="Arial"/>
          <w:sz w:val="12"/>
          <w:szCs w:val="12"/>
          <w:color w:val="auto"/>
        </w:rPr>
      </w:pPr>
    </w:p>
    <w:p>
      <w:pPr>
        <w:ind w:left="227" w:hanging="227"/>
        <w:spacing w:after="0"/>
        <w:tabs>
          <w:tab w:leader="none" w:pos="2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$19 million decrease from accrued compensation primarily related to lower compensation costs and year-over-year timing of payments.</w:t>
      </w:r>
    </w:p>
    <w:p>
      <w:pPr>
        <w:spacing w:after="0" w:line="7" w:lineRule="exact"/>
        <w:rPr>
          <w:rFonts w:ascii="Arial" w:cs="Arial" w:eastAsia="Arial" w:hAnsi="Arial"/>
          <w:sz w:val="12"/>
          <w:szCs w:val="12"/>
          <w:color w:val="auto"/>
        </w:rPr>
      </w:pPr>
    </w:p>
    <w:p>
      <w:pPr>
        <w:ind w:left="227" w:hanging="227"/>
        <w:spacing w:after="0"/>
        <w:tabs>
          <w:tab w:leader="none" w:pos="227" w:val="left"/>
        </w:tabs>
        <w:numPr>
          <w:ilvl w:val="0"/>
          <w:numId w:val="20"/>
        </w:numPr>
        <w:rPr>
          <w:rFonts w:ascii="Arial" w:cs="Arial" w:eastAsia="Arial" w:hAnsi="Arial"/>
          <w:sz w:val="12"/>
          <w:szCs w:val="12"/>
          <w:color w:val="auto"/>
        </w:rPr>
      </w:pPr>
      <w:r>
        <w:rPr>
          <w:rFonts w:ascii="Arial" w:cs="Arial" w:eastAsia="Arial" w:hAnsi="Arial"/>
          <w:sz w:val="12"/>
          <w:szCs w:val="12"/>
          <w:color w:val="auto"/>
        </w:rPr>
        <w:t>$8 million decrease from higher net tax payments.</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Cash Flows from Investing Activities</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2"/>
          <w:szCs w:val="12"/>
          <w:color w:val="auto"/>
        </w:rPr>
        <w:t>Net cash provided by investing activities was $4 million in third quarter 2019. The $27 million change from third quarter 2018 was primarily due to proceeds from the sale of non-core business assets in 2019.</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Cash Flows from Financing Activities</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2"/>
          <w:szCs w:val="12"/>
          <w:color w:val="auto"/>
        </w:rPr>
        <w:t>Net cash used in financing activities was $137 million in third quarter 2019. The $222 million decrease in the use of cash from third quarter 2018 was primarily due to lower share repurchases in 2019.</w:t>
      </w:r>
    </w:p>
    <w:p>
      <w:pPr>
        <w:spacing w:after="0" w:line="209"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DA2031"/>
        </w:rPr>
        <w:t>Adoption of New Leasing Standard</w:t>
      </w:r>
    </w:p>
    <w:p>
      <w:pPr>
        <w:spacing w:after="0" w:line="96" w:lineRule="exact"/>
        <w:rPr>
          <w:sz w:val="20"/>
          <w:szCs w:val="20"/>
          <w:color w:val="auto"/>
        </w:rPr>
      </w:pPr>
    </w:p>
    <w:p>
      <w:pPr>
        <w:ind w:left="7" w:right="200"/>
        <w:spacing w:after="0" w:line="260" w:lineRule="auto"/>
        <w:rPr>
          <w:sz w:val="20"/>
          <w:szCs w:val="20"/>
          <w:color w:val="auto"/>
        </w:rPr>
      </w:pPr>
      <w:r>
        <w:rPr>
          <w:rFonts w:ascii="Arial" w:cs="Arial" w:eastAsia="Arial" w:hAnsi="Arial"/>
          <w:sz w:val="12"/>
          <w:szCs w:val="12"/>
          <w:color w:val="auto"/>
        </w:rPr>
        <w:t>On January 1, 2019, we adopted ASU 2016-02, Leases (ASC Topic 842). This update, as well as additional amendments and targeted improvements issued in 2018 and early 2019, supersedes existing lease accounting guidance found under ASC 840, Leases (ASC 840) and requires the recognition of right-of-use (ROU) assets and lease obligations by lessees for those leases originally classified as operating leases under prior lease guidance.</w:t>
      </w:r>
    </w:p>
    <w:p>
      <w:pPr>
        <w:spacing w:after="0" w:line="62" w:lineRule="exact"/>
        <w:rPr>
          <w:sz w:val="20"/>
          <w:szCs w:val="20"/>
          <w:color w:val="auto"/>
        </w:rPr>
      </w:pPr>
    </w:p>
    <w:p>
      <w:pPr>
        <w:jc w:val="both"/>
        <w:ind w:left="7" w:right="20"/>
        <w:spacing w:after="0" w:line="258" w:lineRule="auto"/>
        <w:rPr>
          <w:sz w:val="20"/>
          <w:szCs w:val="20"/>
          <w:color w:val="auto"/>
        </w:rPr>
      </w:pPr>
      <w:r>
        <w:rPr>
          <w:rFonts w:ascii="Arial" w:cs="Arial" w:eastAsia="Arial" w:hAnsi="Arial"/>
          <w:sz w:val="12"/>
          <w:szCs w:val="12"/>
          <w:color w:val="auto"/>
        </w:rPr>
        <w:t>Upon adoption, we applied the transition option, whereby prior comparative periods are not retrospectively presented in the Condensed Consolidated Financial Statements. Lessee accounting - the adoption of this update resulted in an increase to assets and related liabilities of approximately $ 385 million (approximately $440 million undiscounted) primarily related to leases of facilities. Lessor accounting - the adoption of this update resulted in an increase to equipment sales of approximately $9 million in third quarter 2019. The adoption of the new standard did not, nor is it expected to, have a material impact on our results of operations or cash flows.</w:t>
      </w:r>
    </w:p>
    <w:p>
      <w:pPr>
        <w:spacing w:after="0" w:line="37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7"/>
          </w:cols>
          <w:pgMar w:left="213" w:top="440" w:right="199" w:bottom="1440" w:gutter="0" w:footer="0" w:header="0"/>
        </w:sectPr>
      </w:pPr>
    </w:p>
    <w:bookmarkStart w:id="20" w:name="page21"/>
    <w:bookmarkEnd w:id="20"/>
    <w:p>
      <w:pPr>
        <w:ind w:left="7"/>
        <w:spacing w:after="0"/>
        <w:rPr>
          <w:sz w:val="20"/>
          <w:szCs w:val="20"/>
          <w:color w:val="auto"/>
        </w:rPr>
      </w:pPr>
      <w:r>
        <w:rPr>
          <w:rFonts w:ascii="Arial" w:cs="Arial" w:eastAsia="Arial" w:hAnsi="Arial"/>
          <w:sz w:val="12"/>
          <w:szCs w:val="12"/>
          <w:color w:val="auto"/>
        </w:rPr>
        <w:t>Operating leases ROU assets, net and operating lease liabilities were reported in the Condensed Consolidated Balance Sheets as follows:</w:t>
      </w:r>
    </w:p>
    <w:p>
      <w:pPr>
        <w:spacing w:after="0" w:line="158" w:lineRule="exact"/>
        <w:rPr>
          <w:sz w:val="20"/>
          <w:szCs w:val="20"/>
          <w:color w:val="auto"/>
        </w:rPr>
      </w:pPr>
    </w:p>
    <w:tbl>
      <w:tblPr>
        <w:tblLayout w:type="fixed"/>
        <w:tblInd w:w="27" w:type="dxa"/>
        <w:tblCellMar>
          <w:top w:w="0" w:type="dxa"/>
          <w:left w:w="0" w:type="dxa"/>
          <w:bottom w:w="0" w:type="dxa"/>
          <w:right w:w="0" w:type="dxa"/>
        </w:tblCellMar>
      </w:tblPr>
      <w:tr>
        <w:trPr>
          <w:trHeight w:val="120"/>
        </w:trPr>
        <w:tc>
          <w:tcPr>
            <w:tcW w:w="94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color w:val="auto"/>
              </w:rPr>
              <w:t>September 30, 2019</w:t>
            </w:r>
          </w:p>
        </w:tc>
      </w:tr>
      <w:tr>
        <w:trPr>
          <w:trHeight w:val="165"/>
        </w:trPr>
        <w:tc>
          <w:tcPr>
            <w:tcW w:w="96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color w:val="auto"/>
              </w:rPr>
              <w:t>Other long-term assets</w:t>
            </w:r>
          </w:p>
        </w:tc>
        <w:tc>
          <w:tcPr>
            <w:tcW w:w="280" w:type="dxa"/>
            <w:vAlign w:val="bottom"/>
            <w:tcBorders>
              <w:bottom w:val="single" w:sz="8" w:color="auto"/>
            </w:tcBorders>
            <w:shd w:val="clear" w:color="auto" w:fill="E5E5E5"/>
          </w:tcPr>
          <w:p>
            <w:pPr>
              <w:jc w:val="right"/>
              <w:ind w:right="151"/>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297</w:t>
            </w:r>
          </w:p>
        </w:tc>
      </w:tr>
      <w:tr>
        <w:trPr>
          <w:trHeight w:val="182"/>
        </w:trPr>
        <w:tc>
          <w:tcPr>
            <w:tcW w:w="9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2"/>
        </w:trPr>
        <w:tc>
          <w:tcPr>
            <w:tcW w:w="960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Accrued expenses and other current liabilities</w:t>
            </w:r>
          </w:p>
        </w:tc>
        <w:tc>
          <w:tcPr>
            <w:tcW w:w="280" w:type="dxa"/>
            <w:vAlign w:val="bottom"/>
            <w:shd w:val="clear" w:color="auto" w:fill="E5E5E5"/>
          </w:tcPr>
          <w:p>
            <w:pPr>
              <w:jc w:val="right"/>
              <w:ind w:right="151"/>
              <w:spacing w:after="0"/>
              <w:rPr>
                <w:sz w:val="20"/>
                <w:szCs w:val="20"/>
                <w:color w:val="auto"/>
              </w:rPr>
            </w:pPr>
            <w:r>
              <w:rPr>
                <w:rFonts w:ascii="Arial" w:cs="Arial" w:eastAsia="Arial" w:hAnsi="Arial"/>
                <w:sz w:val="10"/>
                <w:szCs w:val="10"/>
                <w:color w:val="auto"/>
              </w:rPr>
              <w:t>$</w:t>
            </w:r>
          </w:p>
        </w:tc>
        <w:tc>
          <w:tcPr>
            <w:tcW w:w="15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88</w:t>
            </w:r>
          </w:p>
        </w:tc>
      </w:tr>
      <w:tr>
        <w:trPr>
          <w:trHeight w:val="178"/>
        </w:trPr>
        <w:tc>
          <w:tcPr>
            <w:tcW w:w="960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Other long-term liabilities</w:t>
            </w: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235</w:t>
            </w:r>
          </w:p>
        </w:tc>
      </w:tr>
      <w:tr>
        <w:trPr>
          <w:trHeight w:val="165"/>
        </w:trPr>
        <w:tc>
          <w:tcPr>
            <w:tcW w:w="96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Operating lease liabilities</w:t>
            </w:r>
          </w:p>
        </w:tc>
        <w:tc>
          <w:tcPr>
            <w:tcW w:w="280" w:type="dxa"/>
            <w:vAlign w:val="bottom"/>
            <w:tcBorders>
              <w:bottom w:val="single" w:sz="8" w:color="auto"/>
            </w:tcBorders>
            <w:shd w:val="clear" w:color="auto" w:fill="E5E5E5"/>
          </w:tcPr>
          <w:p>
            <w:pPr>
              <w:jc w:val="right"/>
              <w:ind w:right="151"/>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323</w:t>
            </w:r>
          </w:p>
        </w:tc>
      </w:tr>
    </w:tbl>
    <w:p>
      <w:pPr>
        <w:spacing w:after="0" w:line="20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DA2031"/>
        </w:rPr>
        <w:t>Cash, Cash Equivalents and Restricted Cash</w:t>
      </w:r>
    </w:p>
    <w:p>
      <w:pPr>
        <w:spacing w:after="0" w:line="86" w:lineRule="exact"/>
        <w:rPr>
          <w:sz w:val="20"/>
          <w:szCs w:val="20"/>
          <w:color w:val="auto"/>
        </w:rPr>
      </w:pPr>
    </w:p>
    <w:p>
      <w:pPr>
        <w:ind w:left="7" w:right="80"/>
        <w:spacing w:after="0" w:line="267" w:lineRule="auto"/>
        <w:rPr>
          <w:sz w:val="20"/>
          <w:szCs w:val="20"/>
          <w:color w:val="auto"/>
        </w:rPr>
      </w:pPr>
      <w:r>
        <w:rPr>
          <w:rFonts w:ascii="Arial" w:cs="Arial" w:eastAsia="Arial" w:hAnsi="Arial"/>
          <w:sz w:val="12"/>
          <w:szCs w:val="12"/>
          <w:color w:val="auto"/>
        </w:rPr>
        <w:t>Restricted cash primarily relates to escrow cash deposits made in Brazil associated with ongoing litigation. Various litigation matters in Brazil require us to make cash deposits to escrow as a condition of continuing the litigation. Restricted cash amounts are classified in our Condensed Consolidated Balance Sheets based on when the cash is expected to be contractually or judicially released.</w:t>
      </w:r>
    </w:p>
    <w:p>
      <w:pPr>
        <w:spacing w:after="0" w:line="280" w:lineRule="exact"/>
        <w:rPr>
          <w:sz w:val="20"/>
          <w:szCs w:val="20"/>
          <w:color w:val="auto"/>
        </w:rPr>
      </w:pPr>
    </w:p>
    <w:tbl>
      <w:tblPr>
        <w:tblLayout w:type="fixed"/>
        <w:tblInd w:w="27" w:type="dxa"/>
        <w:tblCellMar>
          <w:top w:w="0" w:type="dxa"/>
          <w:left w:w="0" w:type="dxa"/>
          <w:bottom w:w="0" w:type="dxa"/>
          <w:right w:w="0" w:type="dxa"/>
        </w:tblCellMar>
      </w:tblPr>
      <w:tr>
        <w:trPr>
          <w:trHeight w:val="12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color w:val="auto"/>
              </w:rPr>
              <w:t>September 30, 2019</w:t>
            </w: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color w:val="auto"/>
              </w:rPr>
              <w:t>December 31, 2018</w:t>
            </w:r>
          </w:p>
        </w:tc>
      </w:tr>
      <w:tr>
        <w:trPr>
          <w:trHeight w:val="162"/>
        </w:trPr>
        <w:tc>
          <w:tcPr>
            <w:tcW w:w="7660" w:type="dxa"/>
            <w:vAlign w:val="bottom"/>
            <w:gridSpan w:val="2"/>
          </w:tcPr>
          <w:p>
            <w:pPr>
              <w:ind w:left="20"/>
              <w:spacing w:after="0"/>
              <w:rPr>
                <w:sz w:val="20"/>
                <w:szCs w:val="20"/>
                <w:color w:val="auto"/>
              </w:rPr>
            </w:pPr>
            <w:r>
              <w:rPr>
                <w:rFonts w:ascii="Arial" w:cs="Arial" w:eastAsia="Arial" w:hAnsi="Arial"/>
                <w:sz w:val="10"/>
                <w:szCs w:val="10"/>
                <w:b w:val="1"/>
                <w:bCs w:val="1"/>
                <w:color w:val="auto"/>
              </w:rPr>
              <w:t>Cash and cash equivalents</w:t>
            </w:r>
          </w:p>
        </w:tc>
        <w:tc>
          <w:tcPr>
            <w:tcW w:w="28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560" w:type="dxa"/>
            <w:vAlign w:val="bottom"/>
          </w:tcPr>
          <w:p>
            <w:pPr>
              <w:jc w:val="right"/>
              <w:ind w:right="71"/>
              <w:spacing w:after="0"/>
              <w:rPr>
                <w:sz w:val="20"/>
                <w:szCs w:val="20"/>
                <w:color w:val="auto"/>
              </w:rPr>
            </w:pPr>
            <w:r>
              <w:rPr>
                <w:rFonts w:ascii="Arial" w:cs="Arial" w:eastAsia="Arial" w:hAnsi="Arial"/>
                <w:sz w:val="10"/>
                <w:szCs w:val="10"/>
                <w:color w:val="auto"/>
              </w:rPr>
              <w:t>922</w:t>
            </w:r>
          </w:p>
        </w:tc>
        <w:tc>
          <w:tcPr>
            <w:tcW w:w="100" w:type="dxa"/>
            <w:vAlign w:val="bottom"/>
          </w:tcPr>
          <w:p>
            <w:pPr>
              <w:spacing w:after="0"/>
              <w:rPr>
                <w:sz w:val="14"/>
                <w:szCs w:val="14"/>
                <w:color w:val="auto"/>
              </w:rPr>
            </w:pPr>
          </w:p>
        </w:tc>
        <w:tc>
          <w:tcPr>
            <w:tcW w:w="28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71"/>
              <w:spacing w:after="0"/>
              <w:rPr>
                <w:sz w:val="20"/>
                <w:szCs w:val="20"/>
                <w:color w:val="auto"/>
              </w:rPr>
            </w:pPr>
            <w:r>
              <w:rPr>
                <w:rFonts w:ascii="Arial" w:cs="Arial" w:eastAsia="Arial" w:hAnsi="Arial"/>
                <w:sz w:val="10"/>
                <w:szCs w:val="10"/>
                <w:color w:val="auto"/>
              </w:rPr>
              <w:t>1,084</w:t>
            </w:r>
          </w:p>
        </w:tc>
      </w:tr>
      <w:tr>
        <w:trPr>
          <w:trHeight w:val="187"/>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Restricted cash</w:t>
            </w:r>
          </w:p>
        </w:tc>
        <w:tc>
          <w:tcPr>
            <w:tcW w:w="280" w:type="dxa"/>
            <w:vAlign w:val="bottom"/>
            <w:shd w:val="clear" w:color="auto" w:fill="E5E5E5"/>
          </w:tcPr>
          <w:p>
            <w:pPr>
              <w:spacing w:after="0"/>
              <w:rPr>
                <w:sz w:val="16"/>
                <w:szCs w:val="16"/>
                <w:color w:val="auto"/>
              </w:rPr>
            </w:pPr>
          </w:p>
        </w:tc>
        <w:tc>
          <w:tcPr>
            <w:tcW w:w="1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540" w:type="dxa"/>
            <w:vAlign w:val="bottom"/>
            <w:shd w:val="clear" w:color="auto" w:fill="E5E5E5"/>
          </w:tcPr>
          <w:p>
            <w:pPr>
              <w:spacing w:after="0"/>
              <w:rPr>
                <w:sz w:val="16"/>
                <w:szCs w:val="16"/>
                <w:color w:val="auto"/>
              </w:rPr>
            </w:pPr>
          </w:p>
        </w:tc>
      </w:tr>
      <w:tr>
        <w:trPr>
          <w:trHeight w:val="178"/>
        </w:trPr>
        <w:tc>
          <w:tcPr>
            <w:tcW w:w="7660" w:type="dxa"/>
            <w:vAlign w:val="bottom"/>
            <w:gridSpan w:val="2"/>
          </w:tcPr>
          <w:p>
            <w:pPr>
              <w:ind w:left="140"/>
              <w:spacing w:after="0"/>
              <w:rPr>
                <w:sz w:val="20"/>
                <w:szCs w:val="20"/>
                <w:color w:val="auto"/>
              </w:rPr>
            </w:pPr>
            <w:r>
              <w:rPr>
                <w:rFonts w:ascii="Arial" w:cs="Arial" w:eastAsia="Arial" w:hAnsi="Arial"/>
                <w:sz w:val="10"/>
                <w:szCs w:val="10"/>
                <w:color w:val="auto"/>
              </w:rPr>
              <w:t>Litigation deposits in Brazil</w:t>
            </w:r>
          </w:p>
        </w:tc>
        <w:tc>
          <w:tcPr>
            <w:tcW w:w="280" w:type="dxa"/>
            <w:vAlign w:val="bottom"/>
          </w:tcPr>
          <w:p>
            <w:pPr>
              <w:spacing w:after="0"/>
              <w:rPr>
                <w:sz w:val="15"/>
                <w:szCs w:val="15"/>
                <w:color w:val="auto"/>
              </w:rPr>
            </w:pPr>
          </w:p>
        </w:tc>
        <w:tc>
          <w:tcPr>
            <w:tcW w:w="1560" w:type="dxa"/>
            <w:vAlign w:val="bottom"/>
          </w:tcPr>
          <w:p>
            <w:pPr>
              <w:jc w:val="right"/>
              <w:ind w:right="71"/>
              <w:spacing w:after="0"/>
              <w:rPr>
                <w:sz w:val="20"/>
                <w:szCs w:val="20"/>
                <w:color w:val="auto"/>
              </w:rPr>
            </w:pPr>
            <w:r>
              <w:rPr>
                <w:rFonts w:ascii="Arial" w:cs="Arial" w:eastAsia="Arial" w:hAnsi="Arial"/>
                <w:sz w:val="10"/>
                <w:szCs w:val="10"/>
                <w:color w:val="auto"/>
              </w:rPr>
              <w:t>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ind w:right="71"/>
              <w:spacing w:after="0"/>
              <w:rPr>
                <w:sz w:val="20"/>
                <w:szCs w:val="20"/>
                <w:color w:val="auto"/>
              </w:rPr>
            </w:pPr>
            <w:r>
              <w:rPr>
                <w:rFonts w:ascii="Arial" w:cs="Arial" w:eastAsia="Arial" w:hAnsi="Arial"/>
                <w:sz w:val="10"/>
                <w:szCs w:val="10"/>
                <w:color w:val="auto"/>
              </w:rPr>
              <w:t>61</w:t>
            </w:r>
          </w:p>
        </w:tc>
      </w:tr>
      <w:tr>
        <w:trPr>
          <w:trHeight w:val="182"/>
        </w:trPr>
        <w:tc>
          <w:tcPr>
            <w:tcW w:w="7660" w:type="dxa"/>
            <w:vAlign w:val="bottom"/>
            <w:gridSpan w:val="2"/>
            <w:shd w:val="clear" w:color="auto" w:fill="E5E5E5"/>
          </w:tcPr>
          <w:p>
            <w:pPr>
              <w:ind w:left="140"/>
              <w:spacing w:after="0"/>
              <w:rPr>
                <w:sz w:val="20"/>
                <w:szCs w:val="20"/>
                <w:color w:val="auto"/>
              </w:rPr>
            </w:pPr>
            <w:r>
              <w:rPr>
                <w:rFonts w:ascii="Arial" w:cs="Arial" w:eastAsia="Arial" w:hAnsi="Arial"/>
                <w:sz w:val="10"/>
                <w:szCs w:val="10"/>
                <w:color w:val="auto"/>
              </w:rPr>
              <w:t>Other restricted cash</w:t>
            </w:r>
          </w:p>
        </w:tc>
        <w:tc>
          <w:tcPr>
            <w:tcW w:w="280" w:type="dxa"/>
            <w:vAlign w:val="bottom"/>
            <w:shd w:val="clear" w:color="auto" w:fill="E5E5E5"/>
          </w:tcPr>
          <w:p>
            <w:pPr>
              <w:spacing w:after="0"/>
              <w:rPr>
                <w:sz w:val="15"/>
                <w:szCs w:val="15"/>
                <w:color w:val="auto"/>
              </w:rPr>
            </w:pPr>
          </w:p>
        </w:tc>
        <w:tc>
          <w:tcPr>
            <w:tcW w:w="1660" w:type="dxa"/>
            <w:vAlign w:val="bottom"/>
            <w:gridSpan w:val="2"/>
            <w:shd w:val="clear" w:color="auto" w:fill="E5E5E5"/>
          </w:tcPr>
          <w:p>
            <w:pPr>
              <w:jc w:val="right"/>
              <w:ind w:right="220"/>
              <w:spacing w:after="0"/>
              <w:rPr>
                <w:sz w:val="20"/>
                <w:szCs w:val="20"/>
                <w:color w:val="auto"/>
              </w:rPr>
            </w:pPr>
            <w:r>
              <w:rPr>
                <w:rFonts w:ascii="Arial" w:cs="Arial" w:eastAsia="Arial" w:hAnsi="Arial"/>
                <w:sz w:val="10"/>
                <w:szCs w:val="10"/>
                <w:color w:val="auto"/>
              </w:rPr>
              <w:t>—</w:t>
            </w:r>
          </w:p>
        </w:tc>
        <w:tc>
          <w:tcPr>
            <w:tcW w:w="280" w:type="dxa"/>
            <w:vAlign w:val="bottom"/>
            <w:shd w:val="clear" w:color="auto" w:fill="E5E5E5"/>
          </w:tcPr>
          <w:p>
            <w:pPr>
              <w:spacing w:after="0"/>
              <w:rPr>
                <w:sz w:val="15"/>
                <w:szCs w:val="15"/>
                <w:color w:val="auto"/>
              </w:rPr>
            </w:pPr>
          </w:p>
        </w:tc>
        <w:tc>
          <w:tcPr>
            <w:tcW w:w="15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w:t>
            </w:r>
          </w:p>
        </w:tc>
      </w:tr>
      <w:tr>
        <w:trPr>
          <w:trHeight w:val="162"/>
        </w:trPr>
        <w:tc>
          <w:tcPr>
            <w:tcW w:w="7660" w:type="dxa"/>
            <w:vAlign w:val="bottom"/>
            <w:tcBorders>
              <w:bottom w:val="single" w:sz="8" w:color="E5E5E5"/>
            </w:tcBorders>
            <w:gridSpan w:val="2"/>
          </w:tcPr>
          <w:p>
            <w:pPr>
              <w:ind w:left="140"/>
              <w:spacing w:after="0"/>
              <w:rPr>
                <w:sz w:val="20"/>
                <w:szCs w:val="20"/>
                <w:color w:val="auto"/>
              </w:rPr>
            </w:pPr>
            <w:r>
              <w:rPr>
                <w:rFonts w:ascii="Arial" w:cs="Arial" w:eastAsia="Arial" w:hAnsi="Arial"/>
                <w:sz w:val="10"/>
                <w:szCs w:val="10"/>
                <w:color w:val="auto"/>
              </w:rPr>
              <w:t>Total Restricted cash</w:t>
            </w:r>
          </w:p>
        </w:tc>
        <w:tc>
          <w:tcPr>
            <w:tcW w:w="28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57</w:t>
            </w:r>
          </w:p>
        </w:tc>
        <w:tc>
          <w:tcPr>
            <w:tcW w:w="100" w:type="dxa"/>
            <w:vAlign w:val="bottom"/>
            <w:tcBorders>
              <w:bottom w:val="single" w:sz="8" w:color="E5E5E5"/>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64</w:t>
            </w:r>
          </w:p>
        </w:tc>
      </w:tr>
      <w:tr>
        <w:trPr>
          <w:trHeight w:val="165"/>
        </w:trPr>
        <w:tc>
          <w:tcPr>
            <w:tcW w:w="76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Cash, cash equivalents and restricted cash</w:t>
            </w:r>
          </w:p>
        </w:tc>
        <w:tc>
          <w:tcPr>
            <w:tcW w:w="280" w:type="dxa"/>
            <w:vAlign w:val="bottom"/>
            <w:tcBorders>
              <w:bottom w:val="single" w:sz="8" w:color="auto"/>
            </w:tcBorders>
            <w:shd w:val="clear" w:color="auto" w:fill="E5E5E5"/>
          </w:tcPr>
          <w:p>
            <w:pPr>
              <w:jc w:val="right"/>
              <w:ind w:right="151"/>
              <w:spacing w:after="0"/>
              <w:rPr>
                <w:sz w:val="20"/>
                <w:szCs w:val="20"/>
                <w:color w:val="auto"/>
              </w:rPr>
            </w:pPr>
            <w:r>
              <w:rPr>
                <w:rFonts w:ascii="Arial" w:cs="Arial" w:eastAsia="Arial" w:hAnsi="Arial"/>
                <w:sz w:val="10"/>
                <w:szCs w:val="10"/>
                <w:color w:val="auto"/>
              </w:rPr>
              <w:t>$</w:t>
            </w:r>
          </w:p>
        </w:tc>
        <w:tc>
          <w:tcPr>
            <w:tcW w:w="15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979</w:t>
            </w:r>
          </w:p>
        </w:tc>
        <w:tc>
          <w:tcPr>
            <w:tcW w:w="100" w:type="dxa"/>
            <w:vAlign w:val="bottom"/>
            <w:tcBorders>
              <w:bottom w:val="single" w:sz="8" w:color="E5E5E5"/>
            </w:tcBorders>
            <w:shd w:val="clear" w:color="auto" w:fill="E5E5E5"/>
          </w:tcPr>
          <w:p>
            <w:pPr>
              <w:spacing w:after="0"/>
              <w:rPr>
                <w:sz w:val="14"/>
                <w:szCs w:val="14"/>
                <w:color w:val="auto"/>
              </w:rPr>
            </w:pPr>
          </w:p>
        </w:tc>
        <w:tc>
          <w:tcPr>
            <w:tcW w:w="280" w:type="dxa"/>
            <w:vAlign w:val="bottom"/>
            <w:tcBorders>
              <w:bottom w:val="single" w:sz="8" w:color="auto"/>
            </w:tcBorders>
            <w:shd w:val="clear" w:color="auto" w:fill="E5E5E5"/>
          </w:tcPr>
          <w:p>
            <w:pPr>
              <w:jc w:val="right"/>
              <w:ind w:right="151"/>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1,148</w:t>
            </w:r>
          </w:p>
        </w:tc>
      </w:tr>
    </w:tbl>
    <w:p>
      <w:pPr>
        <w:spacing w:after="0" w:line="200" w:lineRule="exact"/>
        <w:rPr>
          <w:sz w:val="20"/>
          <w:szCs w:val="20"/>
          <w:color w:val="auto"/>
        </w:rPr>
      </w:pPr>
    </w:p>
    <w:p>
      <w:pPr>
        <w:spacing w:after="0" w:line="237" w:lineRule="exact"/>
        <w:rPr>
          <w:sz w:val="20"/>
          <w:szCs w:val="20"/>
          <w:color w:val="auto"/>
        </w:rPr>
      </w:pPr>
    </w:p>
    <w:p>
      <w:pPr>
        <w:ind w:left="7"/>
        <w:spacing w:after="0"/>
        <w:rPr>
          <w:sz w:val="20"/>
          <w:szCs w:val="20"/>
          <w:color w:val="auto"/>
        </w:rPr>
      </w:pPr>
      <w:r>
        <w:rPr>
          <w:rFonts w:ascii="Arial" w:cs="Arial" w:eastAsia="Arial" w:hAnsi="Arial"/>
          <w:sz w:val="12"/>
          <w:szCs w:val="12"/>
          <w:color w:val="auto"/>
        </w:rPr>
        <w:t>Restricted cash was reported in the Condensed Consolidated Balance Sheets as follows:</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12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color w:val="auto"/>
              </w:rPr>
              <w:t>September 30, 2019</w:t>
            </w: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color w:val="auto"/>
              </w:rPr>
              <w:t>December 31, 2018</w:t>
            </w:r>
          </w:p>
        </w:tc>
      </w:tr>
      <w:tr>
        <w:trPr>
          <w:trHeight w:val="162"/>
        </w:trPr>
        <w:tc>
          <w:tcPr>
            <w:tcW w:w="7640" w:type="dxa"/>
            <w:vAlign w:val="bottom"/>
            <w:gridSpan w:val="2"/>
          </w:tcPr>
          <w:p>
            <w:pPr>
              <w:ind w:left="20"/>
              <w:spacing w:after="0"/>
              <w:rPr>
                <w:sz w:val="20"/>
                <w:szCs w:val="20"/>
                <w:color w:val="auto"/>
              </w:rPr>
            </w:pPr>
            <w:r>
              <w:rPr>
                <w:rFonts w:ascii="Arial" w:cs="Arial" w:eastAsia="Arial" w:hAnsi="Arial"/>
                <w:sz w:val="10"/>
                <w:szCs w:val="10"/>
                <w:color w:val="auto"/>
              </w:rPr>
              <w:t>Other current assets</w:t>
            </w:r>
          </w:p>
        </w:tc>
        <w:tc>
          <w:tcPr>
            <w:tcW w:w="28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51"/>
              <w:spacing w:after="0"/>
              <w:rPr>
                <w:sz w:val="20"/>
                <w:szCs w:val="20"/>
                <w:color w:val="auto"/>
              </w:rPr>
            </w:pPr>
            <w:r>
              <w:rPr>
                <w:rFonts w:ascii="Arial" w:cs="Arial" w:eastAsia="Arial" w:hAnsi="Arial"/>
                <w:sz w:val="10"/>
                <w:szCs w:val="10"/>
                <w:color w:val="auto"/>
              </w:rPr>
              <w:t>1</w:t>
            </w:r>
          </w:p>
        </w:tc>
      </w:tr>
      <w:tr>
        <w:trPr>
          <w:trHeight w:val="187"/>
        </w:trPr>
        <w:tc>
          <w:tcPr>
            <w:tcW w:w="764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Other long-term assets</w:t>
            </w:r>
          </w:p>
        </w:tc>
        <w:tc>
          <w:tcPr>
            <w:tcW w:w="280" w:type="dxa"/>
            <w:vAlign w:val="bottom"/>
            <w:tcBorders>
              <w:bottom w:val="single" w:sz="8" w:color="auto"/>
            </w:tcBorders>
            <w:shd w:val="clear" w:color="auto" w:fill="E5E5E5"/>
          </w:tcPr>
          <w:p>
            <w:pPr>
              <w:spacing w:after="0"/>
              <w:rPr>
                <w:sz w:val="16"/>
                <w:szCs w:val="16"/>
                <w:color w:val="auto"/>
              </w:rPr>
            </w:pPr>
          </w:p>
        </w:tc>
        <w:tc>
          <w:tcPr>
            <w:tcW w:w="15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57</w:t>
            </w:r>
          </w:p>
        </w:tc>
        <w:tc>
          <w:tcPr>
            <w:tcW w:w="100" w:type="dxa"/>
            <w:vAlign w:val="bottom"/>
            <w:shd w:val="clear" w:color="auto" w:fill="E5E5E5"/>
          </w:tcPr>
          <w:p>
            <w:pPr>
              <w:spacing w:after="0"/>
              <w:rPr>
                <w:sz w:val="16"/>
                <w:szCs w:val="16"/>
                <w:color w:val="auto"/>
              </w:rPr>
            </w:pPr>
          </w:p>
        </w:tc>
        <w:tc>
          <w:tcPr>
            <w:tcW w:w="280" w:type="dxa"/>
            <w:vAlign w:val="bottom"/>
            <w:tcBorders>
              <w:bottom w:val="single" w:sz="8" w:color="auto"/>
            </w:tcBorders>
            <w:shd w:val="clear" w:color="auto" w:fill="E5E5E5"/>
          </w:tcPr>
          <w:p>
            <w:pPr>
              <w:spacing w:after="0"/>
              <w:rPr>
                <w:sz w:val="16"/>
                <w:szCs w:val="16"/>
                <w:color w:val="auto"/>
              </w:rPr>
            </w:pPr>
          </w:p>
        </w:tc>
        <w:tc>
          <w:tcPr>
            <w:tcW w:w="154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63</w:t>
            </w:r>
          </w:p>
        </w:tc>
      </w:tr>
      <w:tr>
        <w:trPr>
          <w:trHeight w:val="161"/>
        </w:trPr>
        <w:tc>
          <w:tcPr>
            <w:tcW w:w="764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 Restricted cash</w:t>
            </w:r>
          </w:p>
        </w:tc>
        <w:tc>
          <w:tcPr>
            <w:tcW w:w="28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15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57</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64</w:t>
            </w:r>
          </w:p>
        </w:tc>
      </w:tr>
    </w:tbl>
    <w:p>
      <w:pPr>
        <w:spacing w:after="0" w:line="20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DA2031"/>
        </w:rPr>
        <w:t>Debt and Customer Financing Activities</w:t>
      </w:r>
    </w:p>
    <w:p>
      <w:pPr>
        <w:spacing w:after="0" w:line="86"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following summarizes our debt:</w:t>
      </w:r>
    </w:p>
    <w:p>
      <w:pPr>
        <w:spacing w:after="0" w:line="304" w:lineRule="exact"/>
        <w:rPr>
          <w:sz w:val="20"/>
          <w:szCs w:val="20"/>
          <w:color w:val="auto"/>
        </w:rPr>
      </w:pPr>
    </w:p>
    <w:tbl>
      <w:tblPr>
        <w:tblLayout w:type="fixed"/>
        <w:tblInd w:w="7" w:type="dxa"/>
        <w:tblCellMar>
          <w:top w:w="0" w:type="dxa"/>
          <w:left w:w="0" w:type="dxa"/>
          <w:bottom w:w="0" w:type="dxa"/>
          <w:right w:w="0" w:type="dxa"/>
        </w:tblCellMar>
      </w:tblPr>
      <w:tr>
        <w:trPr>
          <w:trHeight w:val="120"/>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rPr>
              <w:t>September 30, 2019</w:t>
            </w:r>
          </w:p>
        </w:tc>
        <w:tc>
          <w:tcPr>
            <w:tcW w:w="120" w:type="dxa"/>
            <w:vAlign w:val="bottom"/>
            <w:tcBorders>
              <w:bottom w:val="single" w:sz="8" w:color="E5E5E5"/>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rPr>
              <w:t>December 31, 2018</w:t>
            </w:r>
          </w:p>
        </w:tc>
      </w:tr>
      <w:tr>
        <w:trPr>
          <w:trHeight w:val="167"/>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Principal debt balance</w:t>
            </w:r>
            <w:r>
              <w:rPr>
                <w:rFonts w:ascii="Arial" w:cs="Arial" w:eastAsia="Arial" w:hAnsi="Arial"/>
                <w:sz w:val="12"/>
                <w:szCs w:val="12"/>
                <w:color w:val="auto"/>
                <w:vertAlign w:val="superscript"/>
              </w:rPr>
              <w:t>(1)</w:t>
            </w:r>
          </w:p>
        </w:tc>
        <w:tc>
          <w:tcPr>
            <w:tcW w:w="300" w:type="dxa"/>
            <w:vAlign w:val="bottom"/>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4,867</w:t>
            </w: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5,281</w:t>
            </w:r>
          </w:p>
        </w:tc>
      </w:tr>
      <w:tr>
        <w:trPr>
          <w:trHeight w:val="178"/>
        </w:trPr>
        <w:tc>
          <w:tcPr>
            <w:tcW w:w="7460" w:type="dxa"/>
            <w:vAlign w:val="bottom"/>
            <w:gridSpan w:val="2"/>
          </w:tcPr>
          <w:p>
            <w:pPr>
              <w:ind w:left="20"/>
              <w:spacing w:after="0"/>
              <w:rPr>
                <w:sz w:val="20"/>
                <w:szCs w:val="20"/>
                <w:color w:val="auto"/>
              </w:rPr>
            </w:pPr>
            <w:r>
              <w:rPr>
                <w:rFonts w:ascii="Arial" w:cs="Arial" w:eastAsia="Arial" w:hAnsi="Arial"/>
                <w:sz w:val="10"/>
                <w:szCs w:val="10"/>
                <w:color w:val="auto"/>
              </w:rPr>
              <w:t>Net unamortized discount</w:t>
            </w:r>
          </w:p>
        </w:tc>
        <w:tc>
          <w:tcPr>
            <w:tcW w:w="300" w:type="dxa"/>
            <w:vAlign w:val="bottom"/>
          </w:tcPr>
          <w:p>
            <w:pPr>
              <w:spacing w:after="0"/>
              <w:rPr>
                <w:sz w:val="15"/>
                <w:szCs w:val="15"/>
                <w:color w:val="auto"/>
              </w:rPr>
            </w:pPr>
          </w:p>
        </w:tc>
        <w:tc>
          <w:tcPr>
            <w:tcW w:w="1660" w:type="dxa"/>
            <w:vAlign w:val="bottom"/>
          </w:tcPr>
          <w:p>
            <w:pPr>
              <w:jc w:val="right"/>
              <w:ind w:right="31"/>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ind w:right="31"/>
              <w:spacing w:after="0"/>
              <w:rPr>
                <w:sz w:val="20"/>
                <w:szCs w:val="20"/>
                <w:color w:val="auto"/>
              </w:rPr>
            </w:pPr>
            <w:r>
              <w:rPr>
                <w:rFonts w:ascii="Arial" w:cs="Arial" w:eastAsia="Arial" w:hAnsi="Arial"/>
                <w:sz w:val="10"/>
                <w:szCs w:val="10"/>
                <w:color w:val="auto"/>
              </w:rPr>
              <w:t>(25)</w:t>
            </w:r>
          </w:p>
        </w:tc>
      </w:tr>
      <w:tr>
        <w:trPr>
          <w:trHeight w:val="187"/>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Debt issuance costs</w:t>
            </w:r>
          </w:p>
        </w:tc>
        <w:tc>
          <w:tcPr>
            <w:tcW w:w="300" w:type="dxa"/>
            <w:vAlign w:val="bottom"/>
            <w:shd w:val="clear" w:color="auto" w:fill="E5E5E5"/>
          </w:tcPr>
          <w:p>
            <w:pPr>
              <w:spacing w:after="0"/>
              <w:rPr>
                <w:sz w:val="16"/>
                <w:szCs w:val="16"/>
                <w:color w:val="auto"/>
              </w:rPr>
            </w:pPr>
          </w:p>
        </w:tc>
        <w:tc>
          <w:tcPr>
            <w:tcW w:w="166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(19)</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64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(25)</w:t>
            </w:r>
          </w:p>
        </w:tc>
      </w:tr>
      <w:tr>
        <w:trPr>
          <w:trHeight w:val="182"/>
        </w:trPr>
        <w:tc>
          <w:tcPr>
            <w:tcW w:w="7460" w:type="dxa"/>
            <w:vAlign w:val="bottom"/>
            <w:gridSpan w:val="2"/>
          </w:tcPr>
          <w:p>
            <w:pPr>
              <w:ind w:left="20"/>
              <w:spacing w:after="0"/>
              <w:rPr>
                <w:sz w:val="20"/>
                <w:szCs w:val="20"/>
                <w:color w:val="auto"/>
              </w:rPr>
            </w:pPr>
            <w:r>
              <w:rPr>
                <w:rFonts w:ascii="Arial" w:cs="Arial" w:eastAsia="Arial" w:hAnsi="Arial"/>
                <w:sz w:val="10"/>
                <w:szCs w:val="10"/>
                <w:color w:val="auto"/>
              </w:rPr>
              <w:t>Fair value adjustments</w:t>
            </w:r>
            <w:r>
              <w:rPr>
                <w:rFonts w:ascii="Arial" w:cs="Arial" w:eastAsia="Arial" w:hAnsi="Arial"/>
                <w:sz w:val="12"/>
                <w:szCs w:val="12"/>
                <w:color w:val="auto"/>
                <w:vertAlign w:val="superscript"/>
              </w:rPr>
              <w:t>(2)</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2"/>
        </w:trPr>
        <w:tc>
          <w:tcPr>
            <w:tcW w:w="7460" w:type="dxa"/>
            <w:vAlign w:val="bottom"/>
            <w:gridSpan w:val="2"/>
            <w:shd w:val="clear" w:color="auto" w:fill="E5E5E5"/>
          </w:tcPr>
          <w:p>
            <w:pPr>
              <w:ind w:left="240"/>
              <w:spacing w:after="0"/>
              <w:rPr>
                <w:sz w:val="20"/>
                <w:szCs w:val="20"/>
                <w:color w:val="auto"/>
              </w:rPr>
            </w:pPr>
            <w:r>
              <w:rPr>
                <w:rFonts w:ascii="Arial" w:cs="Arial" w:eastAsia="Arial" w:hAnsi="Arial"/>
                <w:sz w:val="10"/>
                <w:szCs w:val="10"/>
                <w:color w:val="auto"/>
              </w:rPr>
              <w:t>- terminated swaps</w:t>
            </w:r>
          </w:p>
        </w:tc>
        <w:tc>
          <w:tcPr>
            <w:tcW w:w="300" w:type="dxa"/>
            <w:vAlign w:val="bottom"/>
            <w:shd w:val="clear" w:color="auto" w:fill="E5E5E5"/>
          </w:tcPr>
          <w:p>
            <w:pPr>
              <w:spacing w:after="0"/>
              <w:rPr>
                <w:sz w:val="15"/>
                <w:szCs w:val="15"/>
                <w:color w:val="auto"/>
              </w:rPr>
            </w:pPr>
          </w:p>
        </w:tc>
        <w:tc>
          <w:tcPr>
            <w:tcW w:w="16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6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w:t>
            </w:r>
          </w:p>
        </w:tc>
      </w:tr>
      <w:tr>
        <w:trPr>
          <w:trHeight w:val="178"/>
        </w:trPr>
        <w:tc>
          <w:tcPr>
            <w:tcW w:w="7460" w:type="dxa"/>
            <w:vAlign w:val="bottom"/>
            <w:tcBorders>
              <w:bottom w:val="single" w:sz="8" w:color="E5E5E5"/>
            </w:tcBorders>
            <w:gridSpan w:val="2"/>
          </w:tcPr>
          <w:p>
            <w:pPr>
              <w:ind w:left="240"/>
              <w:spacing w:after="0"/>
              <w:rPr>
                <w:sz w:val="20"/>
                <w:szCs w:val="20"/>
                <w:color w:val="auto"/>
              </w:rPr>
            </w:pPr>
            <w:r>
              <w:rPr>
                <w:rFonts w:ascii="Arial" w:cs="Arial" w:eastAsia="Arial" w:hAnsi="Arial"/>
                <w:sz w:val="10"/>
                <w:szCs w:val="10"/>
                <w:color w:val="auto"/>
              </w:rPr>
              <w:t>- current swaps</w:t>
            </w: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w:t>
            </w:r>
          </w:p>
        </w:tc>
        <w:tc>
          <w:tcPr>
            <w:tcW w:w="120" w:type="dxa"/>
            <w:vAlign w:val="bottom"/>
            <w:tcBorders>
              <w:bottom w:val="single" w:sz="8" w:color="E5E5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w:t>
            </w:r>
          </w:p>
        </w:tc>
      </w:tr>
      <w:tr>
        <w:trPr>
          <w:trHeight w:val="178"/>
        </w:trPr>
        <w:tc>
          <w:tcPr>
            <w:tcW w:w="74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Debt</w:t>
            </w:r>
          </w:p>
        </w:tc>
        <w:tc>
          <w:tcPr>
            <w:tcW w:w="300" w:type="dxa"/>
            <w:vAlign w:val="bottom"/>
            <w:tcBorders>
              <w:bottom w:val="single" w:sz="8" w:color="auto"/>
            </w:tcBorders>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4,832</w:t>
            </w:r>
          </w:p>
        </w:tc>
        <w:tc>
          <w:tcPr>
            <w:tcW w:w="120" w:type="dxa"/>
            <w:vAlign w:val="bottom"/>
            <w:tcBorders>
              <w:bottom w:val="single" w:sz="8" w:color="E5E5E5"/>
            </w:tcBorders>
            <w:shd w:val="clear" w:color="auto" w:fill="E5E5E5"/>
          </w:tcPr>
          <w:p>
            <w:pPr>
              <w:spacing w:after="0"/>
              <w:rPr>
                <w:sz w:val="15"/>
                <w:szCs w:val="15"/>
                <w:color w:val="auto"/>
              </w:rPr>
            </w:pPr>
          </w:p>
        </w:tc>
        <w:tc>
          <w:tcPr>
            <w:tcW w:w="300" w:type="dxa"/>
            <w:vAlign w:val="bottom"/>
            <w:tcBorders>
              <w:bottom w:val="single" w:sz="8" w:color="auto"/>
            </w:tcBorders>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4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5,230</w:t>
            </w:r>
          </w:p>
        </w:tc>
      </w:tr>
      <w:tr>
        <w:trPr>
          <w:trHeight w:val="73"/>
        </w:trPr>
        <w:tc>
          <w:tcPr>
            <w:tcW w:w="7340" w:type="dxa"/>
            <w:vAlign w:val="bottom"/>
          </w:tcPr>
          <w:p>
            <w:pPr>
              <w:spacing w:after="0" w:line="74" w:lineRule="exact"/>
              <w:rPr>
                <w:sz w:val="20"/>
                <w:szCs w:val="20"/>
                <w:color w:val="auto"/>
              </w:rPr>
            </w:pPr>
            <w:r>
              <w:rPr>
                <w:rFonts w:ascii="Arial" w:cs="Arial" w:eastAsia="Arial" w:hAnsi="Arial"/>
                <w:sz w:val="7"/>
                <w:szCs w:val="7"/>
                <w:color w:val="auto"/>
              </w:rPr>
              <w:t>____________________________</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tcPr>
          <w:p>
            <w:pPr>
              <w:spacing w:after="0"/>
              <w:rPr>
                <w:sz w:val="6"/>
                <w:szCs w:val="6"/>
                <w:color w:val="auto"/>
              </w:rPr>
            </w:pPr>
          </w:p>
        </w:tc>
      </w:tr>
    </w:tbl>
    <w:p>
      <w:pPr>
        <w:spacing w:after="0" w:line="80" w:lineRule="exact"/>
        <w:rPr>
          <w:sz w:val="20"/>
          <w:szCs w:val="20"/>
          <w:color w:val="auto"/>
        </w:rPr>
      </w:pPr>
    </w:p>
    <w:p>
      <w:pPr>
        <w:ind w:left="227" w:hanging="227"/>
        <w:spacing w:after="0"/>
        <w:tabs>
          <w:tab w:leader="none" w:pos="227" w:val="left"/>
        </w:tabs>
        <w:numPr>
          <w:ilvl w:val="0"/>
          <w:numId w:val="21"/>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There were no Notes Payable as of September 30, 2019 and December 31, 2018.</w:t>
      </w:r>
    </w:p>
    <w:p>
      <w:pPr>
        <w:ind w:left="227" w:right="40" w:hanging="227"/>
        <w:spacing w:after="0" w:line="213" w:lineRule="auto"/>
        <w:tabs>
          <w:tab w:leader="none" w:pos="227" w:val="left"/>
        </w:tabs>
        <w:numPr>
          <w:ilvl w:val="0"/>
          <w:numId w:val="21"/>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200" w:lineRule="exact"/>
        <w:rPr>
          <w:sz w:val="20"/>
          <w:szCs w:val="20"/>
          <w:color w:val="auto"/>
        </w:rPr>
      </w:pP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7"/>
          </w:cols>
          <w:pgMar w:left="213" w:top="458" w:right="199" w:bottom="1440" w:gutter="0" w:footer="0" w:header="0"/>
        </w:sectPr>
      </w:pPr>
    </w:p>
    <w:bookmarkStart w:id="21" w:name="page22"/>
    <w:bookmarkEnd w:id="21"/>
    <w:p>
      <w:pPr>
        <w:ind w:left="7"/>
        <w:spacing w:after="0"/>
        <w:rPr>
          <w:sz w:val="20"/>
          <w:szCs w:val="20"/>
          <w:color w:val="auto"/>
        </w:rPr>
      </w:pPr>
      <w:r>
        <w:rPr>
          <w:rFonts w:ascii="Arial" w:cs="Arial" w:eastAsia="Arial" w:hAnsi="Arial"/>
          <w:sz w:val="12"/>
          <w:szCs w:val="12"/>
          <w:b w:val="1"/>
          <w:bCs w:val="1"/>
          <w:color w:val="DA2031"/>
        </w:rPr>
        <w:t>Finance Assets and Related Debt</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following represents our total finance assets, net associated with our lease and finance operations:</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120"/>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rPr>
              <w:t>September 30, 2019</w:t>
            </w:r>
          </w:p>
        </w:tc>
        <w:tc>
          <w:tcPr>
            <w:tcW w:w="120" w:type="dxa"/>
            <w:vAlign w:val="bottom"/>
            <w:tcBorders>
              <w:bottom w:val="single" w:sz="8" w:color="E5E5E5"/>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rPr>
              <w:t>December 31, 2018</w:t>
            </w:r>
          </w:p>
        </w:tc>
      </w:tr>
      <w:tr>
        <w:trPr>
          <w:trHeight w:val="167"/>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Total finance receivables, net</w:t>
            </w:r>
            <w:r>
              <w:rPr>
                <w:rFonts w:ascii="Arial" w:cs="Arial" w:eastAsia="Arial" w:hAnsi="Arial"/>
                <w:sz w:val="12"/>
                <w:szCs w:val="12"/>
                <w:color w:val="auto"/>
                <w:vertAlign w:val="superscript"/>
              </w:rPr>
              <w:t>(1)</w:t>
            </w:r>
          </w:p>
        </w:tc>
        <w:tc>
          <w:tcPr>
            <w:tcW w:w="300" w:type="dxa"/>
            <w:vAlign w:val="bottom"/>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3,288</w:t>
            </w: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3,472</w:t>
            </w:r>
          </w:p>
        </w:tc>
      </w:tr>
      <w:tr>
        <w:trPr>
          <w:trHeight w:val="178"/>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Equipment on operating leases, net</w:t>
            </w: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374</w:t>
            </w:r>
          </w:p>
        </w:tc>
        <w:tc>
          <w:tcPr>
            <w:tcW w:w="120" w:type="dxa"/>
            <w:vAlign w:val="bottom"/>
            <w:tcBorders>
              <w:bottom w:val="single" w:sz="8" w:color="E5E5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442</w:t>
            </w:r>
          </w:p>
        </w:tc>
      </w:tr>
      <w:tr>
        <w:trPr>
          <w:trHeight w:val="178"/>
        </w:trPr>
        <w:tc>
          <w:tcPr>
            <w:tcW w:w="74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Finance Assets, net</w:t>
            </w:r>
            <w:r>
              <w:rPr>
                <w:rFonts w:ascii="Arial" w:cs="Arial" w:eastAsia="Arial" w:hAnsi="Arial"/>
                <w:sz w:val="12"/>
                <w:szCs w:val="12"/>
                <w:b w:val="1"/>
                <w:bCs w:val="1"/>
                <w:color w:val="auto"/>
                <w:vertAlign w:val="superscript"/>
              </w:rPr>
              <w:t>(2)</w:t>
            </w:r>
          </w:p>
        </w:tc>
        <w:tc>
          <w:tcPr>
            <w:tcW w:w="300" w:type="dxa"/>
            <w:vAlign w:val="bottom"/>
            <w:tcBorders>
              <w:bottom w:val="single" w:sz="8" w:color="auto"/>
            </w:tcBorders>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3,662</w:t>
            </w:r>
          </w:p>
        </w:tc>
        <w:tc>
          <w:tcPr>
            <w:tcW w:w="120" w:type="dxa"/>
            <w:vAlign w:val="bottom"/>
            <w:tcBorders>
              <w:bottom w:val="single" w:sz="8" w:color="E5E5E5"/>
            </w:tcBorders>
            <w:shd w:val="clear" w:color="auto" w:fill="E5E5E5"/>
          </w:tcPr>
          <w:p>
            <w:pPr>
              <w:spacing w:after="0"/>
              <w:rPr>
                <w:sz w:val="15"/>
                <w:szCs w:val="15"/>
                <w:color w:val="auto"/>
              </w:rPr>
            </w:pPr>
          </w:p>
        </w:tc>
        <w:tc>
          <w:tcPr>
            <w:tcW w:w="300" w:type="dxa"/>
            <w:vAlign w:val="bottom"/>
            <w:tcBorders>
              <w:bottom w:val="single" w:sz="8" w:color="auto"/>
            </w:tcBorders>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4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3,914</w:t>
            </w:r>
          </w:p>
        </w:tc>
      </w:tr>
      <w:tr>
        <w:trPr>
          <w:trHeight w:val="73"/>
        </w:trPr>
        <w:tc>
          <w:tcPr>
            <w:tcW w:w="7340" w:type="dxa"/>
            <w:vAlign w:val="bottom"/>
          </w:tcPr>
          <w:p>
            <w:pPr>
              <w:spacing w:after="0" w:line="74" w:lineRule="exact"/>
              <w:rPr>
                <w:sz w:val="20"/>
                <w:szCs w:val="20"/>
                <w:color w:val="auto"/>
              </w:rPr>
            </w:pPr>
            <w:r>
              <w:rPr>
                <w:rFonts w:ascii="Arial" w:cs="Arial" w:eastAsia="Arial" w:hAnsi="Arial"/>
                <w:sz w:val="7"/>
                <w:szCs w:val="7"/>
                <w:i w:val="1"/>
                <w:iCs w:val="1"/>
                <w:color w:val="auto"/>
              </w:rPr>
              <w:t>____________________________</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tcPr>
          <w:p>
            <w:pPr>
              <w:spacing w:after="0"/>
              <w:rPr>
                <w:sz w:val="6"/>
                <w:szCs w:val="6"/>
                <w:color w:val="auto"/>
              </w:rPr>
            </w:pPr>
          </w:p>
        </w:tc>
      </w:tr>
    </w:tbl>
    <w:p>
      <w:pPr>
        <w:spacing w:after="0" w:line="53" w:lineRule="exact"/>
        <w:rPr>
          <w:sz w:val="20"/>
          <w:szCs w:val="20"/>
          <w:color w:val="auto"/>
        </w:rPr>
      </w:pPr>
    </w:p>
    <w:p>
      <w:pPr>
        <w:ind w:left="227" w:hanging="227"/>
        <w:spacing w:after="0"/>
        <w:tabs>
          <w:tab w:leader="none" w:pos="227" w:val="left"/>
        </w:tabs>
        <w:numPr>
          <w:ilvl w:val="0"/>
          <w:numId w:val="22"/>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Includes (i) Billed portion of finance receivables, net, (ii) Finance receivables, net and (iii) Finance receivables due after one year, net as included in our Condensed Consolidated Balance Sheets.</w:t>
      </w:r>
    </w:p>
    <w:p>
      <w:pPr>
        <w:ind w:left="227" w:hanging="227"/>
        <w:spacing w:after="0" w:line="201" w:lineRule="auto"/>
        <w:tabs>
          <w:tab w:leader="none" w:pos="227" w:val="left"/>
        </w:tabs>
        <w:numPr>
          <w:ilvl w:val="0"/>
          <w:numId w:val="22"/>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The change from December 31, 2018 includes a decrease of $40 million due to currency.</w:t>
      </w:r>
    </w:p>
    <w:p>
      <w:pPr>
        <w:spacing w:after="0" w:line="209" w:lineRule="exact"/>
        <w:rPr>
          <w:sz w:val="20"/>
          <w:szCs w:val="20"/>
          <w:color w:val="auto"/>
        </w:rPr>
      </w:pPr>
    </w:p>
    <w:p>
      <w:pPr>
        <w:ind w:left="7" w:right="80"/>
        <w:spacing w:after="0" w:line="267" w:lineRule="auto"/>
        <w:rPr>
          <w:sz w:val="20"/>
          <w:szCs w:val="20"/>
          <w:color w:val="auto"/>
        </w:rPr>
      </w:pPr>
      <w:r>
        <w:rPr>
          <w:rFonts w:ascii="Arial" w:cs="Arial" w:eastAsia="Arial" w:hAnsi="Arial"/>
          <w:sz w:val="12"/>
          <w:szCs w:val="12"/>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2"/>
          <w:szCs w:val="12"/>
          <w:color w:val="auto"/>
        </w:rPr>
        <w:t>Based on this leverage, the following represents the breakdown of total debt between financing debt and core debt:</w:t>
      </w:r>
    </w:p>
    <w:p>
      <w:pPr>
        <w:spacing w:after="0" w:line="158" w:lineRule="exact"/>
        <w:rPr>
          <w:sz w:val="20"/>
          <w:szCs w:val="20"/>
          <w:color w:val="auto"/>
        </w:rPr>
      </w:pPr>
    </w:p>
    <w:tbl>
      <w:tblPr>
        <w:tblLayout w:type="fixed"/>
        <w:tblInd w:w="7" w:type="dxa"/>
        <w:tblCellMar>
          <w:top w:w="0" w:type="dxa"/>
          <w:left w:w="0" w:type="dxa"/>
          <w:bottom w:w="0" w:type="dxa"/>
          <w:right w:w="0" w:type="dxa"/>
        </w:tblCellMar>
      </w:tblPr>
      <w:tr>
        <w:trPr>
          <w:trHeight w:val="120"/>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rPr>
              <w:t>September 30, 2019</w:t>
            </w:r>
          </w:p>
        </w:tc>
        <w:tc>
          <w:tcPr>
            <w:tcW w:w="120" w:type="dxa"/>
            <w:vAlign w:val="bottom"/>
            <w:tcBorders>
              <w:bottom w:val="single" w:sz="8" w:color="E5E5E5"/>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color w:val="auto"/>
              </w:rPr>
              <w:t>December 31, 2018</w:t>
            </w:r>
          </w:p>
        </w:tc>
      </w:tr>
      <w:tr>
        <w:trPr>
          <w:trHeight w:val="167"/>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Finance receivables debt</w:t>
            </w:r>
            <w:r>
              <w:rPr>
                <w:rFonts w:ascii="Arial" w:cs="Arial" w:eastAsia="Arial" w:hAnsi="Arial"/>
                <w:sz w:val="12"/>
                <w:szCs w:val="12"/>
                <w:color w:val="auto"/>
                <w:vertAlign w:val="superscript"/>
              </w:rPr>
              <w:t>(1)</w:t>
            </w:r>
          </w:p>
        </w:tc>
        <w:tc>
          <w:tcPr>
            <w:tcW w:w="300" w:type="dxa"/>
            <w:vAlign w:val="bottom"/>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2,877</w:t>
            </w: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3,038</w:t>
            </w:r>
          </w:p>
        </w:tc>
      </w:tr>
      <w:tr>
        <w:trPr>
          <w:trHeight w:val="178"/>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Equipment on operating leases debt</w:t>
            </w: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327</w:t>
            </w:r>
          </w:p>
        </w:tc>
        <w:tc>
          <w:tcPr>
            <w:tcW w:w="120" w:type="dxa"/>
            <w:vAlign w:val="bottom"/>
            <w:tcBorders>
              <w:bottom w:val="single" w:sz="8" w:color="E5E5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387</w:t>
            </w:r>
          </w:p>
        </w:tc>
      </w:tr>
      <w:tr>
        <w:trPr>
          <w:trHeight w:val="167"/>
        </w:trPr>
        <w:tc>
          <w:tcPr>
            <w:tcW w:w="74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Financing debt</w:t>
            </w:r>
          </w:p>
        </w:tc>
        <w:tc>
          <w:tcPr>
            <w:tcW w:w="300" w:type="dxa"/>
            <w:vAlign w:val="bottom"/>
            <w:shd w:val="clear" w:color="auto" w:fill="E5E5E5"/>
          </w:tcPr>
          <w:p>
            <w:pPr>
              <w:spacing w:after="0"/>
              <w:rPr>
                <w:sz w:val="14"/>
                <w:szCs w:val="14"/>
                <w:color w:val="auto"/>
              </w:rPr>
            </w:pPr>
          </w:p>
        </w:tc>
        <w:tc>
          <w:tcPr>
            <w:tcW w:w="16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3,204</w:t>
            </w:r>
          </w:p>
        </w:tc>
        <w:tc>
          <w:tcPr>
            <w:tcW w:w="120" w:type="dxa"/>
            <w:vAlign w:val="bottom"/>
            <w:shd w:val="clear" w:color="auto" w:fill="E5E5E5"/>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16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3,425</w:t>
            </w:r>
          </w:p>
        </w:tc>
      </w:tr>
      <w:tr>
        <w:trPr>
          <w:trHeight w:val="178"/>
        </w:trPr>
        <w:tc>
          <w:tcPr>
            <w:tcW w:w="74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Core debt</w:t>
            </w: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1,628</w:t>
            </w:r>
          </w:p>
        </w:tc>
        <w:tc>
          <w:tcPr>
            <w:tcW w:w="120" w:type="dxa"/>
            <w:vAlign w:val="bottom"/>
            <w:tcBorders>
              <w:bottom w:val="single" w:sz="8" w:color="E5E5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1,805</w:t>
            </w:r>
          </w:p>
        </w:tc>
      </w:tr>
      <w:tr>
        <w:trPr>
          <w:trHeight w:val="178"/>
        </w:trPr>
        <w:tc>
          <w:tcPr>
            <w:tcW w:w="74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Total Debt</w:t>
            </w:r>
          </w:p>
        </w:tc>
        <w:tc>
          <w:tcPr>
            <w:tcW w:w="300" w:type="dxa"/>
            <w:vAlign w:val="bottom"/>
            <w:tcBorders>
              <w:bottom w:val="single" w:sz="8" w:color="auto"/>
            </w:tcBorders>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4,832</w:t>
            </w:r>
          </w:p>
        </w:tc>
        <w:tc>
          <w:tcPr>
            <w:tcW w:w="120" w:type="dxa"/>
            <w:vAlign w:val="bottom"/>
            <w:tcBorders>
              <w:bottom w:val="single" w:sz="8" w:color="E5E5E5"/>
            </w:tcBorders>
            <w:shd w:val="clear" w:color="auto" w:fill="E5E5E5"/>
          </w:tcPr>
          <w:p>
            <w:pPr>
              <w:spacing w:after="0"/>
              <w:rPr>
                <w:sz w:val="15"/>
                <w:szCs w:val="15"/>
                <w:color w:val="auto"/>
              </w:rPr>
            </w:pPr>
          </w:p>
        </w:tc>
        <w:tc>
          <w:tcPr>
            <w:tcW w:w="300" w:type="dxa"/>
            <w:vAlign w:val="bottom"/>
            <w:tcBorders>
              <w:bottom w:val="single" w:sz="8" w:color="auto"/>
            </w:tcBorders>
            <w:shd w:val="clear" w:color="auto" w:fill="E5E5E5"/>
          </w:tcPr>
          <w:p>
            <w:pPr>
              <w:jc w:val="right"/>
              <w:ind w:right="171"/>
              <w:spacing w:after="0"/>
              <w:rPr>
                <w:sz w:val="20"/>
                <w:szCs w:val="20"/>
                <w:color w:val="auto"/>
              </w:rPr>
            </w:pPr>
            <w:r>
              <w:rPr>
                <w:rFonts w:ascii="Arial" w:cs="Arial" w:eastAsia="Arial" w:hAnsi="Arial"/>
                <w:sz w:val="10"/>
                <w:szCs w:val="10"/>
                <w:color w:val="auto"/>
              </w:rPr>
              <w:t>$</w:t>
            </w:r>
          </w:p>
        </w:tc>
        <w:tc>
          <w:tcPr>
            <w:tcW w:w="164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5,230</w:t>
            </w:r>
          </w:p>
        </w:tc>
      </w:tr>
      <w:tr>
        <w:trPr>
          <w:trHeight w:val="73"/>
        </w:trPr>
        <w:tc>
          <w:tcPr>
            <w:tcW w:w="7340" w:type="dxa"/>
            <w:vAlign w:val="bottom"/>
          </w:tcPr>
          <w:p>
            <w:pPr>
              <w:spacing w:after="0" w:line="74" w:lineRule="exact"/>
              <w:rPr>
                <w:sz w:val="20"/>
                <w:szCs w:val="20"/>
                <w:color w:val="auto"/>
              </w:rPr>
            </w:pPr>
            <w:r>
              <w:rPr>
                <w:rFonts w:ascii="Arial" w:cs="Arial" w:eastAsia="Arial" w:hAnsi="Arial"/>
                <w:sz w:val="7"/>
                <w:szCs w:val="7"/>
                <w:color w:val="auto"/>
              </w:rPr>
              <w:t>____________________________</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tcPr>
          <w:p>
            <w:pPr>
              <w:spacing w:after="0"/>
              <w:rPr>
                <w:sz w:val="6"/>
                <w:szCs w:val="6"/>
                <w:color w:val="auto"/>
              </w:rPr>
            </w:pPr>
          </w:p>
        </w:tc>
      </w:tr>
    </w:tbl>
    <w:p>
      <w:pPr>
        <w:spacing w:after="0" w:line="14" w:lineRule="exact"/>
        <w:rPr>
          <w:sz w:val="20"/>
          <w:szCs w:val="20"/>
          <w:color w:val="auto"/>
        </w:rPr>
      </w:pPr>
    </w:p>
    <w:p>
      <w:pPr>
        <w:ind w:left="227" w:hanging="227"/>
        <w:spacing w:after="0"/>
        <w:tabs>
          <w:tab w:leader="none" w:pos="227" w:val="left"/>
        </w:tabs>
        <w:numPr>
          <w:ilvl w:val="0"/>
          <w:numId w:val="23"/>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Finance receivables debt is the basis for our calculation of "Cost of financing" expense in the Condensed Consolidated Statements of Income.</w:t>
      </w:r>
    </w:p>
    <w:p>
      <w:pPr>
        <w:spacing w:after="0" w:line="160"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Sales of Accounts Receivable</w:t>
      </w:r>
    </w:p>
    <w:p>
      <w:pPr>
        <w:spacing w:after="0" w:line="20" w:lineRule="exact"/>
        <w:rPr>
          <w:sz w:val="20"/>
          <w:szCs w:val="20"/>
          <w:color w:val="auto"/>
        </w:rPr>
      </w:pPr>
    </w:p>
    <w:p>
      <w:pPr>
        <w:ind w:left="7" w:right="260"/>
        <w:spacing w:after="0" w:line="267" w:lineRule="auto"/>
        <w:rPr>
          <w:sz w:val="20"/>
          <w:szCs w:val="20"/>
          <w:color w:val="auto"/>
        </w:rPr>
      </w:pPr>
      <w:r>
        <w:rPr>
          <w:rFonts w:ascii="Arial" w:cs="Arial" w:eastAsia="Arial" w:hAnsi="Arial"/>
          <w:sz w:val="12"/>
          <w:szCs w:val="12"/>
          <w:color w:val="auto"/>
        </w:rPr>
        <w:t>Accounts receivable sales arrangements may be utilized in the normal course of business as part of our cash and liquidity management. Accounts receivable sold are generally short-term trade receivables with payment due dates of less than 60 days.</w:t>
      </w:r>
    </w:p>
    <w:p>
      <w:pPr>
        <w:spacing w:after="0" w:line="58" w:lineRule="exact"/>
        <w:rPr>
          <w:sz w:val="20"/>
          <w:szCs w:val="20"/>
          <w:color w:val="auto"/>
        </w:rPr>
      </w:pPr>
    </w:p>
    <w:p>
      <w:pPr>
        <w:ind w:left="7"/>
        <w:spacing w:after="0"/>
        <w:rPr>
          <w:sz w:val="20"/>
          <w:szCs w:val="20"/>
          <w:color w:val="auto"/>
        </w:rPr>
      </w:pPr>
      <w:r>
        <w:rPr>
          <w:rFonts w:ascii="Arial" w:cs="Arial" w:eastAsia="Arial" w:hAnsi="Arial"/>
          <w:sz w:val="12"/>
          <w:szCs w:val="12"/>
          <w:color w:val="auto"/>
        </w:rPr>
        <w:t>Accounts receivable sales activities were as follows:</w:t>
      </w:r>
    </w:p>
    <w:p>
      <w:pPr>
        <w:spacing w:after="0" w:line="116" w:lineRule="exact"/>
        <w:rPr>
          <w:sz w:val="20"/>
          <w:szCs w:val="20"/>
          <w:color w:val="auto"/>
        </w:rPr>
      </w:pPr>
    </w:p>
    <w:p>
      <w:pPr>
        <w:ind w:left="9587"/>
        <w:spacing w:after="0"/>
        <w:rPr>
          <w:sz w:val="20"/>
          <w:szCs w:val="20"/>
          <w:color w:val="auto"/>
        </w:rPr>
      </w:pPr>
      <w:r>
        <w:rPr>
          <w:rFonts w:ascii="Arial" w:cs="Arial" w:eastAsia="Arial" w:hAnsi="Arial"/>
          <w:sz w:val="10"/>
          <w:szCs w:val="10"/>
          <w:color w:val="auto"/>
        </w:rPr>
        <w:t>Three Months Ended</w:t>
      </w:r>
    </w:p>
    <w:p>
      <w:pPr>
        <w:ind w:left="9747"/>
        <w:spacing w:after="0"/>
        <w:rPr>
          <w:sz w:val="20"/>
          <w:szCs w:val="20"/>
          <w:color w:val="auto"/>
        </w:rPr>
      </w:pPr>
      <w:r>
        <w:rPr>
          <w:rFonts w:ascii="Arial" w:cs="Arial" w:eastAsia="Arial" w:hAnsi="Arial"/>
          <w:sz w:val="10"/>
          <w:szCs w:val="10"/>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5715</wp:posOffset>
            </wp:positionV>
            <wp:extent cx="18186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18640" cy="5715"/>
                    </a:xfrm>
                    <a:prstGeom prst="rect">
                      <a:avLst/>
                    </a:prstGeom>
                    <a:noFill/>
                  </pic:spPr>
                </pic:pic>
              </a:graphicData>
            </a:graphic>
          </wp:anchor>
        </w:drawing>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120"/>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0"/>
                <w:szCs w:val="10"/>
                <w:color w:val="auto"/>
              </w:rPr>
              <w:t>2018</w:t>
            </w:r>
          </w:p>
        </w:tc>
      </w:tr>
      <w:tr>
        <w:trPr>
          <w:trHeight w:val="167"/>
        </w:trPr>
        <w:tc>
          <w:tcPr>
            <w:tcW w:w="86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Accounts receivable sales</w:t>
            </w:r>
            <w:r>
              <w:rPr>
                <w:rFonts w:ascii="Arial" w:cs="Arial" w:eastAsia="Arial" w:hAnsi="Arial"/>
                <w:sz w:val="12"/>
                <w:szCs w:val="12"/>
                <w:color w:val="auto"/>
                <w:vertAlign w:val="superscript"/>
              </w:rPr>
              <w:t>(1)</w:t>
            </w:r>
          </w:p>
        </w:tc>
        <w:tc>
          <w:tcPr>
            <w:tcW w:w="320" w:type="dxa"/>
            <w:vAlign w:val="bottom"/>
            <w:shd w:val="clear" w:color="auto" w:fill="E5E5E5"/>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67</w:t>
            </w:r>
          </w:p>
        </w:tc>
        <w:tc>
          <w:tcPr>
            <w:tcW w:w="120" w:type="dxa"/>
            <w:vAlign w:val="bottom"/>
            <w:shd w:val="clear" w:color="auto" w:fill="E5E5E5"/>
          </w:tcPr>
          <w:p>
            <w:pPr>
              <w:spacing w:after="0"/>
              <w:rPr>
                <w:sz w:val="14"/>
                <w:szCs w:val="14"/>
                <w:color w:val="auto"/>
              </w:rPr>
            </w:pPr>
          </w:p>
        </w:tc>
        <w:tc>
          <w:tcPr>
            <w:tcW w:w="320" w:type="dxa"/>
            <w:vAlign w:val="bottom"/>
            <w:shd w:val="clear" w:color="auto" w:fill="E5E5E5"/>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66</w:t>
            </w:r>
          </w:p>
        </w:tc>
      </w:tr>
      <w:tr>
        <w:trPr>
          <w:trHeight w:val="174"/>
        </w:trPr>
        <w:tc>
          <w:tcPr>
            <w:tcW w:w="8620" w:type="dxa"/>
            <w:vAlign w:val="bottom"/>
            <w:gridSpan w:val="2"/>
          </w:tcPr>
          <w:p>
            <w:pPr>
              <w:ind w:left="20"/>
              <w:spacing w:after="0"/>
              <w:rPr>
                <w:sz w:val="20"/>
                <w:szCs w:val="20"/>
                <w:color w:val="auto"/>
              </w:rPr>
            </w:pPr>
            <w:r>
              <w:rPr>
                <w:rFonts w:ascii="Arial" w:cs="Arial" w:eastAsia="Arial" w:hAnsi="Arial"/>
                <w:sz w:val="10"/>
                <w:szCs w:val="10"/>
                <w:color w:val="auto"/>
              </w:rPr>
              <w:t>Loss on sales of accounts receivable</w:t>
            </w:r>
          </w:p>
        </w:tc>
        <w:tc>
          <w:tcPr>
            <w:tcW w:w="320" w:type="dxa"/>
            <w:vAlign w:val="bottom"/>
          </w:tcPr>
          <w:p>
            <w:pPr>
              <w:spacing w:after="0"/>
              <w:rPr>
                <w:sz w:val="15"/>
                <w:szCs w:val="15"/>
                <w:color w:val="auto"/>
              </w:rPr>
            </w:pP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71"/>
              <w:spacing w:after="0"/>
              <w:rPr>
                <w:sz w:val="20"/>
                <w:szCs w:val="20"/>
                <w:color w:val="auto"/>
              </w:rPr>
            </w:pPr>
            <w:r>
              <w:rPr>
                <w:rFonts w:ascii="Arial" w:cs="Arial" w:eastAsia="Arial" w:hAnsi="Arial"/>
                <w:sz w:val="10"/>
                <w:szCs w:val="10"/>
                <w:color w:val="auto"/>
              </w:rPr>
              <w:t>1</w:t>
            </w:r>
          </w:p>
        </w:tc>
      </w:tr>
      <w:tr>
        <w:trPr>
          <w:trHeight w:val="189"/>
        </w:trPr>
        <w:tc>
          <w:tcPr>
            <w:tcW w:w="8620" w:type="dxa"/>
            <w:vAlign w:val="bottom"/>
            <w:gridSpan w:val="2"/>
          </w:tcPr>
          <w:p>
            <w:pPr>
              <w:ind w:left="20"/>
              <w:spacing w:after="0"/>
              <w:rPr>
                <w:sz w:val="20"/>
                <w:szCs w:val="20"/>
                <w:color w:val="auto"/>
              </w:rPr>
            </w:pPr>
            <w:r>
              <w:rPr>
                <w:rFonts w:ascii="Arial" w:cs="Arial" w:eastAsia="Arial" w:hAnsi="Arial"/>
                <w:sz w:val="10"/>
                <w:szCs w:val="10"/>
                <w:color w:val="auto"/>
              </w:rPr>
              <w:t>Estimated decrease to operating cash flows</w:t>
            </w:r>
            <w:r>
              <w:rPr>
                <w:rFonts w:ascii="Arial" w:cs="Arial" w:eastAsia="Arial" w:hAnsi="Arial"/>
                <w:sz w:val="12"/>
                <w:szCs w:val="12"/>
                <w:color w:val="auto"/>
                <w:vertAlign w:val="superscript"/>
              </w:rPr>
              <w:t>(2)</w:t>
            </w:r>
          </w:p>
        </w:tc>
        <w:tc>
          <w:tcPr>
            <w:tcW w:w="320" w:type="dxa"/>
            <w:vAlign w:val="bottom"/>
          </w:tcPr>
          <w:p>
            <w:pPr>
              <w:spacing w:after="0"/>
              <w:rPr>
                <w:sz w:val="16"/>
                <w:szCs w:val="16"/>
                <w:color w:val="auto"/>
              </w:rPr>
            </w:pPr>
          </w:p>
        </w:tc>
        <w:tc>
          <w:tcPr>
            <w:tcW w:w="1060" w:type="dxa"/>
            <w:vAlign w:val="bottom"/>
          </w:tcPr>
          <w:p>
            <w:pPr>
              <w:jc w:val="right"/>
              <w:ind w:right="31"/>
              <w:spacing w:after="0"/>
              <w:rPr>
                <w:sz w:val="20"/>
                <w:szCs w:val="20"/>
                <w:color w:val="auto"/>
              </w:rPr>
            </w:pPr>
            <w:r>
              <w:rPr>
                <w:rFonts w:ascii="Arial" w:cs="Arial" w:eastAsia="Arial" w:hAnsi="Arial"/>
                <w:sz w:val="10"/>
                <w:szCs w:val="10"/>
                <w:color w:val="auto"/>
              </w:rPr>
              <w:t>(33)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1"/>
              <w:spacing w:after="0"/>
              <w:rPr>
                <w:sz w:val="20"/>
                <w:szCs w:val="20"/>
                <w:color w:val="auto"/>
              </w:rPr>
            </w:pPr>
            <w:r>
              <w:rPr>
                <w:rFonts w:ascii="Arial" w:cs="Arial" w:eastAsia="Arial" w:hAnsi="Arial"/>
                <w:sz w:val="10"/>
                <w:szCs w:val="10"/>
                <w:color w:val="auto"/>
              </w:rPr>
              <w:t>(34)</w:t>
            </w:r>
          </w:p>
        </w:tc>
      </w:tr>
      <w:tr>
        <w:trPr>
          <w:trHeight w:val="88"/>
        </w:trPr>
        <w:tc>
          <w:tcPr>
            <w:tcW w:w="8500" w:type="dxa"/>
            <w:vAlign w:val="bottom"/>
          </w:tcPr>
          <w:p>
            <w:pPr>
              <w:spacing w:after="0"/>
              <w:rPr>
                <w:sz w:val="20"/>
                <w:szCs w:val="20"/>
                <w:color w:val="auto"/>
              </w:rPr>
            </w:pPr>
            <w:r>
              <w:rPr>
                <w:rFonts w:ascii="Arial" w:cs="Arial" w:eastAsia="Arial" w:hAnsi="Arial"/>
                <w:sz w:val="7"/>
                <w:szCs w:val="7"/>
                <w:color w:val="auto"/>
              </w:rPr>
              <w:t>____________________________</w:t>
            </w: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r>
    </w:tbl>
    <w:p>
      <w:pPr>
        <w:spacing w:after="0" w:line="26" w:lineRule="exact"/>
        <w:rPr>
          <w:sz w:val="20"/>
          <w:szCs w:val="20"/>
          <w:color w:val="auto"/>
        </w:rPr>
      </w:pPr>
    </w:p>
    <w:p>
      <w:pPr>
        <w:ind w:left="227" w:right="60" w:hanging="227"/>
        <w:spacing w:after="0" w:line="220" w:lineRule="auto"/>
        <w:tabs>
          <w:tab w:leader="none" w:pos="227" w:val="left"/>
        </w:tabs>
        <w:numPr>
          <w:ilvl w:val="0"/>
          <w:numId w:val="24"/>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 remote and the payment made to us is without recourse. The activity associated with these arrangements is not reflected in this disclosure as payments under these arrangements have not been material and these are customer directed arrangements.</w:t>
      </w:r>
    </w:p>
    <w:p>
      <w:pPr>
        <w:spacing w:after="0" w:line="1" w:lineRule="exact"/>
        <w:rPr>
          <w:rFonts w:ascii="Arial" w:cs="Arial" w:eastAsia="Arial" w:hAnsi="Arial"/>
          <w:sz w:val="12"/>
          <w:szCs w:val="12"/>
          <w:i w:val="1"/>
          <w:iCs w:val="1"/>
          <w:color w:val="auto"/>
          <w:vertAlign w:val="superscript"/>
        </w:rPr>
      </w:pPr>
    </w:p>
    <w:p>
      <w:pPr>
        <w:ind w:left="227" w:hanging="227"/>
        <w:spacing w:after="0" w:line="201" w:lineRule="auto"/>
        <w:tabs>
          <w:tab w:leader="none" w:pos="227" w:val="left"/>
        </w:tabs>
        <w:numPr>
          <w:ilvl w:val="0"/>
          <w:numId w:val="24"/>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Represents the difference between current and prior period accounts receivable sales adjusted for the effects of currency.</w:t>
      </w: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7"/>
          </w:cols>
          <w:pgMar w:left="213" w:top="663" w:right="19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DA2031"/>
        </w:rPr>
        <w:t>Corporate Reorganization</w:t>
      </w:r>
    </w:p>
    <w:p>
      <w:pPr>
        <w:spacing w:after="0" w:line="97" w:lineRule="exact"/>
        <w:rPr>
          <w:sz w:val="20"/>
          <w:szCs w:val="20"/>
          <w:color w:val="auto"/>
        </w:rPr>
      </w:pPr>
    </w:p>
    <w:p>
      <w:pPr>
        <w:ind w:right="280"/>
        <w:spacing w:after="0" w:line="267" w:lineRule="auto"/>
        <w:rPr>
          <w:sz w:val="20"/>
          <w:szCs w:val="20"/>
          <w:color w:val="auto"/>
        </w:rPr>
      </w:pPr>
      <w:r>
        <w:rPr>
          <w:rFonts w:ascii="Arial" w:cs="Arial" w:eastAsia="Arial" w:hAnsi="Arial"/>
          <w:sz w:val="12"/>
          <w:szCs w:val="12"/>
          <w:color w:val="auto"/>
        </w:rPr>
        <w:t>On March 6, 2019, the Xerox Board of Directors approved a reorganization (the “Reorganization”) of the Company's corporate structure into a holding company structure. The Reorganization was subject to the approval of shareholders, which was obtained at the annual shareholders meeting held May 21, 2019.</w:t>
      </w:r>
    </w:p>
    <w:p>
      <w:pPr>
        <w:spacing w:after="0" w:line="58" w:lineRule="exact"/>
        <w:rPr>
          <w:sz w:val="20"/>
          <w:szCs w:val="20"/>
          <w:color w:val="auto"/>
        </w:rPr>
      </w:pPr>
    </w:p>
    <w:p>
      <w:pPr>
        <w:ind w:right="400"/>
        <w:spacing w:after="0" w:line="267" w:lineRule="auto"/>
        <w:rPr>
          <w:sz w:val="20"/>
          <w:szCs w:val="20"/>
          <w:color w:val="auto"/>
        </w:rPr>
      </w:pPr>
      <w:r>
        <w:rPr>
          <w:rFonts w:ascii="Arial" w:cs="Arial" w:eastAsia="Arial" w:hAnsi="Arial"/>
          <w:sz w:val="12"/>
          <w:szCs w:val="12"/>
          <w:color w:val="auto"/>
        </w:rPr>
        <w:t>On July 31, 2019, Xerox completed the Reorganization, pursuant to which Xerox became a direct, wholly-owned subsidiary of Xerox Holdings. The business operations, directors and executive officers of the Company did not change as a result of the Reorganization.</w:t>
      </w:r>
    </w:p>
    <w:p>
      <w:pPr>
        <w:spacing w:after="0" w:line="58"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In this Reorganization, shareholders of Xerox (the predecessor publicly held parent company) became shareholders of Xerox Holdings on a one -for-one basis; maintaining the same number of shares and ownership percentage as held in Xerox immediately prior to the Reorganization. In addition, the individual holder of the shares of Xerox’s Series B Preferred Stock exchanged those shares for the same number of shares of Xerox Holdings Series A Preferred Stock. Each share of Xerox Holdings Series A Preferred Stock has the same designations, rights, powers and preferences, and the same qualifications, limitations and restrictions as the shares of Xerox Series B Preferred Stock, with the addition of certain voting rights. In connection with the Reorganization, Xerox Holdings assumed each of the Xerox stock plans, all unexercised and unexpired options to purchase Xerox common stock and each right to acquire or vest in a share of Xerox common stock, including restricted stock unit awards, performance share awards and deferred stock units that are outstanding under the Xerox stock plans. In addition, Xerox Holdings became a guarantor of Xerox’s existing Credit Facility.</w:t>
      </w:r>
    </w:p>
    <w:p>
      <w:pPr>
        <w:spacing w:after="0" w:line="65" w:lineRule="exact"/>
        <w:rPr>
          <w:sz w:val="20"/>
          <w:szCs w:val="20"/>
          <w:color w:val="auto"/>
        </w:rPr>
      </w:pPr>
    </w:p>
    <w:p>
      <w:pPr>
        <w:ind w:right="100"/>
        <w:spacing w:after="0" w:line="267" w:lineRule="auto"/>
        <w:rPr>
          <w:sz w:val="20"/>
          <w:szCs w:val="20"/>
          <w:color w:val="auto"/>
        </w:rPr>
      </w:pPr>
      <w:r>
        <w:rPr>
          <w:rFonts w:ascii="Arial" w:cs="Arial" w:eastAsia="Arial" w:hAnsi="Arial"/>
          <w:sz w:val="12"/>
          <w:szCs w:val="12"/>
          <w:color w:val="auto"/>
        </w:rPr>
        <w:t>The Reorganization was accounted for as a transaction among entities under common control and is expected to be a tax-free transaction for U.S. federal income tax purposes. Shares of Xerox Holdings common stock trade on the New York Stock Exchange under the ticker symbol “XRX”, formerly used by Xerox.</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DA2031"/>
        </w:rPr>
        <w:t>Shared Services Arrangement with HCL Technologies</w:t>
      </w:r>
    </w:p>
    <w:p>
      <w:pPr>
        <w:spacing w:after="0" w:line="97" w:lineRule="exact"/>
        <w:rPr>
          <w:sz w:val="20"/>
          <w:szCs w:val="20"/>
          <w:color w:val="auto"/>
        </w:rPr>
      </w:pPr>
    </w:p>
    <w:p>
      <w:pPr>
        <w:jc w:val="both"/>
        <w:ind w:right="80"/>
        <w:spacing w:after="0" w:line="253" w:lineRule="auto"/>
        <w:rPr>
          <w:sz w:val="20"/>
          <w:szCs w:val="20"/>
          <w:color w:val="auto"/>
        </w:rPr>
      </w:pPr>
      <w:r>
        <w:rPr>
          <w:rFonts w:ascii="Arial" w:cs="Arial" w:eastAsia="Arial" w:hAnsi="Arial"/>
          <w:sz w:val="12"/>
          <w:szCs w:val="12"/>
          <w:color w:val="auto"/>
        </w:rPr>
        <w:t>In March 2019, as part of Project Own It, Xerox entered into a shared services arrangement with HCL Technologies (HCL) pursuant to which we are transitioning certain global administrative and support functions, including, among others, selected information technology and finance functions (excluding accounting), from Xerox to HCL. This transition is expected to take up to 18 months. HCL is expected to make certain up-front and ongoing investments in software, tools and other technology to consolidate, optimize and automate the transferred functions with the goal of providing improved service levels and significant cost savings.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The shared services arrangement with HCL includes a total aggregate spending commitment by us of approximately $1.3 billion over the next 7 years. However, we can terminate the arrangement at any time at our discretion, subject to payment of termination fees that decline over the term or for cause. The spending commitment excludes restructuring and related costs we are expected to incur in connection with the transition of the contemplated functions. See Restructuring and Related Costs within the Costs, Expenses and Other Income section. The transfer of employees associated with the HCL arrangement in certain countries is subject to compliance with works council and other employment regulatory requirements in those countries, which may delay the transfer as well as the expected savings from the arrangement.</w:t>
      </w:r>
    </w:p>
    <w:p>
      <w:pPr>
        <w:spacing w:after="0" w:line="63"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During third quarter 2019, we incurred net charges of approximately $38 million associated with this arrangement, which only reflects the cost associated with the employees transferred to date. The cost has been allocated to the various functional expense lines in the Condensed Consolidated Income Statement based on an assessment of the nature and amount of the costs incurred for the various transferred functions prior to their transfer to HCL.</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DA2031"/>
        </w:rPr>
        <w:t>Potential Customer Financing Transaction</w:t>
      </w:r>
    </w:p>
    <w:p>
      <w:pPr>
        <w:spacing w:after="0" w:line="97"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In connection with the Company's strategic initiative to simplify and optimize its operations, the Company conducted a thorough evaluation of its customer financing business, including consideration of strategic alternatives for the business. The company received multiple bids to purchase all or a portion of the business at an attractive premium, but has determined that retaining and optimizing the business through Project Own It will generate the greatest return for shareholders.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60"/>
          </w:cols>
          <w:pgMar w:left="220" w:top="513" w:right="21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DA2031"/>
        </w:rPr>
        <w:t>Forward-Looking Statements</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the shared services arrangements entered into by us as part of Project Own It; and other factors that are set forth in the “Risk Factors” section, the “Legal Proceedings” section, the “Management’s Discussion and Analysis of Financial Condition and Results of Operations” section and other sections of Xerox Corporation's 2018 Annual Report on Form 10-K, as well as in Xerox Corporation's and Xerox Holdings Corporation's Quarterly Reports on Form 10-Q and Current Reports on Form 8-K filed with the SEC. 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440" w:right="199" w:bottom="1440" w:gutter="0" w:footer="0" w:header="0"/>
        </w:sectPr>
      </w:pPr>
    </w:p>
    <w:bookmarkStart w:id="24" w:name="page25"/>
    <w:bookmarkEnd w:id="24"/>
    <w:p>
      <w:pPr>
        <w:ind w:left="7"/>
        <w:spacing w:after="0"/>
        <w:rPr>
          <w:sz w:val="20"/>
          <w:szCs w:val="20"/>
          <w:color w:val="auto"/>
        </w:rPr>
      </w:pPr>
      <w:r>
        <w:rPr>
          <w:rFonts w:ascii="Arial" w:cs="Arial" w:eastAsia="Arial" w:hAnsi="Arial"/>
          <w:sz w:val="17"/>
          <w:szCs w:val="17"/>
          <w:b w:val="1"/>
          <w:bCs w:val="1"/>
          <w:color w:val="DA2031"/>
        </w:rPr>
        <w:t>Non-GAAP Financial Measures</w:t>
      </w:r>
    </w:p>
    <w:p>
      <w:pPr>
        <w:spacing w:after="0" w:line="169" w:lineRule="exact"/>
        <w:rPr>
          <w:sz w:val="20"/>
          <w:szCs w:val="20"/>
          <w:color w:val="auto"/>
        </w:rPr>
      </w:pPr>
    </w:p>
    <w:p>
      <w:pPr>
        <w:ind w:left="7" w:right="20"/>
        <w:spacing w:after="0" w:line="260" w:lineRule="auto"/>
        <w:rPr>
          <w:sz w:val="20"/>
          <w:szCs w:val="20"/>
          <w:color w:val="auto"/>
        </w:rPr>
      </w:pPr>
      <w:r>
        <w:rPr>
          <w:rFonts w:ascii="Arial" w:cs="Arial" w:eastAsia="Arial" w:hAnsi="Arial"/>
          <w:sz w:val="12"/>
          <w:szCs w:val="12"/>
          <w:color w:val="auto"/>
        </w:rPr>
        <w:t>We have reported our financial results in accordance with generally accepted accounting principles (GAAP). In addition, we have discussed our financial results using the non -GAAP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135" w:lineRule="exact"/>
        <w:rPr>
          <w:sz w:val="20"/>
          <w:szCs w:val="20"/>
          <w:color w:val="auto"/>
        </w:rPr>
      </w:pPr>
    </w:p>
    <w:p>
      <w:pPr>
        <w:ind w:left="7"/>
        <w:spacing w:after="0" w:line="267" w:lineRule="auto"/>
        <w:rPr>
          <w:sz w:val="20"/>
          <w:szCs w:val="20"/>
          <w:color w:val="auto"/>
        </w:rPr>
      </w:pPr>
      <w:r>
        <w:rPr>
          <w:rFonts w:ascii="Arial" w:cs="Arial" w:eastAsia="Arial" w:hAnsi="Arial"/>
          <w:sz w:val="12"/>
          <w:szCs w:val="12"/>
          <w:color w:val="auto"/>
        </w:rPr>
        <w:t xml:space="preserve">A reconciliation of these non-GAAP financial measures to the most directly comparable financial measures calculated and presented in accordance with GAAP are set forth below as well as in the third quarter 2019 presentation slides available at </w:t>
      </w:r>
      <w:r>
        <w:rPr>
          <w:rFonts w:ascii="Arial" w:cs="Arial" w:eastAsia="Arial" w:hAnsi="Arial"/>
          <w:sz w:val="12"/>
          <w:szCs w:val="12"/>
          <w:u w:val="single" w:color="auto"/>
          <w:color w:val="auto"/>
        </w:rPr>
        <w:t>www.xerox.com/investor</w:t>
      </w:r>
      <w:r>
        <w:rPr>
          <w:rFonts w:ascii="Arial" w:cs="Arial" w:eastAsia="Arial" w:hAnsi="Arial"/>
          <w:sz w:val="12"/>
          <w:szCs w:val="12"/>
          <w:color w:val="auto"/>
        </w:rPr>
        <w:t>.</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These non-GAAP financial measures should be viewed in addition to, and not as a substitute for, the company’s reported results prepared in accordance with GAAP.</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Adjusted Earnings Measures</w:t>
      </w:r>
    </w:p>
    <w:p>
      <w:pPr>
        <w:spacing w:after="0" w:line="20" w:lineRule="exact"/>
        <w:rPr>
          <w:sz w:val="20"/>
          <w:szCs w:val="20"/>
          <w:color w:val="auto"/>
        </w:rPr>
      </w:pPr>
    </w:p>
    <w:p>
      <w:pPr>
        <w:ind w:left="227" w:hanging="227"/>
        <w:spacing w:after="0"/>
        <w:tabs>
          <w:tab w:leader="none" w:pos="227" w:val="left"/>
        </w:tabs>
        <w:numPr>
          <w:ilvl w:val="0"/>
          <w:numId w:val="25"/>
        </w:numPr>
        <w:rPr>
          <w:rFonts w:ascii="Arial" w:cs="Arial" w:eastAsia="Arial" w:hAnsi="Arial"/>
          <w:sz w:val="12"/>
          <w:szCs w:val="12"/>
          <w:color w:val="auto"/>
        </w:rPr>
      </w:pPr>
      <w:r>
        <w:rPr>
          <w:rFonts w:ascii="Arial" w:cs="Arial" w:eastAsia="Arial" w:hAnsi="Arial"/>
          <w:sz w:val="12"/>
          <w:szCs w:val="12"/>
          <w:color w:val="auto"/>
        </w:rPr>
        <w:t>Net Income and Earnings per share (EPS)</w:t>
      </w:r>
    </w:p>
    <w:p>
      <w:pPr>
        <w:spacing w:after="0" w:line="7" w:lineRule="exact"/>
        <w:rPr>
          <w:rFonts w:ascii="Arial" w:cs="Arial" w:eastAsia="Arial" w:hAnsi="Arial"/>
          <w:sz w:val="12"/>
          <w:szCs w:val="12"/>
          <w:color w:val="auto"/>
        </w:rPr>
      </w:pPr>
    </w:p>
    <w:p>
      <w:pPr>
        <w:ind w:left="227" w:hanging="227"/>
        <w:spacing w:after="0"/>
        <w:tabs>
          <w:tab w:leader="none" w:pos="227" w:val="left"/>
        </w:tabs>
        <w:numPr>
          <w:ilvl w:val="0"/>
          <w:numId w:val="25"/>
        </w:numPr>
        <w:rPr>
          <w:rFonts w:ascii="Arial" w:cs="Arial" w:eastAsia="Arial" w:hAnsi="Arial"/>
          <w:sz w:val="12"/>
          <w:szCs w:val="12"/>
          <w:color w:val="auto"/>
        </w:rPr>
      </w:pPr>
      <w:r>
        <w:rPr>
          <w:rFonts w:ascii="Arial" w:cs="Arial" w:eastAsia="Arial" w:hAnsi="Arial"/>
          <w:sz w:val="12"/>
          <w:szCs w:val="12"/>
          <w:color w:val="auto"/>
        </w:rPr>
        <w:t>Effective Tax Rate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above measures were adjusted for the following items:</w:t>
      </w:r>
    </w:p>
    <w:p>
      <w:pPr>
        <w:spacing w:after="0" w:line="69" w:lineRule="exact"/>
        <w:rPr>
          <w:sz w:val="20"/>
          <w:szCs w:val="20"/>
          <w:color w:val="auto"/>
        </w:rPr>
      </w:pPr>
    </w:p>
    <w:p>
      <w:pPr>
        <w:ind w:left="227" w:right="100" w:hanging="227"/>
        <w:spacing w:after="0" w:line="259" w:lineRule="auto"/>
        <w:tabs>
          <w:tab w:leader="none" w:pos="227" w:val="left"/>
        </w:tabs>
        <w:numPr>
          <w:ilvl w:val="0"/>
          <w:numId w:val="26"/>
        </w:numPr>
        <w:rPr>
          <w:rFonts w:ascii="Arial" w:cs="Arial" w:eastAsia="Arial" w:hAnsi="Arial"/>
          <w:sz w:val="12"/>
          <w:szCs w:val="12"/>
          <w:color w:val="auto"/>
        </w:rPr>
      </w:pPr>
      <w:r>
        <w:rPr>
          <w:rFonts w:ascii="Arial" w:cs="Arial" w:eastAsia="Arial" w:hAnsi="Arial"/>
          <w:sz w:val="12"/>
          <w:szCs w:val="12"/>
          <w:i w:val="1"/>
          <w:iCs w:val="1"/>
          <w:u w:val="single" w:color="auto"/>
          <w:color w:val="auto"/>
        </w:rPr>
        <w:t>Restructuring and related costs:</w:t>
      </w:r>
      <w:r>
        <w:rPr>
          <w:rFonts w:ascii="Arial" w:cs="Arial" w:eastAsia="Arial" w:hAnsi="Arial"/>
          <w:sz w:val="12"/>
          <w:szCs w:val="12"/>
          <w:i w:val="1"/>
          <w:iCs w:val="1"/>
          <w:color w:val="auto"/>
        </w:rPr>
        <w:t xml:space="preserve"> </w:t>
      </w:r>
      <w:r>
        <w:rPr>
          <w:rFonts w:ascii="Arial" w:cs="Arial" w:eastAsia="Arial" w:hAnsi="Arial"/>
          <w:sz w:val="12"/>
          <w:szCs w:val="12"/>
          <w:color w:val="auto"/>
        </w:rPr>
        <w:t>Restructuring and related costs include restructuring and asset impairment charges as well as costs associated with our transformation programs beyond those normally</w:t>
      </w:r>
      <w:r>
        <w:rPr>
          <w:rFonts w:ascii="Arial" w:cs="Arial" w:eastAsia="Arial" w:hAnsi="Arial"/>
          <w:sz w:val="12"/>
          <w:szCs w:val="12"/>
          <w:i w:val="1"/>
          <w:iCs w:val="1"/>
          <w:color w:val="auto"/>
        </w:rPr>
        <w:t xml:space="preserve"> </w:t>
      </w:r>
      <w:r>
        <w:rPr>
          <w:rFonts w:ascii="Arial" w:cs="Arial" w:eastAsia="Arial" w:hAnsi="Arial"/>
          <w:sz w:val="12"/>
          <w:szCs w:val="12"/>
          <w:color w:val="auto"/>
        </w:rPr>
        <w:t>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51" w:lineRule="exact"/>
        <w:rPr>
          <w:rFonts w:ascii="Arial" w:cs="Arial" w:eastAsia="Arial" w:hAnsi="Arial"/>
          <w:sz w:val="12"/>
          <w:szCs w:val="12"/>
          <w:color w:val="auto"/>
        </w:rPr>
      </w:pPr>
    </w:p>
    <w:p>
      <w:pPr>
        <w:ind w:left="227" w:hanging="227"/>
        <w:spacing w:after="0" w:line="271" w:lineRule="auto"/>
        <w:tabs>
          <w:tab w:leader="none" w:pos="227" w:val="left"/>
        </w:tabs>
        <w:numPr>
          <w:ilvl w:val="0"/>
          <w:numId w:val="26"/>
        </w:numPr>
        <w:rPr>
          <w:rFonts w:ascii="Arial" w:cs="Arial" w:eastAsia="Arial" w:hAnsi="Arial"/>
          <w:sz w:val="12"/>
          <w:szCs w:val="12"/>
          <w:color w:val="auto"/>
        </w:rPr>
      </w:pPr>
      <w:r>
        <w:rPr>
          <w:rFonts w:ascii="Arial" w:cs="Arial" w:eastAsia="Arial" w:hAnsi="Arial"/>
          <w:sz w:val="12"/>
          <w:szCs w:val="12"/>
          <w:i w:val="1"/>
          <w:iCs w:val="1"/>
          <w:u w:val="single" w:color="auto"/>
          <w:color w:val="auto"/>
        </w:rPr>
        <w:t>Amortization of intangible assets</w:t>
      </w:r>
      <w:r>
        <w:rPr>
          <w:rFonts w:ascii="Arial" w:cs="Arial" w:eastAsia="Arial" w:hAnsi="Arial"/>
          <w:sz w:val="12"/>
          <w:szCs w:val="12"/>
          <w:u w:val="single" w:color="auto"/>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The amortization of intangible assets is driven by our acquisition activity which can vary in size, nature and timing as compared to other companies within our industry and from</w:t>
      </w:r>
      <w:r>
        <w:rPr>
          <w:rFonts w:ascii="Arial" w:cs="Arial" w:eastAsia="Arial" w:hAnsi="Arial"/>
          <w:sz w:val="12"/>
          <w:szCs w:val="12"/>
          <w:i w:val="1"/>
          <w:iCs w:val="1"/>
          <w:color w:val="auto"/>
        </w:rPr>
        <w:t xml:space="preserve"> </w:t>
      </w:r>
      <w:r>
        <w:rPr>
          <w:rFonts w:ascii="Arial" w:cs="Arial" w:eastAsia="Arial" w:hAnsi="Arial"/>
          <w:sz w:val="12"/>
          <w:szCs w:val="12"/>
          <w:color w:val="auto"/>
        </w:rPr>
        <w:t>period to period. The use of intangible assets contributed to our revenues earned during the periods presented and will contribute to our future period revenues as well. Amortization of intangible assets will recur in future periods.</w:t>
      </w:r>
    </w:p>
    <w:p>
      <w:pPr>
        <w:spacing w:after="0" w:line="43" w:lineRule="exact"/>
        <w:rPr>
          <w:rFonts w:ascii="Arial" w:cs="Arial" w:eastAsia="Arial" w:hAnsi="Arial"/>
          <w:sz w:val="12"/>
          <w:szCs w:val="12"/>
          <w:color w:val="auto"/>
        </w:rPr>
      </w:pPr>
    </w:p>
    <w:p>
      <w:pPr>
        <w:ind w:left="227" w:right="180" w:hanging="227"/>
        <w:spacing w:after="0" w:line="265" w:lineRule="auto"/>
        <w:tabs>
          <w:tab w:leader="none" w:pos="227" w:val="left"/>
        </w:tabs>
        <w:numPr>
          <w:ilvl w:val="0"/>
          <w:numId w:val="26"/>
        </w:numPr>
        <w:rPr>
          <w:rFonts w:ascii="Arial" w:cs="Arial" w:eastAsia="Arial" w:hAnsi="Arial"/>
          <w:sz w:val="12"/>
          <w:szCs w:val="12"/>
          <w:color w:val="auto"/>
        </w:rPr>
      </w:pPr>
      <w:r>
        <w:rPr>
          <w:rFonts w:ascii="Arial" w:cs="Arial" w:eastAsia="Arial" w:hAnsi="Arial"/>
          <w:sz w:val="12"/>
          <w:szCs w:val="12"/>
          <w:i w:val="1"/>
          <w:iCs w:val="1"/>
          <w:u w:val="single" w:color="auto"/>
          <w:color w:val="auto"/>
        </w:rPr>
        <w:t>Transaction and related costs, net:</w:t>
      </w:r>
      <w:r>
        <w:rPr>
          <w:rFonts w:ascii="Arial" w:cs="Arial" w:eastAsia="Arial" w:hAnsi="Arial"/>
          <w:sz w:val="12"/>
          <w:szCs w:val="12"/>
          <w:i w:val="1"/>
          <w:iCs w:val="1"/>
          <w:color w:val="auto"/>
        </w:rPr>
        <w:t xml:space="preserve"> </w:t>
      </w:r>
      <w:r>
        <w:rPr>
          <w:rFonts w:ascii="Arial" w:cs="Arial" w:eastAsia="Arial" w:hAnsi="Arial"/>
          <w:sz w:val="12"/>
          <w:szCs w:val="12"/>
          <w:color w:val="auto"/>
        </w:rPr>
        <w:t>Transaction and related costs, net are expenses incurred in connection with Xerox's planned transaction with Fuji, which was terminated in May 2018, as well as costs and</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related to the previously disclosed settlement agreement reached with certain shareholders and litigation related to the terminated transaction and other shareholder actions. These costs are considered incremental to our normal operating charges and were incurred or are expected to be incurred solely as a result of the planned combination transaction and the related shareholder settlement agreement and litigation. Accordingly, we are excluding these expenses from our Adjusted Earnings Measures in order to evaluate our performance on a comparable basis.</w:t>
      </w:r>
    </w:p>
    <w:p>
      <w:pPr>
        <w:spacing w:after="0" w:line="47" w:lineRule="exact"/>
        <w:rPr>
          <w:rFonts w:ascii="Arial" w:cs="Arial" w:eastAsia="Arial" w:hAnsi="Arial"/>
          <w:sz w:val="12"/>
          <w:szCs w:val="12"/>
          <w:color w:val="auto"/>
        </w:rPr>
      </w:pPr>
    </w:p>
    <w:p>
      <w:pPr>
        <w:ind w:left="227" w:right="80" w:hanging="227"/>
        <w:spacing w:after="0" w:line="260" w:lineRule="auto"/>
        <w:tabs>
          <w:tab w:leader="none" w:pos="227" w:val="left"/>
        </w:tabs>
        <w:numPr>
          <w:ilvl w:val="0"/>
          <w:numId w:val="26"/>
        </w:numPr>
        <w:rPr>
          <w:rFonts w:ascii="Arial" w:cs="Arial" w:eastAsia="Arial" w:hAnsi="Arial"/>
          <w:sz w:val="12"/>
          <w:szCs w:val="12"/>
          <w:color w:val="auto"/>
        </w:rPr>
      </w:pPr>
      <w:r>
        <w:rPr>
          <w:rFonts w:ascii="Arial" w:cs="Arial" w:eastAsia="Arial" w:hAnsi="Arial"/>
          <w:sz w:val="12"/>
          <w:szCs w:val="12"/>
          <w:i w:val="1"/>
          <w:iCs w:val="1"/>
          <w:u w:val="single" w:color="auto"/>
          <w:color w:val="auto"/>
        </w:rPr>
        <w:t>Non-service retirement-related costs:</w:t>
      </w:r>
      <w:r>
        <w:rPr>
          <w:rFonts w:ascii="Arial" w:cs="Arial" w:eastAsia="Arial" w:hAnsi="Arial"/>
          <w:sz w:val="12"/>
          <w:szCs w:val="12"/>
          <w:i w:val="1"/>
          <w:iCs w:val="1"/>
          <w:color w:val="auto"/>
        </w:rPr>
        <w:t xml:space="preserve"> </w:t>
      </w:r>
      <w:r>
        <w:rPr>
          <w:rFonts w:ascii="Arial" w:cs="Arial" w:eastAsia="Arial" w:hAnsi="Arial"/>
          <w:sz w:val="12"/>
          <w:szCs w:val="12"/>
          <w:color w:val="auto"/>
        </w:rPr>
        <w:t>Our defined benefit pension and retiree health costs include several elements impacted by changes in plan assets and obligations that are primarily driven by changes in</w:t>
      </w:r>
      <w:r>
        <w:rPr>
          <w:rFonts w:ascii="Arial" w:cs="Arial" w:eastAsia="Arial" w:hAnsi="Arial"/>
          <w:sz w:val="12"/>
          <w:szCs w:val="12"/>
          <w:i w:val="1"/>
          <w:iCs w:val="1"/>
          <w:color w:val="auto"/>
        </w:rPr>
        <w:t xml:space="preserve"> </w:t>
      </w:r>
      <w:r>
        <w:rPr>
          <w:rFonts w:ascii="Arial" w:cs="Arial" w:eastAsia="Arial" w:hAnsi="Arial"/>
          <w:sz w:val="12"/>
          <w:szCs w:val="12"/>
          <w:color w:val="auto"/>
        </w:rPr>
        <w:t>the debt and equity markets as well as those that are predominantly legacy in nature and related to employees who are no longer providing current service to the company (e.g. retirees and ex-employees). 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Adjusted earnings will continue to include the service cost elements of our retirement costs, which is related to current employee service as well as the cost of our defined contribution plans.</w:t>
      </w:r>
    </w:p>
    <w:p>
      <w:pPr>
        <w:spacing w:after="0" w:line="155"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47"/>
          </w:cols>
          <w:pgMar w:left="213" w:top="631" w:right="239" w:bottom="1440" w:gutter="0" w:footer="0" w:header="0"/>
        </w:sectPr>
      </w:pPr>
    </w:p>
    <w:bookmarkStart w:id="25" w:name="page26"/>
    <w:bookmarkEnd w:id="25"/>
    <w:p>
      <w:pPr>
        <w:ind w:left="227" w:right="140" w:hanging="227"/>
        <w:spacing w:after="0" w:line="288" w:lineRule="auto"/>
        <w:tabs>
          <w:tab w:leader="none" w:pos="227" w:val="left"/>
        </w:tabs>
        <w:numPr>
          <w:ilvl w:val="0"/>
          <w:numId w:val="27"/>
        </w:numPr>
        <w:rPr>
          <w:rFonts w:ascii="Arial" w:cs="Arial" w:eastAsia="Arial" w:hAnsi="Arial"/>
          <w:sz w:val="12"/>
          <w:szCs w:val="12"/>
          <w:color w:val="auto"/>
        </w:rPr>
      </w:pPr>
      <w:r>
        <w:rPr>
          <w:rFonts w:ascii="Arial" w:cs="Arial" w:eastAsia="Arial" w:hAnsi="Arial"/>
          <w:sz w:val="12"/>
          <w:szCs w:val="12"/>
          <w:i w:val="1"/>
          <w:iCs w:val="1"/>
          <w:u w:val="single" w:color="auto"/>
          <w:color w:val="auto"/>
        </w:rPr>
        <w:t>Restructuring and other charges - Fuji Xerox:</w:t>
      </w:r>
      <w:r>
        <w:rPr>
          <w:rFonts w:ascii="Arial" w:cs="Arial" w:eastAsia="Arial" w:hAnsi="Arial"/>
          <w:sz w:val="12"/>
          <w:szCs w:val="12"/>
          <w:i w:val="1"/>
          <w:iCs w:val="1"/>
          <w:color w:val="auto"/>
        </w:rPr>
        <w:t xml:space="preserve"> </w:t>
      </w:r>
      <w:r>
        <w:rPr>
          <w:rFonts w:ascii="Arial" w:cs="Arial" w:eastAsia="Arial" w:hAnsi="Arial"/>
          <w:sz w:val="12"/>
          <w:szCs w:val="12"/>
          <w:color w:val="auto"/>
        </w:rPr>
        <w:t>We adjust our 25% share of Fuji Xerox’s net income for similar items noted above such as Restructuring and related costs and Transaction and related costs, net</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the same rationale discussed above.</w:t>
      </w:r>
    </w:p>
    <w:p>
      <w:pPr>
        <w:spacing w:after="0" w:line="33" w:lineRule="exact"/>
        <w:rPr>
          <w:rFonts w:ascii="Arial" w:cs="Arial" w:eastAsia="Arial" w:hAnsi="Arial"/>
          <w:sz w:val="12"/>
          <w:szCs w:val="12"/>
          <w:color w:val="auto"/>
        </w:rPr>
      </w:pPr>
    </w:p>
    <w:p>
      <w:pPr>
        <w:ind w:left="227" w:hanging="227"/>
        <w:spacing w:after="0"/>
        <w:tabs>
          <w:tab w:leader="none" w:pos="227" w:val="left"/>
        </w:tabs>
        <w:numPr>
          <w:ilvl w:val="0"/>
          <w:numId w:val="27"/>
        </w:numPr>
        <w:rPr>
          <w:rFonts w:ascii="Arial" w:cs="Arial" w:eastAsia="Arial" w:hAnsi="Arial"/>
          <w:sz w:val="12"/>
          <w:szCs w:val="12"/>
          <w:color w:val="auto"/>
        </w:rPr>
      </w:pPr>
      <w:r>
        <w:rPr>
          <w:rFonts w:ascii="Arial" w:cs="Arial" w:eastAsia="Arial" w:hAnsi="Arial"/>
          <w:sz w:val="12"/>
          <w:szCs w:val="12"/>
          <w:i w:val="1"/>
          <w:iCs w:val="1"/>
          <w:u w:val="single" w:color="auto"/>
          <w:color w:val="auto"/>
        </w:rPr>
        <w:t>Other discrete, unusual or infrequent items:</w:t>
      </w:r>
      <w:r>
        <w:rPr>
          <w:rFonts w:ascii="Arial" w:cs="Arial" w:eastAsia="Arial" w:hAnsi="Arial"/>
          <w:sz w:val="12"/>
          <w:szCs w:val="12"/>
          <w:i w:val="1"/>
          <w:iCs w:val="1"/>
          <w:color w:val="auto"/>
        </w:rPr>
        <w:t xml:space="preserve"> </w:t>
      </w:r>
      <w:r>
        <w:rPr>
          <w:rFonts w:ascii="Arial" w:cs="Arial" w:eastAsia="Arial" w:hAnsi="Arial"/>
          <w:sz w:val="12"/>
          <w:szCs w:val="12"/>
          <w:color w:val="auto"/>
        </w:rPr>
        <w:t>We excluded the following items given their discrete, unusual or infrequent nature and their impact on our results for the period.</w:t>
      </w:r>
    </w:p>
    <w:p>
      <w:pPr>
        <w:spacing w:after="0" w:line="92" w:lineRule="exact"/>
        <w:rPr>
          <w:rFonts w:ascii="Arial" w:cs="Arial" w:eastAsia="Arial" w:hAnsi="Arial"/>
          <w:sz w:val="12"/>
          <w:szCs w:val="12"/>
          <w:color w:val="auto"/>
        </w:rPr>
      </w:pPr>
    </w:p>
    <w:p>
      <w:pPr>
        <w:ind w:left="647" w:hanging="209"/>
        <w:spacing w:after="0"/>
        <w:tabs>
          <w:tab w:leader="none" w:pos="647" w:val="left"/>
        </w:tabs>
        <w:numPr>
          <w:ilvl w:val="1"/>
          <w:numId w:val="27"/>
        </w:numPr>
        <w:rPr>
          <w:rFonts w:ascii="Arial" w:cs="Arial" w:eastAsia="Arial" w:hAnsi="Arial"/>
          <w:sz w:val="12"/>
          <w:szCs w:val="12"/>
          <w:color w:val="auto"/>
        </w:rPr>
      </w:pPr>
      <w:r>
        <w:rPr>
          <w:rFonts w:ascii="Arial" w:cs="Arial" w:eastAsia="Arial" w:hAnsi="Arial"/>
          <w:sz w:val="12"/>
          <w:szCs w:val="12"/>
          <w:color w:val="auto"/>
        </w:rPr>
        <w:t>Contract termination costs - IT services.</w:t>
      </w:r>
    </w:p>
    <w:p>
      <w:pPr>
        <w:spacing w:after="0" w:line="80" w:lineRule="exact"/>
        <w:rPr>
          <w:rFonts w:ascii="Arial" w:cs="Arial" w:eastAsia="Arial" w:hAnsi="Arial"/>
          <w:sz w:val="12"/>
          <w:szCs w:val="12"/>
          <w:color w:val="auto"/>
        </w:rPr>
      </w:pPr>
    </w:p>
    <w:p>
      <w:pPr>
        <w:ind w:left="647" w:hanging="209"/>
        <w:spacing w:after="0"/>
        <w:tabs>
          <w:tab w:leader="none" w:pos="647" w:val="left"/>
        </w:tabs>
        <w:numPr>
          <w:ilvl w:val="1"/>
          <w:numId w:val="27"/>
        </w:numPr>
        <w:rPr>
          <w:rFonts w:ascii="Arial" w:cs="Arial" w:eastAsia="Arial" w:hAnsi="Arial"/>
          <w:sz w:val="12"/>
          <w:szCs w:val="12"/>
          <w:color w:val="auto"/>
        </w:rPr>
      </w:pPr>
      <w:r>
        <w:rPr>
          <w:rFonts w:ascii="Arial" w:cs="Arial" w:eastAsia="Arial" w:hAnsi="Arial"/>
          <w:sz w:val="12"/>
          <w:szCs w:val="12"/>
          <w:color w:val="auto"/>
        </w:rPr>
        <w:t>Impacts associated with the Tax Cuts and Jobs Act (the "Tax Act") enacted in December 2017.</w:t>
      </w:r>
    </w:p>
    <w:p>
      <w:pPr>
        <w:spacing w:after="0" w:line="154" w:lineRule="exact"/>
        <w:rPr>
          <w:sz w:val="20"/>
          <w:szCs w:val="20"/>
          <w:color w:val="auto"/>
        </w:rPr>
      </w:pPr>
    </w:p>
    <w:p>
      <w:pPr>
        <w:ind w:left="7" w:right="1340"/>
        <w:spacing w:after="0" w:line="348" w:lineRule="auto"/>
        <w:rPr>
          <w:sz w:val="20"/>
          <w:szCs w:val="20"/>
          <w:color w:val="auto"/>
        </w:rPr>
      </w:pPr>
      <w:r>
        <w:rPr>
          <w:rFonts w:ascii="Arial" w:cs="Arial" w:eastAsia="Arial" w:hAnsi="Arial"/>
          <w:sz w:val="12"/>
          <w:szCs w:val="12"/>
          <w:color w:val="auto"/>
        </w:rPr>
        <w:t xml:space="preserve">We believe the exclusion of these items allows investors to better understand and analyze the results for the period as compared to prior periods and expected future trends in our business. </w:t>
      </w:r>
      <w:r>
        <w:rPr>
          <w:rFonts w:ascii="Arial" w:cs="Arial" w:eastAsia="Arial" w:hAnsi="Arial"/>
          <w:sz w:val="12"/>
          <w:szCs w:val="12"/>
          <w:i w:val="1"/>
          <w:iCs w:val="1"/>
          <w:u w:val="single" w:color="auto"/>
          <w:color w:val="auto"/>
        </w:rPr>
        <w:t>Adjusted Operating Income/Margin</w:t>
      </w:r>
    </w:p>
    <w:p>
      <w:pPr>
        <w:spacing w:after="0" w:line="1" w:lineRule="exact"/>
        <w:rPr>
          <w:sz w:val="20"/>
          <w:szCs w:val="20"/>
          <w:color w:val="auto"/>
        </w:rPr>
      </w:pPr>
    </w:p>
    <w:p>
      <w:pPr>
        <w:jc w:val="both"/>
        <w:ind w:left="7"/>
        <w:spacing w:after="0" w:line="260" w:lineRule="auto"/>
        <w:rPr>
          <w:sz w:val="20"/>
          <w:szCs w:val="20"/>
          <w:color w:val="auto"/>
        </w:rPr>
      </w:pPr>
      <w:r>
        <w:rPr>
          <w:rFonts w:ascii="Arial" w:cs="Arial" w:eastAsia="Arial" w:hAnsi="Arial"/>
          <w:sz w:val="12"/>
          <w:szCs w:val="12"/>
          <w:color w:val="auto"/>
        </w:rPr>
        <w:t>We calculate and utilize adjusted operating income and margin measures by adjusting our reported pre-tax income and margin amounts. In addition to the costs and expenses noted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w:t>
      </w:r>
    </w:p>
    <w:p>
      <w:pPr>
        <w:spacing w:after="0" w:line="87"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Constant Currency</w:t>
      </w:r>
    </w:p>
    <w:p>
      <w:pPr>
        <w:spacing w:after="0" w:line="20" w:lineRule="exact"/>
        <w:rPr>
          <w:sz w:val="20"/>
          <w:szCs w:val="20"/>
          <w:color w:val="auto"/>
        </w:rPr>
      </w:pPr>
    </w:p>
    <w:p>
      <w:pPr>
        <w:ind w:left="7" w:right="40"/>
        <w:spacing w:after="0" w:line="258" w:lineRule="auto"/>
        <w:rPr>
          <w:sz w:val="20"/>
          <w:szCs w:val="20"/>
          <w:color w:val="auto"/>
        </w:rPr>
      </w:pPr>
      <w:r>
        <w:rPr>
          <w:rFonts w:ascii="Arial" w:cs="Arial" w:eastAsia="Arial" w:hAnsi="Arial"/>
          <w:sz w:val="12"/>
          <w:szCs w:val="12"/>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not the U.S. dollar. Management believes the constant currency measure provides investors an additional perspective on revenue trends. Currency impact can be determined as the difference between actual growth rates and constant currency growth rates.</w:t>
      </w:r>
    </w:p>
    <w:p>
      <w:pPr>
        <w:spacing w:after="0" w:line="88"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Free Cash Flow</w:t>
      </w:r>
    </w:p>
    <w:p>
      <w:pPr>
        <w:spacing w:after="0" w:line="20" w:lineRule="exact"/>
        <w:rPr>
          <w:sz w:val="20"/>
          <w:szCs w:val="20"/>
          <w:color w:val="auto"/>
        </w:rPr>
      </w:pPr>
    </w:p>
    <w:p>
      <w:pPr>
        <w:ind w:left="7" w:right="60"/>
        <w:spacing w:after="0" w:line="267" w:lineRule="auto"/>
        <w:rPr>
          <w:sz w:val="20"/>
          <w:szCs w:val="20"/>
          <w:color w:val="auto"/>
        </w:rPr>
      </w:pPr>
      <w:r>
        <w:rPr>
          <w:rFonts w:ascii="Arial" w:cs="Arial" w:eastAsia="Arial" w:hAnsi="Arial"/>
          <w:sz w:val="12"/>
          <w:szCs w:val="12"/>
          <w:color w:val="auto"/>
        </w:rPr>
        <w:t>To better understand trends in our business, we believe that it is helpful to adjust operating cash flows by subtracting amounts related to capital expenditures. Management believes this measure gives investors an additional perspective on cash flow from operating activities in excess of amounts required for reinvestment. It provides a measure of our ability to fund acquisitions, dividends and share repurchase.</w:t>
      </w:r>
    </w:p>
    <w:p>
      <w:pPr>
        <w:spacing w:after="0" w:line="80" w:lineRule="exact"/>
        <w:rPr>
          <w:sz w:val="20"/>
          <w:szCs w:val="20"/>
          <w:color w:val="auto"/>
        </w:rPr>
      </w:pPr>
    </w:p>
    <w:p>
      <w:pPr>
        <w:ind w:left="7"/>
        <w:spacing w:after="0"/>
        <w:rPr>
          <w:sz w:val="20"/>
          <w:szCs w:val="20"/>
          <w:color w:val="auto"/>
        </w:rPr>
      </w:pPr>
      <w:r>
        <w:rPr>
          <w:rFonts w:ascii="Arial" w:cs="Arial" w:eastAsia="Arial" w:hAnsi="Arial"/>
          <w:sz w:val="12"/>
          <w:szCs w:val="12"/>
          <w:b w:val="1"/>
          <w:bCs w:val="1"/>
          <w:u w:val="single" w:color="auto"/>
          <w:color w:val="auto"/>
        </w:rPr>
        <w:t>Summary:</w:t>
      </w:r>
    </w:p>
    <w:p>
      <w:pPr>
        <w:spacing w:after="0" w:line="22" w:lineRule="exact"/>
        <w:rPr>
          <w:sz w:val="20"/>
          <w:szCs w:val="20"/>
          <w:color w:val="auto"/>
        </w:rPr>
      </w:pPr>
    </w:p>
    <w:p>
      <w:pPr>
        <w:ind w:left="7" w:right="200"/>
        <w:spacing w:after="0" w:line="257" w:lineRule="auto"/>
        <w:rPr>
          <w:sz w:val="20"/>
          <w:szCs w:val="20"/>
          <w:color w:val="auto"/>
        </w:rPr>
      </w:pPr>
      <w:r>
        <w:rPr>
          <w:rFonts w:ascii="Arial" w:cs="Arial" w:eastAsia="Arial" w:hAnsi="Arial"/>
          <w:sz w:val="12"/>
          <w:szCs w:val="12"/>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2"/>
          <w:szCs w:val="12"/>
          <w:color w:val="auto"/>
        </w:rPr>
        <w:t>A reconciliation of these non-GAAP financial measures and the most directly comparable measures calculated and presented in accordance with GAAP are set forth on the following tables:</w:t>
      </w:r>
    </w:p>
    <w:p>
      <w:pPr>
        <w:spacing w:after="0" w:line="172"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67"/>
          </w:cols>
          <w:pgMar w:left="213" w:top="738" w:right="219" w:bottom="1440" w:gutter="0" w:footer="0" w:header="0"/>
        </w:sectPr>
      </w:pPr>
    </w:p>
    <w:bookmarkStart w:id="26" w:name="page27"/>
    <w:bookmarkEnd w:id="26"/>
    <w:p>
      <w:pPr>
        <w:ind w:left="7"/>
        <w:spacing w:after="0"/>
        <w:rPr>
          <w:sz w:val="20"/>
          <w:szCs w:val="20"/>
          <w:color w:val="auto"/>
        </w:rPr>
      </w:pPr>
      <w:r>
        <w:rPr>
          <w:rFonts w:ascii="Arial" w:cs="Arial" w:eastAsia="Arial" w:hAnsi="Arial"/>
          <w:sz w:val="12"/>
          <w:szCs w:val="12"/>
          <w:i w:val="1"/>
          <w:iCs w:val="1"/>
          <w:u w:val="single" w:color="auto"/>
          <w:color w:val="auto"/>
        </w:rPr>
        <w:t>Net Income and EPS reconciliation</w:t>
      </w:r>
    </w:p>
    <w:p>
      <w:pPr>
        <w:spacing w:after="0" w:line="128"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6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gridSpan w:val="3"/>
          </w:tcPr>
          <w:p>
            <w:pPr>
              <w:jc w:val="right"/>
              <w:ind w:right="331"/>
              <w:spacing w:after="0"/>
              <w:rPr>
                <w:sz w:val="20"/>
                <w:szCs w:val="20"/>
                <w:color w:val="auto"/>
              </w:rPr>
            </w:pPr>
            <w:r>
              <w:rPr>
                <w:rFonts w:ascii="Arial" w:cs="Arial" w:eastAsia="Arial" w:hAnsi="Arial"/>
                <w:sz w:val="10"/>
                <w:szCs w:val="10"/>
                <w:color w:val="auto"/>
              </w:rPr>
              <w:t>Three Months Ended</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3"/>
          </w:tcPr>
          <w:p>
            <w:pPr>
              <w:jc w:val="right"/>
              <w:spacing w:after="0"/>
              <w:rPr>
                <w:sz w:val="20"/>
                <w:szCs w:val="20"/>
                <w:color w:val="auto"/>
              </w:rPr>
            </w:pPr>
            <w:r>
              <w:rPr>
                <w:rFonts w:ascii="Arial" w:cs="Arial" w:eastAsia="Arial" w:hAnsi="Arial"/>
                <w:sz w:val="10"/>
                <w:szCs w:val="10"/>
                <w:color w:val="auto"/>
              </w:rPr>
              <w:t>Three Months Ended</w:t>
            </w:r>
          </w:p>
        </w:tc>
        <w:tc>
          <w:tcPr>
            <w:tcW w:w="700" w:type="dxa"/>
            <w:vAlign w:val="bottom"/>
          </w:tcPr>
          <w:p>
            <w:pPr>
              <w:spacing w:after="0"/>
              <w:rPr>
                <w:sz w:val="10"/>
                <w:szCs w:val="10"/>
                <w:color w:val="auto"/>
              </w:rPr>
            </w:pPr>
          </w:p>
        </w:tc>
      </w:tr>
      <w:tr>
        <w:trPr>
          <w:trHeight w:val="120"/>
        </w:trPr>
        <w:tc>
          <w:tcPr>
            <w:tcW w:w="6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0"/>
                <w:szCs w:val="10"/>
                <w:color w:val="auto"/>
              </w:rPr>
              <w:t>September 30, 2019</w:t>
            </w: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September 30, 2018</w:t>
            </w:r>
          </w:p>
        </w:tc>
        <w:tc>
          <w:tcPr>
            <w:tcW w:w="700" w:type="dxa"/>
            <w:vAlign w:val="bottom"/>
            <w:tcBorders>
              <w:bottom w:val="single" w:sz="8" w:color="auto"/>
            </w:tcBorders>
          </w:tcPr>
          <w:p>
            <w:pPr>
              <w:spacing w:after="0"/>
              <w:rPr>
                <w:sz w:val="10"/>
                <w:szCs w:val="10"/>
                <w:color w:val="auto"/>
              </w:rPr>
            </w:pPr>
          </w:p>
        </w:tc>
      </w:tr>
      <w:tr>
        <w:trPr>
          <w:trHeight w:val="172"/>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 except per share amounts)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rPr>
              <w:t>Net Income</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EPS</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rPr>
              <w:t>Net Income</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color w:val="auto"/>
                <w:w w:val="99"/>
              </w:rPr>
              <w:t>EPS</w:t>
            </w:r>
          </w:p>
        </w:tc>
      </w:tr>
      <w:tr>
        <w:trPr>
          <w:trHeight w:val="167"/>
        </w:trPr>
        <w:tc>
          <w:tcPr>
            <w:tcW w:w="6560" w:type="dxa"/>
            <w:vAlign w:val="bottom"/>
            <w:gridSpan w:val="2"/>
          </w:tcPr>
          <w:p>
            <w:pPr>
              <w:ind w:left="20"/>
              <w:spacing w:after="0"/>
              <w:rPr>
                <w:sz w:val="20"/>
                <w:szCs w:val="20"/>
                <w:color w:val="auto"/>
              </w:rPr>
            </w:pPr>
            <w:r>
              <w:rPr>
                <w:rFonts w:ascii="Arial" w:cs="Arial" w:eastAsia="Arial" w:hAnsi="Arial"/>
                <w:sz w:val="10"/>
                <w:szCs w:val="10"/>
                <w:b w:val="1"/>
                <w:bCs w:val="1"/>
                <w:color w:val="auto"/>
              </w:rPr>
              <w:t>Reported</w:t>
            </w:r>
            <w:r>
              <w:rPr>
                <w:rFonts w:ascii="Arial" w:cs="Arial" w:eastAsia="Arial" w:hAnsi="Arial"/>
                <w:sz w:val="12"/>
                <w:szCs w:val="12"/>
                <w:b w:val="1"/>
                <w:bCs w:val="1"/>
                <w:color w:val="auto"/>
                <w:vertAlign w:val="superscript"/>
              </w:rPr>
              <w:t>(1)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51"/>
              <w:spacing w:after="0"/>
              <w:rPr>
                <w:sz w:val="20"/>
                <w:szCs w:val="20"/>
                <w:color w:val="auto"/>
              </w:rPr>
            </w:pPr>
            <w:r>
              <w:rPr>
                <w:rFonts w:ascii="Arial" w:cs="Arial" w:eastAsia="Arial" w:hAnsi="Arial"/>
                <w:sz w:val="10"/>
                <w:szCs w:val="10"/>
                <w:color w:val="auto"/>
              </w:rPr>
              <w:t>221</w:t>
            </w:r>
          </w:p>
        </w:tc>
        <w:tc>
          <w:tcPr>
            <w:tcW w:w="120" w:type="dxa"/>
            <w:vAlign w:val="bottom"/>
          </w:tcPr>
          <w:p>
            <w:pPr>
              <w:spacing w:after="0"/>
              <w:rPr>
                <w:sz w:val="14"/>
                <w:szCs w:val="14"/>
                <w:color w:val="auto"/>
              </w:rPr>
            </w:pPr>
          </w:p>
        </w:tc>
        <w:tc>
          <w:tcPr>
            <w:tcW w:w="780" w:type="dxa"/>
            <w:vAlign w:val="bottom"/>
          </w:tcPr>
          <w:p>
            <w:pPr>
              <w:jc w:val="right"/>
              <w:ind w:right="651"/>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71"/>
              <w:spacing w:after="0"/>
              <w:rPr>
                <w:sz w:val="20"/>
                <w:szCs w:val="20"/>
                <w:color w:val="auto"/>
              </w:rPr>
            </w:pPr>
            <w:r>
              <w:rPr>
                <w:rFonts w:ascii="Arial" w:cs="Arial" w:eastAsia="Arial" w:hAnsi="Arial"/>
                <w:sz w:val="10"/>
                <w:szCs w:val="10"/>
                <w:color w:val="auto"/>
              </w:rPr>
              <w:t>0.96</w:t>
            </w:r>
          </w:p>
        </w:tc>
        <w:tc>
          <w:tcPr>
            <w:tcW w:w="120" w:type="dxa"/>
            <w:vAlign w:val="bottom"/>
          </w:tcPr>
          <w:p>
            <w:pPr>
              <w:spacing w:after="0"/>
              <w:rPr>
                <w:sz w:val="14"/>
                <w:szCs w:val="14"/>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71"/>
              <w:spacing w:after="0"/>
              <w:rPr>
                <w:sz w:val="20"/>
                <w:szCs w:val="20"/>
                <w:color w:val="auto"/>
              </w:rPr>
            </w:pPr>
            <w:r>
              <w:rPr>
                <w:rFonts w:ascii="Arial" w:cs="Arial" w:eastAsia="Arial" w:hAnsi="Arial"/>
                <w:sz w:val="10"/>
                <w:szCs w:val="10"/>
                <w:color w:val="auto"/>
              </w:rPr>
              <w:t>89</w:t>
            </w:r>
          </w:p>
        </w:tc>
        <w:tc>
          <w:tcPr>
            <w:tcW w:w="100" w:type="dxa"/>
            <w:vAlign w:val="bottom"/>
          </w:tcPr>
          <w:p>
            <w:pPr>
              <w:spacing w:after="0"/>
              <w:rPr>
                <w:sz w:val="14"/>
                <w:szCs w:val="14"/>
                <w:color w:val="auto"/>
              </w:rPr>
            </w:pPr>
          </w:p>
        </w:tc>
        <w:tc>
          <w:tcPr>
            <w:tcW w:w="440" w:type="dxa"/>
            <w:vAlign w:val="bottom"/>
          </w:tcPr>
          <w:p>
            <w:pPr>
              <w:jc w:val="right"/>
              <w:ind w:right="3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0.34</w:t>
            </w:r>
          </w:p>
        </w:tc>
      </w:tr>
      <w:tr>
        <w:trPr>
          <w:trHeight w:val="182"/>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Adjustments:</w:t>
            </w:r>
          </w:p>
        </w:tc>
        <w:tc>
          <w:tcPr>
            <w:tcW w:w="18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r>
      <w:tr>
        <w:trPr>
          <w:trHeight w:val="178"/>
        </w:trPr>
        <w:tc>
          <w:tcPr>
            <w:tcW w:w="6560" w:type="dxa"/>
            <w:vAlign w:val="bottom"/>
            <w:gridSpan w:val="2"/>
          </w:tcPr>
          <w:p>
            <w:pPr>
              <w:ind w:left="20"/>
              <w:spacing w:after="0"/>
              <w:rPr>
                <w:sz w:val="20"/>
                <w:szCs w:val="20"/>
                <w:color w:val="auto"/>
              </w:rPr>
            </w:pPr>
            <w:r>
              <w:rPr>
                <w:rFonts w:ascii="Arial" w:cs="Arial" w:eastAsia="Arial" w:hAnsi="Arial"/>
                <w:sz w:val="10"/>
                <w:szCs w:val="10"/>
                <w:color w:val="auto"/>
              </w:rPr>
              <w:t>Restructuring and related costs</w:t>
            </w:r>
          </w:p>
        </w:tc>
        <w:tc>
          <w:tcPr>
            <w:tcW w:w="18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Arial" w:cs="Arial" w:eastAsia="Arial" w:hAnsi="Arial"/>
                <w:sz w:val="10"/>
                <w:szCs w:val="10"/>
                <w:color w:val="auto"/>
              </w:rPr>
              <w:t>27</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7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7"/>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Amortization of intangible assets</w:t>
            </w: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9</w:t>
            </w:r>
          </w:p>
        </w:tc>
        <w:tc>
          <w:tcPr>
            <w:tcW w:w="1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12</w:t>
            </w:r>
          </w:p>
        </w:tc>
        <w:tc>
          <w:tcPr>
            <w:tcW w:w="1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r>
      <w:tr>
        <w:trPr>
          <w:trHeight w:val="178"/>
        </w:trPr>
        <w:tc>
          <w:tcPr>
            <w:tcW w:w="6560" w:type="dxa"/>
            <w:vAlign w:val="bottom"/>
            <w:gridSpan w:val="2"/>
          </w:tcPr>
          <w:p>
            <w:pPr>
              <w:ind w:left="20"/>
              <w:spacing w:after="0"/>
              <w:rPr>
                <w:sz w:val="20"/>
                <w:szCs w:val="20"/>
                <w:color w:val="auto"/>
              </w:rPr>
            </w:pPr>
            <w:r>
              <w:rPr>
                <w:rFonts w:ascii="Arial" w:cs="Arial" w:eastAsia="Arial" w:hAnsi="Arial"/>
                <w:sz w:val="10"/>
                <w:szCs w:val="10"/>
                <w:color w:val="auto"/>
              </w:rPr>
              <w:t>Transaction and related costs, net</w:t>
            </w:r>
          </w:p>
        </w:tc>
        <w:tc>
          <w:tcPr>
            <w:tcW w:w="18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1"/>
              <w:spacing w:after="0"/>
              <w:rPr>
                <w:sz w:val="20"/>
                <w:szCs w:val="20"/>
                <w:color w:val="auto"/>
              </w:rPr>
            </w:pPr>
            <w:r>
              <w:rPr>
                <w:rFonts w:ascii="Arial" w:cs="Arial" w:eastAsia="Arial" w:hAnsi="Arial"/>
                <w:sz w:val="10"/>
                <w:szCs w:val="10"/>
                <w:color w:val="auto"/>
              </w:rPr>
              <w:t>(33)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7"/>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Non-service retirement-related costs</w:t>
            </w: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(2)</w:t>
            </w:r>
          </w:p>
        </w:tc>
        <w:tc>
          <w:tcPr>
            <w:tcW w:w="1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33</w:t>
            </w:r>
          </w:p>
        </w:tc>
        <w:tc>
          <w:tcPr>
            <w:tcW w:w="1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r>
      <w:tr>
        <w:trPr>
          <w:trHeight w:val="178"/>
        </w:trPr>
        <w:tc>
          <w:tcPr>
            <w:tcW w:w="6560" w:type="dxa"/>
            <w:vAlign w:val="bottom"/>
            <w:gridSpan w:val="2"/>
          </w:tcPr>
          <w:p>
            <w:pPr>
              <w:ind w:left="20"/>
              <w:spacing w:after="0"/>
              <w:rPr>
                <w:sz w:val="20"/>
                <w:szCs w:val="20"/>
                <w:color w:val="auto"/>
              </w:rPr>
            </w:pPr>
            <w:r>
              <w:rPr>
                <w:rFonts w:ascii="Arial" w:cs="Arial" w:eastAsia="Arial" w:hAnsi="Arial"/>
                <w:sz w:val="10"/>
                <w:szCs w:val="10"/>
                <w:color w:val="auto"/>
              </w:rPr>
              <w:t>Contract termination costs - IT services</w:t>
            </w:r>
          </w:p>
        </w:tc>
        <w:tc>
          <w:tcPr>
            <w:tcW w:w="180" w:type="dxa"/>
            <w:vAlign w:val="bottom"/>
          </w:tcPr>
          <w:p>
            <w:pPr>
              <w:spacing w:after="0"/>
              <w:rPr>
                <w:sz w:val="15"/>
                <w:szCs w:val="15"/>
                <w:color w:val="auto"/>
              </w:rPr>
            </w:pPr>
          </w:p>
        </w:tc>
        <w:tc>
          <w:tcPr>
            <w:tcW w:w="960" w:type="dxa"/>
            <w:vAlign w:val="bottom"/>
          </w:tcPr>
          <w:p>
            <w:pPr>
              <w:jc w:val="right"/>
              <w:ind w:right="31"/>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7"/>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Income tax on adjustments</w:t>
            </w:r>
            <w:r>
              <w:rPr>
                <w:rFonts w:ascii="Arial" w:cs="Arial" w:eastAsia="Arial" w:hAnsi="Arial"/>
                <w:sz w:val="12"/>
                <w:szCs w:val="12"/>
                <w:color w:val="auto"/>
                <w:vertAlign w:val="superscript"/>
              </w:rPr>
              <w:t>(2)</w:t>
            </w:r>
          </w:p>
        </w:tc>
        <w:tc>
          <w:tcPr>
            <w:tcW w:w="18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(7)</w:t>
            </w:r>
          </w:p>
        </w:tc>
        <w:tc>
          <w:tcPr>
            <w:tcW w:w="1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(10)</w:t>
            </w:r>
          </w:p>
        </w:tc>
        <w:tc>
          <w:tcPr>
            <w:tcW w:w="10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r>
      <w:tr>
        <w:trPr>
          <w:trHeight w:val="182"/>
        </w:trPr>
        <w:tc>
          <w:tcPr>
            <w:tcW w:w="6560" w:type="dxa"/>
            <w:vAlign w:val="bottom"/>
            <w:gridSpan w:val="2"/>
          </w:tcPr>
          <w:p>
            <w:pPr>
              <w:ind w:left="20"/>
              <w:spacing w:after="0"/>
              <w:rPr>
                <w:sz w:val="20"/>
                <w:szCs w:val="20"/>
                <w:color w:val="auto"/>
              </w:rPr>
            </w:pPr>
            <w:r>
              <w:rPr>
                <w:rFonts w:ascii="Arial" w:cs="Arial" w:eastAsia="Arial" w:hAnsi="Arial"/>
                <w:sz w:val="10"/>
                <w:szCs w:val="10"/>
                <w:color w:val="auto"/>
              </w:rPr>
              <w:t>Restructuring and other charges - Fuji Xerox</w:t>
            </w:r>
            <w:r>
              <w:rPr>
                <w:rFonts w:ascii="Arial" w:cs="Arial" w:eastAsia="Arial" w:hAnsi="Arial"/>
                <w:sz w:val="12"/>
                <w:szCs w:val="12"/>
                <w:color w:val="auto"/>
                <w:vertAlign w:val="superscript"/>
              </w:rPr>
              <w:t>(3)</w:t>
            </w:r>
          </w:p>
        </w:tc>
        <w:tc>
          <w:tcPr>
            <w:tcW w:w="1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71"/>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Tax Act</w:t>
            </w:r>
          </w:p>
        </w:tc>
        <w:tc>
          <w:tcPr>
            <w:tcW w:w="180" w:type="dxa"/>
            <w:vAlign w:val="bottom"/>
            <w:tcBorders>
              <w:bottom w:val="single" w:sz="8" w:color="auto"/>
            </w:tcBorders>
            <w:shd w:val="clear" w:color="auto" w:fill="E5E5E5"/>
          </w:tcPr>
          <w:p>
            <w:pPr>
              <w:spacing w:after="0"/>
              <w:rPr>
                <w:sz w:val="15"/>
                <w:szCs w:val="15"/>
                <w:color w:val="auto"/>
              </w:rPr>
            </w:pPr>
          </w:p>
        </w:tc>
        <w:tc>
          <w:tcPr>
            <w:tcW w:w="96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5"/>
                <w:szCs w:val="15"/>
                <w:color w:val="auto"/>
              </w:rPr>
            </w:pPr>
          </w:p>
        </w:tc>
        <w:tc>
          <w:tcPr>
            <w:tcW w:w="780" w:type="dxa"/>
            <w:vAlign w:val="bottom"/>
            <w:tcBorders>
              <w:bottom w:val="single" w:sz="8" w:color="auto"/>
            </w:tcBorders>
            <w:shd w:val="clear" w:color="auto" w:fill="E5E5E5"/>
          </w:tcPr>
          <w:p>
            <w:pPr>
              <w:spacing w:after="0"/>
              <w:rPr>
                <w:sz w:val="15"/>
                <w:szCs w:val="15"/>
                <w:color w:val="auto"/>
              </w:rPr>
            </w:pPr>
          </w:p>
        </w:tc>
        <w:tc>
          <w:tcPr>
            <w:tcW w:w="380" w:type="dxa"/>
            <w:vAlign w:val="bottom"/>
            <w:tcBorders>
              <w:bottom w:val="single" w:sz="8" w:color="auto"/>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00" w:type="dxa"/>
            <w:vAlign w:val="bottom"/>
            <w:tcBorders>
              <w:bottom w:val="single" w:sz="8" w:color="auto"/>
            </w:tcBorders>
            <w:shd w:val="clear" w:color="auto" w:fill="E5E5E5"/>
          </w:tcPr>
          <w:p>
            <w:pPr>
              <w:spacing w:after="0"/>
              <w:rPr>
                <w:sz w:val="15"/>
                <w:szCs w:val="15"/>
                <w:color w:val="auto"/>
              </w:rPr>
            </w:pPr>
          </w:p>
        </w:tc>
        <w:tc>
          <w:tcPr>
            <w:tcW w:w="94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95</w:t>
            </w:r>
          </w:p>
        </w:tc>
        <w:tc>
          <w:tcPr>
            <w:tcW w:w="100" w:type="dxa"/>
            <w:vAlign w:val="bottom"/>
            <w:shd w:val="clear" w:color="auto" w:fill="E5E5E5"/>
          </w:tcPr>
          <w:p>
            <w:pPr>
              <w:spacing w:after="0"/>
              <w:rPr>
                <w:sz w:val="15"/>
                <w:szCs w:val="15"/>
                <w:color w:val="auto"/>
              </w:rPr>
            </w:pPr>
          </w:p>
        </w:tc>
        <w:tc>
          <w:tcPr>
            <w:tcW w:w="440" w:type="dxa"/>
            <w:vAlign w:val="bottom"/>
            <w:tcBorders>
              <w:bottom w:val="single" w:sz="8" w:color="auto"/>
            </w:tcBorders>
            <w:shd w:val="clear" w:color="auto" w:fill="E5E5E5"/>
          </w:tcPr>
          <w:p>
            <w:pPr>
              <w:spacing w:after="0"/>
              <w:rPr>
                <w:sz w:val="15"/>
                <w:szCs w:val="15"/>
                <w:color w:val="auto"/>
              </w:rPr>
            </w:pPr>
          </w:p>
        </w:tc>
        <w:tc>
          <w:tcPr>
            <w:tcW w:w="700" w:type="dxa"/>
            <w:vAlign w:val="bottom"/>
            <w:tcBorders>
              <w:bottom w:val="single" w:sz="8" w:color="auto"/>
            </w:tcBorders>
            <w:shd w:val="clear" w:color="auto" w:fill="E5E5E5"/>
          </w:tcPr>
          <w:p>
            <w:pPr>
              <w:spacing w:after="0"/>
              <w:rPr>
                <w:sz w:val="15"/>
                <w:szCs w:val="15"/>
                <w:color w:val="auto"/>
              </w:rPr>
            </w:pPr>
          </w:p>
        </w:tc>
      </w:tr>
      <w:tr>
        <w:trPr>
          <w:trHeight w:val="161"/>
        </w:trPr>
        <w:tc>
          <w:tcPr>
            <w:tcW w:w="65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Adjusted</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248</w:t>
            </w:r>
          </w:p>
        </w:tc>
        <w:tc>
          <w:tcPr>
            <w:tcW w:w="120" w:type="dxa"/>
            <w:vAlign w:val="bottom"/>
            <w:tcBorders>
              <w:bottom w:val="single" w:sz="8" w:color="E5E5E5"/>
            </w:tcBorders>
          </w:tcPr>
          <w:p>
            <w:pPr>
              <w:spacing w:after="0"/>
              <w:rPr>
                <w:sz w:val="13"/>
                <w:szCs w:val="13"/>
                <w:color w:val="auto"/>
              </w:rPr>
            </w:pPr>
          </w:p>
        </w:tc>
        <w:tc>
          <w:tcPr>
            <w:tcW w:w="780" w:type="dxa"/>
            <w:vAlign w:val="bottom"/>
            <w:tcBorders>
              <w:bottom w:val="single" w:sz="8" w:color="auto"/>
            </w:tcBorders>
          </w:tcPr>
          <w:p>
            <w:pPr>
              <w:jc w:val="right"/>
              <w:ind w:right="651"/>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1.08</w:t>
            </w:r>
          </w:p>
        </w:tc>
        <w:tc>
          <w:tcPr>
            <w:tcW w:w="120" w:type="dxa"/>
            <w:vAlign w:val="bottom"/>
            <w:tcBorders>
              <w:bottom w:val="single" w:sz="8" w:color="E5E5E5"/>
            </w:tcBorders>
          </w:tcPr>
          <w:p>
            <w:pPr>
              <w:spacing w:after="0"/>
              <w:rPr>
                <w:sz w:val="13"/>
                <w:szCs w:val="13"/>
                <w:color w:val="auto"/>
              </w:rPr>
            </w:pPr>
          </w:p>
        </w:tc>
        <w:tc>
          <w:tcPr>
            <w:tcW w:w="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222</w:t>
            </w:r>
          </w:p>
        </w:tc>
        <w:tc>
          <w:tcPr>
            <w:tcW w:w="100" w:type="dxa"/>
            <w:vAlign w:val="bottom"/>
            <w:tcBorders>
              <w:bottom w:val="single" w:sz="8" w:color="E5E5E5"/>
            </w:tcBorders>
          </w:tcPr>
          <w:p>
            <w:pPr>
              <w:spacing w:after="0"/>
              <w:rPr>
                <w:sz w:val="13"/>
                <w:szCs w:val="13"/>
                <w:color w:val="auto"/>
              </w:rPr>
            </w:pPr>
          </w:p>
        </w:tc>
        <w:tc>
          <w:tcPr>
            <w:tcW w:w="44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0.85</w:t>
            </w:r>
          </w:p>
        </w:tc>
      </w:tr>
      <w:tr>
        <w:trPr>
          <w:trHeight w:val="182"/>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Dividends on preferred stock used in adjusted EPS calculation</w:t>
            </w:r>
            <w:r>
              <w:rPr>
                <w:rFonts w:ascii="Arial" w:cs="Arial" w:eastAsia="Arial" w:hAnsi="Arial"/>
                <w:sz w:val="12"/>
                <w:szCs w:val="12"/>
                <w:color w:val="auto"/>
                <w:vertAlign w:val="superscript"/>
              </w:rPr>
              <w:t>(4)</w:t>
            </w:r>
          </w:p>
        </w:tc>
        <w:tc>
          <w:tcPr>
            <w:tcW w:w="18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50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7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w:t>
            </w:r>
          </w:p>
        </w:tc>
      </w:tr>
      <w:tr>
        <w:trPr>
          <w:trHeight w:val="182"/>
        </w:trPr>
        <w:tc>
          <w:tcPr>
            <w:tcW w:w="6560" w:type="dxa"/>
            <w:vAlign w:val="bottom"/>
            <w:gridSpan w:val="2"/>
          </w:tcPr>
          <w:p>
            <w:pPr>
              <w:ind w:left="20"/>
              <w:spacing w:after="0"/>
              <w:rPr>
                <w:sz w:val="20"/>
                <w:szCs w:val="20"/>
                <w:color w:val="auto"/>
              </w:rPr>
            </w:pPr>
            <w:r>
              <w:rPr>
                <w:rFonts w:ascii="Arial" w:cs="Arial" w:eastAsia="Arial" w:hAnsi="Arial"/>
                <w:sz w:val="10"/>
                <w:szCs w:val="10"/>
                <w:color w:val="auto"/>
              </w:rPr>
              <w:t>Weighted average shares for adjusted EPS</w:t>
            </w:r>
            <w:r>
              <w:rPr>
                <w:rFonts w:ascii="Arial" w:cs="Arial" w:eastAsia="Arial" w:hAnsi="Arial"/>
                <w:sz w:val="12"/>
                <w:szCs w:val="12"/>
                <w:color w:val="auto"/>
                <w:vertAlign w:val="superscript"/>
              </w:rPr>
              <w:t>(4)</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jc w:val="right"/>
              <w:ind w:right="71"/>
              <w:spacing w:after="0"/>
              <w:rPr>
                <w:sz w:val="20"/>
                <w:szCs w:val="20"/>
                <w:color w:val="auto"/>
              </w:rPr>
            </w:pPr>
            <w:r>
              <w:rPr>
                <w:rFonts w:ascii="Arial" w:cs="Arial" w:eastAsia="Arial" w:hAnsi="Arial"/>
                <w:sz w:val="10"/>
                <w:szCs w:val="10"/>
                <w:color w:val="auto"/>
              </w:rPr>
              <w:t>231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261</w:t>
            </w:r>
          </w:p>
        </w:tc>
      </w:tr>
      <w:tr>
        <w:trPr>
          <w:trHeight w:val="182"/>
        </w:trPr>
        <w:tc>
          <w:tcPr>
            <w:tcW w:w="65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Fully diluted shares at end of period</w:t>
            </w:r>
            <w:r>
              <w:rPr>
                <w:rFonts w:ascii="Arial" w:cs="Arial" w:eastAsia="Arial" w:hAnsi="Arial"/>
                <w:sz w:val="12"/>
                <w:szCs w:val="12"/>
                <w:color w:val="auto"/>
                <w:vertAlign w:val="superscript"/>
              </w:rPr>
              <w:t>(5)</w:t>
            </w:r>
          </w:p>
        </w:tc>
        <w:tc>
          <w:tcPr>
            <w:tcW w:w="18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3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230</w:t>
            </w:r>
          </w:p>
        </w:tc>
        <w:tc>
          <w:tcPr>
            <w:tcW w:w="12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r>
      <w:tr>
        <w:trPr>
          <w:trHeight w:val="88"/>
        </w:trPr>
        <w:tc>
          <w:tcPr>
            <w:tcW w:w="6440" w:type="dxa"/>
            <w:vAlign w:val="bottom"/>
          </w:tcPr>
          <w:p>
            <w:pPr>
              <w:spacing w:after="0"/>
              <w:rPr>
                <w:sz w:val="20"/>
                <w:szCs w:val="20"/>
                <w:color w:val="auto"/>
              </w:rPr>
            </w:pPr>
            <w:r>
              <w:rPr>
                <w:rFonts w:ascii="Arial" w:cs="Arial" w:eastAsia="Arial" w:hAnsi="Arial"/>
                <w:sz w:val="7"/>
                <w:szCs w:val="7"/>
                <w:color w:val="auto"/>
              </w:rPr>
              <w:t>____________________________</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5" w:lineRule="exact"/>
        <w:rPr>
          <w:sz w:val="20"/>
          <w:szCs w:val="20"/>
          <w:color w:val="auto"/>
        </w:rPr>
      </w:pPr>
    </w:p>
    <w:p>
      <w:pPr>
        <w:ind w:left="227" w:hanging="227"/>
        <w:spacing w:after="0"/>
        <w:tabs>
          <w:tab w:leader="none" w:pos="227" w:val="left"/>
        </w:tabs>
        <w:numPr>
          <w:ilvl w:val="0"/>
          <w:numId w:val="28"/>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Net income and EPS attributable to Xerox Holdings.</w:t>
      </w:r>
    </w:p>
    <w:p>
      <w:pPr>
        <w:ind w:left="227" w:hanging="227"/>
        <w:spacing w:after="0" w:line="190" w:lineRule="auto"/>
        <w:tabs>
          <w:tab w:leader="none" w:pos="227" w:val="left"/>
        </w:tabs>
        <w:numPr>
          <w:ilvl w:val="0"/>
          <w:numId w:val="28"/>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Refer to Effective Tax Rate reconciliation.</w:t>
      </w:r>
    </w:p>
    <w:p>
      <w:pPr>
        <w:ind w:left="227" w:hanging="227"/>
        <w:spacing w:after="0" w:line="190" w:lineRule="auto"/>
        <w:tabs>
          <w:tab w:leader="none" w:pos="227" w:val="left"/>
        </w:tabs>
        <w:numPr>
          <w:ilvl w:val="0"/>
          <w:numId w:val="28"/>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Other charges represent costs associated with the terminated combination transaction.</w:t>
      </w:r>
    </w:p>
    <w:p>
      <w:pPr>
        <w:ind w:left="227" w:hanging="227"/>
        <w:spacing w:after="0" w:line="190" w:lineRule="auto"/>
        <w:tabs>
          <w:tab w:leader="none" w:pos="227" w:val="left"/>
        </w:tabs>
        <w:numPr>
          <w:ilvl w:val="0"/>
          <w:numId w:val="28"/>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For those periods that exclude the preferred stock dividend, the average shares for the calculations of diluted EPS include 7 million shares associated with our Series A convertible preferred stock, as applicable.</w:t>
      </w:r>
    </w:p>
    <w:p>
      <w:pPr>
        <w:ind w:left="227" w:hanging="227"/>
        <w:spacing w:after="0" w:line="220" w:lineRule="auto"/>
        <w:tabs>
          <w:tab w:leader="none" w:pos="227" w:val="left"/>
        </w:tabs>
        <w:numPr>
          <w:ilvl w:val="0"/>
          <w:numId w:val="28"/>
        </w:numPr>
        <w:rPr>
          <w:rFonts w:ascii="Arial" w:cs="Arial" w:eastAsia="Arial" w:hAnsi="Arial"/>
          <w:sz w:val="11"/>
          <w:szCs w:val="11"/>
          <w:i w:val="1"/>
          <w:iCs w:val="1"/>
          <w:color w:val="auto"/>
          <w:vertAlign w:val="superscript"/>
        </w:rPr>
      </w:pPr>
      <w:r>
        <w:rPr>
          <w:rFonts w:ascii="Arial" w:cs="Arial" w:eastAsia="Arial" w:hAnsi="Arial"/>
          <w:sz w:val="9"/>
          <w:szCs w:val="9"/>
          <w:i w:val="1"/>
          <w:iCs w:val="1"/>
          <w:color w:val="auto"/>
        </w:rPr>
        <w:t>Represents common shares outstanding at September 30, 2019 as well as shares associated with our Series A convertible preferred stock plus potential dilutive common shares as used for the calculation of diluted earnings per share for the third quarter 2019.</w:t>
      </w:r>
    </w:p>
    <w:p>
      <w:pPr>
        <w:spacing w:after="0" w:line="270"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Effective Tax Rate reconciliation</w:t>
      </w:r>
    </w:p>
    <w:p>
      <w:pPr>
        <w:spacing w:after="0" w:line="128"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91"/>
              <w:spacing w:after="0"/>
              <w:rPr>
                <w:sz w:val="20"/>
                <w:szCs w:val="20"/>
                <w:color w:val="auto"/>
              </w:rPr>
            </w:pPr>
            <w:r>
              <w:rPr>
                <w:rFonts w:ascii="Arial" w:cs="Arial" w:eastAsia="Arial" w:hAnsi="Arial"/>
                <w:sz w:val="10"/>
                <w:szCs w:val="10"/>
                <w:color w:val="auto"/>
                <w:w w:val="96"/>
              </w:rPr>
              <w:t>Three Months Ended</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right"/>
              <w:ind w:right="51"/>
              <w:spacing w:after="0"/>
              <w:rPr>
                <w:sz w:val="20"/>
                <w:szCs w:val="20"/>
                <w:color w:val="auto"/>
              </w:rPr>
            </w:pPr>
            <w:r>
              <w:rPr>
                <w:rFonts w:ascii="Arial" w:cs="Arial" w:eastAsia="Arial" w:hAnsi="Arial"/>
                <w:sz w:val="10"/>
                <w:szCs w:val="10"/>
                <w:color w:val="auto"/>
                <w:w w:val="98"/>
              </w:rPr>
              <w:t>Three Months Ended</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0"/>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99"/>
              </w:rPr>
              <w:t>September 30, 2019</w:t>
            </w: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September 30, 2018</w:t>
            </w: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124"/>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ind w:left="180"/>
              <w:spacing w:after="0"/>
              <w:rPr>
                <w:sz w:val="20"/>
                <w:szCs w:val="20"/>
                <w:color w:val="auto"/>
              </w:rPr>
            </w:pPr>
            <w:r>
              <w:rPr>
                <w:rFonts w:ascii="Arial" w:cs="Arial" w:eastAsia="Arial" w:hAnsi="Arial"/>
                <w:sz w:val="10"/>
                <w:szCs w:val="10"/>
                <w:color w:val="auto"/>
              </w:rPr>
              <w:t>Pre-Tax</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rPr>
              <w:t>Income</w:t>
            </w:r>
          </w:p>
        </w:tc>
        <w:tc>
          <w:tcPr>
            <w:tcW w:w="120" w:type="dxa"/>
            <w:vAlign w:val="bottom"/>
            <w:tcBorders>
              <w:bottom w:val="single" w:sz="8" w:color="E5E5E5"/>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97"/>
              </w:rPr>
              <w:t>Income Tax Expense</w:t>
            </w:r>
          </w:p>
        </w:tc>
        <w:tc>
          <w:tcPr>
            <w:tcW w:w="120" w:type="dxa"/>
            <w:vAlign w:val="bottom"/>
            <w:tcBorders>
              <w:bottom w:val="single" w:sz="8" w:color="E5E5E5"/>
            </w:tcBorders>
          </w:tcPr>
          <w:p>
            <w:pPr>
              <w:spacing w:after="0"/>
              <w:rPr>
                <w:sz w:val="10"/>
                <w:szCs w:val="10"/>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Effective Tax Rate</w:t>
            </w:r>
          </w:p>
        </w:tc>
        <w:tc>
          <w:tcPr>
            <w:tcW w:w="120" w:type="dxa"/>
            <w:vAlign w:val="bottom"/>
            <w:tcBorders>
              <w:bottom w:val="single" w:sz="8" w:color="E5E5E5"/>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Pre-Tax Income</w:t>
            </w:r>
          </w:p>
        </w:tc>
        <w:tc>
          <w:tcPr>
            <w:tcW w:w="120" w:type="dxa"/>
            <w:vAlign w:val="bottom"/>
            <w:tcBorders>
              <w:bottom w:val="single" w:sz="8" w:color="E5E5E5"/>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97"/>
              </w:rPr>
              <w:t>Income Tax Expense</w:t>
            </w:r>
          </w:p>
        </w:tc>
        <w:tc>
          <w:tcPr>
            <w:tcW w:w="120" w:type="dxa"/>
            <w:vAlign w:val="bottom"/>
            <w:tcBorders>
              <w:bottom w:val="single" w:sz="8" w:color="E5E5E5"/>
            </w:tcBorders>
          </w:tcPr>
          <w:p>
            <w:pPr>
              <w:spacing w:after="0"/>
              <w:rPr>
                <w:sz w:val="10"/>
                <w:szCs w:val="10"/>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Effective Tax Rate</w:t>
            </w:r>
          </w:p>
        </w:tc>
      </w:tr>
      <w:tr>
        <w:trPr>
          <w:trHeight w:val="167"/>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Reported</w:t>
            </w:r>
          </w:p>
        </w:tc>
        <w:tc>
          <w:tcPr>
            <w:tcW w:w="240" w:type="dxa"/>
            <w:vAlign w:val="bottom"/>
            <w:shd w:val="clear" w:color="auto" w:fill="E5E5E5"/>
          </w:tcPr>
          <w:p>
            <w:pPr>
              <w:jc w:val="right"/>
              <w:ind w:right="111"/>
              <w:spacing w:after="0"/>
              <w:rPr>
                <w:sz w:val="20"/>
                <w:szCs w:val="20"/>
                <w:color w:val="auto"/>
              </w:rPr>
            </w:pPr>
            <w:r>
              <w:rPr>
                <w:rFonts w:ascii="Arial" w:cs="Arial" w:eastAsia="Arial" w:hAnsi="Arial"/>
                <w:sz w:val="10"/>
                <w:szCs w:val="10"/>
                <w:color w:val="auto"/>
              </w:rPr>
              <w:t>$</w:t>
            </w:r>
          </w:p>
        </w:tc>
        <w:tc>
          <w:tcPr>
            <w:tcW w:w="92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230</w:t>
            </w:r>
          </w:p>
        </w:tc>
        <w:tc>
          <w:tcPr>
            <w:tcW w:w="120" w:type="dxa"/>
            <w:vAlign w:val="bottom"/>
            <w:shd w:val="clear" w:color="auto" w:fill="E5E5E5"/>
          </w:tcPr>
          <w:p>
            <w:pPr>
              <w:spacing w:after="0"/>
              <w:rPr>
                <w:sz w:val="14"/>
                <w:szCs w:val="14"/>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w:t>
            </w:r>
          </w:p>
        </w:tc>
        <w:tc>
          <w:tcPr>
            <w:tcW w:w="10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66</w:t>
            </w:r>
          </w:p>
        </w:tc>
        <w:tc>
          <w:tcPr>
            <w:tcW w:w="1280" w:type="dxa"/>
            <w:vAlign w:val="bottom"/>
            <w:gridSpan w:val="2"/>
            <w:shd w:val="clear" w:color="auto" w:fill="E5E5E5"/>
          </w:tcPr>
          <w:p>
            <w:pPr>
              <w:jc w:val="right"/>
              <w:spacing w:after="0"/>
              <w:rPr>
                <w:sz w:val="20"/>
                <w:szCs w:val="20"/>
                <w:color w:val="auto"/>
              </w:rPr>
            </w:pPr>
            <w:r>
              <w:rPr>
                <w:rFonts w:ascii="Arial" w:cs="Arial" w:eastAsia="Arial" w:hAnsi="Arial"/>
                <w:sz w:val="10"/>
                <w:szCs w:val="10"/>
                <w:color w:val="auto"/>
              </w:rPr>
              <w:t>28.7%</w:t>
            </w:r>
          </w:p>
        </w:tc>
        <w:tc>
          <w:tcPr>
            <w:tcW w:w="120" w:type="dxa"/>
            <w:vAlign w:val="bottom"/>
            <w:shd w:val="clear" w:color="auto" w:fill="E5E5E5"/>
          </w:tcPr>
          <w:p>
            <w:pPr>
              <w:spacing w:after="0"/>
              <w:rPr>
                <w:sz w:val="14"/>
                <w:szCs w:val="14"/>
                <w:color w:val="auto"/>
              </w:rPr>
            </w:pPr>
          </w:p>
        </w:tc>
        <w:tc>
          <w:tcPr>
            <w:tcW w:w="14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192</w:t>
            </w:r>
          </w:p>
        </w:tc>
        <w:tc>
          <w:tcPr>
            <w:tcW w:w="120" w:type="dxa"/>
            <w:vAlign w:val="bottom"/>
            <w:shd w:val="clear" w:color="auto" w:fill="E5E5E5"/>
          </w:tcPr>
          <w:p>
            <w:pPr>
              <w:spacing w:after="0"/>
              <w:rPr>
                <w:sz w:val="14"/>
                <w:szCs w:val="14"/>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142</w:t>
            </w:r>
          </w:p>
        </w:tc>
        <w:tc>
          <w:tcPr>
            <w:tcW w:w="1260" w:type="dxa"/>
            <w:vAlign w:val="bottom"/>
            <w:gridSpan w:val="2"/>
            <w:shd w:val="clear" w:color="auto" w:fill="E5E5E5"/>
          </w:tcPr>
          <w:p>
            <w:pPr>
              <w:jc w:val="right"/>
              <w:spacing w:after="0"/>
              <w:rPr>
                <w:sz w:val="20"/>
                <w:szCs w:val="20"/>
                <w:color w:val="auto"/>
              </w:rPr>
            </w:pPr>
            <w:r>
              <w:rPr>
                <w:rFonts w:ascii="Arial" w:cs="Arial" w:eastAsia="Arial" w:hAnsi="Arial"/>
                <w:sz w:val="10"/>
                <w:szCs w:val="10"/>
                <w:color w:val="auto"/>
              </w:rPr>
              <w:t>74.0%</w:t>
            </w:r>
          </w:p>
        </w:tc>
      </w:tr>
      <w:tr>
        <w:trPr>
          <w:trHeight w:val="182"/>
        </w:trPr>
        <w:tc>
          <w:tcPr>
            <w:tcW w:w="4020" w:type="dxa"/>
            <w:vAlign w:val="bottom"/>
            <w:gridSpan w:val="2"/>
          </w:tcPr>
          <w:p>
            <w:pPr>
              <w:ind w:left="20"/>
              <w:spacing w:after="0"/>
              <w:rPr>
                <w:sz w:val="20"/>
                <w:szCs w:val="20"/>
                <w:color w:val="auto"/>
              </w:rPr>
            </w:pPr>
            <w:r>
              <w:rPr>
                <w:rFonts w:ascii="Arial" w:cs="Arial" w:eastAsia="Arial" w:hAnsi="Arial"/>
                <w:sz w:val="10"/>
                <w:szCs w:val="10"/>
                <w:color w:val="auto"/>
              </w:rPr>
              <w:t>Non-GAAP Adjustments</w:t>
            </w:r>
            <w:r>
              <w:rPr>
                <w:rFonts w:ascii="Arial" w:cs="Arial" w:eastAsia="Arial" w:hAnsi="Arial"/>
                <w:sz w:val="12"/>
                <w:szCs w:val="12"/>
                <w:color w:val="auto"/>
                <w:vertAlign w:val="superscript"/>
              </w:rPr>
              <w:t>(1)</w:t>
            </w:r>
          </w:p>
        </w:tc>
        <w:tc>
          <w:tcPr>
            <w:tcW w:w="240" w:type="dxa"/>
            <w:vAlign w:val="bottom"/>
          </w:tcPr>
          <w:p>
            <w:pPr>
              <w:spacing w:after="0"/>
              <w:rPr>
                <w:sz w:val="15"/>
                <w:szCs w:val="15"/>
                <w:color w:val="auto"/>
              </w:rPr>
            </w:pPr>
          </w:p>
        </w:tc>
        <w:tc>
          <w:tcPr>
            <w:tcW w:w="920" w:type="dxa"/>
            <w:vAlign w:val="bottom"/>
          </w:tcPr>
          <w:p>
            <w:pPr>
              <w:jc w:val="right"/>
              <w:ind w:right="71"/>
              <w:spacing w:after="0"/>
              <w:rPr>
                <w:sz w:val="20"/>
                <w:szCs w:val="20"/>
                <w:color w:val="auto"/>
              </w:rPr>
            </w:pPr>
            <w:r>
              <w:rPr>
                <w:rFonts w:ascii="Arial" w:cs="Arial" w:eastAsia="Arial" w:hAnsi="Arial"/>
                <w:sz w:val="10"/>
                <w:szCs w:val="10"/>
                <w:color w:val="auto"/>
              </w:rPr>
              <w:t>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7</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0"/>
                <w:szCs w:val="10"/>
                <w:color w:val="auto"/>
              </w:rPr>
              <w:t>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51"/>
              <w:spacing w:after="0"/>
              <w:rPr>
                <w:sz w:val="20"/>
                <w:szCs w:val="20"/>
                <w:color w:val="auto"/>
              </w:rPr>
            </w:pPr>
            <w:r>
              <w:rPr>
                <w:rFonts w:ascii="Arial" w:cs="Arial" w:eastAsia="Arial" w:hAnsi="Arial"/>
                <w:sz w:val="10"/>
                <w:szCs w:val="10"/>
                <w:color w:val="auto"/>
              </w:rPr>
              <w:t>10</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Tax Act</w:t>
            </w:r>
          </w:p>
        </w:tc>
        <w:tc>
          <w:tcPr>
            <w:tcW w:w="240" w:type="dxa"/>
            <w:vAlign w:val="bottom"/>
            <w:shd w:val="clear" w:color="auto" w:fill="E5E5E5"/>
          </w:tcPr>
          <w:p>
            <w:pPr>
              <w:spacing w:after="0"/>
              <w:rPr>
                <w:sz w:val="15"/>
                <w:szCs w:val="15"/>
                <w:color w:val="auto"/>
              </w:rPr>
            </w:pPr>
          </w:p>
        </w:tc>
        <w:tc>
          <w:tcPr>
            <w:tcW w:w="104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100" w:type="dxa"/>
            <w:vAlign w:val="bottom"/>
            <w:gridSpan w:val="2"/>
            <w:shd w:val="clear" w:color="auto" w:fill="E5E5E5"/>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E5E5E5"/>
          </w:tcPr>
          <w:p>
            <w:pPr>
              <w:spacing w:after="0"/>
              <w:rPr>
                <w:sz w:val="15"/>
                <w:szCs w:val="15"/>
                <w:color w:val="auto"/>
              </w:rPr>
            </w:pPr>
          </w:p>
        </w:tc>
        <w:tc>
          <w:tcPr>
            <w:tcW w:w="104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(95)</w:t>
            </w:r>
          </w:p>
        </w:tc>
        <w:tc>
          <w:tcPr>
            <w:tcW w:w="12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r>
      <w:tr>
        <w:trPr>
          <w:trHeight w:val="161"/>
        </w:trPr>
        <w:tc>
          <w:tcPr>
            <w:tcW w:w="4020" w:type="dxa"/>
            <w:vAlign w:val="bottom"/>
            <w:gridSpan w:val="2"/>
          </w:tcPr>
          <w:p>
            <w:pPr>
              <w:ind w:left="20"/>
              <w:spacing w:after="0"/>
              <w:rPr>
                <w:sz w:val="20"/>
                <w:szCs w:val="20"/>
                <w:color w:val="auto"/>
              </w:rPr>
            </w:pPr>
            <w:r>
              <w:rPr>
                <w:rFonts w:ascii="Arial" w:cs="Arial" w:eastAsia="Arial" w:hAnsi="Arial"/>
                <w:sz w:val="10"/>
                <w:szCs w:val="10"/>
                <w:b w:val="1"/>
                <w:bCs w:val="1"/>
                <w:color w:val="auto"/>
              </w:rPr>
              <w:t>Adjusted</w:t>
            </w:r>
            <w:r>
              <w:rPr>
                <w:rFonts w:ascii="Arial" w:cs="Arial" w:eastAsia="Arial" w:hAnsi="Arial"/>
                <w:sz w:val="12"/>
                <w:szCs w:val="12"/>
                <w:b w:val="1"/>
                <w:bCs w:val="1"/>
                <w:color w:val="auto"/>
                <w:vertAlign w:val="superscript"/>
              </w:rPr>
              <w:t>(2)</w:t>
            </w:r>
          </w:p>
        </w:tc>
        <w:tc>
          <w:tcPr>
            <w:tcW w:w="2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260</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69</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26.5%</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233</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57</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24.5%</w:t>
            </w:r>
          </w:p>
        </w:tc>
      </w:tr>
      <w:tr>
        <w:trPr>
          <w:trHeight w:val="82"/>
        </w:trPr>
        <w:tc>
          <w:tcPr>
            <w:tcW w:w="3900" w:type="dxa"/>
            <w:vAlign w:val="bottom"/>
          </w:tcPr>
          <w:p>
            <w:pPr>
              <w:spacing w:after="0"/>
              <w:rPr>
                <w:sz w:val="20"/>
                <w:szCs w:val="20"/>
                <w:color w:val="auto"/>
              </w:rPr>
            </w:pPr>
            <w:r>
              <w:rPr>
                <w:rFonts w:ascii="Arial" w:cs="Arial" w:eastAsia="Arial" w:hAnsi="Arial"/>
                <w:sz w:val="7"/>
                <w:szCs w:val="7"/>
                <w:color w:val="auto"/>
              </w:rPr>
              <w:t>____________________________</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ind w:left="87" w:hanging="87"/>
        <w:spacing w:after="0" w:line="235" w:lineRule="auto"/>
        <w:tabs>
          <w:tab w:leader="none" w:pos="87" w:val="left"/>
        </w:tabs>
        <w:numPr>
          <w:ilvl w:val="0"/>
          <w:numId w:val="29"/>
        </w:numPr>
        <w:rPr>
          <w:rFonts w:ascii="Arial" w:cs="Arial" w:eastAsia="Arial" w:hAnsi="Arial"/>
          <w:sz w:val="10"/>
          <w:szCs w:val="10"/>
          <w:i w:val="1"/>
          <w:iCs w:val="1"/>
          <w:color w:val="auto"/>
          <w:vertAlign w:val="superscript"/>
        </w:rPr>
      </w:pPr>
      <w:r>
        <w:rPr>
          <w:rFonts w:ascii="Arial" w:cs="Arial" w:eastAsia="Arial" w:hAnsi="Arial"/>
          <w:sz w:val="8"/>
          <w:szCs w:val="8"/>
          <w:i w:val="1"/>
          <w:iCs w:val="1"/>
          <w:color w:val="auto"/>
        </w:rPr>
        <w:t>Refer to Net Income and EPS reconciliation for details.</w:t>
      </w:r>
    </w:p>
    <w:p>
      <w:pPr>
        <w:ind w:left="227" w:hanging="227"/>
        <w:spacing w:after="0" w:line="201" w:lineRule="auto"/>
        <w:tabs>
          <w:tab w:leader="none" w:pos="227" w:val="left"/>
        </w:tabs>
        <w:numPr>
          <w:ilvl w:val="0"/>
          <w:numId w:val="29"/>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The tax impact on Adjusted Pre-Tax Income is calculated under the same accounting principles applied to the Reported Pre-Tax Income under ASC 740, which employs an annual effective tax rate method to the results.</w:t>
      </w:r>
    </w:p>
    <w:p>
      <w:pPr>
        <w:spacing w:after="0" w:line="160"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Operating Income / Margin reconciliation</w:t>
      </w:r>
    </w:p>
    <w:p>
      <w:pPr>
        <w:spacing w:after="0" w:line="128"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71"/>
              <w:spacing w:after="0"/>
              <w:rPr>
                <w:sz w:val="20"/>
                <w:szCs w:val="20"/>
                <w:color w:val="auto"/>
              </w:rPr>
            </w:pPr>
            <w:r>
              <w:rPr>
                <w:rFonts w:ascii="Arial" w:cs="Arial" w:eastAsia="Arial" w:hAnsi="Arial"/>
                <w:sz w:val="10"/>
                <w:szCs w:val="10"/>
                <w:color w:val="auto"/>
                <w:w w:val="96"/>
              </w:rPr>
              <w:t>Three Months Ended</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right"/>
              <w:ind w:right="51"/>
              <w:spacing w:after="0"/>
              <w:rPr>
                <w:sz w:val="20"/>
                <w:szCs w:val="20"/>
                <w:color w:val="auto"/>
              </w:rPr>
            </w:pPr>
            <w:r>
              <w:rPr>
                <w:rFonts w:ascii="Arial" w:cs="Arial" w:eastAsia="Arial" w:hAnsi="Arial"/>
                <w:sz w:val="10"/>
                <w:szCs w:val="10"/>
                <w:color w:val="auto"/>
                <w:w w:val="98"/>
              </w:rPr>
              <w:t>Three Months Ended</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0"/>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51"/>
              <w:spacing w:after="0"/>
              <w:rPr>
                <w:sz w:val="20"/>
                <w:szCs w:val="20"/>
                <w:color w:val="auto"/>
              </w:rPr>
            </w:pPr>
            <w:r>
              <w:rPr>
                <w:rFonts w:ascii="Arial" w:cs="Arial" w:eastAsia="Arial" w:hAnsi="Arial"/>
                <w:sz w:val="10"/>
                <w:szCs w:val="10"/>
                <w:color w:val="auto"/>
                <w:w w:val="97"/>
              </w:rPr>
              <w:t>September 30, 2019</w:t>
            </w: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September 30, 2018</w:t>
            </w: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r>
        <w:trPr>
          <w:trHeight w:val="172"/>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Profit</w:t>
            </w:r>
          </w:p>
        </w:tc>
        <w:tc>
          <w:tcPr>
            <w:tcW w:w="120" w:type="dxa"/>
            <w:vAlign w:val="bottom"/>
            <w:tcBorders>
              <w:bottom w:val="single" w:sz="8" w:color="E5E5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1"/>
              <w:spacing w:after="0"/>
              <w:rPr>
                <w:sz w:val="20"/>
                <w:szCs w:val="20"/>
                <w:color w:val="auto"/>
              </w:rPr>
            </w:pPr>
            <w:r>
              <w:rPr>
                <w:rFonts w:ascii="Arial" w:cs="Arial" w:eastAsia="Arial" w:hAnsi="Arial"/>
                <w:sz w:val="10"/>
                <w:szCs w:val="10"/>
                <w:color w:val="auto"/>
                <w:w w:val="99"/>
              </w:rPr>
              <w:t>Revenue</w:t>
            </w:r>
          </w:p>
        </w:tc>
        <w:tc>
          <w:tcPr>
            <w:tcW w:w="120" w:type="dxa"/>
            <w:vAlign w:val="bottom"/>
            <w:tcBorders>
              <w:bottom w:val="single" w:sz="8" w:color="E5E5E5"/>
            </w:tcBorders>
          </w:tcPr>
          <w:p>
            <w:pPr>
              <w:spacing w:after="0"/>
              <w:rPr>
                <w:sz w:val="14"/>
                <w:szCs w:val="14"/>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Margin</w:t>
            </w:r>
          </w:p>
        </w:tc>
        <w:tc>
          <w:tcPr>
            <w:tcW w:w="120" w:type="dxa"/>
            <w:vAlign w:val="bottom"/>
            <w:tcBorders>
              <w:bottom w:val="single" w:sz="8" w:color="E5E5E5"/>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Profit</w:t>
            </w:r>
          </w:p>
        </w:tc>
        <w:tc>
          <w:tcPr>
            <w:tcW w:w="120" w:type="dxa"/>
            <w:vAlign w:val="bottom"/>
            <w:tcBorders>
              <w:bottom w:val="single" w:sz="8" w:color="E5E5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rPr>
              <w:t>Revenue</w:t>
            </w:r>
          </w:p>
        </w:tc>
        <w:tc>
          <w:tcPr>
            <w:tcW w:w="120" w:type="dxa"/>
            <w:vAlign w:val="bottom"/>
            <w:tcBorders>
              <w:bottom w:val="single" w:sz="8" w:color="E5E5E5"/>
            </w:tcBorders>
          </w:tcPr>
          <w:p>
            <w:pPr>
              <w:spacing w:after="0"/>
              <w:rPr>
                <w:sz w:val="14"/>
                <w:szCs w:val="14"/>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rPr>
              <w:t>Margin</w:t>
            </w:r>
          </w:p>
        </w:tc>
      </w:tr>
      <w:tr>
        <w:trPr>
          <w:trHeight w:val="167"/>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Reported</w:t>
            </w:r>
            <w:r>
              <w:rPr>
                <w:rFonts w:ascii="Arial" w:cs="Arial" w:eastAsia="Arial" w:hAnsi="Arial"/>
                <w:sz w:val="12"/>
                <w:szCs w:val="12"/>
                <w:b w:val="1"/>
                <w:bCs w:val="1"/>
                <w:color w:val="auto"/>
                <w:vertAlign w:val="superscript"/>
              </w:rPr>
              <w:t>(1)</w:t>
            </w:r>
          </w:p>
        </w:tc>
        <w:tc>
          <w:tcPr>
            <w:tcW w:w="280" w:type="dxa"/>
            <w:vAlign w:val="bottom"/>
            <w:shd w:val="clear" w:color="auto" w:fill="E5E5E5"/>
          </w:tcPr>
          <w:p>
            <w:pPr>
              <w:jc w:val="right"/>
              <w:ind w:right="151"/>
              <w:spacing w:after="0"/>
              <w:rPr>
                <w:sz w:val="20"/>
                <w:szCs w:val="20"/>
                <w:color w:val="auto"/>
              </w:rPr>
            </w:pPr>
            <w:r>
              <w:rPr>
                <w:rFonts w:ascii="Arial" w:cs="Arial" w:eastAsia="Arial" w:hAnsi="Arial"/>
                <w:sz w:val="10"/>
                <w:szCs w:val="10"/>
                <w:color w:val="auto"/>
              </w:rPr>
              <w:t>$</w:t>
            </w:r>
          </w:p>
        </w:tc>
        <w:tc>
          <w:tcPr>
            <w:tcW w:w="8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230</w:t>
            </w:r>
          </w:p>
        </w:tc>
        <w:tc>
          <w:tcPr>
            <w:tcW w:w="120" w:type="dxa"/>
            <w:vAlign w:val="bottom"/>
            <w:shd w:val="clear" w:color="auto" w:fill="E5E5E5"/>
          </w:tcPr>
          <w:p>
            <w:pPr>
              <w:spacing w:after="0"/>
              <w:rPr>
                <w:sz w:val="14"/>
                <w:szCs w:val="14"/>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0"/>
                <w:szCs w:val="10"/>
                <w:color w:val="auto"/>
              </w:rPr>
              <w:t>$</w:t>
            </w:r>
          </w:p>
        </w:tc>
        <w:tc>
          <w:tcPr>
            <w:tcW w:w="10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2,200</w:t>
            </w:r>
          </w:p>
        </w:tc>
        <w:tc>
          <w:tcPr>
            <w:tcW w:w="1280" w:type="dxa"/>
            <w:vAlign w:val="bottom"/>
            <w:gridSpan w:val="2"/>
            <w:shd w:val="clear" w:color="auto" w:fill="E5E5E5"/>
          </w:tcPr>
          <w:p>
            <w:pPr>
              <w:jc w:val="right"/>
              <w:spacing w:after="0"/>
              <w:rPr>
                <w:sz w:val="20"/>
                <w:szCs w:val="20"/>
                <w:color w:val="auto"/>
              </w:rPr>
            </w:pPr>
            <w:r>
              <w:rPr>
                <w:rFonts w:ascii="Arial" w:cs="Arial" w:eastAsia="Arial" w:hAnsi="Arial"/>
                <w:sz w:val="10"/>
                <w:szCs w:val="10"/>
                <w:color w:val="auto"/>
              </w:rPr>
              <w:t>10.5%</w:t>
            </w:r>
          </w:p>
        </w:tc>
        <w:tc>
          <w:tcPr>
            <w:tcW w:w="120" w:type="dxa"/>
            <w:vAlign w:val="bottom"/>
            <w:shd w:val="clear" w:color="auto" w:fill="E5E5E5"/>
          </w:tcPr>
          <w:p>
            <w:pPr>
              <w:spacing w:after="0"/>
              <w:rPr>
                <w:sz w:val="14"/>
                <w:szCs w:val="14"/>
                <w:color w:val="auto"/>
              </w:rPr>
            </w:pPr>
          </w:p>
        </w:tc>
        <w:tc>
          <w:tcPr>
            <w:tcW w:w="260" w:type="dxa"/>
            <w:vAlign w:val="bottom"/>
            <w:shd w:val="clear" w:color="auto" w:fill="E5E5E5"/>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192</w:t>
            </w:r>
          </w:p>
        </w:tc>
        <w:tc>
          <w:tcPr>
            <w:tcW w:w="120" w:type="dxa"/>
            <w:vAlign w:val="bottom"/>
            <w:shd w:val="clear" w:color="auto" w:fill="E5E5E5"/>
          </w:tcPr>
          <w:p>
            <w:pPr>
              <w:spacing w:after="0"/>
              <w:rPr>
                <w:sz w:val="14"/>
                <w:szCs w:val="14"/>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2,352</w:t>
            </w:r>
          </w:p>
        </w:tc>
        <w:tc>
          <w:tcPr>
            <w:tcW w:w="1260" w:type="dxa"/>
            <w:vAlign w:val="bottom"/>
            <w:gridSpan w:val="2"/>
            <w:shd w:val="clear" w:color="auto" w:fill="E5E5E5"/>
          </w:tcPr>
          <w:p>
            <w:pPr>
              <w:jc w:val="right"/>
              <w:spacing w:after="0"/>
              <w:rPr>
                <w:sz w:val="20"/>
                <w:szCs w:val="20"/>
                <w:color w:val="auto"/>
              </w:rPr>
            </w:pPr>
            <w:r>
              <w:rPr>
                <w:rFonts w:ascii="Arial" w:cs="Arial" w:eastAsia="Arial" w:hAnsi="Arial"/>
                <w:sz w:val="10"/>
                <w:szCs w:val="10"/>
                <w:color w:val="auto"/>
              </w:rPr>
              <w:t>8.2%</w:t>
            </w:r>
          </w:p>
        </w:tc>
      </w:tr>
      <w:tr>
        <w:trPr>
          <w:trHeight w:val="178"/>
        </w:trPr>
        <w:tc>
          <w:tcPr>
            <w:tcW w:w="4020" w:type="dxa"/>
            <w:vAlign w:val="bottom"/>
            <w:gridSpan w:val="2"/>
          </w:tcPr>
          <w:p>
            <w:pPr>
              <w:ind w:left="20"/>
              <w:spacing w:after="0"/>
              <w:rPr>
                <w:sz w:val="20"/>
                <w:szCs w:val="20"/>
                <w:color w:val="auto"/>
              </w:rPr>
            </w:pPr>
            <w:r>
              <w:rPr>
                <w:rFonts w:ascii="Arial" w:cs="Arial" w:eastAsia="Arial" w:hAnsi="Arial"/>
                <w:sz w:val="10"/>
                <w:szCs w:val="10"/>
                <w:b w:val="1"/>
                <w:bCs w:val="1"/>
                <w:color w:val="auto"/>
              </w:rPr>
              <w:t>Adjustments: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7"/>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Restructuring and related costs</w:t>
            </w: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27</w:t>
            </w: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29</w:t>
            </w: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r>
      <w:tr>
        <w:trPr>
          <w:trHeight w:val="178"/>
        </w:trPr>
        <w:tc>
          <w:tcPr>
            <w:tcW w:w="4020" w:type="dxa"/>
            <w:vAlign w:val="bottom"/>
            <w:gridSpan w:val="2"/>
          </w:tcPr>
          <w:p>
            <w:pPr>
              <w:ind w:left="20"/>
              <w:spacing w:after="0"/>
              <w:rPr>
                <w:sz w:val="20"/>
                <w:szCs w:val="20"/>
                <w:color w:val="auto"/>
              </w:rPr>
            </w:pPr>
            <w:r>
              <w:rPr>
                <w:rFonts w:ascii="Arial" w:cs="Arial" w:eastAsia="Arial" w:hAnsi="Arial"/>
                <w:sz w:val="10"/>
                <w:szCs w:val="10"/>
                <w:color w:val="auto"/>
              </w:rPr>
              <w:t>Amortization of intangible assets</w:t>
            </w:r>
          </w:p>
        </w:tc>
        <w:tc>
          <w:tcPr>
            <w:tcW w:w="28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7"/>
        </w:trPr>
        <w:tc>
          <w:tcPr>
            <w:tcW w:w="40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Transaction and related costs, net</w:t>
            </w:r>
          </w:p>
        </w:tc>
        <w:tc>
          <w:tcPr>
            <w:tcW w:w="280" w:type="dxa"/>
            <w:vAlign w:val="bottom"/>
            <w:shd w:val="clear" w:color="auto" w:fill="E5E5E5"/>
          </w:tcPr>
          <w:p>
            <w:pPr>
              <w:spacing w:after="0"/>
              <w:rPr>
                <w:sz w:val="16"/>
                <w:szCs w:val="16"/>
                <w:color w:val="auto"/>
              </w:rPr>
            </w:pPr>
          </w:p>
        </w:tc>
        <w:tc>
          <w:tcPr>
            <w:tcW w:w="8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(33)</w:t>
            </w:r>
          </w:p>
        </w:tc>
        <w:tc>
          <w:tcPr>
            <w:tcW w:w="1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r>
      <w:tr>
        <w:trPr>
          <w:trHeight w:val="178"/>
        </w:trPr>
        <w:tc>
          <w:tcPr>
            <w:tcW w:w="40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Other expenses, net</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w:t>
            </w:r>
          </w:p>
        </w:tc>
        <w:tc>
          <w:tcPr>
            <w:tcW w:w="120" w:type="dxa"/>
            <w:vAlign w:val="bottom"/>
            <w:tcBorders>
              <w:bottom w:val="single" w:sz="8" w:color="E5E5E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1160" w:type="dxa"/>
            <w:vAlign w:val="bottom"/>
            <w:tcBorders>
              <w:bottom w:val="single" w:sz="8" w:color="E5E5E5"/>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57</w:t>
            </w:r>
          </w:p>
        </w:tc>
        <w:tc>
          <w:tcPr>
            <w:tcW w:w="120" w:type="dxa"/>
            <w:vAlign w:val="bottom"/>
            <w:tcBorders>
              <w:bottom w:val="single" w:sz="8" w:color="E5E5E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1140" w:type="dxa"/>
            <w:vAlign w:val="bottom"/>
            <w:tcBorders>
              <w:bottom w:val="single" w:sz="8" w:color="E5E5E5"/>
            </w:tcBorders>
          </w:tcPr>
          <w:p>
            <w:pPr>
              <w:spacing w:after="0"/>
              <w:rPr>
                <w:sz w:val="15"/>
                <w:szCs w:val="15"/>
                <w:color w:val="auto"/>
              </w:rPr>
            </w:pPr>
          </w:p>
        </w:tc>
      </w:tr>
      <w:tr>
        <w:trPr>
          <w:trHeight w:val="178"/>
        </w:trPr>
        <w:tc>
          <w:tcPr>
            <w:tcW w:w="40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Adjusted</w:t>
            </w:r>
          </w:p>
        </w:tc>
        <w:tc>
          <w:tcPr>
            <w:tcW w:w="280" w:type="dxa"/>
            <w:vAlign w:val="bottom"/>
            <w:tcBorders>
              <w:bottom w:val="single" w:sz="8" w:color="auto"/>
            </w:tcBorders>
            <w:shd w:val="clear" w:color="auto" w:fill="E5E5E5"/>
          </w:tcPr>
          <w:p>
            <w:pPr>
              <w:jc w:val="right"/>
              <w:ind w:right="15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267</w:t>
            </w:r>
          </w:p>
        </w:tc>
        <w:tc>
          <w:tcPr>
            <w:tcW w:w="120" w:type="dxa"/>
            <w:vAlign w:val="bottom"/>
            <w:tcBorders>
              <w:bottom w:val="single" w:sz="8" w:color="E5E5E5"/>
            </w:tcBorders>
            <w:shd w:val="clear" w:color="auto" w:fill="E5E5E5"/>
          </w:tcPr>
          <w:p>
            <w:pPr>
              <w:spacing w:after="0"/>
              <w:rPr>
                <w:sz w:val="15"/>
                <w:szCs w:val="15"/>
                <w:color w:val="auto"/>
              </w:rPr>
            </w:pP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2,200</w:t>
            </w:r>
          </w:p>
        </w:tc>
        <w:tc>
          <w:tcPr>
            <w:tcW w:w="128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0"/>
                <w:szCs w:val="10"/>
                <w:color w:val="auto"/>
              </w:rPr>
              <w:t>12.1%</w:t>
            </w:r>
          </w:p>
        </w:tc>
        <w:tc>
          <w:tcPr>
            <w:tcW w:w="120" w:type="dxa"/>
            <w:vAlign w:val="bottom"/>
            <w:tcBorders>
              <w:bottom w:val="single" w:sz="8" w:color="E5E5E5"/>
            </w:tcBorders>
            <w:shd w:val="clear" w:color="auto" w:fill="E5E5E5"/>
          </w:tcPr>
          <w:p>
            <w:pPr>
              <w:spacing w:after="0"/>
              <w:rPr>
                <w:sz w:val="15"/>
                <w:szCs w:val="15"/>
                <w:color w:val="auto"/>
              </w:rPr>
            </w:pPr>
          </w:p>
        </w:tc>
        <w:tc>
          <w:tcPr>
            <w:tcW w:w="260" w:type="dxa"/>
            <w:vAlign w:val="bottom"/>
            <w:tcBorders>
              <w:bottom w:val="single" w:sz="8" w:color="auto"/>
            </w:tcBorders>
            <w:shd w:val="clear" w:color="auto" w:fill="E5E5E5"/>
          </w:tcPr>
          <w:p>
            <w:pPr>
              <w:jc w:val="right"/>
              <w:ind w:right="15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257</w:t>
            </w:r>
          </w:p>
        </w:tc>
        <w:tc>
          <w:tcPr>
            <w:tcW w:w="120" w:type="dxa"/>
            <w:vAlign w:val="bottom"/>
            <w:tcBorders>
              <w:bottom w:val="single" w:sz="8" w:color="E5E5E5"/>
            </w:tcBorders>
            <w:shd w:val="clear" w:color="auto" w:fill="E5E5E5"/>
          </w:tcPr>
          <w:p>
            <w:pPr>
              <w:spacing w:after="0"/>
              <w:rPr>
                <w:sz w:val="15"/>
                <w:szCs w:val="15"/>
                <w:color w:val="auto"/>
              </w:rPr>
            </w:pPr>
          </w:p>
        </w:tc>
        <w:tc>
          <w:tcPr>
            <w:tcW w:w="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2,352</w:t>
            </w:r>
          </w:p>
        </w:tc>
        <w:tc>
          <w:tcPr>
            <w:tcW w:w="12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0"/>
                <w:szCs w:val="10"/>
                <w:color w:val="auto"/>
              </w:rPr>
              <w:t>10.9%</w:t>
            </w:r>
          </w:p>
        </w:tc>
      </w:tr>
      <w:tr>
        <w:trPr>
          <w:trHeight w:val="69"/>
        </w:trPr>
        <w:tc>
          <w:tcPr>
            <w:tcW w:w="3900" w:type="dxa"/>
            <w:vAlign w:val="bottom"/>
          </w:tcPr>
          <w:p>
            <w:pPr>
              <w:spacing w:after="0" w:line="70" w:lineRule="exact"/>
              <w:rPr>
                <w:sz w:val="20"/>
                <w:szCs w:val="20"/>
                <w:color w:val="auto"/>
              </w:rPr>
            </w:pPr>
            <w:r>
              <w:rPr>
                <w:rFonts w:ascii="Arial" w:cs="Arial" w:eastAsia="Arial" w:hAnsi="Arial"/>
                <w:sz w:val="7"/>
                <w:szCs w:val="7"/>
                <w:color w:val="auto"/>
              </w:rPr>
              <w:t>____________________________</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r>
    </w:tbl>
    <w:p>
      <w:pPr>
        <w:ind w:left="227" w:hanging="227"/>
        <w:spacing w:after="0" w:line="207" w:lineRule="auto"/>
        <w:tabs>
          <w:tab w:leader="none" w:pos="227" w:val="left"/>
        </w:tabs>
        <w:numPr>
          <w:ilvl w:val="0"/>
          <w:numId w:val="30"/>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Pre-Tax Income and revenue.</w:t>
      </w: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7"/>
          </w:cols>
          <w:pgMar w:left="213" w:top="519" w:right="199" w:bottom="1440" w:gutter="0" w:footer="0" w:header="0"/>
        </w:sectPr>
      </w:pPr>
    </w:p>
    <w:bookmarkStart w:id="27" w:name="page28"/>
    <w:bookmarkEnd w:id="27"/>
    <w:p>
      <w:pPr>
        <w:ind w:left="7"/>
        <w:spacing w:after="0"/>
        <w:rPr>
          <w:sz w:val="20"/>
          <w:szCs w:val="20"/>
          <w:color w:val="auto"/>
        </w:rPr>
      </w:pPr>
      <w:r>
        <w:rPr>
          <w:rFonts w:ascii="Arial" w:cs="Arial" w:eastAsia="Arial" w:hAnsi="Arial"/>
          <w:sz w:val="12"/>
          <w:szCs w:val="12"/>
          <w:i w:val="1"/>
          <w:iCs w:val="1"/>
          <w:u w:val="single" w:color="auto"/>
          <w:color w:val="auto"/>
        </w:rPr>
        <w:t>Free Cash Flow reconciliation</w:t>
      </w:r>
    </w:p>
    <w:p>
      <w:pPr>
        <w:spacing w:after="0" w:line="164" w:lineRule="exact"/>
        <w:rPr>
          <w:sz w:val="20"/>
          <w:szCs w:val="20"/>
          <w:color w:val="auto"/>
        </w:rPr>
      </w:pPr>
    </w:p>
    <w:p>
      <w:pPr>
        <w:ind w:left="9587"/>
        <w:spacing w:after="0"/>
        <w:rPr>
          <w:sz w:val="20"/>
          <w:szCs w:val="20"/>
          <w:color w:val="auto"/>
        </w:rPr>
      </w:pPr>
      <w:r>
        <w:rPr>
          <w:rFonts w:ascii="Arial" w:cs="Arial" w:eastAsia="Arial" w:hAnsi="Arial"/>
          <w:sz w:val="10"/>
          <w:szCs w:val="10"/>
          <w:color w:val="auto"/>
        </w:rPr>
        <w:t>Three Months Ended</w:t>
      </w:r>
    </w:p>
    <w:p>
      <w:pPr>
        <w:ind w:left="9747"/>
        <w:spacing w:after="0"/>
        <w:rPr>
          <w:sz w:val="20"/>
          <w:szCs w:val="20"/>
          <w:color w:val="auto"/>
        </w:rPr>
      </w:pPr>
      <w:r>
        <w:rPr>
          <w:rFonts w:ascii="Arial" w:cs="Arial" w:eastAsia="Arial" w:hAnsi="Arial"/>
          <w:sz w:val="10"/>
          <w:szCs w:val="10"/>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5715</wp:posOffset>
            </wp:positionV>
            <wp:extent cx="18186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18640" cy="5715"/>
                    </a:xfrm>
                    <a:prstGeom prst="rect">
                      <a:avLst/>
                    </a:prstGeom>
                    <a:noFill/>
                  </pic:spPr>
                </pic:pic>
              </a:graphicData>
            </a:graphic>
          </wp:anchor>
        </w:drawing>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120"/>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E5E5E5"/>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0"/>
                <w:szCs w:val="10"/>
                <w:color w:val="auto"/>
              </w:rPr>
              <w:t>2018</w:t>
            </w:r>
          </w:p>
        </w:tc>
      </w:tr>
      <w:tr>
        <w:trPr>
          <w:trHeight w:val="167"/>
        </w:trPr>
        <w:tc>
          <w:tcPr>
            <w:tcW w:w="862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Reported</w:t>
            </w:r>
            <w:r>
              <w:rPr>
                <w:rFonts w:ascii="Arial" w:cs="Arial" w:eastAsia="Arial" w:hAnsi="Arial"/>
                <w:sz w:val="12"/>
                <w:szCs w:val="12"/>
                <w:b w:val="1"/>
                <w:bCs w:val="1"/>
                <w:color w:val="auto"/>
                <w:vertAlign w:val="superscript"/>
              </w:rPr>
              <w:t>(1)</w:t>
            </w:r>
          </w:p>
        </w:tc>
        <w:tc>
          <w:tcPr>
            <w:tcW w:w="320" w:type="dxa"/>
            <w:vAlign w:val="bottom"/>
            <w:shd w:val="clear" w:color="auto" w:fill="E5E5E5"/>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356</w:t>
            </w:r>
          </w:p>
        </w:tc>
        <w:tc>
          <w:tcPr>
            <w:tcW w:w="120" w:type="dxa"/>
            <w:vAlign w:val="bottom"/>
            <w:shd w:val="clear" w:color="auto" w:fill="E5E5E5"/>
          </w:tcPr>
          <w:p>
            <w:pPr>
              <w:spacing w:after="0"/>
              <w:rPr>
                <w:sz w:val="14"/>
                <w:szCs w:val="14"/>
                <w:color w:val="auto"/>
              </w:rPr>
            </w:pPr>
          </w:p>
        </w:tc>
        <w:tc>
          <w:tcPr>
            <w:tcW w:w="320" w:type="dxa"/>
            <w:vAlign w:val="bottom"/>
            <w:shd w:val="clear" w:color="auto" w:fill="E5E5E5"/>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274</w:t>
            </w:r>
          </w:p>
        </w:tc>
      </w:tr>
      <w:tr>
        <w:trPr>
          <w:trHeight w:val="178"/>
        </w:trPr>
        <w:tc>
          <w:tcPr>
            <w:tcW w:w="86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Capital Expenditures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(17)</w:t>
            </w:r>
          </w:p>
        </w:tc>
        <w:tc>
          <w:tcPr>
            <w:tcW w:w="1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(23)</w:t>
            </w:r>
          </w:p>
        </w:tc>
      </w:tr>
      <w:tr>
        <w:trPr>
          <w:trHeight w:val="178"/>
        </w:trPr>
        <w:tc>
          <w:tcPr>
            <w:tcW w:w="86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Free Cash Flow</w:t>
            </w:r>
          </w:p>
        </w:tc>
        <w:tc>
          <w:tcPr>
            <w:tcW w:w="320" w:type="dxa"/>
            <w:vAlign w:val="bottom"/>
            <w:tcBorders>
              <w:bottom w:val="single" w:sz="8" w:color="auto"/>
            </w:tcBorders>
            <w:shd w:val="clear" w:color="auto" w:fill="E5E5E5"/>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339</w:t>
            </w:r>
          </w:p>
        </w:tc>
        <w:tc>
          <w:tcPr>
            <w:tcW w:w="120" w:type="dxa"/>
            <w:vAlign w:val="bottom"/>
            <w:tcBorders>
              <w:bottom w:val="single" w:sz="8" w:color="E5E5E5"/>
            </w:tcBorders>
            <w:shd w:val="clear" w:color="auto" w:fill="E5E5E5"/>
          </w:tcPr>
          <w:p>
            <w:pPr>
              <w:spacing w:after="0"/>
              <w:rPr>
                <w:sz w:val="15"/>
                <w:szCs w:val="15"/>
                <w:color w:val="auto"/>
              </w:rPr>
            </w:pPr>
          </w:p>
        </w:tc>
        <w:tc>
          <w:tcPr>
            <w:tcW w:w="320" w:type="dxa"/>
            <w:vAlign w:val="bottom"/>
            <w:tcBorders>
              <w:bottom w:val="single" w:sz="8" w:color="auto"/>
            </w:tcBorders>
            <w:shd w:val="clear" w:color="auto" w:fill="E5E5E5"/>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251</w:t>
            </w:r>
          </w:p>
        </w:tc>
      </w:tr>
      <w:tr>
        <w:trPr>
          <w:trHeight w:val="73"/>
        </w:trPr>
        <w:tc>
          <w:tcPr>
            <w:tcW w:w="8500" w:type="dxa"/>
            <w:vAlign w:val="bottom"/>
          </w:tcPr>
          <w:p>
            <w:pPr>
              <w:spacing w:after="0" w:line="74" w:lineRule="exact"/>
              <w:rPr>
                <w:sz w:val="20"/>
                <w:szCs w:val="20"/>
                <w:color w:val="auto"/>
              </w:rPr>
            </w:pPr>
            <w:r>
              <w:rPr>
                <w:rFonts w:ascii="Arial" w:cs="Arial" w:eastAsia="Arial" w:hAnsi="Arial"/>
                <w:sz w:val="7"/>
                <w:szCs w:val="7"/>
                <w:color w:val="auto"/>
              </w:rPr>
              <w:t>____________________________</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r>
    </w:tbl>
    <w:p>
      <w:pPr>
        <w:spacing w:after="0" w:line="14" w:lineRule="exact"/>
        <w:rPr>
          <w:sz w:val="20"/>
          <w:szCs w:val="20"/>
          <w:color w:val="auto"/>
        </w:rPr>
      </w:pPr>
    </w:p>
    <w:p>
      <w:pPr>
        <w:ind w:left="227" w:hanging="227"/>
        <w:spacing w:after="0"/>
        <w:tabs>
          <w:tab w:leader="none" w:pos="227" w:val="left"/>
        </w:tabs>
        <w:numPr>
          <w:ilvl w:val="0"/>
          <w:numId w:val="31"/>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Net cash provided by operating activities.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2"/>
          <w:szCs w:val="12"/>
          <w:b w:val="1"/>
          <w:bCs w:val="1"/>
          <w:u w:val="single" w:color="auto"/>
          <w:color w:val="auto"/>
        </w:rPr>
        <w:t>Guidance</w:t>
      </w:r>
    </w:p>
    <w:p>
      <w:pPr>
        <w:spacing w:after="0" w:line="119"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Earnings per Share</w:t>
      </w:r>
    </w:p>
    <w:p>
      <w:pPr>
        <w:spacing w:after="0" w:line="170" w:lineRule="exact"/>
        <w:rPr>
          <w:sz w:val="20"/>
          <w:szCs w:val="20"/>
          <w:color w:val="auto"/>
        </w:rPr>
      </w:pPr>
    </w:p>
    <w:tbl>
      <w:tblPr>
        <w:tblLayout w:type="fixed"/>
        <w:tblInd w:w="7" w:type="dxa"/>
        <w:tblCellMar>
          <w:top w:w="0" w:type="dxa"/>
          <w:left w:w="0" w:type="dxa"/>
          <w:bottom w:w="0" w:type="dxa"/>
          <w:right w:w="0" w:type="dxa"/>
        </w:tblCellMar>
      </w:tblPr>
      <w:tr>
        <w:trPr>
          <w:trHeight w:val="120"/>
        </w:trPr>
        <w:tc>
          <w:tcPr>
            <w:tcW w:w="8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jc w:val="right"/>
              <w:ind w:right="1191"/>
              <w:spacing w:after="0"/>
              <w:rPr>
                <w:sz w:val="20"/>
                <w:szCs w:val="20"/>
                <w:color w:val="auto"/>
              </w:rPr>
            </w:pPr>
            <w:r>
              <w:rPr>
                <w:rFonts w:ascii="Arial" w:cs="Arial" w:eastAsia="Arial" w:hAnsi="Arial"/>
                <w:sz w:val="10"/>
                <w:szCs w:val="10"/>
                <w:color w:val="auto"/>
              </w:rPr>
              <w:t>FY 2019</w:t>
            </w:r>
          </w:p>
        </w:tc>
      </w:tr>
      <w:tr>
        <w:trPr>
          <w:trHeight w:val="172"/>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 except per share amounts)</w:t>
            </w:r>
          </w:p>
        </w:tc>
        <w:tc>
          <w:tcPr>
            <w:tcW w:w="120" w:type="dxa"/>
            <w:vAlign w:val="bottom"/>
            <w:tcBorders>
              <w:bottom w:val="single" w:sz="8" w:color="E5E5E5"/>
            </w:tcBorders>
          </w:tcPr>
          <w:p>
            <w:pPr>
              <w:spacing w:after="0"/>
              <w:rPr>
                <w:sz w:val="14"/>
                <w:szCs w:val="14"/>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Net Income</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E5E5E5"/>
            </w:tcBorders>
          </w:tcPr>
          <w:p>
            <w:pPr>
              <w:spacing w:after="0"/>
              <w:rPr>
                <w:sz w:val="14"/>
                <w:szCs w:val="14"/>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0"/>
                <w:szCs w:val="10"/>
                <w:color w:val="auto"/>
              </w:rPr>
              <w:t>EPS</w:t>
            </w:r>
          </w:p>
        </w:tc>
      </w:tr>
      <w:tr>
        <w:trPr>
          <w:trHeight w:val="167"/>
        </w:trPr>
        <w:tc>
          <w:tcPr>
            <w:tcW w:w="862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Estimated</w:t>
            </w:r>
            <w:r>
              <w:rPr>
                <w:rFonts w:ascii="Arial" w:cs="Arial" w:eastAsia="Arial" w:hAnsi="Arial"/>
                <w:sz w:val="12"/>
                <w:szCs w:val="12"/>
                <w:b w:val="1"/>
                <w:bCs w:val="1"/>
                <w:color w:val="auto"/>
                <w:vertAlign w:val="superscript"/>
              </w:rPr>
              <w:t>(1)</w:t>
            </w:r>
          </w:p>
        </w:tc>
        <w:tc>
          <w:tcPr>
            <w:tcW w:w="1020" w:type="dxa"/>
            <w:vAlign w:val="bottom"/>
            <w:shd w:val="clear" w:color="auto" w:fill="E5E5E5"/>
          </w:tcPr>
          <w:p>
            <w:pPr>
              <w:jc w:val="right"/>
              <w:ind w:right="911"/>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740</w:t>
            </w:r>
          </w:p>
        </w:tc>
        <w:tc>
          <w:tcPr>
            <w:tcW w:w="120" w:type="dxa"/>
            <w:vAlign w:val="bottom"/>
            <w:shd w:val="clear" w:color="auto" w:fill="E5E5E5"/>
          </w:tcPr>
          <w:p>
            <w:pPr>
              <w:spacing w:after="0"/>
              <w:rPr>
                <w:sz w:val="14"/>
                <w:szCs w:val="14"/>
                <w:color w:val="auto"/>
              </w:rPr>
            </w:pPr>
          </w:p>
        </w:tc>
        <w:tc>
          <w:tcPr>
            <w:tcW w:w="1380" w:type="dxa"/>
            <w:vAlign w:val="bottom"/>
            <w:shd w:val="clear" w:color="auto" w:fill="E5E5E5"/>
          </w:tcPr>
          <w:p>
            <w:pPr>
              <w:jc w:val="right"/>
              <w:ind w:right="691"/>
              <w:spacing w:after="0"/>
              <w:rPr>
                <w:sz w:val="20"/>
                <w:szCs w:val="20"/>
                <w:color w:val="auto"/>
              </w:rPr>
            </w:pPr>
            <w:r>
              <w:rPr>
                <w:rFonts w:ascii="Arial" w:cs="Arial" w:eastAsia="Arial" w:hAnsi="Arial"/>
                <w:sz w:val="10"/>
                <w:szCs w:val="10"/>
                <w:color w:val="auto"/>
                <w:w w:val="95"/>
              </w:rPr>
              <w:t>~$3.10 - $3.20</w:t>
            </w:r>
          </w:p>
        </w:tc>
      </w:tr>
      <w:tr>
        <w:trPr>
          <w:trHeight w:val="178"/>
        </w:trPr>
        <w:tc>
          <w:tcPr>
            <w:tcW w:w="8620" w:type="dxa"/>
            <w:vAlign w:val="bottom"/>
            <w:gridSpan w:val="2"/>
          </w:tcPr>
          <w:p>
            <w:pPr>
              <w:ind w:left="20"/>
              <w:spacing w:after="0"/>
              <w:rPr>
                <w:sz w:val="20"/>
                <w:szCs w:val="20"/>
                <w:color w:val="auto"/>
              </w:rPr>
            </w:pPr>
            <w:r>
              <w:rPr>
                <w:rFonts w:ascii="Arial" w:cs="Arial" w:eastAsia="Arial" w:hAnsi="Arial"/>
                <w:sz w:val="10"/>
                <w:szCs w:val="10"/>
                <w:b w:val="1"/>
                <w:bCs w:val="1"/>
                <w:color w:val="auto"/>
              </w:rPr>
              <w:t>Adjustments:</w:t>
            </w: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7"/>
        </w:trPr>
        <w:tc>
          <w:tcPr>
            <w:tcW w:w="86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Restructuring and related costs</w:t>
            </w:r>
            <w:r>
              <w:rPr>
                <w:rFonts w:ascii="Arial" w:cs="Arial" w:eastAsia="Arial" w:hAnsi="Arial"/>
                <w:sz w:val="12"/>
                <w:szCs w:val="12"/>
                <w:color w:val="auto"/>
                <w:vertAlign w:val="superscript"/>
              </w:rPr>
              <w:t>(2)</w:t>
            </w:r>
          </w:p>
        </w:tc>
        <w:tc>
          <w:tcPr>
            <w:tcW w:w="102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244</w:t>
            </w:r>
          </w:p>
        </w:tc>
        <w:tc>
          <w:tcPr>
            <w:tcW w:w="120" w:type="dxa"/>
            <w:vAlign w:val="bottom"/>
            <w:shd w:val="clear" w:color="auto" w:fill="E5E5E5"/>
          </w:tcPr>
          <w:p>
            <w:pPr>
              <w:spacing w:after="0"/>
              <w:rPr>
                <w:sz w:val="16"/>
                <w:szCs w:val="16"/>
                <w:color w:val="auto"/>
              </w:rPr>
            </w:pPr>
          </w:p>
        </w:tc>
        <w:tc>
          <w:tcPr>
            <w:tcW w:w="1380" w:type="dxa"/>
            <w:vAlign w:val="bottom"/>
            <w:shd w:val="clear" w:color="auto" w:fill="E5E5E5"/>
          </w:tcPr>
          <w:p>
            <w:pPr>
              <w:spacing w:after="0"/>
              <w:rPr>
                <w:sz w:val="16"/>
                <w:szCs w:val="16"/>
                <w:color w:val="auto"/>
              </w:rPr>
            </w:pPr>
          </w:p>
        </w:tc>
      </w:tr>
      <w:tr>
        <w:trPr>
          <w:trHeight w:val="178"/>
        </w:trPr>
        <w:tc>
          <w:tcPr>
            <w:tcW w:w="8620" w:type="dxa"/>
            <w:vAlign w:val="bottom"/>
            <w:gridSpan w:val="2"/>
          </w:tcPr>
          <w:p>
            <w:pPr>
              <w:ind w:left="20"/>
              <w:spacing w:after="0"/>
              <w:rPr>
                <w:sz w:val="20"/>
                <w:szCs w:val="20"/>
                <w:color w:val="auto"/>
              </w:rPr>
            </w:pPr>
            <w:r>
              <w:rPr>
                <w:rFonts w:ascii="Arial" w:cs="Arial" w:eastAsia="Arial" w:hAnsi="Arial"/>
                <w:sz w:val="10"/>
                <w:szCs w:val="10"/>
                <w:color w:val="auto"/>
              </w:rPr>
              <w:t>Amortization of intangible assets</w:t>
            </w:r>
          </w:p>
        </w:tc>
        <w:tc>
          <w:tcPr>
            <w:tcW w:w="1020" w:type="dxa"/>
            <w:vAlign w:val="bottom"/>
          </w:tcPr>
          <w:p>
            <w:pPr>
              <w:spacing w:after="0"/>
              <w:rPr>
                <w:sz w:val="15"/>
                <w:szCs w:val="15"/>
                <w:color w:val="auto"/>
              </w:rPr>
            </w:pPr>
          </w:p>
        </w:tc>
        <w:tc>
          <w:tcPr>
            <w:tcW w:w="340" w:type="dxa"/>
            <w:vAlign w:val="bottom"/>
          </w:tcPr>
          <w:p>
            <w:pPr>
              <w:jc w:val="right"/>
              <w:ind w:right="51"/>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7"/>
        </w:trPr>
        <w:tc>
          <w:tcPr>
            <w:tcW w:w="86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Non-service retirement-related costs</w:t>
            </w:r>
          </w:p>
        </w:tc>
        <w:tc>
          <w:tcPr>
            <w:tcW w:w="102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40</w:t>
            </w:r>
          </w:p>
        </w:tc>
        <w:tc>
          <w:tcPr>
            <w:tcW w:w="120" w:type="dxa"/>
            <w:vAlign w:val="bottom"/>
            <w:shd w:val="clear" w:color="auto" w:fill="E5E5E5"/>
          </w:tcPr>
          <w:p>
            <w:pPr>
              <w:spacing w:after="0"/>
              <w:rPr>
                <w:sz w:val="16"/>
                <w:szCs w:val="16"/>
                <w:color w:val="auto"/>
              </w:rPr>
            </w:pPr>
          </w:p>
        </w:tc>
        <w:tc>
          <w:tcPr>
            <w:tcW w:w="1380" w:type="dxa"/>
            <w:vAlign w:val="bottom"/>
            <w:shd w:val="clear" w:color="auto" w:fill="E5E5E5"/>
          </w:tcPr>
          <w:p>
            <w:pPr>
              <w:spacing w:after="0"/>
              <w:rPr>
                <w:sz w:val="16"/>
                <w:szCs w:val="16"/>
                <w:color w:val="auto"/>
              </w:rPr>
            </w:pPr>
          </w:p>
        </w:tc>
      </w:tr>
      <w:tr>
        <w:trPr>
          <w:trHeight w:val="178"/>
        </w:trPr>
        <w:tc>
          <w:tcPr>
            <w:tcW w:w="8620" w:type="dxa"/>
            <w:vAlign w:val="bottom"/>
            <w:gridSpan w:val="2"/>
          </w:tcPr>
          <w:p>
            <w:pPr>
              <w:ind w:left="20"/>
              <w:spacing w:after="0"/>
              <w:rPr>
                <w:sz w:val="20"/>
                <w:szCs w:val="20"/>
                <w:color w:val="auto"/>
              </w:rPr>
            </w:pPr>
            <w:r>
              <w:rPr>
                <w:rFonts w:ascii="Arial" w:cs="Arial" w:eastAsia="Arial" w:hAnsi="Arial"/>
                <w:sz w:val="10"/>
                <w:szCs w:val="10"/>
                <w:color w:val="auto"/>
              </w:rPr>
              <w:t>Income tax on adjustments</w:t>
            </w:r>
          </w:p>
        </w:tc>
        <w:tc>
          <w:tcPr>
            <w:tcW w:w="1020" w:type="dxa"/>
            <w:vAlign w:val="bottom"/>
          </w:tcPr>
          <w:p>
            <w:pPr>
              <w:spacing w:after="0"/>
              <w:rPr>
                <w:sz w:val="15"/>
                <w:szCs w:val="15"/>
                <w:color w:val="auto"/>
              </w:rPr>
            </w:pPr>
          </w:p>
        </w:tc>
        <w:tc>
          <w:tcPr>
            <w:tcW w:w="340" w:type="dxa"/>
            <w:vAlign w:val="bottom"/>
          </w:tcPr>
          <w:p>
            <w:pPr>
              <w:jc w:val="right"/>
              <w:ind w:right="11"/>
              <w:spacing w:after="0"/>
              <w:rPr>
                <w:sz w:val="20"/>
                <w:szCs w:val="20"/>
                <w:color w:val="auto"/>
              </w:rPr>
            </w:pPr>
            <w:r>
              <w:rPr>
                <w:rFonts w:ascii="Arial" w:cs="Arial" w:eastAsia="Arial" w:hAnsi="Arial"/>
                <w:sz w:val="10"/>
                <w:szCs w:val="10"/>
                <w:color w:val="auto"/>
              </w:rPr>
              <w:t>(86)</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7"/>
        </w:trPr>
        <w:tc>
          <w:tcPr>
            <w:tcW w:w="862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Tax Act</w:t>
            </w:r>
          </w:p>
        </w:tc>
        <w:tc>
          <w:tcPr>
            <w:tcW w:w="1020" w:type="dxa"/>
            <w:vAlign w:val="bottom"/>
            <w:tcBorders>
              <w:bottom w:val="single" w:sz="8" w:color="auto"/>
            </w:tcBorders>
            <w:shd w:val="clear" w:color="auto" w:fill="E5E5E5"/>
          </w:tcPr>
          <w:p>
            <w:pPr>
              <w:spacing w:after="0"/>
              <w:rPr>
                <w:sz w:val="16"/>
                <w:szCs w:val="16"/>
                <w:color w:val="auto"/>
              </w:rPr>
            </w:pPr>
          </w:p>
        </w:tc>
        <w:tc>
          <w:tcPr>
            <w:tcW w:w="340" w:type="dxa"/>
            <w:vAlign w:val="bottom"/>
            <w:tcBorders>
              <w:bottom w:val="single" w:sz="8" w:color="auto"/>
            </w:tcBorders>
            <w:shd w:val="clear" w:color="auto" w:fill="E5E5E5"/>
          </w:tcPr>
          <w:p>
            <w:pPr>
              <w:jc w:val="right"/>
              <w:ind w:right="11"/>
              <w:spacing w:after="0"/>
              <w:rPr>
                <w:sz w:val="20"/>
                <w:szCs w:val="20"/>
                <w:color w:val="auto"/>
              </w:rPr>
            </w:pPr>
            <w:r>
              <w:rPr>
                <w:rFonts w:ascii="Arial" w:cs="Arial" w:eastAsia="Arial" w:hAnsi="Arial"/>
                <w:sz w:val="10"/>
                <w:szCs w:val="10"/>
                <w:color w:val="auto"/>
              </w:rPr>
              <w:t>(31)</w:t>
            </w:r>
          </w:p>
        </w:tc>
        <w:tc>
          <w:tcPr>
            <w:tcW w:w="120" w:type="dxa"/>
            <w:vAlign w:val="bottom"/>
            <w:shd w:val="clear" w:color="auto" w:fill="E5E5E5"/>
          </w:tcPr>
          <w:p>
            <w:pPr>
              <w:spacing w:after="0"/>
              <w:rPr>
                <w:sz w:val="16"/>
                <w:szCs w:val="16"/>
                <w:color w:val="auto"/>
              </w:rPr>
            </w:pPr>
          </w:p>
        </w:tc>
        <w:tc>
          <w:tcPr>
            <w:tcW w:w="1380" w:type="dxa"/>
            <w:vAlign w:val="bottom"/>
            <w:tcBorders>
              <w:bottom w:val="single" w:sz="8" w:color="auto"/>
            </w:tcBorders>
            <w:shd w:val="clear" w:color="auto" w:fill="E5E5E5"/>
          </w:tcPr>
          <w:p>
            <w:pPr>
              <w:spacing w:after="0"/>
              <w:rPr>
                <w:sz w:val="16"/>
                <w:szCs w:val="16"/>
                <w:color w:val="auto"/>
              </w:rPr>
            </w:pPr>
          </w:p>
        </w:tc>
      </w:tr>
      <w:tr>
        <w:trPr>
          <w:trHeight w:val="161"/>
        </w:trPr>
        <w:tc>
          <w:tcPr>
            <w:tcW w:w="862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Adjusted</w:t>
            </w:r>
          </w:p>
        </w:tc>
        <w:tc>
          <w:tcPr>
            <w:tcW w:w="1020" w:type="dxa"/>
            <w:vAlign w:val="bottom"/>
            <w:tcBorders>
              <w:bottom w:val="single" w:sz="8" w:color="auto"/>
            </w:tcBorders>
          </w:tcPr>
          <w:p>
            <w:pPr>
              <w:jc w:val="right"/>
              <w:ind w:right="911"/>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952</w:t>
            </w:r>
          </w:p>
        </w:tc>
        <w:tc>
          <w:tcPr>
            <w:tcW w:w="120" w:type="dxa"/>
            <w:vAlign w:val="bottom"/>
            <w:tcBorders>
              <w:bottom w:val="single" w:sz="8" w:color="E5E5E5"/>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~$4.00 - $4.10</w:t>
            </w:r>
          </w:p>
        </w:tc>
      </w:tr>
      <w:tr>
        <w:trPr>
          <w:trHeight w:val="192"/>
        </w:trPr>
        <w:tc>
          <w:tcPr>
            <w:tcW w:w="85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80" w:type="dxa"/>
            <w:vAlign w:val="bottom"/>
            <w:shd w:val="clear" w:color="auto" w:fill="E5E5E5"/>
          </w:tcPr>
          <w:p>
            <w:pPr>
              <w:spacing w:after="0"/>
              <w:rPr>
                <w:sz w:val="16"/>
                <w:szCs w:val="16"/>
                <w:color w:val="auto"/>
              </w:rPr>
            </w:pPr>
          </w:p>
        </w:tc>
      </w:tr>
      <w:tr>
        <w:trPr>
          <w:trHeight w:val="174"/>
        </w:trPr>
        <w:tc>
          <w:tcPr>
            <w:tcW w:w="8620" w:type="dxa"/>
            <w:vAlign w:val="bottom"/>
            <w:gridSpan w:val="2"/>
          </w:tcPr>
          <w:p>
            <w:pPr>
              <w:ind w:left="20"/>
              <w:spacing w:after="0"/>
              <w:rPr>
                <w:sz w:val="20"/>
                <w:szCs w:val="20"/>
                <w:color w:val="auto"/>
              </w:rPr>
            </w:pPr>
            <w:r>
              <w:rPr>
                <w:rFonts w:ascii="Arial" w:cs="Arial" w:eastAsia="Arial" w:hAnsi="Arial"/>
                <w:sz w:val="10"/>
                <w:szCs w:val="10"/>
                <w:color w:val="auto"/>
              </w:rPr>
              <w:t>Estimated Full Year 2019 weighted average shares for GAAP and adjusted EPS</w:t>
            </w: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0"/>
                <w:szCs w:val="10"/>
                <w:color w:val="auto"/>
              </w:rPr>
              <w:t>~ 235</w:t>
            </w:r>
          </w:p>
        </w:tc>
      </w:tr>
      <w:tr>
        <w:trPr>
          <w:trHeight w:val="94"/>
        </w:trPr>
        <w:tc>
          <w:tcPr>
            <w:tcW w:w="8500" w:type="dxa"/>
            <w:vAlign w:val="bottom"/>
          </w:tcPr>
          <w:p>
            <w:pPr>
              <w:spacing w:after="0"/>
              <w:rPr>
                <w:sz w:val="20"/>
                <w:szCs w:val="20"/>
                <w:color w:val="auto"/>
              </w:rPr>
            </w:pPr>
            <w:r>
              <w:rPr>
                <w:rFonts w:ascii="Arial" w:cs="Arial" w:eastAsia="Arial" w:hAnsi="Arial"/>
                <w:sz w:val="7"/>
                <w:szCs w:val="7"/>
                <w:color w:val="auto"/>
              </w:rPr>
              <w:t>____________________________</w:t>
            </w: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r>
    </w:tbl>
    <w:p>
      <w:pPr>
        <w:spacing w:after="0" w:line="7" w:lineRule="exact"/>
        <w:rPr>
          <w:sz w:val="20"/>
          <w:szCs w:val="20"/>
          <w:color w:val="auto"/>
        </w:rPr>
      </w:pPr>
    </w:p>
    <w:p>
      <w:pPr>
        <w:ind w:left="227" w:hanging="227"/>
        <w:spacing w:after="0"/>
        <w:tabs>
          <w:tab w:leader="none" w:pos="227" w:val="left"/>
        </w:tabs>
        <w:numPr>
          <w:ilvl w:val="0"/>
          <w:numId w:val="32"/>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Net Income and EPS attributable to Xerox Holdings.</w:t>
      </w:r>
    </w:p>
    <w:p>
      <w:pPr>
        <w:ind w:left="227" w:hanging="227"/>
        <w:spacing w:after="0" w:line="201" w:lineRule="auto"/>
        <w:tabs>
          <w:tab w:leader="none" w:pos="227" w:val="left"/>
        </w:tabs>
        <w:numPr>
          <w:ilvl w:val="0"/>
          <w:numId w:val="32"/>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Includes $19 million of 2019 year-to-date Fuji Xerox restructuring and related costs.</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Operating Income / Margin</w:t>
      </w:r>
    </w:p>
    <w:p>
      <w:pPr>
        <w:spacing w:after="0" w:line="170" w:lineRule="exact"/>
        <w:rPr>
          <w:sz w:val="20"/>
          <w:szCs w:val="20"/>
          <w:color w:val="auto"/>
        </w:rPr>
      </w:pPr>
    </w:p>
    <w:tbl>
      <w:tblPr>
        <w:tblLayout w:type="fixed"/>
        <w:tblInd w:w="47" w:type="dxa"/>
        <w:tblCellMar>
          <w:top w:w="0" w:type="dxa"/>
          <w:left w:w="0" w:type="dxa"/>
          <w:bottom w:w="0" w:type="dxa"/>
          <w:right w:w="0" w:type="dxa"/>
        </w:tblCellMar>
      </w:tblPr>
      <w:tr>
        <w:trPr>
          <w:trHeight w:val="120"/>
        </w:trPr>
        <w:tc>
          <w:tcPr>
            <w:tcW w:w="5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0"/>
                <w:szCs w:val="10"/>
                <w:color w:val="auto"/>
              </w:rPr>
              <w:t>FY 2019</w:t>
            </w: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17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(in millions)</w:t>
            </w:r>
          </w:p>
        </w:tc>
        <w:tc>
          <w:tcPr>
            <w:tcW w:w="120" w:type="dxa"/>
            <w:vAlign w:val="bottom"/>
            <w:tcBorders>
              <w:bottom w:val="single" w:sz="8" w:color="E5E5E5"/>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11"/>
              <w:spacing w:after="0"/>
              <w:rPr>
                <w:sz w:val="20"/>
                <w:szCs w:val="20"/>
                <w:color w:val="auto"/>
              </w:rPr>
            </w:pPr>
            <w:r>
              <w:rPr>
                <w:rFonts w:ascii="Arial" w:cs="Arial" w:eastAsia="Arial" w:hAnsi="Arial"/>
                <w:sz w:val="10"/>
                <w:szCs w:val="10"/>
                <w:color w:val="auto"/>
              </w:rPr>
              <w:t>Profit</w:t>
            </w:r>
          </w:p>
        </w:tc>
        <w:tc>
          <w:tcPr>
            <w:tcW w:w="100" w:type="dxa"/>
            <w:vAlign w:val="bottom"/>
            <w:tcBorders>
              <w:bottom w:val="single" w:sz="8" w:color="E5E5E5"/>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71"/>
              <w:spacing w:after="0"/>
              <w:rPr>
                <w:sz w:val="20"/>
                <w:szCs w:val="20"/>
                <w:color w:val="auto"/>
              </w:rPr>
            </w:pPr>
            <w:r>
              <w:rPr>
                <w:rFonts w:ascii="Arial" w:cs="Arial" w:eastAsia="Arial" w:hAnsi="Arial"/>
                <w:sz w:val="10"/>
                <w:szCs w:val="10"/>
                <w:color w:val="auto"/>
              </w:rPr>
              <w:t>Revenue</w:t>
            </w:r>
            <w:r>
              <w:rPr>
                <w:rFonts w:ascii="Arial" w:cs="Arial" w:eastAsia="Arial" w:hAnsi="Arial"/>
                <w:sz w:val="12"/>
                <w:szCs w:val="12"/>
                <w:b w:val="1"/>
                <w:bCs w:val="1"/>
                <w:color w:val="auto"/>
                <w:vertAlign w:val="superscript"/>
              </w:rPr>
              <w:t>(2)</w:t>
            </w:r>
          </w:p>
        </w:tc>
        <w:tc>
          <w:tcPr>
            <w:tcW w:w="120" w:type="dxa"/>
            <w:vAlign w:val="bottom"/>
            <w:tcBorders>
              <w:bottom w:val="single" w:sz="8" w:color="E5E5E5"/>
            </w:tcBorders>
          </w:tcPr>
          <w:p>
            <w:pPr>
              <w:spacing w:after="0"/>
              <w:rPr>
                <w:sz w:val="15"/>
                <w:szCs w:val="15"/>
                <w:color w:val="auto"/>
              </w:rPr>
            </w:pPr>
          </w:p>
        </w:tc>
        <w:tc>
          <w:tcPr>
            <w:tcW w:w="1920" w:type="dxa"/>
            <w:vAlign w:val="bottom"/>
            <w:tcBorders>
              <w:bottom w:val="single" w:sz="8" w:color="auto"/>
            </w:tcBorders>
            <w:gridSpan w:val="2"/>
          </w:tcPr>
          <w:p>
            <w:pPr>
              <w:ind w:left="820"/>
              <w:spacing w:after="0"/>
              <w:rPr>
                <w:sz w:val="20"/>
                <w:szCs w:val="20"/>
                <w:color w:val="auto"/>
              </w:rPr>
            </w:pPr>
            <w:r>
              <w:rPr>
                <w:rFonts w:ascii="Arial" w:cs="Arial" w:eastAsia="Arial" w:hAnsi="Arial"/>
                <w:sz w:val="10"/>
                <w:szCs w:val="10"/>
                <w:color w:val="auto"/>
              </w:rPr>
              <w:t>Margin</w:t>
            </w:r>
          </w:p>
        </w:tc>
      </w:tr>
      <w:tr>
        <w:trPr>
          <w:trHeight w:val="162"/>
        </w:trPr>
        <w:tc>
          <w:tcPr>
            <w:tcW w:w="53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Estimated</w:t>
            </w:r>
            <w:r>
              <w:rPr>
                <w:rFonts w:ascii="Arial" w:cs="Arial" w:eastAsia="Arial" w:hAnsi="Arial"/>
                <w:sz w:val="12"/>
                <w:szCs w:val="12"/>
                <w:b w:val="1"/>
                <w:bCs w:val="1"/>
                <w:color w:val="auto"/>
                <w:vertAlign w:val="superscript"/>
              </w:rPr>
              <w:t>(1)</w:t>
            </w:r>
          </w:p>
        </w:tc>
        <w:tc>
          <w:tcPr>
            <w:tcW w:w="460" w:type="dxa"/>
            <w:vAlign w:val="bottom"/>
            <w:shd w:val="clear" w:color="auto" w:fill="E5E5E5"/>
          </w:tcPr>
          <w:p>
            <w:pPr>
              <w:jc w:val="right"/>
              <w:ind w:right="331"/>
              <w:spacing w:after="0"/>
              <w:rPr>
                <w:sz w:val="20"/>
                <w:szCs w:val="20"/>
                <w:color w:val="auto"/>
              </w:rPr>
            </w:pPr>
            <w:r>
              <w:rPr>
                <w:rFonts w:ascii="Arial" w:cs="Arial" w:eastAsia="Arial" w:hAnsi="Arial"/>
                <w:sz w:val="10"/>
                <w:szCs w:val="10"/>
                <w:color w:val="auto"/>
              </w:rPr>
              <w:t>$</w:t>
            </w:r>
          </w:p>
        </w:tc>
        <w:tc>
          <w:tcPr>
            <w:tcW w:w="15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740</w:t>
            </w:r>
          </w:p>
        </w:tc>
        <w:tc>
          <w:tcPr>
            <w:tcW w:w="100" w:type="dxa"/>
            <w:vAlign w:val="bottom"/>
            <w:shd w:val="clear" w:color="auto" w:fill="E5E5E5"/>
          </w:tcPr>
          <w:p>
            <w:pPr>
              <w:spacing w:after="0"/>
              <w:rPr>
                <w:sz w:val="14"/>
                <w:szCs w:val="14"/>
                <w:color w:val="auto"/>
              </w:rPr>
            </w:pPr>
          </w:p>
        </w:tc>
        <w:tc>
          <w:tcPr>
            <w:tcW w:w="400" w:type="dxa"/>
            <w:vAlign w:val="bottom"/>
            <w:shd w:val="clear" w:color="auto" w:fill="E5E5E5"/>
          </w:tcPr>
          <w:p>
            <w:pPr>
              <w:jc w:val="right"/>
              <w:ind w:right="271"/>
              <w:spacing w:after="0"/>
              <w:rPr>
                <w:sz w:val="20"/>
                <w:szCs w:val="20"/>
                <w:color w:val="auto"/>
              </w:rPr>
            </w:pPr>
            <w:r>
              <w:rPr>
                <w:rFonts w:ascii="Arial" w:cs="Arial" w:eastAsia="Arial" w:hAnsi="Arial"/>
                <w:sz w:val="10"/>
                <w:szCs w:val="10"/>
                <w:color w:val="auto"/>
              </w:rPr>
              <w:t>$</w:t>
            </w:r>
          </w:p>
        </w:tc>
        <w:tc>
          <w:tcPr>
            <w:tcW w:w="15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9,050</w:t>
            </w:r>
          </w:p>
        </w:tc>
        <w:tc>
          <w:tcPr>
            <w:tcW w:w="1100" w:type="dxa"/>
            <w:vAlign w:val="bottom"/>
            <w:gridSpan w:val="2"/>
            <w:shd w:val="clear" w:color="auto" w:fill="E5E5E5"/>
          </w:tcPr>
          <w:p>
            <w:pPr>
              <w:jc w:val="right"/>
              <w:spacing w:after="0"/>
              <w:rPr>
                <w:sz w:val="20"/>
                <w:szCs w:val="20"/>
                <w:color w:val="auto"/>
              </w:rPr>
            </w:pPr>
            <w:r>
              <w:rPr>
                <w:rFonts w:ascii="Arial" w:cs="Arial" w:eastAsia="Arial" w:hAnsi="Arial"/>
                <w:sz w:val="10"/>
                <w:szCs w:val="10"/>
                <w:color w:val="auto"/>
              </w:rPr>
              <w:t>~ 8.0%</w:t>
            </w:r>
          </w:p>
        </w:tc>
        <w:tc>
          <w:tcPr>
            <w:tcW w:w="940" w:type="dxa"/>
            <w:vAlign w:val="bottom"/>
            <w:shd w:val="clear" w:color="auto" w:fill="E5E5E5"/>
          </w:tcPr>
          <w:p>
            <w:pPr>
              <w:spacing w:after="0"/>
              <w:rPr>
                <w:sz w:val="20"/>
                <w:szCs w:val="20"/>
                <w:color w:val="auto"/>
              </w:rPr>
            </w:pPr>
            <w:r>
              <w:rPr>
                <w:rFonts w:ascii="Arial" w:cs="Arial" w:eastAsia="Arial" w:hAnsi="Arial"/>
                <w:sz w:val="10"/>
                <w:szCs w:val="10"/>
                <w:color w:val="auto"/>
              </w:rPr>
              <w:t>- 8.5%</w:t>
            </w:r>
          </w:p>
        </w:tc>
      </w:tr>
      <w:tr>
        <w:trPr>
          <w:trHeight w:val="178"/>
        </w:trPr>
        <w:tc>
          <w:tcPr>
            <w:tcW w:w="5360" w:type="dxa"/>
            <w:vAlign w:val="bottom"/>
            <w:gridSpan w:val="2"/>
          </w:tcPr>
          <w:p>
            <w:pPr>
              <w:ind w:left="20"/>
              <w:spacing w:after="0"/>
              <w:rPr>
                <w:sz w:val="20"/>
                <w:szCs w:val="20"/>
                <w:color w:val="auto"/>
              </w:rPr>
            </w:pPr>
            <w:r>
              <w:rPr>
                <w:rFonts w:ascii="Arial" w:cs="Arial" w:eastAsia="Arial" w:hAnsi="Arial"/>
                <w:sz w:val="10"/>
                <w:szCs w:val="10"/>
                <w:b w:val="1"/>
                <w:bCs w:val="1"/>
                <w:color w:val="auto"/>
              </w:rPr>
              <w:t>Adjustments:</w:t>
            </w: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7"/>
        </w:trPr>
        <w:tc>
          <w:tcPr>
            <w:tcW w:w="53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Restructuring and related costs</w:t>
            </w:r>
          </w:p>
        </w:tc>
        <w:tc>
          <w:tcPr>
            <w:tcW w:w="460" w:type="dxa"/>
            <w:vAlign w:val="bottom"/>
            <w:shd w:val="clear" w:color="auto" w:fill="E5E5E5"/>
          </w:tcPr>
          <w:p>
            <w:pPr>
              <w:spacing w:after="0"/>
              <w:rPr>
                <w:sz w:val="16"/>
                <w:szCs w:val="16"/>
                <w:color w:val="auto"/>
              </w:rPr>
            </w:pPr>
          </w:p>
        </w:tc>
        <w:tc>
          <w:tcPr>
            <w:tcW w:w="15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225</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5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r>
      <w:tr>
        <w:trPr>
          <w:trHeight w:val="178"/>
        </w:trPr>
        <w:tc>
          <w:tcPr>
            <w:tcW w:w="5360" w:type="dxa"/>
            <w:vAlign w:val="bottom"/>
            <w:gridSpan w:val="2"/>
          </w:tcPr>
          <w:p>
            <w:pPr>
              <w:ind w:left="20"/>
              <w:spacing w:after="0"/>
              <w:rPr>
                <w:sz w:val="20"/>
                <w:szCs w:val="20"/>
                <w:color w:val="auto"/>
              </w:rPr>
            </w:pPr>
            <w:r>
              <w:rPr>
                <w:rFonts w:ascii="Arial" w:cs="Arial" w:eastAsia="Arial" w:hAnsi="Arial"/>
                <w:sz w:val="10"/>
                <w:szCs w:val="10"/>
                <w:color w:val="auto"/>
              </w:rPr>
              <w:t>Amortization of intangible assets</w:t>
            </w:r>
          </w:p>
        </w:tc>
        <w:tc>
          <w:tcPr>
            <w:tcW w:w="460" w:type="dxa"/>
            <w:vAlign w:val="bottom"/>
          </w:tcPr>
          <w:p>
            <w:pPr>
              <w:spacing w:after="0"/>
              <w:rPr>
                <w:sz w:val="15"/>
                <w:szCs w:val="15"/>
                <w:color w:val="auto"/>
              </w:rPr>
            </w:pPr>
          </w:p>
        </w:tc>
        <w:tc>
          <w:tcPr>
            <w:tcW w:w="1500" w:type="dxa"/>
            <w:vAlign w:val="bottom"/>
          </w:tcPr>
          <w:p>
            <w:pPr>
              <w:jc w:val="right"/>
              <w:ind w:right="71"/>
              <w:spacing w:after="0"/>
              <w:rPr>
                <w:sz w:val="20"/>
                <w:szCs w:val="20"/>
                <w:color w:val="auto"/>
              </w:rPr>
            </w:pPr>
            <w:r>
              <w:rPr>
                <w:rFonts w:ascii="Arial" w:cs="Arial" w:eastAsia="Arial" w:hAnsi="Arial"/>
                <w:sz w:val="10"/>
                <w:szCs w:val="10"/>
                <w:color w:val="auto"/>
              </w:rPr>
              <w:t>45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7"/>
        </w:trPr>
        <w:tc>
          <w:tcPr>
            <w:tcW w:w="53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Non-service retirement-related costs</w:t>
            </w:r>
          </w:p>
        </w:tc>
        <w:tc>
          <w:tcPr>
            <w:tcW w:w="460" w:type="dxa"/>
            <w:vAlign w:val="bottom"/>
            <w:shd w:val="clear" w:color="auto" w:fill="E5E5E5"/>
          </w:tcPr>
          <w:p>
            <w:pPr>
              <w:spacing w:after="0"/>
              <w:rPr>
                <w:sz w:val="16"/>
                <w:szCs w:val="16"/>
                <w:color w:val="auto"/>
              </w:rPr>
            </w:pPr>
          </w:p>
        </w:tc>
        <w:tc>
          <w:tcPr>
            <w:tcW w:w="15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40</w:t>
            </w:r>
          </w:p>
        </w:tc>
        <w:tc>
          <w:tcPr>
            <w:tcW w:w="10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5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r>
      <w:tr>
        <w:trPr>
          <w:trHeight w:val="178"/>
        </w:trPr>
        <w:tc>
          <w:tcPr>
            <w:tcW w:w="53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Other expenses, net</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E5E5E5"/>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980" w:type="dxa"/>
            <w:vAlign w:val="bottom"/>
            <w:tcBorders>
              <w:bottom w:val="single" w:sz="8" w:color="E5E5E5"/>
            </w:tcBorders>
          </w:tcPr>
          <w:p>
            <w:pPr>
              <w:spacing w:after="0"/>
              <w:rPr>
                <w:sz w:val="15"/>
                <w:szCs w:val="15"/>
                <w:color w:val="auto"/>
              </w:rPr>
            </w:pPr>
          </w:p>
        </w:tc>
        <w:tc>
          <w:tcPr>
            <w:tcW w:w="940" w:type="dxa"/>
            <w:vAlign w:val="bottom"/>
            <w:tcBorders>
              <w:bottom w:val="single" w:sz="8" w:color="E5E5E5"/>
            </w:tcBorders>
          </w:tcPr>
          <w:p>
            <w:pPr>
              <w:spacing w:after="0"/>
              <w:rPr>
                <w:sz w:val="15"/>
                <w:szCs w:val="15"/>
                <w:color w:val="auto"/>
              </w:rPr>
            </w:pPr>
          </w:p>
        </w:tc>
      </w:tr>
      <w:tr>
        <w:trPr>
          <w:trHeight w:val="158"/>
        </w:trPr>
        <w:tc>
          <w:tcPr>
            <w:tcW w:w="53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Adjusted</w:t>
            </w:r>
          </w:p>
        </w:tc>
        <w:tc>
          <w:tcPr>
            <w:tcW w:w="460" w:type="dxa"/>
            <w:vAlign w:val="bottom"/>
            <w:tcBorders>
              <w:bottom w:val="single" w:sz="8" w:color="auto"/>
            </w:tcBorders>
            <w:shd w:val="clear" w:color="auto" w:fill="E5E5E5"/>
          </w:tcPr>
          <w:p>
            <w:pPr>
              <w:jc w:val="right"/>
              <w:ind w:right="331"/>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1,150</w:t>
            </w:r>
          </w:p>
        </w:tc>
        <w:tc>
          <w:tcPr>
            <w:tcW w:w="100" w:type="dxa"/>
            <w:vAlign w:val="bottom"/>
            <w:tcBorders>
              <w:bottom w:val="single" w:sz="8" w:color="E5E5E5"/>
            </w:tcBorders>
            <w:shd w:val="clear" w:color="auto" w:fill="E5E5E5"/>
          </w:tcPr>
          <w:p>
            <w:pPr>
              <w:spacing w:after="0"/>
              <w:rPr>
                <w:sz w:val="13"/>
                <w:szCs w:val="13"/>
                <w:color w:val="auto"/>
              </w:rPr>
            </w:pPr>
          </w:p>
        </w:tc>
        <w:tc>
          <w:tcPr>
            <w:tcW w:w="400" w:type="dxa"/>
            <w:vAlign w:val="bottom"/>
            <w:tcBorders>
              <w:bottom w:val="single" w:sz="8" w:color="auto"/>
            </w:tcBorders>
            <w:shd w:val="clear" w:color="auto" w:fill="E5E5E5"/>
          </w:tcPr>
          <w:p>
            <w:pPr>
              <w:jc w:val="right"/>
              <w:ind w:right="271"/>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9,050</w:t>
            </w:r>
          </w:p>
        </w:tc>
        <w:tc>
          <w:tcPr>
            <w:tcW w:w="110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0"/>
                <w:szCs w:val="10"/>
                <w:color w:val="auto"/>
              </w:rPr>
              <w:t>~ 12.6%</w:t>
            </w:r>
          </w:p>
        </w:tc>
        <w:tc>
          <w:tcPr>
            <w:tcW w:w="9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0"/>
                <w:szCs w:val="10"/>
                <w:color w:val="auto"/>
              </w:rPr>
              <w:t>- 13.1%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5715</wp:posOffset>
            </wp:positionV>
            <wp:extent cx="253047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30475" cy="5715"/>
                    </a:xfrm>
                    <a:prstGeom prst="rect">
                      <a:avLst/>
                    </a:prstGeom>
                    <a:noFill/>
                  </pic:spPr>
                </pic:pic>
              </a:graphicData>
            </a:graphic>
          </wp:anchor>
        </w:drawing>
      </w:r>
    </w:p>
    <w:p>
      <w:pPr>
        <w:ind w:left="7"/>
        <w:spacing w:after="0"/>
        <w:rPr>
          <w:sz w:val="20"/>
          <w:szCs w:val="20"/>
          <w:color w:val="auto"/>
        </w:rPr>
      </w:pPr>
      <w:r>
        <w:rPr>
          <w:rFonts w:ascii="Arial" w:cs="Arial" w:eastAsia="Arial" w:hAnsi="Arial"/>
          <w:sz w:val="7"/>
          <w:szCs w:val="7"/>
          <w:color w:val="auto"/>
        </w:rPr>
        <w:t>____________________________</w:t>
      </w:r>
    </w:p>
    <w:p>
      <w:pPr>
        <w:spacing w:after="0" w:line="21" w:lineRule="exact"/>
        <w:rPr>
          <w:sz w:val="20"/>
          <w:szCs w:val="20"/>
          <w:color w:val="auto"/>
        </w:rPr>
      </w:pPr>
    </w:p>
    <w:p>
      <w:pPr>
        <w:ind w:left="227" w:hanging="227"/>
        <w:spacing w:after="0"/>
        <w:tabs>
          <w:tab w:leader="none" w:pos="227" w:val="left"/>
        </w:tabs>
        <w:numPr>
          <w:ilvl w:val="0"/>
          <w:numId w:val="33"/>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Pre-Tax Income and revenue.</w:t>
      </w:r>
    </w:p>
    <w:p>
      <w:pPr>
        <w:spacing w:after="0" w:line="29" w:lineRule="exact"/>
        <w:rPr>
          <w:rFonts w:ascii="Arial" w:cs="Arial" w:eastAsia="Arial" w:hAnsi="Arial"/>
          <w:sz w:val="12"/>
          <w:szCs w:val="12"/>
          <w:i w:val="1"/>
          <w:iCs w:val="1"/>
          <w:color w:val="auto"/>
          <w:vertAlign w:val="superscript"/>
        </w:rPr>
      </w:pPr>
    </w:p>
    <w:p>
      <w:pPr>
        <w:ind w:left="227" w:hanging="227"/>
        <w:spacing w:after="0" w:line="201" w:lineRule="auto"/>
        <w:tabs>
          <w:tab w:leader="none" w:pos="227" w:val="left"/>
        </w:tabs>
        <w:numPr>
          <w:ilvl w:val="0"/>
          <w:numId w:val="33"/>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Full year 2019 revenue reflects an estimated revenue decline at actual currency of approximately 7.9% from FY 2018 and includes an estimated FY negative impact from currency of approximately 1.5%.</w:t>
      </w:r>
    </w:p>
    <w:p>
      <w:pPr>
        <w:spacing w:after="0" w:line="197" w:lineRule="exact"/>
        <w:rPr>
          <w:sz w:val="20"/>
          <w:szCs w:val="20"/>
          <w:color w:val="auto"/>
        </w:rPr>
      </w:pPr>
    </w:p>
    <w:p>
      <w:pPr>
        <w:ind w:left="7"/>
        <w:spacing w:after="0"/>
        <w:rPr>
          <w:sz w:val="20"/>
          <w:szCs w:val="20"/>
          <w:color w:val="auto"/>
        </w:rPr>
      </w:pPr>
      <w:r>
        <w:rPr>
          <w:rFonts w:ascii="Arial" w:cs="Arial" w:eastAsia="Arial" w:hAnsi="Arial"/>
          <w:sz w:val="12"/>
          <w:szCs w:val="12"/>
          <w:i w:val="1"/>
          <w:iCs w:val="1"/>
          <w:u w:val="single" w:color="auto"/>
          <w:color w:val="auto"/>
        </w:rPr>
        <w:t>Free Cash Flow</w:t>
      </w:r>
    </w:p>
    <w:p>
      <w:pPr>
        <w:sectPr>
          <w:pgSz w:w="11900" w:h="16838" w:orient="portrait"/>
          <w:cols w:equalWidth="0" w:num="1">
            <w:col w:w="11487"/>
          </w:cols>
          <w:pgMar w:left="213" w:top="556" w:right="199" w:bottom="1440" w:gutter="0" w:footer="0" w:header="0"/>
        </w:sectPr>
      </w:pPr>
    </w:p>
    <w:p>
      <w:pPr>
        <w:spacing w:after="0" w:line="178" w:lineRule="exact"/>
        <w:rPr>
          <w:sz w:val="20"/>
          <w:szCs w:val="20"/>
          <w:color w:val="auto"/>
        </w:rPr>
      </w:pPr>
    </w:p>
    <w:p>
      <w:pPr>
        <w:ind w:left="147"/>
        <w:spacing w:after="0"/>
        <w:rPr>
          <w:sz w:val="20"/>
          <w:szCs w:val="20"/>
          <w:color w:val="auto"/>
        </w:rPr>
      </w:pPr>
      <w:r>
        <w:rPr>
          <w:rFonts w:ascii="Arial" w:cs="Arial" w:eastAsia="Arial" w:hAnsi="Arial"/>
          <w:sz w:val="9"/>
          <w:szCs w:val="9"/>
          <w:color w:val="auto"/>
        </w:rPr>
        <w:t>(in millions)</w:t>
      </w:r>
    </w:p>
    <w:p>
      <w:pPr>
        <w:spacing w:after="0" w:line="58" w:lineRule="exact"/>
        <w:rPr>
          <w:sz w:val="20"/>
          <w:szCs w:val="20"/>
          <w:color w:val="auto"/>
        </w:rPr>
      </w:pPr>
    </w:p>
    <w:p>
      <w:pPr>
        <w:ind w:left="147"/>
        <w:spacing w:after="0"/>
        <w:rPr>
          <w:sz w:val="20"/>
          <w:szCs w:val="20"/>
          <w:color w:val="auto"/>
        </w:rPr>
      </w:pPr>
      <w:r>
        <w:rPr>
          <w:rFonts w:ascii="Arial" w:cs="Arial" w:eastAsia="Arial" w:hAnsi="Arial"/>
          <w:sz w:val="9"/>
          <w:szCs w:val="9"/>
          <w:b w:val="1"/>
          <w:bCs w:val="1"/>
          <w:color w:val="auto"/>
        </w:rPr>
        <w:t>Operating Cash Flow</w:t>
      </w:r>
      <w:r>
        <w:rPr>
          <w:rFonts w:ascii="Arial" w:cs="Arial" w:eastAsia="Arial" w:hAnsi="Arial"/>
          <w:sz w:val="11"/>
          <w:szCs w:val="11"/>
          <w:b w:val="1"/>
          <w:bCs w:val="1"/>
          <w:color w:val="auto"/>
          <w:vertAlign w:val="superscript"/>
        </w:rPr>
        <w:t>(1)</w:t>
      </w:r>
    </w:p>
    <w:p>
      <w:pPr>
        <w:spacing w:after="0" w:line="79" w:lineRule="exact"/>
        <w:rPr>
          <w:sz w:val="20"/>
          <w:szCs w:val="20"/>
          <w:color w:val="auto"/>
        </w:rPr>
      </w:pPr>
    </w:p>
    <w:p>
      <w:pPr>
        <w:ind w:left="147"/>
        <w:spacing w:after="0"/>
        <w:rPr>
          <w:sz w:val="20"/>
          <w:szCs w:val="20"/>
          <w:color w:val="auto"/>
        </w:rPr>
      </w:pPr>
      <w:r>
        <w:rPr>
          <w:rFonts w:ascii="Arial" w:cs="Arial" w:eastAsia="Arial" w:hAnsi="Arial"/>
          <w:sz w:val="7"/>
          <w:szCs w:val="7"/>
          <w:color w:val="auto"/>
        </w:rPr>
        <w:t>Less: capital expenditures</w:t>
      </w:r>
    </w:p>
    <w:p>
      <w:pPr>
        <w:spacing w:after="0" w:line="79" w:lineRule="exact"/>
        <w:rPr>
          <w:sz w:val="20"/>
          <w:szCs w:val="20"/>
          <w:color w:val="auto"/>
        </w:rPr>
      </w:pPr>
    </w:p>
    <w:p>
      <w:pPr>
        <w:ind w:left="147"/>
        <w:spacing w:after="0"/>
        <w:rPr>
          <w:sz w:val="20"/>
          <w:szCs w:val="20"/>
          <w:color w:val="auto"/>
        </w:rPr>
      </w:pPr>
      <w:r>
        <w:rPr>
          <w:rFonts w:ascii="Arial" w:cs="Arial" w:eastAsia="Arial" w:hAnsi="Arial"/>
          <w:sz w:val="10"/>
          <w:szCs w:val="10"/>
          <w:b w:val="1"/>
          <w:bCs w:val="1"/>
          <w:color w:val="auto"/>
        </w:rPr>
        <w:t>Free Cash Flow</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FY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-6196330</wp:posOffset>
            </wp:positionH>
            <wp:positionV relativeFrom="paragraph">
              <wp:posOffset>5715</wp:posOffset>
            </wp:positionV>
            <wp:extent cx="7134860" cy="115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15570"/>
                    </a:xfrm>
                    <a:prstGeom prst="rect">
                      <a:avLst/>
                    </a:prstGeom>
                    <a:noFill/>
                  </pic:spPr>
                </pic:pic>
              </a:graphicData>
            </a:graphic>
          </wp:anchor>
        </w:drawing>
      </w:r>
    </w:p>
    <w:p>
      <w:pPr>
        <w:spacing w:after="0" w:line="47" w:lineRule="exact"/>
        <w:rPr>
          <w:sz w:val="20"/>
          <w:szCs w:val="20"/>
          <w:color w:val="auto"/>
        </w:rPr>
      </w:pPr>
    </w:p>
    <w:p>
      <w:pPr>
        <w:jc w:val="right"/>
        <w:ind w:right="240"/>
        <w:spacing w:after="0"/>
        <w:rPr>
          <w:sz w:val="20"/>
          <w:szCs w:val="20"/>
          <w:color w:val="auto"/>
        </w:rPr>
      </w:pPr>
      <w:r>
        <w:rPr>
          <w:rFonts w:ascii="Arial" w:cs="Arial" w:eastAsia="Arial" w:hAnsi="Arial"/>
          <w:sz w:val="10"/>
          <w:szCs w:val="10"/>
          <w:color w:val="auto"/>
        </w:rPr>
        <w:t>$1,175 - $1,275</w:t>
      </w:r>
    </w:p>
    <w:p>
      <w:pPr>
        <w:spacing w:after="0" w:line="67" w:lineRule="exact"/>
        <w:rPr>
          <w:sz w:val="20"/>
          <w:szCs w:val="20"/>
          <w:color w:val="auto"/>
        </w:rPr>
      </w:pPr>
    </w:p>
    <w:p>
      <w:pPr>
        <w:jc w:val="right"/>
        <w:ind w:right="200"/>
        <w:spacing w:after="0"/>
        <w:rPr>
          <w:sz w:val="20"/>
          <w:szCs w:val="20"/>
          <w:color w:val="auto"/>
        </w:rPr>
      </w:pPr>
      <w:r>
        <w:rPr>
          <w:rFonts w:ascii="Arial" w:cs="Arial" w:eastAsia="Arial" w:hAnsi="Arial"/>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-6196330</wp:posOffset>
            </wp:positionH>
            <wp:positionV relativeFrom="paragraph">
              <wp:posOffset>5715</wp:posOffset>
            </wp:positionV>
            <wp:extent cx="7134860" cy="1155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15570"/>
                    </a:xfrm>
                    <a:prstGeom prst="rect">
                      <a:avLst/>
                    </a:prstGeom>
                    <a:noFill/>
                  </pic:spPr>
                </pic:pic>
              </a:graphicData>
            </a:graphic>
          </wp:anchor>
        </w:drawing>
      </w:r>
    </w:p>
    <w:p>
      <w:pPr>
        <w:spacing w:after="0" w:line="38" w:lineRule="exact"/>
        <w:rPr>
          <w:sz w:val="20"/>
          <w:szCs w:val="20"/>
          <w:color w:val="auto"/>
        </w:rPr>
      </w:pPr>
    </w:p>
    <w:p>
      <w:pPr>
        <w:jc w:val="right"/>
        <w:ind w:right="240"/>
        <w:spacing w:after="0"/>
        <w:rPr>
          <w:sz w:val="20"/>
          <w:szCs w:val="20"/>
          <w:color w:val="auto"/>
        </w:rPr>
      </w:pPr>
      <w:r>
        <w:rPr>
          <w:rFonts w:ascii="Arial" w:cs="Arial" w:eastAsia="Arial" w:hAnsi="Arial"/>
          <w:sz w:val="10"/>
          <w:szCs w:val="10"/>
          <w:color w:val="auto"/>
        </w:rPr>
        <w:t>$1,100 - $1,200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17780</wp:posOffset>
            </wp:positionV>
            <wp:extent cx="16389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8935" cy="571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9167" w:space="720"/>
            <w:col w:w="1600"/>
          </w:cols>
          <w:pgMar w:left="213" w:top="556" w:right="199" w:bottom="1440" w:gutter="0" w:footer="0" w:header="0"/>
          <w:type w:val="continuous"/>
        </w:sectPr>
      </w:pPr>
    </w:p>
    <w:p>
      <w:pPr>
        <w:ind w:left="7"/>
        <w:spacing w:after="0"/>
        <w:rPr>
          <w:sz w:val="20"/>
          <w:szCs w:val="20"/>
          <w:color w:val="auto"/>
        </w:rPr>
      </w:pPr>
      <w:r>
        <w:rPr>
          <w:rFonts w:ascii="Arial" w:cs="Arial" w:eastAsia="Arial" w:hAnsi="Arial"/>
          <w:sz w:val="7"/>
          <w:szCs w:val="7"/>
          <w:color w:val="auto"/>
        </w:rPr>
        <w:t>____________________________</w:t>
      </w:r>
    </w:p>
    <w:p>
      <w:pPr>
        <w:spacing w:after="0" w:line="21" w:lineRule="exact"/>
        <w:rPr>
          <w:sz w:val="20"/>
          <w:szCs w:val="20"/>
          <w:color w:val="auto"/>
        </w:rPr>
      </w:pPr>
    </w:p>
    <w:p>
      <w:pPr>
        <w:ind w:left="227" w:hanging="227"/>
        <w:spacing w:after="0"/>
        <w:tabs>
          <w:tab w:leader="none" w:pos="227" w:val="left"/>
        </w:tabs>
        <w:numPr>
          <w:ilvl w:val="0"/>
          <w:numId w:val="34"/>
        </w:numPr>
        <w:rPr>
          <w:rFonts w:ascii="Arial" w:cs="Arial" w:eastAsia="Arial" w:hAnsi="Arial"/>
          <w:sz w:val="12"/>
          <w:szCs w:val="12"/>
          <w:i w:val="1"/>
          <w:iCs w:val="1"/>
          <w:color w:val="auto"/>
          <w:vertAlign w:val="superscript"/>
        </w:rPr>
      </w:pPr>
      <w:r>
        <w:rPr>
          <w:rFonts w:ascii="Arial" w:cs="Arial" w:eastAsia="Arial" w:hAnsi="Arial"/>
          <w:sz w:val="10"/>
          <w:szCs w:val="10"/>
          <w:i w:val="1"/>
          <w:iCs w:val="1"/>
          <w:color w:val="auto"/>
        </w:rPr>
        <w:t>Net cash provided by operating activities.</w:t>
      </w:r>
    </w:p>
    <w:p>
      <w:pPr>
        <w:spacing w:after="0" w:line="154" w:lineRule="exact"/>
        <w:rPr>
          <w:sz w:val="20"/>
          <w:szCs w:val="20"/>
          <w:color w:val="auto"/>
        </w:rPr>
      </w:pPr>
    </w:p>
    <w:p>
      <w:pPr>
        <w:jc w:val="center"/>
        <w:ind w:right="13"/>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7"/>
          </w:cols>
          <w:pgMar w:left="213" w:top="556" w:right="199" w:bottom="1440" w:gutter="0" w:footer="0" w:header="0"/>
          <w:type w:val="continuous"/>
        </w:sectPr>
      </w:pPr>
    </w:p>
    <w:bookmarkStart w:id="28" w:name="page29"/>
    <w:bookmarkEnd w:id="28"/>
    <w:p>
      <w:pPr>
        <w:jc w:val="center"/>
        <w:ind w:right="20"/>
        <w:spacing w:after="0"/>
        <w:rPr>
          <w:sz w:val="20"/>
          <w:szCs w:val="20"/>
          <w:color w:val="auto"/>
        </w:rPr>
      </w:pPr>
      <w:r>
        <w:rPr>
          <w:rFonts w:ascii="Arial" w:cs="Arial" w:eastAsia="Arial" w:hAnsi="Arial"/>
          <w:sz w:val="17"/>
          <w:szCs w:val="17"/>
          <w:b w:val="1"/>
          <w:bCs w:val="1"/>
          <w:color w:val="DA2031"/>
        </w:rPr>
        <w:t>APPENDIX I</w:t>
      </w:r>
    </w:p>
    <w:p>
      <w:pPr>
        <w:spacing w:after="0" w:line="157"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DA2031"/>
        </w:rPr>
        <w:t>Xerox Holdings Corporation</w:t>
      </w:r>
    </w:p>
    <w:p>
      <w:pPr>
        <w:spacing w:after="0" w:line="19"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DA2031"/>
        </w:rPr>
        <w:t>Earnings per Common Share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gridSpan w:val="3"/>
          </w:tcPr>
          <w:p>
            <w:pPr>
              <w:jc w:val="right"/>
              <w:ind w:right="71"/>
              <w:spacing w:after="0"/>
              <w:rPr>
                <w:sz w:val="20"/>
                <w:szCs w:val="20"/>
                <w:color w:val="auto"/>
              </w:rPr>
            </w:pPr>
            <w:r>
              <w:rPr>
                <w:rFonts w:ascii="Arial" w:cs="Arial" w:eastAsia="Arial" w:hAnsi="Arial"/>
                <w:sz w:val="10"/>
                <w:szCs w:val="10"/>
                <w:color w:val="auto"/>
              </w:rPr>
              <w:t>Three Months Ended</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gridSpan w:val="3"/>
          </w:tcPr>
          <w:p>
            <w:pPr>
              <w:jc w:val="right"/>
              <w:ind w:right="91"/>
              <w:spacing w:after="0"/>
              <w:rPr>
                <w:sz w:val="20"/>
                <w:szCs w:val="20"/>
                <w:color w:val="auto"/>
              </w:rPr>
            </w:pPr>
            <w:r>
              <w:rPr>
                <w:rFonts w:ascii="Arial" w:cs="Arial" w:eastAsia="Arial" w:hAnsi="Arial"/>
                <w:sz w:val="10"/>
                <w:szCs w:val="10"/>
                <w:color w:val="auto"/>
              </w:rPr>
              <w:t>Nine Months Ended</w:t>
            </w:r>
          </w:p>
        </w:tc>
        <w:tc>
          <w:tcPr>
            <w:tcW w:w="980" w:type="dxa"/>
            <w:vAlign w:val="bottom"/>
          </w:tcPr>
          <w:p>
            <w:pPr>
              <w:spacing w:after="0"/>
              <w:rPr>
                <w:sz w:val="10"/>
                <w:szCs w:val="10"/>
                <w:color w:val="auto"/>
              </w:rPr>
            </w:pPr>
          </w:p>
        </w:tc>
      </w:tr>
      <w:tr>
        <w:trPr>
          <w:trHeight w:val="120"/>
        </w:trPr>
        <w:tc>
          <w:tcPr>
            <w:tcW w:w="5160" w:type="dxa"/>
            <w:vAlign w:val="bottom"/>
            <w:gridSpan w:val="2"/>
          </w:tcPr>
          <w:p>
            <w:pPr>
              <w:ind w:left="20"/>
              <w:spacing w:after="0"/>
              <w:rPr>
                <w:sz w:val="20"/>
                <w:szCs w:val="20"/>
                <w:color w:val="auto"/>
              </w:rPr>
            </w:pPr>
            <w:r>
              <w:rPr>
                <w:rFonts w:ascii="Arial" w:cs="Arial" w:eastAsia="Arial" w:hAnsi="Arial"/>
                <w:sz w:val="9"/>
                <w:szCs w:val="9"/>
                <w:color w:val="auto"/>
              </w:rPr>
              <w:t>(in millions, except per-share data, shares in thousands)</w:t>
            </w:r>
          </w:p>
        </w:tc>
        <w:tc>
          <w:tcPr>
            <w:tcW w:w="960" w:type="dxa"/>
            <w:vAlign w:val="bottom"/>
          </w:tcPr>
          <w:p>
            <w:pPr>
              <w:spacing w:after="0"/>
              <w:rPr>
                <w:sz w:val="10"/>
                <w:szCs w:val="10"/>
                <w:color w:val="auto"/>
              </w:rPr>
            </w:pPr>
          </w:p>
        </w:tc>
        <w:tc>
          <w:tcPr>
            <w:tcW w:w="1180" w:type="dxa"/>
            <w:vAlign w:val="bottom"/>
            <w:gridSpan w:val="3"/>
          </w:tcPr>
          <w:p>
            <w:pPr>
              <w:jc w:val="right"/>
              <w:ind w:right="191"/>
              <w:spacing w:after="0"/>
              <w:rPr>
                <w:sz w:val="20"/>
                <w:szCs w:val="20"/>
                <w:color w:val="auto"/>
              </w:rPr>
            </w:pPr>
            <w:r>
              <w:rPr>
                <w:rFonts w:ascii="Arial" w:cs="Arial" w:eastAsia="Arial" w:hAnsi="Arial"/>
                <w:sz w:val="10"/>
                <w:szCs w:val="10"/>
                <w:color w:val="auto"/>
              </w:rPr>
              <w:t>September 30,</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gridSpan w:val="3"/>
          </w:tcPr>
          <w:p>
            <w:pPr>
              <w:jc w:val="right"/>
              <w:ind w:right="171"/>
              <w:spacing w:after="0"/>
              <w:rPr>
                <w:sz w:val="20"/>
                <w:szCs w:val="20"/>
                <w:color w:val="auto"/>
              </w:rPr>
            </w:pPr>
            <w:r>
              <w:rPr>
                <w:rFonts w:ascii="Arial" w:cs="Arial" w:eastAsia="Arial" w:hAnsi="Arial"/>
                <w:sz w:val="10"/>
                <w:szCs w:val="10"/>
                <w:color w:val="auto"/>
              </w:rPr>
              <w:t>September 30,</w:t>
            </w:r>
          </w:p>
        </w:tc>
        <w:tc>
          <w:tcPr>
            <w:tcW w:w="980" w:type="dxa"/>
            <w:vAlign w:val="bottom"/>
          </w:tcPr>
          <w:p>
            <w:pPr>
              <w:spacing w:after="0"/>
              <w:rPr>
                <w:sz w:val="10"/>
                <w:szCs w:val="10"/>
                <w:color w:val="auto"/>
              </w:rPr>
            </w:pPr>
          </w:p>
        </w:tc>
      </w:tr>
      <w:tr>
        <w:trPr>
          <w:trHeight w:val="172"/>
        </w:trPr>
        <w:tc>
          <w:tcPr>
            <w:tcW w:w="5040" w:type="dxa"/>
            <w:vAlign w:val="bottom"/>
            <w:tcBorders>
              <w:top w:val="single" w:sz="8" w:color="auto"/>
              <w:bottom w:val="single" w:sz="8" w:color="E5E5E5"/>
            </w:tcBorders>
          </w:tcPr>
          <w:p>
            <w:pPr>
              <w:spacing w:after="0"/>
              <w:rPr>
                <w:sz w:val="14"/>
                <w:szCs w:val="14"/>
                <w:color w:val="auto"/>
              </w:rPr>
            </w:pPr>
          </w:p>
        </w:tc>
        <w:tc>
          <w:tcPr>
            <w:tcW w:w="120" w:type="dxa"/>
            <w:vAlign w:val="bottom"/>
            <w:tcBorders>
              <w:bottom w:val="single" w:sz="8" w:color="E5E5E5"/>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2019</w:t>
            </w: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E5E5E5"/>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0"/>
                <w:szCs w:val="10"/>
                <w:color w:val="auto"/>
              </w:rPr>
              <w:t>2018</w:t>
            </w:r>
          </w:p>
        </w:tc>
        <w:tc>
          <w:tcPr>
            <w:tcW w:w="120" w:type="dxa"/>
            <w:vAlign w:val="bottom"/>
            <w:tcBorders>
              <w:bottom w:val="single" w:sz="8" w:color="E5E5E5"/>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0"/>
                <w:szCs w:val="10"/>
                <w:color w:val="auto"/>
              </w:rPr>
              <w:t>2019</w:t>
            </w:r>
          </w:p>
        </w:tc>
        <w:tc>
          <w:tcPr>
            <w:tcW w:w="120" w:type="dxa"/>
            <w:vAlign w:val="bottom"/>
            <w:tcBorders>
              <w:top w:val="single" w:sz="8" w:color="auto"/>
              <w:bottom w:val="single" w:sz="8" w:color="E5E5E5"/>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0"/>
                <w:szCs w:val="10"/>
                <w:color w:val="auto"/>
              </w:rPr>
              <w:t>2018</w:t>
            </w:r>
          </w:p>
        </w:tc>
      </w:tr>
      <w:tr>
        <w:trPr>
          <w:trHeight w:val="176"/>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Basic Earnings per Share:</w:t>
            </w:r>
          </w:p>
        </w:tc>
        <w:tc>
          <w:tcPr>
            <w:tcW w:w="96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r>
      <w:tr>
        <w:trPr>
          <w:trHeight w:val="178"/>
        </w:trPr>
        <w:tc>
          <w:tcPr>
            <w:tcW w:w="5160" w:type="dxa"/>
            <w:vAlign w:val="bottom"/>
            <w:gridSpan w:val="2"/>
          </w:tcPr>
          <w:p>
            <w:pPr>
              <w:ind w:left="20"/>
              <w:spacing w:after="0"/>
              <w:rPr>
                <w:sz w:val="20"/>
                <w:szCs w:val="20"/>
                <w:color w:val="auto"/>
              </w:rPr>
            </w:pPr>
            <w:r>
              <w:rPr>
                <w:rFonts w:ascii="Arial" w:cs="Arial" w:eastAsia="Arial" w:hAnsi="Arial"/>
                <w:sz w:val="10"/>
                <w:szCs w:val="10"/>
                <w:b w:val="1"/>
                <w:bCs w:val="1"/>
                <w:color w:val="auto"/>
              </w:rPr>
              <w:t>Net Income Attributable to Xerox Holdings</w:t>
            </w:r>
          </w:p>
        </w:tc>
        <w:tc>
          <w:tcPr>
            <w:tcW w:w="960" w:type="dxa"/>
            <w:vAlign w:val="bottom"/>
          </w:tcPr>
          <w:p>
            <w:pPr>
              <w:jc w:val="right"/>
              <w:ind w:right="831"/>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221</w:t>
            </w:r>
          </w:p>
        </w:tc>
        <w:tc>
          <w:tcPr>
            <w:tcW w:w="120" w:type="dxa"/>
            <w:vAlign w:val="bottom"/>
          </w:tcPr>
          <w:p>
            <w:pPr>
              <w:spacing w:after="0"/>
              <w:rPr>
                <w:sz w:val="15"/>
                <w:szCs w:val="15"/>
                <w:color w:val="auto"/>
              </w:rPr>
            </w:pPr>
          </w:p>
        </w:tc>
        <w:tc>
          <w:tcPr>
            <w:tcW w:w="52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71"/>
              <w:spacing w:after="0"/>
              <w:rPr>
                <w:sz w:val="20"/>
                <w:szCs w:val="20"/>
                <w:color w:val="auto"/>
              </w:rPr>
            </w:pPr>
            <w:r>
              <w:rPr>
                <w:rFonts w:ascii="Arial" w:cs="Arial" w:eastAsia="Arial" w:hAnsi="Arial"/>
                <w:sz w:val="10"/>
                <w:szCs w:val="10"/>
                <w:color w:val="auto"/>
              </w:rPr>
              <w:t>89</w:t>
            </w:r>
          </w:p>
        </w:tc>
        <w:tc>
          <w:tcPr>
            <w:tcW w:w="120" w:type="dxa"/>
            <w:vAlign w:val="bottom"/>
          </w:tcPr>
          <w:p>
            <w:pPr>
              <w:spacing w:after="0"/>
              <w:rPr>
                <w:sz w:val="15"/>
                <w:szCs w:val="15"/>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51"/>
              <w:spacing w:after="0"/>
              <w:rPr>
                <w:sz w:val="20"/>
                <w:szCs w:val="20"/>
                <w:color w:val="auto"/>
              </w:rPr>
            </w:pPr>
            <w:r>
              <w:rPr>
                <w:rFonts w:ascii="Arial" w:cs="Arial" w:eastAsia="Arial" w:hAnsi="Arial"/>
                <w:sz w:val="10"/>
                <w:szCs w:val="10"/>
                <w:color w:val="auto"/>
              </w:rPr>
              <w:t>535</w:t>
            </w:r>
          </w:p>
        </w:tc>
        <w:tc>
          <w:tcPr>
            <w:tcW w:w="120" w:type="dxa"/>
            <w:vAlign w:val="bottom"/>
          </w:tcPr>
          <w:p>
            <w:pPr>
              <w:spacing w:after="0"/>
              <w:rPr>
                <w:sz w:val="15"/>
                <w:szCs w:val="15"/>
                <w:color w:val="auto"/>
              </w:rPr>
            </w:pPr>
          </w:p>
        </w:tc>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224</w:t>
            </w:r>
          </w:p>
        </w:tc>
      </w:tr>
      <w:tr>
        <w:trPr>
          <w:trHeight w:val="182"/>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Accrued dividends on preferred stock</w:t>
            </w:r>
          </w:p>
        </w:tc>
        <w:tc>
          <w:tcPr>
            <w:tcW w:w="960" w:type="dxa"/>
            <w:vAlign w:val="bottom"/>
            <w:tcBorders>
              <w:bottom w:val="single" w:sz="8" w:color="auto"/>
            </w:tcBorders>
            <w:shd w:val="clear" w:color="auto" w:fill="E5E5E5"/>
          </w:tcPr>
          <w:p>
            <w:pPr>
              <w:spacing w:after="0"/>
              <w:rPr>
                <w:sz w:val="15"/>
                <w:szCs w:val="15"/>
                <w:color w:val="auto"/>
              </w:rPr>
            </w:pPr>
          </w:p>
        </w:tc>
        <w:tc>
          <w:tcPr>
            <w:tcW w:w="54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5"/>
                <w:szCs w:val="15"/>
                <w:color w:val="auto"/>
              </w:rPr>
            </w:pPr>
          </w:p>
        </w:tc>
        <w:tc>
          <w:tcPr>
            <w:tcW w:w="520" w:type="dxa"/>
            <w:vAlign w:val="bottom"/>
            <w:tcBorders>
              <w:bottom w:val="single" w:sz="8" w:color="auto"/>
            </w:tcBorders>
            <w:shd w:val="clear" w:color="auto" w:fill="E5E5E5"/>
          </w:tcPr>
          <w:p>
            <w:pPr>
              <w:spacing w:after="0"/>
              <w:rPr>
                <w:sz w:val="15"/>
                <w:szCs w:val="15"/>
                <w:color w:val="auto"/>
              </w:rPr>
            </w:pPr>
          </w:p>
        </w:tc>
        <w:tc>
          <w:tcPr>
            <w:tcW w:w="1000" w:type="dxa"/>
            <w:vAlign w:val="bottom"/>
            <w:tcBorders>
              <w:bottom w:val="single" w:sz="8" w:color="auto"/>
            </w:tcBorders>
            <w:shd w:val="clear" w:color="auto" w:fill="E5E5E5"/>
          </w:tcPr>
          <w:p>
            <w:pPr>
              <w:jc w:val="right"/>
              <w:ind w:right="51"/>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5"/>
                <w:szCs w:val="15"/>
                <w:color w:val="auto"/>
              </w:rPr>
            </w:pPr>
          </w:p>
        </w:tc>
        <w:tc>
          <w:tcPr>
            <w:tcW w:w="340" w:type="dxa"/>
            <w:vAlign w:val="bottom"/>
            <w:tcBorders>
              <w:bottom w:val="single" w:sz="8" w:color="auto"/>
            </w:tcBorders>
            <w:shd w:val="clear" w:color="auto" w:fill="E5E5E5"/>
          </w:tcPr>
          <w:p>
            <w:pPr>
              <w:spacing w:after="0"/>
              <w:rPr>
                <w:sz w:val="15"/>
                <w:szCs w:val="15"/>
                <w:color w:val="auto"/>
              </w:rPr>
            </w:pPr>
          </w:p>
        </w:tc>
        <w:tc>
          <w:tcPr>
            <w:tcW w:w="1120" w:type="dxa"/>
            <w:vAlign w:val="bottom"/>
            <w:tcBorders>
              <w:bottom w:val="single" w:sz="8" w:color="auto"/>
            </w:tcBorders>
            <w:shd w:val="clear" w:color="auto" w:fill="E5E5E5"/>
          </w:tcPr>
          <w:p>
            <w:pPr>
              <w:jc w:val="right"/>
              <w:ind w:right="11"/>
              <w:spacing w:after="0"/>
              <w:rPr>
                <w:sz w:val="20"/>
                <w:szCs w:val="20"/>
                <w:color w:val="auto"/>
              </w:rPr>
            </w:pPr>
            <w:r>
              <w:rPr>
                <w:rFonts w:ascii="Arial" w:cs="Arial" w:eastAsia="Arial" w:hAnsi="Arial"/>
                <w:sz w:val="10"/>
                <w:szCs w:val="10"/>
                <w:color w:val="auto"/>
              </w:rPr>
              <w:t>(11)</w:t>
            </w:r>
          </w:p>
        </w:tc>
        <w:tc>
          <w:tcPr>
            <w:tcW w:w="120" w:type="dxa"/>
            <w:vAlign w:val="bottom"/>
            <w:shd w:val="clear" w:color="auto" w:fill="E5E5E5"/>
          </w:tcPr>
          <w:p>
            <w:pPr>
              <w:spacing w:after="0"/>
              <w:rPr>
                <w:sz w:val="15"/>
                <w:szCs w:val="15"/>
                <w:color w:val="auto"/>
              </w:rPr>
            </w:pPr>
          </w:p>
        </w:tc>
        <w:tc>
          <w:tcPr>
            <w:tcW w:w="500" w:type="dxa"/>
            <w:vAlign w:val="bottom"/>
            <w:tcBorders>
              <w:bottom w:val="single" w:sz="8" w:color="auto"/>
            </w:tcBorders>
            <w:shd w:val="clear" w:color="auto" w:fill="E5E5E5"/>
          </w:tcPr>
          <w:p>
            <w:pPr>
              <w:spacing w:after="0"/>
              <w:rPr>
                <w:sz w:val="15"/>
                <w:szCs w:val="15"/>
                <w:color w:val="auto"/>
              </w:rPr>
            </w:pPr>
          </w:p>
        </w:tc>
        <w:tc>
          <w:tcPr>
            <w:tcW w:w="980" w:type="dxa"/>
            <w:vAlign w:val="bottom"/>
            <w:tcBorders>
              <w:bottom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(11)</w:t>
            </w:r>
          </w:p>
        </w:tc>
      </w:tr>
      <w:tr>
        <w:trPr>
          <w:trHeight w:val="165"/>
        </w:trPr>
        <w:tc>
          <w:tcPr>
            <w:tcW w:w="51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Adjusted net income available to common shareholders</w:t>
            </w:r>
          </w:p>
        </w:tc>
        <w:tc>
          <w:tcPr>
            <w:tcW w:w="960" w:type="dxa"/>
            <w:vAlign w:val="bottom"/>
            <w:tcBorders>
              <w:bottom w:val="single" w:sz="8" w:color="auto"/>
            </w:tcBorders>
          </w:tcPr>
          <w:p>
            <w:pPr>
              <w:jc w:val="right"/>
              <w:ind w:right="8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217</w:t>
            </w:r>
          </w:p>
        </w:tc>
        <w:tc>
          <w:tcPr>
            <w:tcW w:w="120" w:type="dxa"/>
            <w:vAlign w:val="bottom"/>
            <w:tcBorders>
              <w:bottom w:val="single" w:sz="8" w:color="E5E5E5"/>
            </w:tcBorders>
          </w:tcPr>
          <w:p>
            <w:pPr>
              <w:spacing w:after="0"/>
              <w:rPr>
                <w:sz w:val="14"/>
                <w:szCs w:val="14"/>
                <w:color w:val="auto"/>
              </w:rPr>
            </w:pPr>
          </w:p>
        </w:tc>
        <w:tc>
          <w:tcPr>
            <w:tcW w:w="5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85</w:t>
            </w:r>
          </w:p>
        </w:tc>
        <w:tc>
          <w:tcPr>
            <w:tcW w:w="120" w:type="dxa"/>
            <w:vAlign w:val="bottom"/>
            <w:tcBorders>
              <w:bottom w:val="single" w:sz="8" w:color="E5E5E5"/>
            </w:tcBorders>
          </w:tcPr>
          <w:p>
            <w:pPr>
              <w:spacing w:after="0"/>
              <w:rPr>
                <w:sz w:val="14"/>
                <w:szCs w:val="14"/>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524</w:t>
            </w:r>
          </w:p>
        </w:tc>
        <w:tc>
          <w:tcPr>
            <w:tcW w:w="120" w:type="dxa"/>
            <w:vAlign w:val="bottom"/>
            <w:tcBorders>
              <w:bottom w:val="single" w:sz="8" w:color="E5E5E5"/>
            </w:tcBorders>
          </w:tcPr>
          <w:p>
            <w:pPr>
              <w:spacing w:after="0"/>
              <w:rPr>
                <w:sz w:val="14"/>
                <w:szCs w:val="14"/>
                <w:color w:val="auto"/>
              </w:rPr>
            </w:pPr>
          </w:p>
        </w:tc>
        <w:tc>
          <w:tcPr>
            <w:tcW w:w="50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213</w:t>
            </w:r>
          </w:p>
        </w:tc>
      </w:tr>
      <w:tr>
        <w:trPr>
          <w:trHeight w:val="164"/>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Weighted average common shares outstanding</w:t>
            </w:r>
          </w:p>
        </w:tc>
        <w:tc>
          <w:tcPr>
            <w:tcW w:w="960" w:type="dxa"/>
            <w:vAlign w:val="bottom"/>
            <w:shd w:val="clear" w:color="auto" w:fill="E5E5E5"/>
          </w:tcPr>
          <w:p>
            <w:pPr>
              <w:spacing w:after="0"/>
              <w:rPr>
                <w:sz w:val="14"/>
                <w:szCs w:val="14"/>
                <w:color w:val="auto"/>
              </w:rPr>
            </w:pPr>
          </w:p>
        </w:tc>
        <w:tc>
          <w:tcPr>
            <w:tcW w:w="5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220,269</w:t>
            </w:r>
          </w:p>
        </w:tc>
        <w:tc>
          <w:tcPr>
            <w:tcW w:w="120" w:type="dxa"/>
            <w:vAlign w:val="bottom"/>
            <w:shd w:val="clear" w:color="auto" w:fill="E5E5E5"/>
          </w:tcPr>
          <w:p>
            <w:pPr>
              <w:spacing w:after="0"/>
              <w:rPr>
                <w:sz w:val="14"/>
                <w:szCs w:val="14"/>
                <w:color w:val="auto"/>
              </w:rPr>
            </w:pPr>
          </w:p>
        </w:tc>
        <w:tc>
          <w:tcPr>
            <w:tcW w:w="520" w:type="dxa"/>
            <w:vAlign w:val="bottom"/>
            <w:shd w:val="clear" w:color="auto" w:fill="E5E5E5"/>
          </w:tcPr>
          <w:p>
            <w:pPr>
              <w:spacing w:after="0"/>
              <w:rPr>
                <w:sz w:val="14"/>
                <w:szCs w:val="14"/>
                <w:color w:val="auto"/>
              </w:rPr>
            </w:pPr>
          </w:p>
        </w:tc>
        <w:tc>
          <w:tcPr>
            <w:tcW w:w="10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251,290</w:t>
            </w:r>
          </w:p>
        </w:tc>
        <w:tc>
          <w:tcPr>
            <w:tcW w:w="12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224,257</w:t>
            </w:r>
          </w:p>
        </w:tc>
        <w:tc>
          <w:tcPr>
            <w:tcW w:w="12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253,360</w:t>
            </w: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2"/>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Basic Earnings per Share</w:t>
            </w:r>
          </w:p>
        </w:tc>
        <w:tc>
          <w:tcPr>
            <w:tcW w:w="960" w:type="dxa"/>
            <w:vAlign w:val="bottom"/>
            <w:shd w:val="clear" w:color="auto" w:fill="E5E5E5"/>
          </w:tcPr>
          <w:p>
            <w:pPr>
              <w:jc w:val="right"/>
              <w:ind w:right="831"/>
              <w:spacing w:after="0"/>
              <w:rPr>
                <w:sz w:val="20"/>
                <w:szCs w:val="20"/>
                <w:color w:val="auto"/>
              </w:rPr>
            </w:pPr>
            <w:r>
              <w:rPr>
                <w:rFonts w:ascii="Arial" w:cs="Arial" w:eastAsia="Arial" w:hAnsi="Arial"/>
                <w:sz w:val="10"/>
                <w:szCs w:val="10"/>
                <w:color w:val="auto"/>
              </w:rPr>
              <w:t>$</w:t>
            </w:r>
          </w:p>
        </w:tc>
        <w:tc>
          <w:tcPr>
            <w:tcW w:w="5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0.99</w:t>
            </w:r>
          </w:p>
        </w:tc>
        <w:tc>
          <w:tcPr>
            <w:tcW w:w="120" w:type="dxa"/>
            <w:vAlign w:val="bottom"/>
            <w:shd w:val="clear" w:color="auto" w:fill="E5E5E5"/>
          </w:tcPr>
          <w:p>
            <w:pPr>
              <w:spacing w:after="0"/>
              <w:rPr>
                <w:sz w:val="15"/>
                <w:szCs w:val="15"/>
                <w:color w:val="auto"/>
              </w:rPr>
            </w:pPr>
          </w:p>
        </w:tc>
        <w:tc>
          <w:tcPr>
            <w:tcW w:w="520" w:type="dxa"/>
            <w:vAlign w:val="bottom"/>
            <w:shd w:val="clear" w:color="auto" w:fill="E5E5E5"/>
          </w:tcPr>
          <w:p>
            <w:pPr>
              <w:jc w:val="right"/>
              <w:ind w:right="391"/>
              <w:spacing w:after="0"/>
              <w:rPr>
                <w:sz w:val="20"/>
                <w:szCs w:val="20"/>
                <w:color w:val="auto"/>
              </w:rPr>
            </w:pPr>
            <w:r>
              <w:rPr>
                <w:rFonts w:ascii="Arial" w:cs="Arial" w:eastAsia="Arial" w:hAnsi="Arial"/>
                <w:sz w:val="10"/>
                <w:szCs w:val="10"/>
                <w:color w:val="auto"/>
              </w:rPr>
              <w:t>$</w:t>
            </w:r>
          </w:p>
        </w:tc>
        <w:tc>
          <w:tcPr>
            <w:tcW w:w="10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0.34</w:t>
            </w:r>
          </w:p>
        </w:tc>
        <w:tc>
          <w:tcPr>
            <w:tcW w:w="120" w:type="dxa"/>
            <w:vAlign w:val="bottom"/>
            <w:shd w:val="clear" w:color="auto" w:fill="E5E5E5"/>
          </w:tcPr>
          <w:p>
            <w:pPr>
              <w:spacing w:after="0"/>
              <w:rPr>
                <w:sz w:val="15"/>
                <w:szCs w:val="15"/>
                <w:color w:val="auto"/>
              </w:rPr>
            </w:pPr>
          </w:p>
        </w:tc>
        <w:tc>
          <w:tcPr>
            <w:tcW w:w="340" w:type="dxa"/>
            <w:vAlign w:val="bottom"/>
            <w:shd w:val="clear" w:color="auto" w:fill="E5E5E5"/>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2.34</w:t>
            </w:r>
          </w:p>
        </w:tc>
        <w:tc>
          <w:tcPr>
            <w:tcW w:w="120" w:type="dxa"/>
            <w:vAlign w:val="bottom"/>
            <w:shd w:val="clear" w:color="auto" w:fill="E5E5E5"/>
          </w:tcPr>
          <w:p>
            <w:pPr>
              <w:spacing w:after="0"/>
              <w:rPr>
                <w:sz w:val="15"/>
                <w:szCs w:val="15"/>
                <w:color w:val="auto"/>
              </w:rPr>
            </w:pPr>
          </w:p>
        </w:tc>
        <w:tc>
          <w:tcPr>
            <w:tcW w:w="500" w:type="dxa"/>
            <w:vAlign w:val="bottom"/>
            <w:shd w:val="clear" w:color="auto" w:fill="E5E5E5"/>
          </w:tcPr>
          <w:p>
            <w:pPr>
              <w:jc w:val="right"/>
              <w:ind w:right="39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0.84</w:t>
            </w: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2"/>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b w:val="1"/>
                <w:bCs w:val="1"/>
                <w:color w:val="auto"/>
              </w:rPr>
              <w:t>Diluted Earnings per Share:</w:t>
            </w:r>
          </w:p>
        </w:tc>
        <w:tc>
          <w:tcPr>
            <w:tcW w:w="96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80" w:type="dxa"/>
            <w:vAlign w:val="bottom"/>
            <w:shd w:val="clear" w:color="auto" w:fill="E5E5E5"/>
          </w:tcPr>
          <w:p>
            <w:pPr>
              <w:spacing w:after="0"/>
              <w:rPr>
                <w:sz w:val="15"/>
                <w:szCs w:val="15"/>
                <w:color w:val="auto"/>
              </w:rPr>
            </w:pPr>
          </w:p>
        </w:tc>
      </w:tr>
      <w:tr>
        <w:trPr>
          <w:trHeight w:val="178"/>
        </w:trPr>
        <w:tc>
          <w:tcPr>
            <w:tcW w:w="5160" w:type="dxa"/>
            <w:vAlign w:val="bottom"/>
            <w:gridSpan w:val="2"/>
          </w:tcPr>
          <w:p>
            <w:pPr>
              <w:ind w:left="20"/>
              <w:spacing w:after="0"/>
              <w:rPr>
                <w:sz w:val="20"/>
                <w:szCs w:val="20"/>
                <w:color w:val="auto"/>
              </w:rPr>
            </w:pPr>
            <w:r>
              <w:rPr>
                <w:rFonts w:ascii="Arial" w:cs="Arial" w:eastAsia="Arial" w:hAnsi="Arial"/>
                <w:sz w:val="10"/>
                <w:szCs w:val="10"/>
                <w:b w:val="1"/>
                <w:bCs w:val="1"/>
                <w:color w:val="auto"/>
              </w:rPr>
              <w:t>Net Income Attributable to Xerox Holdings</w:t>
            </w:r>
          </w:p>
        </w:tc>
        <w:tc>
          <w:tcPr>
            <w:tcW w:w="960" w:type="dxa"/>
            <w:vAlign w:val="bottom"/>
          </w:tcPr>
          <w:p>
            <w:pPr>
              <w:jc w:val="right"/>
              <w:ind w:right="831"/>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221</w:t>
            </w:r>
          </w:p>
        </w:tc>
        <w:tc>
          <w:tcPr>
            <w:tcW w:w="120" w:type="dxa"/>
            <w:vAlign w:val="bottom"/>
          </w:tcPr>
          <w:p>
            <w:pPr>
              <w:spacing w:after="0"/>
              <w:rPr>
                <w:sz w:val="15"/>
                <w:szCs w:val="15"/>
                <w:color w:val="auto"/>
              </w:rPr>
            </w:pPr>
          </w:p>
        </w:tc>
        <w:tc>
          <w:tcPr>
            <w:tcW w:w="520" w:type="dxa"/>
            <w:vAlign w:val="bottom"/>
          </w:tcPr>
          <w:p>
            <w:pPr>
              <w:jc w:val="right"/>
              <w:ind w:right="391"/>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71"/>
              <w:spacing w:after="0"/>
              <w:rPr>
                <w:sz w:val="20"/>
                <w:szCs w:val="20"/>
                <w:color w:val="auto"/>
              </w:rPr>
            </w:pPr>
            <w:r>
              <w:rPr>
                <w:rFonts w:ascii="Arial" w:cs="Arial" w:eastAsia="Arial" w:hAnsi="Arial"/>
                <w:sz w:val="10"/>
                <w:szCs w:val="10"/>
                <w:color w:val="auto"/>
              </w:rPr>
              <w:t>89</w:t>
            </w:r>
          </w:p>
        </w:tc>
        <w:tc>
          <w:tcPr>
            <w:tcW w:w="120" w:type="dxa"/>
            <w:vAlign w:val="bottom"/>
          </w:tcPr>
          <w:p>
            <w:pPr>
              <w:spacing w:after="0"/>
              <w:rPr>
                <w:sz w:val="15"/>
                <w:szCs w:val="15"/>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51"/>
              <w:spacing w:after="0"/>
              <w:rPr>
                <w:sz w:val="20"/>
                <w:szCs w:val="20"/>
                <w:color w:val="auto"/>
              </w:rPr>
            </w:pPr>
            <w:r>
              <w:rPr>
                <w:rFonts w:ascii="Arial" w:cs="Arial" w:eastAsia="Arial" w:hAnsi="Arial"/>
                <w:sz w:val="10"/>
                <w:szCs w:val="10"/>
                <w:color w:val="auto"/>
              </w:rPr>
              <w:t>535</w:t>
            </w:r>
          </w:p>
        </w:tc>
        <w:tc>
          <w:tcPr>
            <w:tcW w:w="120" w:type="dxa"/>
            <w:vAlign w:val="bottom"/>
          </w:tcPr>
          <w:p>
            <w:pPr>
              <w:spacing w:after="0"/>
              <w:rPr>
                <w:sz w:val="15"/>
                <w:szCs w:val="15"/>
                <w:color w:val="auto"/>
              </w:rPr>
            </w:pPr>
          </w:p>
        </w:tc>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224</w:t>
            </w:r>
          </w:p>
        </w:tc>
      </w:tr>
      <w:tr>
        <w:trPr>
          <w:trHeight w:val="182"/>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Accrued dividends on preferred stock</w:t>
            </w:r>
          </w:p>
        </w:tc>
        <w:tc>
          <w:tcPr>
            <w:tcW w:w="960" w:type="dxa"/>
            <w:vAlign w:val="bottom"/>
            <w:shd w:val="clear" w:color="auto" w:fill="E5E5E5"/>
          </w:tcPr>
          <w:p>
            <w:pPr>
              <w:spacing w:after="0"/>
              <w:rPr>
                <w:sz w:val="15"/>
                <w:szCs w:val="15"/>
                <w:color w:val="auto"/>
              </w:rPr>
            </w:pPr>
          </w:p>
        </w:tc>
        <w:tc>
          <w:tcPr>
            <w:tcW w:w="660" w:type="dxa"/>
            <w:vAlign w:val="bottom"/>
            <w:gridSpan w:val="2"/>
            <w:shd w:val="clear" w:color="auto" w:fill="E5E5E5"/>
          </w:tcPr>
          <w:p>
            <w:pPr>
              <w:jc w:val="right"/>
              <w:ind w:right="220"/>
              <w:spacing w:after="0"/>
              <w:rPr>
                <w:sz w:val="20"/>
                <w:szCs w:val="20"/>
                <w:color w:val="auto"/>
              </w:rPr>
            </w:pPr>
            <w:r>
              <w:rPr>
                <w:rFonts w:ascii="Arial" w:cs="Arial" w:eastAsia="Arial" w:hAnsi="Arial"/>
                <w:sz w:val="10"/>
                <w:szCs w:val="10"/>
                <w:color w:val="auto"/>
              </w:rPr>
              <w:t>—</w:t>
            </w:r>
          </w:p>
        </w:tc>
        <w:tc>
          <w:tcPr>
            <w:tcW w:w="520" w:type="dxa"/>
            <w:vAlign w:val="bottom"/>
            <w:shd w:val="clear" w:color="auto" w:fill="E5E5E5"/>
          </w:tcPr>
          <w:p>
            <w:pPr>
              <w:spacing w:after="0"/>
              <w:rPr>
                <w:sz w:val="15"/>
                <w:szCs w:val="15"/>
                <w:color w:val="auto"/>
              </w:rPr>
            </w:pPr>
          </w:p>
        </w:tc>
        <w:tc>
          <w:tcPr>
            <w:tcW w:w="100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(4)</w:t>
            </w:r>
          </w:p>
        </w:tc>
        <w:tc>
          <w:tcPr>
            <w:tcW w:w="1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0"/>
                <w:szCs w:val="10"/>
                <w:color w:val="auto"/>
              </w:rPr>
              <w:t>—</w:t>
            </w:r>
          </w:p>
        </w:tc>
        <w:tc>
          <w:tcPr>
            <w:tcW w:w="50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31"/>
              <w:spacing w:after="0"/>
              <w:rPr>
                <w:sz w:val="20"/>
                <w:szCs w:val="20"/>
                <w:color w:val="auto"/>
              </w:rPr>
            </w:pPr>
            <w:r>
              <w:rPr>
                <w:rFonts w:ascii="Arial" w:cs="Arial" w:eastAsia="Arial" w:hAnsi="Arial"/>
                <w:sz w:val="10"/>
                <w:szCs w:val="10"/>
                <w:color w:val="auto"/>
              </w:rPr>
              <w:t>(11)</w:t>
            </w:r>
          </w:p>
        </w:tc>
      </w:tr>
      <w:tr>
        <w:trPr>
          <w:trHeight w:val="165"/>
        </w:trPr>
        <w:tc>
          <w:tcPr>
            <w:tcW w:w="51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Adjusted net income available to common shareholders</w:t>
            </w:r>
          </w:p>
        </w:tc>
        <w:tc>
          <w:tcPr>
            <w:tcW w:w="960" w:type="dxa"/>
            <w:vAlign w:val="bottom"/>
            <w:tcBorders>
              <w:top w:val="single" w:sz="8" w:color="auto"/>
              <w:bottom w:val="single" w:sz="8" w:color="auto"/>
            </w:tcBorders>
          </w:tcPr>
          <w:p>
            <w:pPr>
              <w:jc w:val="right"/>
              <w:ind w:right="831"/>
              <w:spacing w:after="0"/>
              <w:rPr>
                <w:sz w:val="20"/>
                <w:szCs w:val="20"/>
                <w:color w:val="auto"/>
              </w:rPr>
            </w:pPr>
            <w:r>
              <w:rPr>
                <w:rFonts w:ascii="Arial" w:cs="Arial" w:eastAsia="Arial" w:hAnsi="Arial"/>
                <w:sz w:val="10"/>
                <w:szCs w:val="10"/>
                <w:color w:val="auto"/>
              </w:rPr>
              <w:t>$</w:t>
            </w:r>
          </w:p>
        </w:tc>
        <w:tc>
          <w:tcPr>
            <w:tcW w:w="5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221</w:t>
            </w:r>
          </w:p>
        </w:tc>
        <w:tc>
          <w:tcPr>
            <w:tcW w:w="120" w:type="dxa"/>
            <w:vAlign w:val="bottom"/>
            <w:tcBorders>
              <w:bottom w:val="single" w:sz="8" w:color="E5E5E5"/>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0"/>
                <w:szCs w:val="10"/>
                <w:color w:val="auto"/>
              </w:rPr>
              <w:t>$</w:t>
            </w: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85</w:t>
            </w:r>
          </w:p>
        </w:tc>
        <w:tc>
          <w:tcPr>
            <w:tcW w:w="120" w:type="dxa"/>
            <w:vAlign w:val="bottom"/>
            <w:tcBorders>
              <w:bottom w:val="single" w:sz="8" w:color="E5E5E5"/>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535</w:t>
            </w:r>
          </w:p>
        </w:tc>
        <w:tc>
          <w:tcPr>
            <w:tcW w:w="120" w:type="dxa"/>
            <w:vAlign w:val="bottom"/>
            <w:tcBorders>
              <w:bottom w:val="single" w:sz="8" w:color="E5E5E5"/>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213</w:t>
            </w:r>
          </w:p>
        </w:tc>
      </w:tr>
      <w:tr>
        <w:trPr>
          <w:trHeight w:val="164"/>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Weighted average common shares outstanding</w:t>
            </w:r>
          </w:p>
        </w:tc>
        <w:tc>
          <w:tcPr>
            <w:tcW w:w="960" w:type="dxa"/>
            <w:vAlign w:val="bottom"/>
            <w:shd w:val="clear" w:color="auto" w:fill="E5E5E5"/>
          </w:tcPr>
          <w:p>
            <w:pPr>
              <w:spacing w:after="0"/>
              <w:rPr>
                <w:sz w:val="14"/>
                <w:szCs w:val="14"/>
                <w:color w:val="auto"/>
              </w:rPr>
            </w:pPr>
          </w:p>
        </w:tc>
        <w:tc>
          <w:tcPr>
            <w:tcW w:w="5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220,269</w:t>
            </w:r>
          </w:p>
        </w:tc>
        <w:tc>
          <w:tcPr>
            <w:tcW w:w="120" w:type="dxa"/>
            <w:vAlign w:val="bottom"/>
            <w:shd w:val="clear" w:color="auto" w:fill="E5E5E5"/>
          </w:tcPr>
          <w:p>
            <w:pPr>
              <w:spacing w:after="0"/>
              <w:rPr>
                <w:sz w:val="14"/>
                <w:szCs w:val="14"/>
                <w:color w:val="auto"/>
              </w:rPr>
            </w:pPr>
          </w:p>
        </w:tc>
        <w:tc>
          <w:tcPr>
            <w:tcW w:w="520" w:type="dxa"/>
            <w:vAlign w:val="bottom"/>
            <w:shd w:val="clear" w:color="auto" w:fill="E5E5E5"/>
          </w:tcPr>
          <w:p>
            <w:pPr>
              <w:spacing w:after="0"/>
              <w:rPr>
                <w:sz w:val="14"/>
                <w:szCs w:val="14"/>
                <w:color w:val="auto"/>
              </w:rPr>
            </w:pPr>
          </w:p>
        </w:tc>
        <w:tc>
          <w:tcPr>
            <w:tcW w:w="10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251,290</w:t>
            </w:r>
          </w:p>
        </w:tc>
        <w:tc>
          <w:tcPr>
            <w:tcW w:w="12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224,257</w:t>
            </w:r>
          </w:p>
        </w:tc>
        <w:tc>
          <w:tcPr>
            <w:tcW w:w="12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253,360</w:t>
            </w:r>
          </w:p>
        </w:tc>
      </w:tr>
      <w:tr>
        <w:trPr>
          <w:trHeight w:val="178"/>
        </w:trPr>
        <w:tc>
          <w:tcPr>
            <w:tcW w:w="5160" w:type="dxa"/>
            <w:vAlign w:val="bottom"/>
            <w:gridSpan w:val="2"/>
          </w:tcPr>
          <w:p>
            <w:pPr>
              <w:ind w:left="20"/>
              <w:spacing w:after="0"/>
              <w:rPr>
                <w:sz w:val="20"/>
                <w:szCs w:val="20"/>
                <w:color w:val="auto"/>
              </w:rPr>
            </w:pPr>
            <w:r>
              <w:rPr>
                <w:rFonts w:ascii="Arial" w:cs="Arial" w:eastAsia="Arial" w:hAnsi="Arial"/>
                <w:sz w:val="10"/>
                <w:szCs w:val="10"/>
                <w:color w:val="auto"/>
              </w:rPr>
              <w:t>Common shares issuable with respect to:</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7"/>
        </w:trPr>
        <w:tc>
          <w:tcPr>
            <w:tcW w:w="5160" w:type="dxa"/>
            <w:vAlign w:val="bottom"/>
            <w:gridSpan w:val="2"/>
            <w:shd w:val="clear" w:color="auto" w:fill="E5E5E5"/>
          </w:tcPr>
          <w:p>
            <w:pPr>
              <w:ind w:left="100"/>
              <w:spacing w:after="0"/>
              <w:rPr>
                <w:sz w:val="20"/>
                <w:szCs w:val="20"/>
                <w:color w:val="auto"/>
              </w:rPr>
            </w:pPr>
            <w:r>
              <w:rPr>
                <w:rFonts w:ascii="Arial" w:cs="Arial" w:eastAsia="Arial" w:hAnsi="Arial"/>
                <w:sz w:val="10"/>
                <w:szCs w:val="10"/>
                <w:color w:val="auto"/>
              </w:rPr>
              <w:t>Stock options</w:t>
            </w:r>
          </w:p>
        </w:tc>
        <w:tc>
          <w:tcPr>
            <w:tcW w:w="960" w:type="dxa"/>
            <w:vAlign w:val="bottom"/>
            <w:shd w:val="clear" w:color="auto" w:fill="E5E5E5"/>
          </w:tcPr>
          <w:p>
            <w:pPr>
              <w:spacing w:after="0"/>
              <w:rPr>
                <w:sz w:val="16"/>
                <w:szCs w:val="16"/>
                <w:color w:val="auto"/>
              </w:rPr>
            </w:pPr>
          </w:p>
        </w:tc>
        <w:tc>
          <w:tcPr>
            <w:tcW w:w="5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42</w:t>
            </w:r>
          </w:p>
        </w:tc>
        <w:tc>
          <w:tcPr>
            <w:tcW w:w="1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340" w:type="dxa"/>
            <w:vAlign w:val="bottom"/>
            <w:shd w:val="clear" w:color="auto" w:fill="E5E5E5"/>
          </w:tcPr>
          <w:p>
            <w:pPr>
              <w:spacing w:after="0"/>
              <w:rPr>
                <w:sz w:val="16"/>
                <w:szCs w:val="16"/>
                <w:color w:val="auto"/>
              </w:rPr>
            </w:pPr>
          </w:p>
        </w:tc>
        <w:tc>
          <w:tcPr>
            <w:tcW w:w="11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37</w:t>
            </w:r>
          </w:p>
        </w:tc>
        <w:tc>
          <w:tcPr>
            <w:tcW w:w="1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w:t>
            </w:r>
          </w:p>
        </w:tc>
      </w:tr>
      <w:tr>
        <w:trPr>
          <w:trHeight w:val="178"/>
        </w:trPr>
        <w:tc>
          <w:tcPr>
            <w:tcW w:w="5160" w:type="dxa"/>
            <w:vAlign w:val="bottom"/>
            <w:gridSpan w:val="2"/>
          </w:tcPr>
          <w:p>
            <w:pPr>
              <w:ind w:left="100"/>
              <w:spacing w:after="0"/>
              <w:rPr>
                <w:sz w:val="20"/>
                <w:szCs w:val="20"/>
                <w:color w:val="auto"/>
              </w:rPr>
            </w:pPr>
            <w:r>
              <w:rPr>
                <w:rFonts w:ascii="Arial" w:cs="Arial" w:eastAsia="Arial" w:hAnsi="Arial"/>
                <w:sz w:val="10"/>
                <w:szCs w:val="10"/>
                <w:color w:val="auto"/>
              </w:rPr>
              <w:t>Restricted stock and performance shares</w:t>
            </w:r>
          </w:p>
        </w:tc>
        <w:tc>
          <w:tcPr>
            <w:tcW w:w="960" w:type="dxa"/>
            <w:vAlign w:val="bottom"/>
          </w:tcPr>
          <w:p>
            <w:pPr>
              <w:spacing w:after="0"/>
              <w:rPr>
                <w:sz w:val="15"/>
                <w:szCs w:val="15"/>
                <w:color w:val="auto"/>
              </w:rPr>
            </w:pP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4,014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ind w:right="71"/>
              <w:spacing w:after="0"/>
              <w:rPr>
                <w:sz w:val="20"/>
                <w:szCs w:val="20"/>
                <w:color w:val="auto"/>
              </w:rPr>
            </w:pPr>
            <w:r>
              <w:rPr>
                <w:rFonts w:ascii="Arial" w:cs="Arial" w:eastAsia="Arial" w:hAnsi="Arial"/>
                <w:sz w:val="10"/>
                <w:szCs w:val="10"/>
                <w:color w:val="auto"/>
              </w:rPr>
              <w:t>2,763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
              <w:spacing w:after="0"/>
              <w:rPr>
                <w:sz w:val="20"/>
                <w:szCs w:val="20"/>
                <w:color w:val="auto"/>
              </w:rPr>
            </w:pPr>
            <w:r>
              <w:rPr>
                <w:rFonts w:ascii="Arial" w:cs="Arial" w:eastAsia="Arial" w:hAnsi="Arial"/>
                <w:sz w:val="10"/>
                <w:szCs w:val="10"/>
                <w:color w:val="auto"/>
              </w:rPr>
              <w:t>4,429</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2,875</w:t>
            </w:r>
          </w:p>
        </w:tc>
      </w:tr>
      <w:tr>
        <w:trPr>
          <w:trHeight w:val="182"/>
        </w:trPr>
        <w:tc>
          <w:tcPr>
            <w:tcW w:w="5160" w:type="dxa"/>
            <w:vAlign w:val="bottom"/>
            <w:gridSpan w:val="2"/>
            <w:shd w:val="clear" w:color="auto" w:fill="E5E5E5"/>
          </w:tcPr>
          <w:p>
            <w:pPr>
              <w:ind w:left="100"/>
              <w:spacing w:after="0"/>
              <w:rPr>
                <w:sz w:val="20"/>
                <w:szCs w:val="20"/>
                <w:color w:val="auto"/>
              </w:rPr>
            </w:pPr>
            <w:r>
              <w:rPr>
                <w:rFonts w:ascii="Arial" w:cs="Arial" w:eastAsia="Arial" w:hAnsi="Arial"/>
                <w:sz w:val="10"/>
                <w:szCs w:val="10"/>
                <w:color w:val="auto"/>
              </w:rPr>
              <w:t>Convertible preferred stock</w:t>
            </w:r>
          </w:p>
        </w:tc>
        <w:tc>
          <w:tcPr>
            <w:tcW w:w="960" w:type="dxa"/>
            <w:vAlign w:val="bottom"/>
            <w:shd w:val="clear" w:color="auto" w:fill="E5E5E5"/>
          </w:tcPr>
          <w:p>
            <w:pPr>
              <w:spacing w:after="0"/>
              <w:rPr>
                <w:sz w:val="15"/>
                <w:szCs w:val="15"/>
                <w:color w:val="auto"/>
              </w:rPr>
            </w:pPr>
          </w:p>
        </w:tc>
        <w:tc>
          <w:tcPr>
            <w:tcW w:w="5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6,742</w:t>
            </w:r>
          </w:p>
        </w:tc>
        <w:tc>
          <w:tcPr>
            <w:tcW w:w="12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120" w:type="dxa"/>
            <w:vAlign w:val="bottom"/>
            <w:gridSpan w:val="2"/>
            <w:shd w:val="clear" w:color="auto" w:fill="E5E5E5"/>
          </w:tcPr>
          <w:p>
            <w:pPr>
              <w:jc w:val="right"/>
              <w:ind w:right="240"/>
              <w:spacing w:after="0"/>
              <w:rPr>
                <w:sz w:val="20"/>
                <w:szCs w:val="20"/>
                <w:color w:val="auto"/>
              </w:rPr>
            </w:pPr>
            <w:r>
              <w:rPr>
                <w:rFonts w:ascii="Arial" w:cs="Arial" w:eastAsia="Arial" w:hAnsi="Arial"/>
                <w:sz w:val="10"/>
                <w:szCs w:val="10"/>
                <w:color w:val="auto"/>
              </w:rPr>
              <w:t>—</w:t>
            </w:r>
          </w:p>
        </w:tc>
        <w:tc>
          <w:tcPr>
            <w:tcW w:w="340" w:type="dxa"/>
            <w:vAlign w:val="bottom"/>
            <w:shd w:val="clear" w:color="auto" w:fill="E5E5E5"/>
          </w:tcPr>
          <w:p>
            <w:pPr>
              <w:spacing w:after="0"/>
              <w:rPr>
                <w:sz w:val="15"/>
                <w:szCs w:val="15"/>
                <w:color w:val="auto"/>
              </w:rPr>
            </w:pPr>
          </w:p>
        </w:tc>
        <w:tc>
          <w:tcPr>
            <w:tcW w:w="11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6,742</w:t>
            </w:r>
          </w:p>
        </w:tc>
        <w:tc>
          <w:tcPr>
            <w:tcW w:w="12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w:t>
            </w:r>
          </w:p>
        </w:tc>
      </w:tr>
      <w:tr>
        <w:trPr>
          <w:trHeight w:val="165"/>
        </w:trPr>
        <w:tc>
          <w:tcPr>
            <w:tcW w:w="51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Adjusted weighted average common shares outstanding</w:t>
            </w:r>
          </w:p>
        </w:tc>
        <w:tc>
          <w:tcPr>
            <w:tcW w:w="9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231,067</w:t>
            </w:r>
          </w:p>
        </w:tc>
        <w:tc>
          <w:tcPr>
            <w:tcW w:w="120" w:type="dxa"/>
            <w:vAlign w:val="bottom"/>
            <w:tcBorders>
              <w:bottom w:val="single" w:sz="8" w:color="E5E5E5"/>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254,053</w:t>
            </w:r>
          </w:p>
        </w:tc>
        <w:tc>
          <w:tcPr>
            <w:tcW w:w="120" w:type="dxa"/>
            <w:vAlign w:val="bottom"/>
            <w:tcBorders>
              <w:bottom w:val="single" w:sz="8" w:color="E5E5E5"/>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235,465</w:t>
            </w:r>
          </w:p>
        </w:tc>
        <w:tc>
          <w:tcPr>
            <w:tcW w:w="120" w:type="dxa"/>
            <w:vAlign w:val="bottom"/>
            <w:tcBorders>
              <w:bottom w:val="single" w:sz="8" w:color="E5E5E5"/>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256,235</w:t>
            </w:r>
          </w:p>
        </w:tc>
      </w:tr>
      <w:tr>
        <w:trPr>
          <w:trHeight w:val="192"/>
        </w:trPr>
        <w:tc>
          <w:tcPr>
            <w:tcW w:w="50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60" w:type="dxa"/>
            <w:vAlign w:val="bottom"/>
            <w:tcBorders>
              <w:bottom w:val="single" w:sz="8" w:color="auto"/>
            </w:tcBorders>
            <w:shd w:val="clear" w:color="auto" w:fill="E5E5E5"/>
          </w:tcPr>
          <w:p>
            <w:pPr>
              <w:spacing w:after="0"/>
              <w:rPr>
                <w:sz w:val="16"/>
                <w:szCs w:val="16"/>
                <w:color w:val="auto"/>
              </w:rPr>
            </w:pPr>
          </w:p>
        </w:tc>
        <w:tc>
          <w:tcPr>
            <w:tcW w:w="540" w:type="dxa"/>
            <w:vAlign w:val="bottom"/>
            <w:tcBorders>
              <w:bottom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20" w:type="dxa"/>
            <w:vAlign w:val="bottom"/>
            <w:tcBorders>
              <w:bottom w:val="single" w:sz="8" w:color="auto"/>
            </w:tcBorders>
            <w:shd w:val="clear" w:color="auto" w:fill="E5E5E5"/>
          </w:tcPr>
          <w:p>
            <w:pPr>
              <w:spacing w:after="0"/>
              <w:rPr>
                <w:sz w:val="16"/>
                <w:szCs w:val="16"/>
                <w:color w:val="auto"/>
              </w:rPr>
            </w:pPr>
          </w:p>
        </w:tc>
        <w:tc>
          <w:tcPr>
            <w:tcW w:w="1000" w:type="dxa"/>
            <w:vAlign w:val="bottom"/>
            <w:tcBorders>
              <w:bottom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40" w:type="dxa"/>
            <w:vAlign w:val="bottom"/>
            <w:tcBorders>
              <w:bottom w:val="single" w:sz="8" w:color="auto"/>
            </w:tcBorders>
            <w:shd w:val="clear" w:color="auto" w:fill="E5E5E5"/>
          </w:tcPr>
          <w:p>
            <w:pPr>
              <w:spacing w:after="0"/>
              <w:rPr>
                <w:sz w:val="16"/>
                <w:szCs w:val="16"/>
                <w:color w:val="auto"/>
              </w:rPr>
            </w:pPr>
          </w:p>
        </w:tc>
        <w:tc>
          <w:tcPr>
            <w:tcW w:w="1120" w:type="dxa"/>
            <w:vAlign w:val="bottom"/>
            <w:tcBorders>
              <w:bottom w:val="single" w:sz="8" w:color="auto"/>
            </w:tcBorders>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00" w:type="dxa"/>
            <w:vAlign w:val="bottom"/>
            <w:tcBorders>
              <w:bottom w:val="single" w:sz="8" w:color="auto"/>
            </w:tcBorders>
            <w:shd w:val="clear" w:color="auto" w:fill="E5E5E5"/>
          </w:tcPr>
          <w:p>
            <w:pPr>
              <w:spacing w:after="0"/>
              <w:rPr>
                <w:sz w:val="16"/>
                <w:szCs w:val="16"/>
                <w:color w:val="auto"/>
              </w:rPr>
            </w:pPr>
          </w:p>
        </w:tc>
        <w:tc>
          <w:tcPr>
            <w:tcW w:w="980" w:type="dxa"/>
            <w:vAlign w:val="bottom"/>
            <w:tcBorders>
              <w:bottom w:val="single" w:sz="8" w:color="auto"/>
            </w:tcBorders>
            <w:shd w:val="clear" w:color="auto" w:fill="E5E5E5"/>
          </w:tcPr>
          <w:p>
            <w:pPr>
              <w:spacing w:after="0"/>
              <w:rPr>
                <w:sz w:val="16"/>
                <w:szCs w:val="16"/>
                <w:color w:val="auto"/>
              </w:rPr>
            </w:pPr>
          </w:p>
        </w:tc>
      </w:tr>
      <w:tr>
        <w:trPr>
          <w:trHeight w:val="161"/>
        </w:trPr>
        <w:tc>
          <w:tcPr>
            <w:tcW w:w="51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b w:val="1"/>
                <w:bCs w:val="1"/>
                <w:color w:val="auto"/>
              </w:rPr>
              <w:t>Diluted Earnings per Share</w:t>
            </w:r>
          </w:p>
        </w:tc>
        <w:tc>
          <w:tcPr>
            <w:tcW w:w="960" w:type="dxa"/>
            <w:vAlign w:val="bottom"/>
            <w:tcBorders>
              <w:bottom w:val="single" w:sz="8" w:color="auto"/>
            </w:tcBorders>
          </w:tcPr>
          <w:p>
            <w:pPr>
              <w:jc w:val="right"/>
              <w:ind w:right="8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0.96</w:t>
            </w:r>
          </w:p>
        </w:tc>
        <w:tc>
          <w:tcPr>
            <w:tcW w:w="120" w:type="dxa"/>
            <w:vAlign w:val="bottom"/>
            <w:tcBorders>
              <w:bottom w:val="single" w:sz="8" w:color="E5E5E5"/>
            </w:tcBorders>
          </w:tcPr>
          <w:p>
            <w:pPr>
              <w:spacing w:after="0"/>
              <w:rPr>
                <w:sz w:val="13"/>
                <w:szCs w:val="13"/>
                <w:color w:val="auto"/>
              </w:rPr>
            </w:pPr>
          </w:p>
        </w:tc>
        <w:tc>
          <w:tcPr>
            <w:tcW w:w="5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0.34</w:t>
            </w:r>
          </w:p>
        </w:tc>
        <w:tc>
          <w:tcPr>
            <w:tcW w:w="120" w:type="dxa"/>
            <w:vAlign w:val="bottom"/>
            <w:tcBorders>
              <w:bottom w:val="single" w:sz="8" w:color="E5E5E5"/>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2.27</w:t>
            </w:r>
          </w:p>
        </w:tc>
        <w:tc>
          <w:tcPr>
            <w:tcW w:w="120" w:type="dxa"/>
            <w:vAlign w:val="bottom"/>
            <w:tcBorders>
              <w:bottom w:val="single" w:sz="8" w:color="E5E5E5"/>
            </w:tcBorders>
          </w:tcPr>
          <w:p>
            <w:pPr>
              <w:spacing w:after="0"/>
              <w:rPr>
                <w:sz w:val="13"/>
                <w:szCs w:val="13"/>
                <w:color w:val="auto"/>
              </w:rPr>
            </w:pPr>
          </w:p>
        </w:tc>
        <w:tc>
          <w:tcPr>
            <w:tcW w:w="50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0.83</w:t>
            </w:r>
          </w:p>
        </w:tc>
      </w:tr>
      <w:tr>
        <w:trPr>
          <w:trHeight w:val="192"/>
        </w:trPr>
        <w:tc>
          <w:tcPr>
            <w:tcW w:w="50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r>
      <w:tr>
        <w:trPr>
          <w:trHeight w:val="142"/>
        </w:trPr>
        <w:tc>
          <w:tcPr>
            <w:tcW w:w="8420" w:type="dxa"/>
            <w:vAlign w:val="bottom"/>
            <w:gridSpan w:val="8"/>
          </w:tcPr>
          <w:p>
            <w:pPr>
              <w:ind w:left="20"/>
              <w:spacing w:after="0"/>
              <w:rPr>
                <w:sz w:val="20"/>
                <w:szCs w:val="20"/>
                <w:color w:val="auto"/>
              </w:rPr>
            </w:pPr>
            <w:r>
              <w:rPr>
                <w:rFonts w:ascii="Arial" w:cs="Arial" w:eastAsia="Arial" w:hAnsi="Arial"/>
                <w:sz w:val="10"/>
                <w:szCs w:val="10"/>
                <w:color w:val="auto"/>
                <w:w w:val="97"/>
              </w:rPr>
              <w:t>The following securities were not included in the computation of diluted earnings per share as they were either contingently issuable shares or shares that if included would have been anti-dilutive:</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7"/>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Stock options</w:t>
            </w:r>
          </w:p>
        </w:tc>
        <w:tc>
          <w:tcPr>
            <w:tcW w:w="960" w:type="dxa"/>
            <w:vAlign w:val="bottom"/>
            <w:shd w:val="clear" w:color="auto" w:fill="E5E5E5"/>
          </w:tcPr>
          <w:p>
            <w:pPr>
              <w:spacing w:after="0"/>
              <w:rPr>
                <w:sz w:val="16"/>
                <w:szCs w:val="16"/>
                <w:color w:val="auto"/>
              </w:rPr>
            </w:pPr>
          </w:p>
        </w:tc>
        <w:tc>
          <w:tcPr>
            <w:tcW w:w="54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841</w:t>
            </w:r>
          </w:p>
        </w:tc>
        <w:tc>
          <w:tcPr>
            <w:tcW w:w="1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1,052</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2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847</w:t>
            </w:r>
          </w:p>
        </w:tc>
        <w:tc>
          <w:tcPr>
            <w:tcW w:w="1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1,052</w:t>
            </w:r>
          </w:p>
        </w:tc>
      </w:tr>
      <w:tr>
        <w:trPr>
          <w:trHeight w:val="178"/>
        </w:trPr>
        <w:tc>
          <w:tcPr>
            <w:tcW w:w="5160" w:type="dxa"/>
            <w:vAlign w:val="bottom"/>
            <w:gridSpan w:val="2"/>
          </w:tcPr>
          <w:p>
            <w:pPr>
              <w:ind w:left="20"/>
              <w:spacing w:after="0"/>
              <w:rPr>
                <w:sz w:val="20"/>
                <w:szCs w:val="20"/>
                <w:color w:val="auto"/>
              </w:rPr>
            </w:pPr>
            <w:r>
              <w:rPr>
                <w:rFonts w:ascii="Arial" w:cs="Arial" w:eastAsia="Arial" w:hAnsi="Arial"/>
                <w:sz w:val="10"/>
                <w:szCs w:val="10"/>
                <w:color w:val="auto"/>
              </w:rPr>
              <w:t>Restricted stock and performance shares</w:t>
            </w:r>
          </w:p>
        </w:tc>
        <w:tc>
          <w:tcPr>
            <w:tcW w:w="960" w:type="dxa"/>
            <w:vAlign w:val="bottom"/>
          </w:tcPr>
          <w:p>
            <w:pPr>
              <w:spacing w:after="0"/>
              <w:rPr>
                <w:sz w:val="15"/>
                <w:szCs w:val="15"/>
                <w:color w:val="auto"/>
              </w:rPr>
            </w:pPr>
          </w:p>
        </w:tc>
        <w:tc>
          <w:tcPr>
            <w:tcW w:w="540" w:type="dxa"/>
            <w:vAlign w:val="bottom"/>
          </w:tcPr>
          <w:p>
            <w:pPr>
              <w:jc w:val="right"/>
              <w:ind w:right="51"/>
              <w:spacing w:after="0"/>
              <w:rPr>
                <w:sz w:val="20"/>
                <w:szCs w:val="20"/>
                <w:color w:val="auto"/>
              </w:rPr>
            </w:pPr>
            <w:r>
              <w:rPr>
                <w:rFonts w:ascii="Arial" w:cs="Arial" w:eastAsia="Arial" w:hAnsi="Arial"/>
                <w:sz w:val="10"/>
                <w:szCs w:val="10"/>
                <w:color w:val="auto"/>
              </w:rPr>
              <w:t>2,358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ind w:right="71"/>
              <w:spacing w:after="0"/>
              <w:rPr>
                <w:sz w:val="20"/>
                <w:szCs w:val="20"/>
                <w:color w:val="auto"/>
              </w:rPr>
            </w:pPr>
            <w:r>
              <w:rPr>
                <w:rFonts w:ascii="Arial" w:cs="Arial" w:eastAsia="Arial" w:hAnsi="Arial"/>
                <w:sz w:val="10"/>
                <w:szCs w:val="10"/>
                <w:color w:val="auto"/>
              </w:rPr>
              <w:t>3,529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
              <w:spacing w:after="0"/>
              <w:rPr>
                <w:sz w:val="20"/>
                <w:szCs w:val="20"/>
                <w:color w:val="auto"/>
              </w:rPr>
            </w:pPr>
            <w:r>
              <w:rPr>
                <w:rFonts w:ascii="Arial" w:cs="Arial" w:eastAsia="Arial" w:hAnsi="Arial"/>
                <w:sz w:val="10"/>
                <w:szCs w:val="10"/>
                <w:color w:val="auto"/>
              </w:rPr>
              <w:t>1,944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3,417</w:t>
            </w:r>
          </w:p>
        </w:tc>
      </w:tr>
      <w:tr>
        <w:trPr>
          <w:trHeight w:val="182"/>
        </w:trPr>
        <w:tc>
          <w:tcPr>
            <w:tcW w:w="5160" w:type="dxa"/>
            <w:vAlign w:val="bottom"/>
            <w:gridSpan w:val="2"/>
            <w:shd w:val="clear" w:color="auto" w:fill="E5E5E5"/>
          </w:tcPr>
          <w:p>
            <w:pPr>
              <w:ind w:left="20"/>
              <w:spacing w:after="0"/>
              <w:rPr>
                <w:sz w:val="20"/>
                <w:szCs w:val="20"/>
                <w:color w:val="auto"/>
              </w:rPr>
            </w:pPr>
            <w:r>
              <w:rPr>
                <w:rFonts w:ascii="Arial" w:cs="Arial" w:eastAsia="Arial" w:hAnsi="Arial"/>
                <w:sz w:val="10"/>
                <w:szCs w:val="10"/>
                <w:color w:val="auto"/>
              </w:rPr>
              <w:t>Convertible preferred stock</w:t>
            </w:r>
          </w:p>
        </w:tc>
        <w:tc>
          <w:tcPr>
            <w:tcW w:w="960" w:type="dxa"/>
            <w:vAlign w:val="bottom"/>
            <w:shd w:val="clear" w:color="auto" w:fill="E5E5E5"/>
          </w:tcPr>
          <w:p>
            <w:pPr>
              <w:spacing w:after="0"/>
              <w:rPr>
                <w:sz w:val="15"/>
                <w:szCs w:val="15"/>
                <w:color w:val="auto"/>
              </w:rPr>
            </w:pPr>
          </w:p>
        </w:tc>
        <w:tc>
          <w:tcPr>
            <w:tcW w:w="660" w:type="dxa"/>
            <w:vAlign w:val="bottom"/>
            <w:gridSpan w:val="2"/>
            <w:shd w:val="clear" w:color="auto" w:fill="E5E5E5"/>
          </w:tcPr>
          <w:p>
            <w:pPr>
              <w:jc w:val="right"/>
              <w:ind w:right="220"/>
              <w:spacing w:after="0"/>
              <w:rPr>
                <w:sz w:val="20"/>
                <w:szCs w:val="20"/>
                <w:color w:val="auto"/>
              </w:rPr>
            </w:pPr>
            <w:r>
              <w:rPr>
                <w:rFonts w:ascii="Arial" w:cs="Arial" w:eastAsia="Arial" w:hAnsi="Arial"/>
                <w:sz w:val="10"/>
                <w:szCs w:val="10"/>
                <w:color w:val="auto"/>
              </w:rPr>
              <w:t>—</w:t>
            </w:r>
          </w:p>
        </w:tc>
        <w:tc>
          <w:tcPr>
            <w:tcW w:w="520" w:type="dxa"/>
            <w:vAlign w:val="bottom"/>
            <w:shd w:val="clear" w:color="auto" w:fill="E5E5E5"/>
          </w:tcPr>
          <w:p>
            <w:pPr>
              <w:spacing w:after="0"/>
              <w:rPr>
                <w:sz w:val="15"/>
                <w:szCs w:val="15"/>
                <w:color w:val="auto"/>
              </w:rPr>
            </w:pPr>
          </w:p>
        </w:tc>
        <w:tc>
          <w:tcPr>
            <w:tcW w:w="100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6,742</w:t>
            </w:r>
          </w:p>
        </w:tc>
        <w:tc>
          <w:tcPr>
            <w:tcW w:w="1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0"/>
                <w:szCs w:val="10"/>
                <w:color w:val="auto"/>
              </w:rPr>
              <w:t>—</w:t>
            </w:r>
          </w:p>
        </w:tc>
        <w:tc>
          <w:tcPr>
            <w:tcW w:w="500" w:type="dxa"/>
            <w:vAlign w:val="bottom"/>
            <w:shd w:val="clear" w:color="auto" w:fill="E5E5E5"/>
          </w:tcPr>
          <w:p>
            <w:pPr>
              <w:spacing w:after="0"/>
              <w:rPr>
                <w:sz w:val="15"/>
                <w:szCs w:val="15"/>
                <w:color w:val="auto"/>
              </w:rPr>
            </w:pPr>
          </w:p>
        </w:tc>
        <w:tc>
          <w:tcPr>
            <w:tcW w:w="9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6,742</w:t>
            </w:r>
          </w:p>
        </w:tc>
      </w:tr>
      <w:tr>
        <w:trPr>
          <w:trHeight w:val="165"/>
        </w:trPr>
        <w:tc>
          <w:tcPr>
            <w:tcW w:w="5160" w:type="dxa"/>
            <w:vAlign w:val="bottom"/>
            <w:tcBorders>
              <w:bottom w:val="single" w:sz="8" w:color="E5E5E5"/>
            </w:tcBorders>
            <w:gridSpan w:val="2"/>
          </w:tcPr>
          <w:p>
            <w:pPr>
              <w:ind w:left="20"/>
              <w:spacing w:after="0"/>
              <w:rPr>
                <w:sz w:val="20"/>
                <w:szCs w:val="20"/>
                <w:color w:val="auto"/>
              </w:rPr>
            </w:pPr>
            <w:r>
              <w:rPr>
                <w:rFonts w:ascii="Arial" w:cs="Arial" w:eastAsia="Arial" w:hAnsi="Arial"/>
                <w:sz w:val="10"/>
                <w:szCs w:val="10"/>
                <w:color w:val="auto"/>
              </w:rPr>
              <w:t>Total Anti-Dilutive Securities</w:t>
            </w:r>
          </w:p>
        </w:tc>
        <w:tc>
          <w:tcPr>
            <w:tcW w:w="9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3,199</w:t>
            </w:r>
          </w:p>
        </w:tc>
        <w:tc>
          <w:tcPr>
            <w:tcW w:w="120" w:type="dxa"/>
            <w:vAlign w:val="bottom"/>
            <w:tcBorders>
              <w:bottom w:val="single" w:sz="8" w:color="E5E5E5"/>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11,323</w:t>
            </w:r>
          </w:p>
        </w:tc>
        <w:tc>
          <w:tcPr>
            <w:tcW w:w="120" w:type="dxa"/>
            <w:vAlign w:val="bottom"/>
            <w:tcBorders>
              <w:bottom w:val="single" w:sz="8" w:color="E5E5E5"/>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rPr>
              <w:t>2,791</w:t>
            </w:r>
          </w:p>
        </w:tc>
        <w:tc>
          <w:tcPr>
            <w:tcW w:w="120" w:type="dxa"/>
            <w:vAlign w:val="bottom"/>
            <w:tcBorders>
              <w:bottom w:val="single" w:sz="8" w:color="E5E5E5"/>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rPr>
              <w:t>11,211</w:t>
            </w:r>
          </w:p>
        </w:tc>
      </w:tr>
      <w:tr>
        <w:trPr>
          <w:trHeight w:val="192"/>
        </w:trPr>
        <w:tc>
          <w:tcPr>
            <w:tcW w:w="50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r>
      <w:tr>
        <w:trPr>
          <w:trHeight w:val="181"/>
        </w:trPr>
        <w:tc>
          <w:tcPr>
            <w:tcW w:w="5160" w:type="dxa"/>
            <w:vAlign w:val="bottom"/>
            <w:gridSpan w:val="2"/>
          </w:tcPr>
          <w:p>
            <w:pPr>
              <w:ind w:left="20"/>
              <w:spacing w:after="0"/>
              <w:rPr>
                <w:sz w:val="20"/>
                <w:szCs w:val="20"/>
                <w:color w:val="auto"/>
              </w:rPr>
            </w:pPr>
            <w:r>
              <w:rPr>
                <w:rFonts w:ascii="Arial" w:cs="Arial" w:eastAsia="Arial" w:hAnsi="Arial"/>
                <w:sz w:val="10"/>
                <w:szCs w:val="10"/>
                <w:b w:val="1"/>
                <w:bCs w:val="1"/>
                <w:color w:val="auto"/>
              </w:rPr>
              <w:t>Dividends per Common Share</w:t>
            </w:r>
          </w:p>
        </w:tc>
        <w:tc>
          <w:tcPr>
            <w:tcW w:w="960" w:type="dxa"/>
            <w:vAlign w:val="bottom"/>
            <w:tcBorders>
              <w:bottom w:val="single" w:sz="8" w:color="auto"/>
            </w:tcBorders>
          </w:tcPr>
          <w:p>
            <w:pPr>
              <w:jc w:val="right"/>
              <w:ind w:right="83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0.25</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0.25</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0.75</w:t>
            </w: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0.75</w:t>
            </w:r>
          </w:p>
        </w:tc>
      </w:tr>
    </w:tbl>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440" w:right="199" w:bottom="1440" w:gutter="0" w:footer="0" w:header="0"/>
        </w:sectPr>
      </w:pPr>
    </w:p>
    <w:bookmarkStart w:id="29" w:name="page30"/>
    <w:bookmarkEnd w:id="29"/>
    <w:p>
      <w:pPr>
        <w:jc w:val="center"/>
        <w:ind w:right="-139"/>
        <w:spacing w:after="0"/>
        <w:rPr>
          <w:sz w:val="20"/>
          <w:szCs w:val="20"/>
          <w:color w:val="auto"/>
        </w:rPr>
      </w:pPr>
      <w:r>
        <w:rPr>
          <w:rFonts w:ascii="Arial" w:cs="Arial" w:eastAsia="Arial" w:hAnsi="Arial"/>
          <w:sz w:val="17"/>
          <w:szCs w:val="17"/>
          <w:b w:val="1"/>
          <w:bCs w:val="1"/>
          <w:color w:val="DA2031"/>
        </w:rPr>
        <w:t>APPENDIX II</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DA2031"/>
        </w:rPr>
        <w:t>Xerox Holdings Corporation</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DA2031"/>
        </w:rPr>
        <w:t>Geographic Sales Channels and Product/Offering Definitions</w:t>
      </w:r>
    </w:p>
    <w:p>
      <w:pPr>
        <w:spacing w:after="0" w:line="287"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Our business is aligned to a geographic focus and is primarily organized on the basis of go-to-market sales channels, which are structured to serve a range of customers for our products and services. In 2019 we changed our geographic structure to create a more streamlined, flatter and more effective organization, as follows:</w:t>
      </w:r>
    </w:p>
    <w:p>
      <w:pPr>
        <w:spacing w:after="0" w:line="58" w:lineRule="exact"/>
        <w:rPr>
          <w:sz w:val="20"/>
          <w:szCs w:val="20"/>
          <w:color w:val="auto"/>
        </w:rPr>
      </w:pPr>
    </w:p>
    <w:p>
      <w:pPr>
        <w:ind w:left="440" w:hanging="228"/>
        <w:spacing w:after="0"/>
        <w:tabs>
          <w:tab w:leader="none" w:pos="4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Americas, which includes our sales channels in the U.S. and Canada, as well as Mexico, and Central and South America.</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EMEA, which includes our sales channels in Europe, the Middle East, Africa and India.</w:t>
      </w:r>
    </w:p>
    <w:p>
      <w:pPr>
        <w:spacing w:after="0" w:line="7" w:lineRule="exact"/>
        <w:rPr>
          <w:rFonts w:ascii="Arial" w:cs="Arial" w:eastAsia="Arial" w:hAnsi="Arial"/>
          <w:sz w:val="12"/>
          <w:szCs w:val="12"/>
          <w:color w:val="auto"/>
        </w:rPr>
      </w:pPr>
    </w:p>
    <w:p>
      <w:pPr>
        <w:ind w:left="440" w:hanging="228"/>
        <w:spacing w:after="0"/>
        <w:tabs>
          <w:tab w:leader="none" w:pos="4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Other, primarily includes our OEM business, as well as sales to and royalties from Fuji Xerox, and our licensing revenue.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products and offerings include:</w:t>
      </w:r>
    </w:p>
    <w:p>
      <w:pPr>
        <w:spacing w:after="0" w:line="81" w:lineRule="exact"/>
        <w:rPr>
          <w:sz w:val="20"/>
          <w:szCs w:val="20"/>
          <w:color w:val="auto"/>
        </w:rPr>
      </w:pPr>
    </w:p>
    <w:p>
      <w:pPr>
        <w:ind w:left="440" w:hanging="228"/>
        <w:spacing w:after="0"/>
        <w:tabs>
          <w:tab w:leader="none" w:pos="4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“Entry”, which includes A4 devices and desktop printers. Prices in this product group can range from approximately $150 to $3,000.</w:t>
      </w:r>
    </w:p>
    <w:p>
      <w:pPr>
        <w:spacing w:after="0" w:line="7" w:lineRule="exact"/>
        <w:rPr>
          <w:rFonts w:ascii="Arial" w:cs="Arial" w:eastAsia="Arial" w:hAnsi="Arial"/>
          <w:sz w:val="12"/>
          <w:szCs w:val="12"/>
          <w:color w:val="auto"/>
        </w:rPr>
      </w:pPr>
    </w:p>
    <w:p>
      <w:pPr>
        <w:ind w:left="440" w:right="160" w:hanging="228"/>
        <w:spacing w:after="0" w:line="253" w:lineRule="auto"/>
        <w:tabs>
          <w:tab w:leader="none" w:pos="4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“Mid-Range”, which includes A3 Office and Light Production devices that generally serve workgroup environments in mid to large enterprises. Prices in this product group can range from approximately $2,000 to $75,000+.</w:t>
      </w:r>
    </w:p>
    <w:p>
      <w:pPr>
        <w:ind w:left="440" w:right="360" w:hanging="228"/>
        <w:spacing w:after="0" w:line="253" w:lineRule="auto"/>
        <w:tabs>
          <w:tab w:leader="none" w:pos="4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“High-End”, which includes production printing and publishing systems that generally serve the graphic communications marketplace and large enterprises. Prices for these systems can range from approximately $30,000 to $1,000,000+.</w:t>
      </w:r>
    </w:p>
    <w:p>
      <w:pPr>
        <w:ind w:left="440" w:right="60" w:hanging="228"/>
        <w:spacing w:after="0" w:line="260" w:lineRule="auto"/>
        <w:tabs>
          <w:tab w:leader="none" w:pos="4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Xerox Services, formerly known as Managed Document Services (MDS), which includes solutions and services that span from managing print to automating processes to managing content. Our primary offerings are Intelligent Workplace Services (IWS), which is our rebranded Managed Print Services, as well as Digital and Cloud Print Services (including centralized print services). Xerox Services also includes Communication and Marketing Solutions that were previously excluded from our former MDS definition.</w:t>
      </w: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20"/>
          </w:cols>
          <w:pgMar w:left="220" w:top="440" w:right="3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b w:val="1"/>
          <w:bCs w:val="1"/>
          <w:color w:val="DA2031"/>
        </w:rPr>
        <w:t>APPENDIX III</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DA2031"/>
        </w:rPr>
        <w:t>Change in Presentation</w:t>
      </w:r>
    </w:p>
    <w:p>
      <w:pPr>
        <w:spacing w:after="0" w:line="305"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During first quarter 2019, we realigned portions of our business to support our new revenue strategy. This realignment included the combination and consolidation of certain sales units to better service customers consistently across the company. In connection with that realignment, we changed the classification of revenues and those related costs from certain service arrangements to consistently conform the presentation of those amounts among our various business units. Prior year amounts were also revised as follows to conform with the 2019 presentation. The revised presentation does not impact total revenues, total expenses or net income.</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0"/>
                <w:szCs w:val="10"/>
                <w:color w:val="auto"/>
              </w:rPr>
              <w:t>Three Months Ended</w:t>
            </w: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0"/>
        </w:trPr>
        <w:tc>
          <w:tcPr>
            <w:tcW w:w="642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0"/>
                <w:szCs w:val="10"/>
                <w:color w:val="auto"/>
              </w:rPr>
              <w:t>September 30, 2018</w:t>
            </w: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r>
      <w:tr>
        <w:trPr>
          <w:trHeight w:val="172"/>
        </w:trPr>
        <w:tc>
          <w:tcPr>
            <w:tcW w:w="6420" w:type="dxa"/>
            <w:vAlign w:val="bottom"/>
          </w:tcPr>
          <w:p>
            <w:pPr>
              <w:spacing w:after="0"/>
              <w:rPr>
                <w:sz w:val="14"/>
                <w:szCs w:val="14"/>
                <w:color w:val="auto"/>
              </w:rPr>
            </w:pPr>
          </w:p>
        </w:tc>
        <w:tc>
          <w:tcPr>
            <w:tcW w:w="1160" w:type="dxa"/>
            <w:vAlign w:val="bottom"/>
          </w:tcPr>
          <w:p>
            <w:pPr>
              <w:jc w:val="right"/>
              <w:ind w:right="51"/>
              <w:spacing w:after="0"/>
              <w:rPr>
                <w:sz w:val="20"/>
                <w:szCs w:val="20"/>
                <w:color w:val="auto"/>
              </w:rPr>
            </w:pPr>
            <w:r>
              <w:rPr>
                <w:rFonts w:ascii="Arial" w:cs="Arial" w:eastAsia="Arial" w:hAnsi="Arial"/>
                <w:sz w:val="10"/>
                <w:szCs w:val="10"/>
                <w:color w:val="auto"/>
              </w:rPr>
              <w:t>As Reported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420"/>
              <w:spacing w:after="0"/>
              <w:rPr>
                <w:sz w:val="20"/>
                <w:szCs w:val="20"/>
                <w:color w:val="auto"/>
              </w:rPr>
            </w:pPr>
            <w:r>
              <w:rPr>
                <w:rFonts w:ascii="Arial" w:cs="Arial" w:eastAsia="Arial" w:hAnsi="Arial"/>
                <w:sz w:val="10"/>
                <w:szCs w:val="10"/>
                <w:color w:val="auto"/>
              </w:rPr>
              <w:t>Change</w:t>
            </w:r>
          </w:p>
        </w:tc>
        <w:tc>
          <w:tcPr>
            <w:tcW w:w="300" w:type="dxa"/>
            <w:vAlign w:val="bottom"/>
          </w:tcPr>
          <w:p>
            <w:pPr>
              <w:spacing w:after="0"/>
              <w:rPr>
                <w:sz w:val="14"/>
                <w:szCs w:val="14"/>
                <w:color w:val="auto"/>
              </w:rPr>
            </w:pPr>
          </w:p>
        </w:tc>
        <w:tc>
          <w:tcPr>
            <w:tcW w:w="1280" w:type="dxa"/>
            <w:vAlign w:val="bottom"/>
          </w:tcPr>
          <w:p>
            <w:pPr>
              <w:jc w:val="right"/>
              <w:ind w:right="491"/>
              <w:spacing w:after="0"/>
              <w:rPr>
                <w:sz w:val="20"/>
                <w:szCs w:val="20"/>
                <w:color w:val="auto"/>
              </w:rPr>
            </w:pPr>
            <w:r>
              <w:rPr>
                <w:rFonts w:ascii="Arial" w:cs="Arial" w:eastAsia="Arial" w:hAnsi="Arial"/>
                <w:sz w:val="10"/>
                <w:szCs w:val="10"/>
                <w:color w:val="auto"/>
              </w:rPr>
              <w:t>As Revised</w:t>
            </w:r>
          </w:p>
        </w:tc>
      </w:tr>
      <w:tr>
        <w:trPr>
          <w:trHeight w:val="167"/>
        </w:trPr>
        <w:tc>
          <w:tcPr>
            <w:tcW w:w="6420" w:type="dxa"/>
            <w:vAlign w:val="bottom"/>
            <w:tcBorders>
              <w:top w:val="single" w:sz="8" w:color="E5E5E5"/>
            </w:tcBorders>
            <w:shd w:val="clear" w:color="auto" w:fill="E5E5E5"/>
          </w:tcPr>
          <w:p>
            <w:pPr>
              <w:ind w:left="200"/>
              <w:spacing w:after="0"/>
              <w:rPr>
                <w:sz w:val="20"/>
                <w:szCs w:val="20"/>
                <w:color w:val="auto"/>
              </w:rPr>
            </w:pPr>
            <w:r>
              <w:rPr>
                <w:rFonts w:ascii="Arial" w:cs="Arial" w:eastAsia="Arial" w:hAnsi="Arial"/>
                <w:sz w:val="10"/>
                <w:szCs w:val="10"/>
                <w:color w:val="auto"/>
              </w:rPr>
              <w:t>Sales</w:t>
            </w:r>
          </w:p>
        </w:tc>
        <w:tc>
          <w:tcPr>
            <w:tcW w:w="1160" w:type="dxa"/>
            <w:vAlign w:val="bottom"/>
            <w:tcBorders>
              <w:top w:val="single" w:sz="8" w:color="auto"/>
            </w:tcBorders>
            <w:shd w:val="clear" w:color="auto" w:fill="E5E5E5"/>
          </w:tcPr>
          <w:p>
            <w:pPr>
              <w:jc w:val="right"/>
              <w:ind w:right="105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943</w:t>
            </w:r>
          </w:p>
        </w:tc>
        <w:tc>
          <w:tcPr>
            <w:tcW w:w="120" w:type="dxa"/>
            <w:vAlign w:val="bottom"/>
            <w:tcBorders>
              <w:top w:val="single" w:sz="8" w:color="E5E5E5"/>
            </w:tcBorders>
            <w:shd w:val="clear" w:color="auto" w:fill="E5E5E5"/>
          </w:tcPr>
          <w:p>
            <w:pPr>
              <w:spacing w:after="0"/>
              <w:rPr>
                <w:sz w:val="14"/>
                <w:szCs w:val="14"/>
                <w:color w:val="auto"/>
              </w:rPr>
            </w:pPr>
          </w:p>
        </w:tc>
        <w:tc>
          <w:tcPr>
            <w:tcW w:w="200" w:type="dxa"/>
            <w:vAlign w:val="bottom"/>
            <w:tcBorders>
              <w:top w:val="single" w:sz="8" w:color="auto"/>
            </w:tcBorders>
            <w:shd w:val="clear" w:color="auto" w:fill="E5E5E5"/>
          </w:tcPr>
          <w:p>
            <w:pPr>
              <w:jc w:val="right"/>
              <w:ind w:right="91"/>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E5E5E5"/>
          </w:tcPr>
          <w:p>
            <w:pPr>
              <w:jc w:val="right"/>
              <w:ind w:right="31"/>
              <w:spacing w:after="0"/>
              <w:rPr>
                <w:sz w:val="20"/>
                <w:szCs w:val="20"/>
                <w:color w:val="auto"/>
              </w:rPr>
            </w:pPr>
            <w:r>
              <w:rPr>
                <w:rFonts w:ascii="Arial" w:cs="Arial" w:eastAsia="Arial" w:hAnsi="Arial"/>
                <w:sz w:val="10"/>
                <w:szCs w:val="10"/>
                <w:color w:val="auto"/>
              </w:rPr>
              <w:t>(87)</w:t>
            </w:r>
          </w:p>
        </w:tc>
        <w:tc>
          <w:tcPr>
            <w:tcW w:w="120" w:type="dxa"/>
            <w:vAlign w:val="bottom"/>
            <w:tcBorders>
              <w:top w:val="single" w:sz="8" w:color="E5E5E5"/>
            </w:tcBorders>
            <w:shd w:val="clear" w:color="auto" w:fill="E5E5E5"/>
          </w:tcPr>
          <w:p>
            <w:pPr>
              <w:spacing w:after="0"/>
              <w:rPr>
                <w:sz w:val="14"/>
                <w:szCs w:val="14"/>
                <w:color w:val="auto"/>
              </w:rPr>
            </w:pPr>
          </w:p>
        </w:tc>
        <w:tc>
          <w:tcPr>
            <w:tcW w:w="300" w:type="dxa"/>
            <w:vAlign w:val="bottom"/>
            <w:tcBorders>
              <w:top w:val="single" w:sz="8" w:color="auto"/>
            </w:tcBorders>
            <w:shd w:val="clear" w:color="auto" w:fill="E5E5E5"/>
          </w:tcPr>
          <w:p>
            <w:pPr>
              <w:jc w:val="right"/>
              <w:ind w:right="191"/>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E5E5E5"/>
          </w:tcPr>
          <w:p>
            <w:pPr>
              <w:jc w:val="right"/>
              <w:ind w:right="71"/>
              <w:spacing w:after="0"/>
              <w:rPr>
                <w:sz w:val="20"/>
                <w:szCs w:val="20"/>
                <w:color w:val="auto"/>
              </w:rPr>
            </w:pPr>
            <w:r>
              <w:rPr>
                <w:rFonts w:ascii="Arial" w:cs="Arial" w:eastAsia="Arial" w:hAnsi="Arial"/>
                <w:sz w:val="10"/>
                <w:szCs w:val="10"/>
                <w:color w:val="auto"/>
              </w:rPr>
              <w:t>856</w:t>
            </w:r>
          </w:p>
        </w:tc>
      </w:tr>
      <w:tr>
        <w:trPr>
          <w:trHeight w:val="178"/>
        </w:trPr>
        <w:tc>
          <w:tcPr>
            <w:tcW w:w="6420" w:type="dxa"/>
            <w:vAlign w:val="bottom"/>
          </w:tcPr>
          <w:p>
            <w:pPr>
              <w:ind w:left="200"/>
              <w:spacing w:after="0"/>
              <w:rPr>
                <w:sz w:val="20"/>
                <w:szCs w:val="20"/>
                <w:color w:val="auto"/>
              </w:rPr>
            </w:pPr>
            <w:r>
              <w:rPr>
                <w:rFonts w:ascii="Arial" w:cs="Arial" w:eastAsia="Arial" w:hAnsi="Arial"/>
                <w:sz w:val="10"/>
                <w:szCs w:val="10"/>
                <w:color w:val="auto"/>
              </w:rPr>
              <w:t>Services, maintenance and rentals</w:t>
            </w:r>
          </w:p>
        </w:tc>
        <w:tc>
          <w:tcPr>
            <w:tcW w:w="1160" w:type="dxa"/>
            <w:vAlign w:val="bottom"/>
          </w:tcPr>
          <w:p>
            <w:pPr>
              <w:spacing w:after="0"/>
              <w:rPr>
                <w:sz w:val="15"/>
                <w:szCs w:val="15"/>
                <w:color w:val="auto"/>
              </w:rPr>
            </w:pPr>
          </w:p>
        </w:tc>
        <w:tc>
          <w:tcPr>
            <w:tcW w:w="440" w:type="dxa"/>
            <w:vAlign w:val="bottom"/>
          </w:tcPr>
          <w:p>
            <w:pPr>
              <w:jc w:val="right"/>
              <w:ind w:right="71"/>
              <w:spacing w:after="0"/>
              <w:rPr>
                <w:sz w:val="20"/>
                <w:szCs w:val="20"/>
                <w:color w:val="auto"/>
              </w:rPr>
            </w:pPr>
            <w:r>
              <w:rPr>
                <w:rFonts w:ascii="Arial" w:cs="Arial" w:eastAsia="Arial" w:hAnsi="Arial"/>
                <w:sz w:val="10"/>
                <w:szCs w:val="10"/>
                <w:color w:val="auto"/>
              </w:rPr>
              <w:t>1,344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51"/>
              <w:spacing w:after="0"/>
              <w:rPr>
                <w:sz w:val="20"/>
                <w:szCs w:val="20"/>
                <w:color w:val="auto"/>
              </w:rPr>
            </w:pPr>
            <w:r>
              <w:rPr>
                <w:rFonts w:ascii="Arial" w:cs="Arial" w:eastAsia="Arial" w:hAnsi="Arial"/>
                <w:sz w:val="10"/>
                <w:szCs w:val="10"/>
                <w:color w:val="auto"/>
              </w:rPr>
              <w:t>87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71"/>
              <w:spacing w:after="0"/>
              <w:rPr>
                <w:sz w:val="20"/>
                <w:szCs w:val="20"/>
                <w:color w:val="auto"/>
              </w:rPr>
            </w:pPr>
            <w:r>
              <w:rPr>
                <w:rFonts w:ascii="Arial" w:cs="Arial" w:eastAsia="Arial" w:hAnsi="Arial"/>
                <w:sz w:val="10"/>
                <w:szCs w:val="10"/>
                <w:color w:val="auto"/>
              </w:rPr>
              <w:t>1,431</w:t>
            </w:r>
          </w:p>
        </w:tc>
      </w:tr>
      <w:tr>
        <w:trPr>
          <w:trHeight w:val="196"/>
        </w:trPr>
        <w:tc>
          <w:tcPr>
            <w:tcW w:w="642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80" w:type="dxa"/>
            <w:vAlign w:val="bottom"/>
            <w:shd w:val="clear" w:color="auto" w:fill="E5E5E5"/>
          </w:tcPr>
          <w:p>
            <w:pPr>
              <w:spacing w:after="0"/>
              <w:rPr>
                <w:sz w:val="17"/>
                <w:szCs w:val="17"/>
                <w:color w:val="auto"/>
              </w:rPr>
            </w:pPr>
          </w:p>
        </w:tc>
      </w:tr>
      <w:tr>
        <w:trPr>
          <w:trHeight w:val="178"/>
        </w:trPr>
        <w:tc>
          <w:tcPr>
            <w:tcW w:w="6420" w:type="dxa"/>
            <w:vAlign w:val="bottom"/>
          </w:tcPr>
          <w:p>
            <w:pPr>
              <w:ind w:left="200"/>
              <w:spacing w:after="0"/>
              <w:rPr>
                <w:sz w:val="20"/>
                <w:szCs w:val="20"/>
                <w:color w:val="auto"/>
              </w:rPr>
            </w:pPr>
            <w:r>
              <w:rPr>
                <w:rFonts w:ascii="Arial" w:cs="Arial" w:eastAsia="Arial" w:hAnsi="Arial"/>
                <w:sz w:val="10"/>
                <w:szCs w:val="10"/>
                <w:color w:val="auto"/>
              </w:rPr>
              <w:t>Cost of sales</w:t>
            </w:r>
          </w:p>
        </w:tc>
        <w:tc>
          <w:tcPr>
            <w:tcW w:w="1160" w:type="dxa"/>
            <w:vAlign w:val="bottom"/>
          </w:tcPr>
          <w:p>
            <w:pPr>
              <w:jc w:val="right"/>
              <w:ind w:right="105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71"/>
              <w:spacing w:after="0"/>
              <w:rPr>
                <w:sz w:val="20"/>
                <w:szCs w:val="20"/>
                <w:color w:val="auto"/>
              </w:rPr>
            </w:pPr>
            <w:r>
              <w:rPr>
                <w:rFonts w:ascii="Arial" w:cs="Arial" w:eastAsia="Arial" w:hAnsi="Arial"/>
                <w:sz w:val="10"/>
                <w:szCs w:val="10"/>
                <w:color w:val="auto"/>
              </w:rPr>
              <w:t>570</w:t>
            </w:r>
          </w:p>
        </w:tc>
        <w:tc>
          <w:tcPr>
            <w:tcW w:w="120" w:type="dxa"/>
            <w:vAlign w:val="bottom"/>
          </w:tcPr>
          <w:p>
            <w:pPr>
              <w:spacing w:after="0"/>
              <w:rPr>
                <w:sz w:val="15"/>
                <w:szCs w:val="15"/>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31"/>
              <w:spacing w:after="0"/>
              <w:rPr>
                <w:sz w:val="20"/>
                <w:szCs w:val="20"/>
                <w:color w:val="auto"/>
              </w:rPr>
            </w:pPr>
            <w:r>
              <w:rPr>
                <w:rFonts w:ascii="Arial" w:cs="Arial" w:eastAsia="Arial" w:hAnsi="Arial"/>
                <w:sz w:val="10"/>
                <w:szCs w:val="10"/>
                <w:color w:val="auto"/>
              </w:rPr>
              <w:t>(31)</w:t>
            </w:r>
          </w:p>
        </w:tc>
        <w:tc>
          <w:tcPr>
            <w:tcW w:w="120" w:type="dxa"/>
            <w:vAlign w:val="bottom"/>
          </w:tcPr>
          <w:p>
            <w:pPr>
              <w:spacing w:after="0"/>
              <w:rPr>
                <w:sz w:val="15"/>
                <w:szCs w:val="15"/>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71"/>
              <w:spacing w:after="0"/>
              <w:rPr>
                <w:sz w:val="20"/>
                <w:szCs w:val="20"/>
                <w:color w:val="auto"/>
              </w:rPr>
            </w:pPr>
            <w:r>
              <w:rPr>
                <w:rFonts w:ascii="Arial" w:cs="Arial" w:eastAsia="Arial" w:hAnsi="Arial"/>
                <w:sz w:val="10"/>
                <w:szCs w:val="10"/>
                <w:color w:val="auto"/>
              </w:rPr>
              <w:t>539</w:t>
            </w:r>
          </w:p>
        </w:tc>
      </w:tr>
      <w:tr>
        <w:trPr>
          <w:trHeight w:val="187"/>
        </w:trPr>
        <w:tc>
          <w:tcPr>
            <w:tcW w:w="6420" w:type="dxa"/>
            <w:vAlign w:val="bottom"/>
            <w:shd w:val="clear" w:color="auto" w:fill="E5E5E5"/>
          </w:tcPr>
          <w:p>
            <w:pPr>
              <w:ind w:left="200"/>
              <w:spacing w:after="0"/>
              <w:rPr>
                <w:sz w:val="20"/>
                <w:szCs w:val="20"/>
                <w:color w:val="auto"/>
              </w:rPr>
            </w:pPr>
            <w:r>
              <w:rPr>
                <w:rFonts w:ascii="Arial" w:cs="Arial" w:eastAsia="Arial" w:hAnsi="Arial"/>
                <w:sz w:val="10"/>
                <w:szCs w:val="10"/>
                <w:color w:val="auto"/>
              </w:rPr>
              <w:t>Cost of services, maintenance and rentals</w:t>
            </w:r>
          </w:p>
        </w:tc>
        <w:tc>
          <w:tcPr>
            <w:tcW w:w="1160" w:type="dxa"/>
            <w:vAlign w:val="bottom"/>
            <w:shd w:val="clear" w:color="auto" w:fill="E5E5E5"/>
          </w:tcPr>
          <w:p>
            <w:pPr>
              <w:spacing w:after="0"/>
              <w:rPr>
                <w:sz w:val="16"/>
                <w:szCs w:val="16"/>
                <w:color w:val="auto"/>
              </w:rPr>
            </w:pPr>
          </w:p>
        </w:tc>
        <w:tc>
          <w:tcPr>
            <w:tcW w:w="44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807</w:t>
            </w:r>
          </w:p>
        </w:tc>
        <w:tc>
          <w:tcPr>
            <w:tcW w:w="1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80" w:type="dxa"/>
            <w:vAlign w:val="bottom"/>
            <w:shd w:val="clear" w:color="auto" w:fill="E5E5E5"/>
          </w:tcPr>
          <w:p>
            <w:pPr>
              <w:jc w:val="right"/>
              <w:ind w:right="51"/>
              <w:spacing w:after="0"/>
              <w:rPr>
                <w:sz w:val="20"/>
                <w:szCs w:val="20"/>
                <w:color w:val="auto"/>
              </w:rPr>
            </w:pPr>
            <w:r>
              <w:rPr>
                <w:rFonts w:ascii="Arial" w:cs="Arial" w:eastAsia="Arial" w:hAnsi="Arial"/>
                <w:sz w:val="10"/>
                <w:szCs w:val="10"/>
                <w:color w:val="auto"/>
              </w:rPr>
              <w:t>31</w:t>
            </w:r>
          </w:p>
        </w:tc>
        <w:tc>
          <w:tcPr>
            <w:tcW w:w="1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280" w:type="dxa"/>
            <w:vAlign w:val="bottom"/>
            <w:shd w:val="clear" w:color="auto" w:fill="E5E5E5"/>
          </w:tcPr>
          <w:p>
            <w:pPr>
              <w:jc w:val="right"/>
              <w:ind w:right="71"/>
              <w:spacing w:after="0"/>
              <w:rPr>
                <w:sz w:val="20"/>
                <w:szCs w:val="20"/>
                <w:color w:val="auto"/>
              </w:rPr>
            </w:pPr>
            <w:r>
              <w:rPr>
                <w:rFonts w:ascii="Arial" w:cs="Arial" w:eastAsia="Arial" w:hAnsi="Arial"/>
                <w:sz w:val="10"/>
                <w:szCs w:val="10"/>
                <w:color w:val="auto"/>
              </w:rPr>
              <w:t>838</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sectPr>
      <w:pgSz w:w="11900" w:h="16838" w:orient="portrait"/>
      <w:cols w:equalWidth="0" w:num="1">
        <w:col w:w="11440"/>
      </w:cols>
      <w:pgMar w:left="220" w:top="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lvl w:ilvl="1">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lvl w:ilvl="1">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lvl w:ilvl="1">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2019-12-28T04:27:15Z</dcterms:created>
  <dcterms:modified xsi:type="dcterms:W3CDTF">2019-12-28T04:27:15Z</dcterms:modified>
</cp:coreProperties>
</file>