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January 31, 2018</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7510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XEROX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4"/>
          <w:szCs w:val="24"/>
          <w:color w:val="auto"/>
        </w:rPr>
      </w:pPr>
    </w:p>
    <w:p>
      <w:pPr>
        <w:spacing w:after="0" w:line="272"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New York</w:t>
            </w:r>
          </w:p>
        </w:tc>
        <w:tc>
          <w:tcPr>
            <w:tcW w:w="4260" w:type="dxa"/>
            <w:vAlign w:val="bottom"/>
          </w:tcPr>
          <w:p>
            <w:pPr>
              <w:jc w:val="right"/>
              <w:ind w:right="1690"/>
              <w:spacing w:after="0"/>
              <w:rPr>
                <w:sz w:val="20"/>
                <w:szCs w:val="20"/>
                <w:color w:val="auto"/>
              </w:rPr>
            </w:pPr>
            <w:r>
              <w:rPr>
                <w:rFonts w:ascii="Arial" w:cs="Arial" w:eastAsia="Arial" w:hAnsi="Arial"/>
                <w:sz w:val="18"/>
                <w:szCs w:val="18"/>
                <w:b w:val="1"/>
                <w:bCs w:val="1"/>
                <w:color w:val="auto"/>
              </w:rPr>
              <w:t>001-04471</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16-0468020</w:t>
            </w:r>
          </w:p>
        </w:tc>
      </w:tr>
      <w:tr>
        <w:trPr>
          <w:trHeight w:val="220"/>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rPr>
              <w:t>(State or other jurisdiction</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rPr>
              <w:t>(Commission File Number)</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rPr>
              <w:t>(IRS Employer</w:t>
            </w:r>
          </w:p>
        </w:tc>
      </w:tr>
      <w:tr>
        <w:trPr>
          <w:trHeight w:val="239"/>
        </w:trPr>
        <w:tc>
          <w:tcPr>
            <w:tcW w:w="3140" w:type="dxa"/>
            <w:vAlign w:val="bottom"/>
          </w:tcPr>
          <w:p>
            <w:pPr>
              <w:jc w:val="center"/>
              <w:ind w:right="810"/>
              <w:spacing w:after="0"/>
              <w:rPr>
                <w:sz w:val="20"/>
                <w:szCs w:val="20"/>
                <w:color w:val="auto"/>
              </w:rPr>
            </w:pPr>
            <w:r>
              <w:rPr>
                <w:rFonts w:ascii="Arial" w:cs="Arial" w:eastAsia="Arial" w:hAnsi="Arial"/>
                <w:sz w:val="18"/>
                <w:szCs w:val="18"/>
                <w:b w:val="1"/>
                <w:bCs w:val="1"/>
                <w:color w:val="auto"/>
                <w:w w:val="99"/>
              </w:rPr>
              <w:t>of incorporation)</w:t>
            </w:r>
          </w:p>
        </w:tc>
        <w:tc>
          <w:tcPr>
            <w:tcW w:w="4260" w:type="dxa"/>
            <w:vAlign w:val="bottom"/>
          </w:tcPr>
          <w:p>
            <w:pPr>
              <w:spacing w:after="0"/>
              <w:rPr>
                <w:sz w:val="20"/>
                <w:szCs w:val="20"/>
                <w:color w:val="auto"/>
              </w:rPr>
            </w:pP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 w:lineRule="exact"/>
        <w:rPr>
          <w:sz w:val="24"/>
          <w:szCs w:val="24"/>
          <w:color w:val="auto"/>
        </w:rPr>
      </w:pPr>
    </w:p>
    <w:p>
      <w:pPr>
        <w:ind w:left="720" w:hanging="685"/>
        <w:spacing w:after="0"/>
        <w:tabs>
          <w:tab w:leader="none" w:pos="720" w:val="left"/>
        </w:tabs>
        <w:numPr>
          <w:ilvl w:val="0"/>
          <w:numId w:val="2"/>
        </w:numPr>
        <w:rPr>
          <w:rFonts w:ascii="Arial" w:cs="Arial" w:eastAsia="Arial" w:hAnsi="Arial"/>
          <w:sz w:val="36"/>
          <w:szCs w:val="36"/>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269"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 230.405 of this chapter) or Rule 12b-2 of the Securities Exchange Act of 1934 (§240.12b-2 of this chapter). </w:t>
      </w:r>
      <w:r>
        <w:rPr>
          <w:rFonts w:ascii="Arial" w:cs="Arial" w:eastAsia="Arial" w:hAnsi="Arial"/>
          <w:sz w:val="14"/>
          <w:szCs w:val="14"/>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4"/>
          <w:szCs w:val="14"/>
          <w:color w:val="auto"/>
        </w:rPr>
        <w:t>o</w:t>
      </w:r>
    </w:p>
    <w:p>
      <w:pPr>
        <w:spacing w:after="0" w:line="77" w:lineRule="exact"/>
        <w:rPr>
          <w:sz w:val="24"/>
          <w:szCs w:val="24"/>
          <w:color w:val="auto"/>
        </w:rPr>
      </w:pPr>
    </w:p>
    <w:p>
      <w:pPr>
        <w:ind w:right="300"/>
        <w:spacing w:after="0" w:line="26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00" w:lineRule="exact"/>
        <w:rPr>
          <w:sz w:val="24"/>
          <w:szCs w:val="24"/>
          <w:color w:val="auto"/>
        </w:rPr>
      </w:pPr>
    </w:p>
    <w:p>
      <w:pPr>
        <w:spacing w:after="0" w:line="212"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0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January 31, 2018, Registrant released its fourth quarter 2017 earnings and is furnishing to the Securities and Exchange Commission ("SEC") a copy of the earnings press release as Exhibit 99.1 to this Report under Item 2.02 of Form 8-K.</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60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513"/>
        </w:trPr>
        <w:tc>
          <w:tcPr>
            <w:tcW w:w="340" w:type="dxa"/>
            <w:vAlign w:val="bottom"/>
            <w:tcBorders>
              <w:bottom w:val="single" w:sz="8" w:color="0000FF"/>
            </w:tcBorders>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60" w:type="dxa"/>
            <w:vAlign w:val="bottom"/>
          </w:tcPr>
          <w:p>
            <w:pPr>
              <w:spacing w:after="0"/>
              <w:rPr>
                <w:sz w:val="24"/>
                <w:szCs w:val="24"/>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w w:val="99"/>
              </w:rPr>
              <w:t>Registrant’s fourth quarter 2017 earnings press release dated January 31, 2018</w:t>
            </w:r>
          </w:p>
        </w:tc>
      </w:tr>
    </w:tbl>
    <w:p>
      <w:pPr>
        <w:sectPr>
          <w:pgSz w:w="11900" w:h="16838" w:orient="portrait"/>
          <w:cols w:equalWidth="0" w:num="1">
            <w:col w:w="11380"/>
          </w:cols>
          <w:pgMar w:left="240" w:top="747"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18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release may be deemed to be solicitation material in respect of the transactions with FUJIFILM Holdings Corporation (“Fujifilm") described herein (the “Transactions”) and/or the matters to be considered at the Company’s 2018 Annual Meeting of Shareholders. In connection with the Transactions and the 2018 Annual Meeting, Xerox plans to file with the Securities and Exchange Commission (“SEC”) and furnish to Xerox’s shareholders one or more proxy statements and other relevant documents. BEFORE MAKING ANY VOTING DECISION, XEROX’S SHAREHOLDERS ARE URGED TO READ THE PROXY STATEMENT(S) IN THEIR ENTIRETY WHEN THEY BECOME AVAILABLE AND ANY OTHER DOCUMENTS TO BE FILED WITH THE SEC IN CONNECTION WITH THE TRANSACTIONS AND/OR THE COMPANY’S 2018 ANNUAL MEETING OR INCORPORATED BY REFERENCE IN THE PROXY STATEMENTS BECAUSE THEY WILL CONTAIN IMPORTANT INFORMATION ABOUT THE TRANSACTIONS AND/OR THE COMPANY’S 2018 ANNUAL MEETING AND THE PARTIES RELATED THERETO. Xerox’s shareholders will be able to obtain a free copy of documents filed with the SEC at the SEC’s website at http://www.sec.gov. In addition, Xerox’s shareholders may obtain a free copy of Xerox’s filings with the SEC from Xerox’s website at http://www.xerox.com under the heading “Investor Relations” and then under the heading “SEC Filings.”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1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directors, executive officers and certain other members of management and employees of Xerox may be deemed “participants” in the solicitation of proxies from shareholders of Xerox in favor of the Transactions or in connection with the matters to be considered at the Company’s 2018 Annual Meeting. Information regarding the persons who may, under the rules of the SEC, be considered participants in the solicitation of the shareholders of Xerox in connection with the Transactions or the Company’s 2018 Annual Meeting will be set forth in the applicable proxy statement and other relevant documents to be filed with the SEC. You can find information about Xerox’s executive officers and directors in Xerox’s Annual Report on Form 10-K for the fiscal year ended December 31, 2016, Xerox’s and such persons’ other filings with the SEC and in Xerox’s definitive proxy statement filed with the SEC on Schedule 14A.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risk that we do not realize all of the expected strategic and financial benefits from the separation and spin-</w:t>
      </w:r>
    </w:p>
    <w:p>
      <w:pPr>
        <w:sectPr>
          <w:pgSz w:w="11900" w:h="16838" w:orient="portrait"/>
          <w:cols w:equalWidth="0" w:num="1">
            <w:col w:w="11420"/>
          </w:cols>
          <w:pgMar w:left="240" w:top="355" w:right="239" w:bottom="1440" w:gutter="0" w:footer="0" w:header="0"/>
        </w:sectPr>
      </w:pPr>
    </w:p>
    <w:bookmarkStart w:id="3" w:name="page4"/>
    <w:bookmarkEnd w:id="3"/>
    <w:p>
      <w:pPr>
        <w:ind w:right="20"/>
        <w:spacing w:after="0" w:line="251" w:lineRule="auto"/>
        <w:rPr>
          <w:sz w:val="20"/>
          <w:szCs w:val="20"/>
          <w:color w:val="auto"/>
        </w:rPr>
      </w:pPr>
      <w:r>
        <w:rPr>
          <w:rFonts w:ascii="Arial" w:cs="Arial" w:eastAsia="Arial" w:hAnsi="Arial"/>
          <w:sz w:val="18"/>
          <w:szCs w:val="18"/>
          <w:color w:val="auto"/>
        </w:rPr>
        <w:t>off of our Business Process Outsourcing business; the effects on our business resulting from actions of activist shareholders; and other factors that are set forth in the “Risk Factors” section, the “Legal Proceedings” section, the “Management’s Discussion and Analysis of Financial Condition and Results of Operations” section and other sections of our Quarterly Reports on Form 10-Q for the quarters ended March 31, 2017, June 30, 2017 and September 30, 2017 and our 2016 Annual Report on Form 10-K, as well as our Current Reports on Form 8-K filed with the SEC. Furthermore, the actual results of the Transactions could vary materially as a result of a number of factors, including, but not limited to: (i) the risk that the transactions may not be completed in a timely manner or at all, which may adversely affect Xerox’s business and the price of Xerox’s common stock, (ii) the failure to satisfy the conditions to the consummation of the transactions, including the receipt of certain approvals from Xerox’s shareholders and certain governmental and regulatory approvals, (iii) the parties may be unable to achieve expected synergies and operating efficiencies in the transactions within the expected time frames or at all, (iv) the transactions may not result in the accretion to Xerox’s earnings or other benefits, (v) the occurrence of any event, change or other circumstance that could give rise to the termination of the transaction agreements, (vi) the effect of the announcement or pendency of the transactions on Xerox’s and/or Fujifilm business relationships, operating results, and business generally, risks related to the proposed transactions disrupting Xerox’s current plans and operations and potential difficulties in Xerox’s employee retention as a result of the transactions, (vii) risks related to diverting management's attention from Xerox’s ongoing business operations, (viii) the outcome of any legal proceedings that may be instituted against Xerox, its officers or directors related to the transaction agreements or the transactions and (ix) the possibility that competing offers or acquisition proposals for Xerox will be made. Xerox assumes no obligation to update any forward-looking statements as a result of new information or future events or developments, except as required by law.</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Fuji Xerox Co., Ltd. (“Fuji Xerox”) is a joint venture between Xerox Corporation and Fujifilm in which Xerox holds a noncontrolling 25% equity interest and Fujifilm holds the remaining equity interest. In April 2017, Fujifilm formed an independent investigation committee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$ 360 million) primarily related to misstatements at Fuji Xerox’s New Zealand and Australian subsidiaries. We determined that our share of the total adjustments identified as part of the investigation was approximately $90 million and impacted our fiscal years 2009 through 2017. We concluded that we should revise our previously issued annual and interim consolidated financial statements for 2014, 2015 and 2016 and the first quarter of 2017 the next time they are filed. Our review of this matter has been completed. However, Fujifilm and Fuji Xerox continue to review Fujifilm’s oversight and governance of Fuji Xerox as well as Fuji Xerox’s oversight and governance over its businesses in light of the findings of the IIC. At this time, we can provide no assurances relative to the outcome of any potential governmental investigations or any consequences thereof that may happen as a result of this matter.</w:t>
      </w:r>
    </w:p>
    <w:p>
      <w:pPr>
        <w:sectPr>
          <w:pgSz w:w="11900" w:h="16838" w:orient="portrait"/>
          <w:cols w:equalWidth="0" w:num="1">
            <w:col w:w="11340"/>
          </w:cols>
          <w:pgMar w:left="240" w:top="544" w:right="31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2018</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XEROX CORPORATION</w:t>
      </w:r>
    </w:p>
    <w:p>
      <w:pPr>
        <w:spacing w:after="0" w:line="2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Joseph H. Mancini,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28575</wp:posOffset>
            </wp:positionV>
            <wp:extent cx="295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Joseph H. Mancini, Jr.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Accounting Officer</w:t>
      </w:r>
    </w:p>
    <w:p>
      <w:pPr>
        <w:sectPr>
          <w:pgSz w:w="11900" w:h="16838" w:orient="portrait"/>
          <w:cols w:equalWidth="0" w:num="1">
            <w:col w:w="11220"/>
          </w:cols>
          <w:pgMar w:left="240" w:top="57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0" w:type="dxa"/>
            <w:vAlign w:val="bottom"/>
          </w:tcPr>
          <w:p>
            <w:pPr>
              <w:ind w:left="3380"/>
              <w:spacing w:after="0"/>
              <w:rPr>
                <w:sz w:val="20"/>
                <w:szCs w:val="20"/>
                <w:color w:val="auto"/>
              </w:rPr>
            </w:pPr>
            <w:r>
              <w:rPr>
                <w:rFonts w:ascii="Arial" w:cs="Arial" w:eastAsia="Arial" w:hAnsi="Arial"/>
                <w:sz w:val="20"/>
                <w:szCs w:val="20"/>
                <w:b w:val="1"/>
                <w:bCs w:val="1"/>
                <w:color w:val="auto"/>
              </w:rPr>
              <w:t>EXHIBIT INDEX</w:t>
            </w:r>
          </w:p>
        </w:tc>
      </w:tr>
      <w:tr>
        <w:trPr>
          <w:trHeight w:val="597"/>
        </w:trPr>
        <w:tc>
          <w:tcPr>
            <w:tcW w:w="4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380" w:type="dxa"/>
            <w:vAlign w:val="bottom"/>
            <w:tcBorders>
              <w:top w:val="single" w:sz="8" w:color="auto"/>
            </w:tcBorders>
            <w:gridSpan w:val="2"/>
          </w:tcPr>
          <w:p>
            <w:pPr>
              <w:ind w:left="40"/>
              <w:spacing w:after="0" w:line="202" w:lineRule="exact"/>
              <w:rPr>
                <w:rFonts w:ascii="Arial" w:cs="Arial" w:eastAsia="Arial" w:hAnsi="Arial"/>
                <w:sz w:val="18"/>
                <w:szCs w:val="18"/>
                <w:color w:val="0000FF"/>
                <w:w w:val="91"/>
              </w:rPr>
            </w:pPr>
            <w:hyperlink w:anchor="page7">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Registrant’s fourth quarter 2017 earnings press release dated January 31, 2018</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7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color w:val="006EBF"/>
        </w:rPr>
        <w:t>News from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3810</wp:posOffset>
            </wp:positionV>
            <wp:extent cx="87503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2228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909294"/>
        </w:rPr>
        <w:t>For Immediate Release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Xerox Corporation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201 Merritt 7</w:t>
      </w:r>
    </w:p>
    <w:p>
      <w:pPr>
        <w:spacing w:after="0" w:line="1" w:lineRule="exact"/>
        <w:rPr>
          <w:sz w:val="20"/>
          <w:szCs w:val="20"/>
          <w:color w:val="auto"/>
        </w:rPr>
      </w:pPr>
    </w:p>
    <w:p>
      <w:pPr>
        <w:jc w:val="right"/>
        <w:spacing w:after="0"/>
        <w:tabs>
          <w:tab w:leader="none" w:pos="740" w:val="left"/>
        </w:tabs>
        <w:rPr>
          <w:sz w:val="20"/>
          <w:szCs w:val="20"/>
          <w:color w:val="auto"/>
        </w:rPr>
      </w:pPr>
      <w:r>
        <w:rPr>
          <w:rFonts w:ascii="Arial" w:cs="Arial" w:eastAsia="Arial" w:hAnsi="Arial"/>
          <w:sz w:val="14"/>
          <w:szCs w:val="14"/>
          <w:color w:val="909294"/>
        </w:rPr>
        <w:t>Norwalk, CT</w:t>
        <w:tab/>
        <w:t>06851-1056</w:t>
      </w:r>
    </w:p>
    <w:p>
      <w:pPr>
        <w:spacing w:after="0" w:line="1" w:lineRule="exact"/>
        <w:rPr>
          <w:sz w:val="20"/>
          <w:szCs w:val="20"/>
          <w:color w:val="auto"/>
        </w:rPr>
      </w:pPr>
    </w:p>
    <w:p>
      <w:pPr>
        <w:jc w:val="both"/>
        <w:ind w:left="9960"/>
        <w:spacing w:after="0"/>
        <w:tabs>
          <w:tab w:leader="none" w:pos="10300" w:val="left"/>
        </w:tabs>
        <w:rPr>
          <w:sz w:val="20"/>
          <w:szCs w:val="20"/>
          <w:color w:val="auto"/>
        </w:rPr>
      </w:pPr>
      <w:r>
        <w:rPr>
          <w:rFonts w:ascii="Arial" w:cs="Arial" w:eastAsia="Arial" w:hAnsi="Arial"/>
          <w:sz w:val="14"/>
          <w:szCs w:val="14"/>
          <w:color w:val="909294"/>
        </w:rPr>
        <w:t>Tel</w:t>
        <w:tab/>
        <w:t>+1-203-968-3000</w:t>
      </w:r>
    </w:p>
    <w:p>
      <w:pPr>
        <w:spacing w:after="0" w:line="295" w:lineRule="exact"/>
        <w:rPr>
          <w:sz w:val="20"/>
          <w:szCs w:val="20"/>
          <w:color w:val="auto"/>
        </w:rPr>
      </w:pPr>
    </w:p>
    <w:p>
      <w:pPr>
        <w:ind w:right="4320"/>
        <w:spacing w:after="0" w:line="261" w:lineRule="auto"/>
        <w:rPr>
          <w:sz w:val="20"/>
          <w:szCs w:val="20"/>
          <w:color w:val="auto"/>
        </w:rPr>
      </w:pPr>
      <w:r>
        <w:rPr>
          <w:rFonts w:ascii="Arial" w:cs="Arial" w:eastAsia="Arial" w:hAnsi="Arial"/>
          <w:sz w:val="25"/>
          <w:szCs w:val="25"/>
          <w:color w:val="auto"/>
        </w:rPr>
        <w:t>Xerox Reports Strong Fourth-Quarter 2017 Results; Delivers on Full-Year Commitments</w:t>
      </w:r>
    </w:p>
    <w:p>
      <w:pPr>
        <w:spacing w:after="0" w:line="18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Total revenue of $2.7 billion, up 0.5 percent or down 2.0 percent in constant currency year-over-year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Equipment sale revenue up 4.3 percent or 1.5 percent in constant currency year-over-year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operating margin of 14.4 percent, up 0.2 points year-over-year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Operating cash flow, both GAAP and adjusted, at high-end of guidance ranges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Second-year savings from Strategic Transformation program above target</w:t>
      </w:r>
    </w:p>
    <w:p>
      <w:pPr>
        <w:ind w:left="340" w:right="2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Estimated non-cash charge of $400 million associated with the enactment of U.S. tax reform resulted in GAAP loss of 78 cents per share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EPS of $1.04, up 4 cents year-over-year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Provides full-year 2018 GAAP EPS guidance of $2.30 to $2.50 and adjusted EPS of $3.50 to $3.70</w:t>
      </w:r>
    </w:p>
    <w:p>
      <w:pPr>
        <w:spacing w:after="0" w:line="216" w:lineRule="exact"/>
        <w:rPr>
          <w:sz w:val="20"/>
          <w:szCs w:val="20"/>
          <w:color w:val="auto"/>
        </w:rPr>
      </w:pPr>
    </w:p>
    <w:p>
      <w:pPr>
        <w:ind w:right="560"/>
        <w:spacing w:after="0" w:line="247" w:lineRule="auto"/>
        <w:rPr>
          <w:sz w:val="20"/>
          <w:szCs w:val="20"/>
          <w:color w:val="auto"/>
        </w:rPr>
      </w:pPr>
      <w:r>
        <w:rPr>
          <w:rFonts w:ascii="Arial" w:cs="Arial" w:eastAsia="Arial" w:hAnsi="Arial"/>
          <w:sz w:val="20"/>
          <w:szCs w:val="20"/>
          <w:color w:val="auto"/>
        </w:rPr>
        <w:t xml:space="preserve">NORWALK, Conn., Jan. 31, 2018 - </w:t>
      </w:r>
      <w:r>
        <w:rPr>
          <w:rFonts w:ascii="Arial" w:cs="Arial" w:eastAsia="Arial" w:hAnsi="Arial"/>
          <w:sz w:val="20"/>
          <w:szCs w:val="20"/>
          <w:u w:val="single" w:color="auto"/>
          <w:color w:val="0000FF"/>
        </w:rPr>
        <w:t>Xerox</w:t>
      </w:r>
      <w:r>
        <w:rPr>
          <w:rFonts w:ascii="Arial" w:cs="Arial" w:eastAsia="Arial" w:hAnsi="Arial"/>
          <w:sz w:val="20"/>
          <w:szCs w:val="20"/>
          <w:color w:val="auto"/>
        </w:rPr>
        <w:t xml:space="preserve"> (NYSE: XRX) today announced its fourth-quarter 2017 financial results that reflect meaningful improvements in revenue, operating margin and earnings.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 xml:space="preserve">“One year ago, I told the market that to position Xerox for long-term success and deliver shareholder value, we would focus on the growth areas in our industry to improve our revenue trajectory while continuing with our Strategic Transformation initiatives to increase our profitability and margins,” said Xerox CEO </w:t>
      </w:r>
      <w:r>
        <w:rPr>
          <w:rFonts w:ascii="Arial" w:cs="Arial" w:eastAsia="Arial" w:hAnsi="Arial"/>
          <w:sz w:val="19"/>
          <w:szCs w:val="19"/>
          <w:u w:val="single" w:color="auto"/>
          <w:color w:val="0000FF"/>
        </w:rPr>
        <w:t>Jeff Jacobson</w:t>
      </w:r>
      <w:r>
        <w:rPr>
          <w:rFonts w:ascii="Arial" w:cs="Arial" w:eastAsia="Arial" w:hAnsi="Arial"/>
          <w:sz w:val="19"/>
          <w:szCs w:val="19"/>
          <w:color w:val="auto"/>
        </w:rPr>
        <w:t>. “With positive results across all metrics, our fourth-quarter performance clearly demonstrates the progress we have made and enabled us to deliver on our commitments for the full-year.”</w:t>
      </w:r>
    </w:p>
    <w:p>
      <w:pPr>
        <w:spacing w:after="0" w:line="191"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Jacobson added, “Building on the positive momentum from 2017, today we announced an agreement to combine with Fuji Xerox to create a world leader in innovative print technologies and intelligent work solutions. The new company expands the long-standing relationship between Xerox and Fujifilm, and will be better positioned to meet customer expectations and deliver incremental value 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2017 Results</w:t>
      </w:r>
    </w:p>
    <w:p>
      <w:pPr>
        <w:spacing w:after="0" w:line="24"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In the fourth quarter, Xerox recorded an estimated non-cash charge of $400 million related to the enactment of the U.S. Tax Cuts and Jobs Act (U.S. tax reform). Including this charge, the company had a fourth-quarter 2017 GAAP loss from continuing operations of 78 cents per share. Adjusted earnings per share (EPS) was $1.04, up 4 cents year-over-year and excludes $1.82 per share of after-tax costs related to the amortization of intangibles, restructuring and related costs, certain retirement-related costs, and other discrete adjustments including a $1.55 per share charge associated with the enactment of U.S. tax reform.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4" w:right="239" w:bottom="1440" w:gutter="0" w:footer="0" w:header="0"/>
        </w:sectPr>
      </w:pPr>
    </w:p>
    <w:bookmarkStart w:id="7" w:name="page8"/>
    <w:bookmarkEnd w:id="7"/>
    <w:p>
      <w:pPr>
        <w:ind w:right="100"/>
        <w:spacing w:after="0" w:line="243" w:lineRule="auto"/>
        <w:rPr>
          <w:sz w:val="20"/>
          <w:szCs w:val="20"/>
          <w:color w:val="auto"/>
        </w:rPr>
      </w:pPr>
      <w:r>
        <w:rPr>
          <w:rFonts w:ascii="Arial" w:cs="Arial" w:eastAsia="Arial" w:hAnsi="Arial"/>
          <w:sz w:val="20"/>
          <w:szCs w:val="20"/>
          <w:color w:val="auto"/>
        </w:rPr>
        <w:t>Revenues were $2.7 billion in the quarter, up 0.5 percent or down 2.0 percent in constant currency. The successful launch of new products earlier in the year helped drive equipment sale revenue growth of 4.3 percent or 1.5 percent in constant currency. Post sale revenue was 75 percent of total revenue.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Fourth-quarter adjusted operating margin was 14.4 percent, up 0.2 points year-over-year.</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280" w:type="dxa"/>
            <w:vAlign w:val="bottom"/>
          </w:tcPr>
          <w:p>
            <w:pPr>
              <w:spacing w:after="0"/>
              <w:rPr>
                <w:sz w:val="19"/>
                <w:szCs w:val="19"/>
                <w:color w:val="auto"/>
              </w:rPr>
            </w:pPr>
          </w:p>
        </w:tc>
        <w:tc>
          <w:tcPr>
            <w:tcW w:w="2060" w:type="dxa"/>
            <w:vAlign w:val="bottom"/>
          </w:tcPr>
          <w:p>
            <w:pPr>
              <w:jc w:val="center"/>
              <w:ind w:right="44"/>
              <w:spacing w:after="0"/>
              <w:rPr>
                <w:sz w:val="20"/>
                <w:szCs w:val="20"/>
                <w:color w:val="auto"/>
              </w:rPr>
            </w:pPr>
            <w:r>
              <w:rPr>
                <w:rFonts w:ascii="Arial" w:cs="Arial" w:eastAsia="Arial" w:hAnsi="Arial"/>
                <w:sz w:val="20"/>
                <w:szCs w:val="20"/>
                <w:color w:val="auto"/>
                <w:w w:val="92"/>
              </w:rPr>
              <w:t>EPS from continuing</w:t>
            </w:r>
          </w:p>
        </w:tc>
        <w:tc>
          <w:tcPr>
            <w:tcW w:w="1140" w:type="dxa"/>
            <w:vAlign w:val="bottom"/>
          </w:tcPr>
          <w:p>
            <w:pPr>
              <w:jc w:val="center"/>
              <w:spacing w:after="0"/>
              <w:rPr>
                <w:sz w:val="20"/>
                <w:szCs w:val="20"/>
                <w:color w:val="auto"/>
              </w:rPr>
            </w:pPr>
            <w:r>
              <w:rPr>
                <w:rFonts w:ascii="Arial" w:cs="Arial" w:eastAsia="Arial" w:hAnsi="Arial"/>
                <w:sz w:val="20"/>
                <w:szCs w:val="20"/>
                <w:color w:val="auto"/>
                <w:w w:val="97"/>
              </w:rPr>
              <w:t>Gross</w:t>
            </w:r>
          </w:p>
        </w:tc>
        <w:tc>
          <w:tcPr>
            <w:tcW w:w="2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95"/>
              </w:rPr>
              <w:t>Effective Tax</w:t>
            </w:r>
          </w:p>
        </w:tc>
      </w:tr>
      <w:tr>
        <w:trPr>
          <w:trHeight w:val="251"/>
        </w:trPr>
        <w:tc>
          <w:tcPr>
            <w:tcW w:w="2280" w:type="dxa"/>
            <w:vAlign w:val="bottom"/>
          </w:tcPr>
          <w:p>
            <w:pPr>
              <w:spacing w:after="0"/>
              <w:rPr>
                <w:sz w:val="21"/>
                <w:szCs w:val="21"/>
                <w:color w:val="auto"/>
              </w:rPr>
            </w:pPr>
          </w:p>
        </w:tc>
        <w:tc>
          <w:tcPr>
            <w:tcW w:w="2060" w:type="dxa"/>
            <w:vAlign w:val="bottom"/>
          </w:tcPr>
          <w:p>
            <w:pPr>
              <w:jc w:val="center"/>
              <w:ind w:right="64"/>
              <w:spacing w:after="0"/>
              <w:rPr>
                <w:sz w:val="20"/>
                <w:szCs w:val="20"/>
                <w:color w:val="auto"/>
              </w:rPr>
            </w:pPr>
            <w:r>
              <w:rPr>
                <w:rFonts w:ascii="Arial" w:cs="Arial" w:eastAsia="Arial" w:hAnsi="Arial"/>
                <w:sz w:val="20"/>
                <w:szCs w:val="20"/>
                <w:color w:val="auto"/>
                <w:w w:val="87"/>
              </w:rPr>
              <w:t>operations</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Margin</w:t>
            </w:r>
          </w:p>
        </w:tc>
        <w:tc>
          <w:tcPr>
            <w:tcW w:w="2180" w:type="dxa"/>
            <w:vAlign w:val="bottom"/>
          </w:tcPr>
          <w:p>
            <w:pPr>
              <w:jc w:val="center"/>
              <w:ind w:left="25"/>
              <w:spacing w:after="0"/>
              <w:rPr>
                <w:sz w:val="20"/>
                <w:szCs w:val="20"/>
                <w:color w:val="auto"/>
              </w:rPr>
            </w:pPr>
            <w:r>
              <w:rPr>
                <w:rFonts w:ascii="Arial" w:cs="Arial" w:eastAsia="Arial" w:hAnsi="Arial"/>
                <w:sz w:val="20"/>
                <w:szCs w:val="20"/>
                <w:color w:val="auto"/>
                <w:w w:val="88"/>
              </w:rPr>
              <w:t>SAG as % of Revenue</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Rate</w:t>
            </w:r>
          </w:p>
        </w:tc>
      </w:tr>
      <w:tr>
        <w:trPr>
          <w:trHeight w:val="23"/>
        </w:trPr>
        <w:tc>
          <w:tcPr>
            <w:tcW w:w="22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2280" w:type="dxa"/>
            <w:vAlign w:val="bottom"/>
          </w:tcPr>
          <w:p>
            <w:pPr>
              <w:ind w:left="20"/>
              <w:spacing w:after="0"/>
              <w:rPr>
                <w:sz w:val="20"/>
                <w:szCs w:val="20"/>
                <w:color w:val="auto"/>
              </w:rPr>
            </w:pPr>
            <w:r>
              <w:rPr>
                <w:rFonts w:ascii="Arial" w:cs="Arial" w:eastAsia="Arial" w:hAnsi="Arial"/>
                <w:sz w:val="20"/>
                <w:szCs w:val="20"/>
                <w:color w:val="auto"/>
              </w:rPr>
              <w:t>GAAP</w:t>
            </w:r>
          </w:p>
        </w:tc>
        <w:tc>
          <w:tcPr>
            <w:tcW w:w="2060" w:type="dxa"/>
            <w:vAlign w:val="bottom"/>
          </w:tcPr>
          <w:p>
            <w:pPr>
              <w:jc w:val="center"/>
              <w:ind w:right="44"/>
              <w:spacing w:after="0"/>
              <w:rPr>
                <w:sz w:val="20"/>
                <w:szCs w:val="20"/>
                <w:color w:val="auto"/>
              </w:rPr>
            </w:pPr>
            <w:r>
              <w:rPr>
                <w:rFonts w:ascii="Arial" w:cs="Arial" w:eastAsia="Arial" w:hAnsi="Arial"/>
                <w:sz w:val="20"/>
                <w:szCs w:val="20"/>
                <w:color w:val="auto"/>
                <w:w w:val="95"/>
              </w:rPr>
              <w:t>$(0.78)*</w:t>
            </w:r>
          </w:p>
        </w:tc>
        <w:tc>
          <w:tcPr>
            <w:tcW w:w="1140" w:type="dxa"/>
            <w:vAlign w:val="bottom"/>
          </w:tcPr>
          <w:p>
            <w:pPr>
              <w:jc w:val="center"/>
              <w:spacing w:after="0"/>
              <w:rPr>
                <w:sz w:val="20"/>
                <w:szCs w:val="20"/>
                <w:color w:val="auto"/>
              </w:rPr>
            </w:pPr>
            <w:r>
              <w:rPr>
                <w:rFonts w:ascii="Arial" w:cs="Arial" w:eastAsia="Arial" w:hAnsi="Arial"/>
                <w:sz w:val="20"/>
                <w:szCs w:val="20"/>
                <w:color w:val="auto"/>
                <w:w w:val="91"/>
              </w:rPr>
              <w:t>39.6%</w:t>
            </w:r>
          </w:p>
        </w:tc>
        <w:tc>
          <w:tcPr>
            <w:tcW w:w="2180" w:type="dxa"/>
            <w:vAlign w:val="bottom"/>
          </w:tcPr>
          <w:p>
            <w:pPr>
              <w:jc w:val="center"/>
              <w:ind w:left="25"/>
              <w:spacing w:after="0"/>
              <w:rPr>
                <w:sz w:val="20"/>
                <w:szCs w:val="20"/>
                <w:color w:val="auto"/>
              </w:rPr>
            </w:pPr>
            <w:r>
              <w:rPr>
                <w:rFonts w:ascii="Arial" w:cs="Arial" w:eastAsia="Arial" w:hAnsi="Arial"/>
                <w:sz w:val="20"/>
                <w:szCs w:val="20"/>
                <w:color w:val="auto"/>
                <w:w w:val="88"/>
              </w:rPr>
              <w:t>24.6%</w:t>
            </w:r>
          </w:p>
        </w:tc>
        <w:tc>
          <w:tcPr>
            <w:tcW w:w="1420" w:type="dxa"/>
            <w:vAlign w:val="bottom"/>
          </w:tcPr>
          <w:p>
            <w:pPr>
              <w:jc w:val="right"/>
              <w:ind w:right="284"/>
              <w:spacing w:after="0"/>
              <w:rPr>
                <w:sz w:val="20"/>
                <w:szCs w:val="20"/>
                <w:color w:val="auto"/>
              </w:rPr>
            </w:pPr>
            <w:r>
              <w:rPr>
                <w:rFonts w:ascii="Arial" w:cs="Arial" w:eastAsia="Arial" w:hAnsi="Arial"/>
                <w:sz w:val="20"/>
                <w:szCs w:val="20"/>
                <w:color w:val="auto"/>
              </w:rPr>
              <w:t>196.5%*</w:t>
            </w:r>
          </w:p>
        </w:tc>
      </w:tr>
      <w:tr>
        <w:trPr>
          <w:trHeight w:val="266"/>
        </w:trPr>
        <w:tc>
          <w:tcPr>
            <w:tcW w:w="2280" w:type="dxa"/>
            <w:vAlign w:val="bottom"/>
          </w:tcPr>
          <w:p>
            <w:pPr>
              <w:ind w:left="20"/>
              <w:spacing w:after="0"/>
              <w:rPr>
                <w:sz w:val="20"/>
                <w:szCs w:val="20"/>
                <w:color w:val="auto"/>
              </w:rPr>
            </w:pPr>
            <w:r>
              <w:rPr>
                <w:rFonts w:ascii="Arial" w:cs="Arial" w:eastAsia="Arial" w:hAnsi="Arial"/>
                <w:sz w:val="16"/>
                <w:szCs w:val="16"/>
                <w:i w:val="1"/>
                <w:iCs w:val="1"/>
                <w:color w:val="auto"/>
              </w:rPr>
              <w:t>Better/(Worse) Year-over-Year</w:t>
            </w:r>
          </w:p>
        </w:tc>
        <w:tc>
          <w:tcPr>
            <w:tcW w:w="2060" w:type="dxa"/>
            <w:vAlign w:val="bottom"/>
          </w:tcPr>
          <w:p>
            <w:pPr>
              <w:jc w:val="center"/>
              <w:ind w:right="44"/>
              <w:spacing w:after="0"/>
              <w:rPr>
                <w:sz w:val="20"/>
                <w:szCs w:val="20"/>
                <w:color w:val="auto"/>
              </w:rPr>
            </w:pPr>
            <w:r>
              <w:rPr>
                <w:rFonts w:ascii="Arial" w:cs="Arial" w:eastAsia="Arial" w:hAnsi="Arial"/>
                <w:sz w:val="18"/>
                <w:szCs w:val="18"/>
                <w:i w:val="1"/>
                <w:iCs w:val="1"/>
                <w:color w:val="auto"/>
                <w:w w:val="93"/>
              </w:rPr>
              <w:t>$(1.48)*</w:t>
            </w: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0"/>
              </w:rPr>
              <w:t>(0.4) pts</w:t>
            </w:r>
          </w:p>
        </w:tc>
        <w:tc>
          <w:tcPr>
            <w:tcW w:w="2180" w:type="dxa"/>
            <w:vAlign w:val="bottom"/>
          </w:tcPr>
          <w:p>
            <w:pPr>
              <w:jc w:val="center"/>
              <w:ind w:left="45"/>
              <w:spacing w:after="0"/>
              <w:rPr>
                <w:sz w:val="20"/>
                <w:szCs w:val="20"/>
                <w:color w:val="auto"/>
              </w:rPr>
            </w:pPr>
            <w:r>
              <w:rPr>
                <w:rFonts w:ascii="Arial" w:cs="Arial" w:eastAsia="Arial" w:hAnsi="Arial"/>
                <w:sz w:val="18"/>
                <w:szCs w:val="18"/>
                <w:i w:val="1"/>
                <w:iCs w:val="1"/>
                <w:color w:val="auto"/>
                <w:w w:val="90"/>
              </w:rPr>
              <w:t>(1.2) pts</w:t>
            </w:r>
          </w:p>
        </w:tc>
        <w:tc>
          <w:tcPr>
            <w:tcW w:w="1420" w:type="dxa"/>
            <w:vAlign w:val="bottom"/>
          </w:tcPr>
          <w:p>
            <w:pPr>
              <w:jc w:val="center"/>
              <w:spacing w:after="0"/>
              <w:rPr>
                <w:sz w:val="20"/>
                <w:szCs w:val="20"/>
                <w:color w:val="auto"/>
              </w:rPr>
            </w:pPr>
            <w:r>
              <w:rPr>
                <w:rFonts w:ascii="Arial" w:cs="Arial" w:eastAsia="Arial" w:hAnsi="Arial"/>
                <w:sz w:val="18"/>
                <w:szCs w:val="18"/>
                <w:i w:val="1"/>
                <w:iCs w:val="1"/>
                <w:color w:val="auto"/>
                <w:w w:val="92"/>
              </w:rPr>
              <w:t>(186.4) pts*</w:t>
            </w:r>
          </w:p>
        </w:tc>
      </w:tr>
      <w:tr>
        <w:trPr>
          <w:trHeight w:val="27"/>
        </w:trPr>
        <w:tc>
          <w:tcPr>
            <w:tcW w:w="2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2280" w:type="dxa"/>
            <w:vAlign w:val="bottom"/>
          </w:tcPr>
          <w:p>
            <w:pPr>
              <w:ind w:left="20"/>
              <w:spacing w:after="0"/>
              <w:rPr>
                <w:sz w:val="20"/>
                <w:szCs w:val="20"/>
                <w:color w:val="auto"/>
              </w:rPr>
            </w:pPr>
            <w:r>
              <w:rPr>
                <w:rFonts w:ascii="Arial" w:cs="Arial" w:eastAsia="Arial" w:hAnsi="Arial"/>
                <w:sz w:val="20"/>
                <w:szCs w:val="20"/>
                <w:color w:val="auto"/>
              </w:rPr>
              <w:t>Adjusted</w:t>
            </w:r>
          </w:p>
        </w:tc>
        <w:tc>
          <w:tcPr>
            <w:tcW w:w="2060" w:type="dxa"/>
            <w:vAlign w:val="bottom"/>
          </w:tcPr>
          <w:p>
            <w:pPr>
              <w:jc w:val="center"/>
              <w:ind w:right="44"/>
              <w:spacing w:after="0"/>
              <w:rPr>
                <w:sz w:val="20"/>
                <w:szCs w:val="20"/>
                <w:color w:val="auto"/>
              </w:rPr>
            </w:pPr>
            <w:r>
              <w:rPr>
                <w:rFonts w:ascii="Arial" w:cs="Arial" w:eastAsia="Arial" w:hAnsi="Arial"/>
                <w:sz w:val="20"/>
                <w:szCs w:val="20"/>
                <w:color w:val="auto"/>
                <w:w w:val="87"/>
              </w:rPr>
              <w:t>$1.04</w:t>
            </w:r>
          </w:p>
        </w:tc>
        <w:tc>
          <w:tcPr>
            <w:tcW w:w="1140" w:type="dxa"/>
            <w:vAlign w:val="bottom"/>
          </w:tcPr>
          <w:p>
            <w:pPr>
              <w:jc w:val="center"/>
              <w:spacing w:after="0"/>
              <w:rPr>
                <w:sz w:val="20"/>
                <w:szCs w:val="20"/>
                <w:color w:val="auto"/>
              </w:rPr>
            </w:pPr>
            <w:r>
              <w:rPr>
                <w:rFonts w:ascii="Arial" w:cs="Arial" w:eastAsia="Arial" w:hAnsi="Arial"/>
                <w:sz w:val="20"/>
                <w:szCs w:val="20"/>
                <w:color w:val="auto"/>
                <w:w w:val="91"/>
              </w:rPr>
              <w:t>40.4%</w:t>
            </w:r>
          </w:p>
        </w:tc>
        <w:tc>
          <w:tcPr>
            <w:tcW w:w="2180" w:type="dxa"/>
            <w:vAlign w:val="bottom"/>
          </w:tcPr>
          <w:p>
            <w:pPr>
              <w:jc w:val="center"/>
              <w:ind w:left="25"/>
              <w:spacing w:after="0"/>
              <w:rPr>
                <w:sz w:val="20"/>
                <w:szCs w:val="20"/>
                <w:color w:val="auto"/>
              </w:rPr>
            </w:pPr>
            <w:r>
              <w:rPr>
                <w:rFonts w:ascii="Arial" w:cs="Arial" w:eastAsia="Arial" w:hAnsi="Arial"/>
                <w:sz w:val="20"/>
                <w:szCs w:val="20"/>
                <w:color w:val="auto"/>
                <w:w w:val="88"/>
              </w:rPr>
              <w:t>23.2%</w:t>
            </w:r>
          </w:p>
        </w:tc>
        <w:tc>
          <w:tcPr>
            <w:tcW w:w="1420" w:type="dxa"/>
            <w:vAlign w:val="bottom"/>
          </w:tcPr>
          <w:p>
            <w:pPr>
              <w:jc w:val="right"/>
              <w:ind w:right="384"/>
              <w:spacing w:after="0"/>
              <w:rPr>
                <w:sz w:val="20"/>
                <w:szCs w:val="20"/>
                <w:color w:val="auto"/>
              </w:rPr>
            </w:pPr>
            <w:r>
              <w:rPr>
                <w:rFonts w:ascii="Arial" w:cs="Arial" w:eastAsia="Arial" w:hAnsi="Arial"/>
                <w:sz w:val="20"/>
                <w:szCs w:val="20"/>
                <w:color w:val="auto"/>
              </w:rPr>
              <w:t>26.2%</w:t>
            </w:r>
          </w:p>
        </w:tc>
      </w:tr>
      <w:tr>
        <w:trPr>
          <w:trHeight w:val="280"/>
        </w:trPr>
        <w:tc>
          <w:tcPr>
            <w:tcW w:w="2280" w:type="dxa"/>
            <w:vAlign w:val="bottom"/>
          </w:tcPr>
          <w:p>
            <w:pPr>
              <w:ind w:left="20"/>
              <w:spacing w:after="0"/>
              <w:rPr>
                <w:sz w:val="20"/>
                <w:szCs w:val="20"/>
                <w:color w:val="auto"/>
              </w:rPr>
            </w:pPr>
            <w:r>
              <w:rPr>
                <w:rFonts w:ascii="Arial" w:cs="Arial" w:eastAsia="Arial" w:hAnsi="Arial"/>
                <w:sz w:val="16"/>
                <w:szCs w:val="16"/>
                <w:i w:val="1"/>
                <w:iCs w:val="1"/>
                <w:color w:val="auto"/>
              </w:rPr>
              <w:t>Better/(Worse) Year-over-Year</w:t>
            </w:r>
          </w:p>
        </w:tc>
        <w:tc>
          <w:tcPr>
            <w:tcW w:w="2060" w:type="dxa"/>
            <w:vAlign w:val="bottom"/>
          </w:tcPr>
          <w:p>
            <w:pPr>
              <w:jc w:val="center"/>
              <w:ind w:right="44"/>
              <w:spacing w:after="0"/>
              <w:rPr>
                <w:sz w:val="20"/>
                <w:szCs w:val="20"/>
                <w:color w:val="auto"/>
              </w:rPr>
            </w:pPr>
            <w:r>
              <w:rPr>
                <w:rFonts w:ascii="Arial" w:cs="Arial" w:eastAsia="Arial" w:hAnsi="Arial"/>
                <w:sz w:val="18"/>
                <w:szCs w:val="18"/>
                <w:i w:val="1"/>
                <w:iCs w:val="1"/>
                <w:color w:val="auto"/>
                <w:w w:val="88"/>
              </w:rPr>
              <w:t>$0.04</w:t>
            </w:r>
          </w:p>
        </w:tc>
        <w:tc>
          <w:tcPr>
            <w:tcW w:w="1140" w:type="dxa"/>
            <w:vAlign w:val="bottom"/>
          </w:tcPr>
          <w:p>
            <w:pPr>
              <w:jc w:val="center"/>
              <w:spacing w:after="0"/>
              <w:rPr>
                <w:sz w:val="20"/>
                <w:szCs w:val="20"/>
                <w:color w:val="auto"/>
              </w:rPr>
            </w:pPr>
            <w:r>
              <w:rPr>
                <w:rFonts w:ascii="Arial" w:cs="Arial" w:eastAsia="Arial" w:hAnsi="Arial"/>
                <w:sz w:val="18"/>
                <w:szCs w:val="18"/>
                <w:i w:val="1"/>
                <w:iCs w:val="1"/>
                <w:color w:val="auto"/>
                <w:w w:val="96"/>
              </w:rPr>
              <w:t>0.1 pts</w:t>
            </w:r>
          </w:p>
        </w:tc>
        <w:tc>
          <w:tcPr>
            <w:tcW w:w="2180" w:type="dxa"/>
            <w:vAlign w:val="bottom"/>
          </w:tcPr>
          <w:p>
            <w:pPr>
              <w:jc w:val="center"/>
              <w:ind w:left="45"/>
              <w:spacing w:after="0"/>
              <w:rPr>
                <w:sz w:val="20"/>
                <w:szCs w:val="20"/>
                <w:color w:val="auto"/>
              </w:rPr>
            </w:pPr>
            <w:r>
              <w:rPr>
                <w:rFonts w:ascii="Arial" w:cs="Arial" w:eastAsia="Arial" w:hAnsi="Arial"/>
                <w:sz w:val="18"/>
                <w:szCs w:val="18"/>
                <w:i w:val="1"/>
                <w:iCs w:val="1"/>
                <w:color w:val="auto"/>
                <w:w w:val="90"/>
              </w:rPr>
              <w:t>(0.1) pts</w:t>
            </w:r>
          </w:p>
        </w:tc>
        <w:tc>
          <w:tcPr>
            <w:tcW w:w="1420" w:type="dxa"/>
            <w:vAlign w:val="bottom"/>
          </w:tcPr>
          <w:p>
            <w:pPr>
              <w:jc w:val="center"/>
              <w:spacing w:after="0"/>
              <w:rPr>
                <w:sz w:val="20"/>
                <w:szCs w:val="20"/>
                <w:color w:val="auto"/>
              </w:rPr>
            </w:pPr>
            <w:r>
              <w:rPr>
                <w:rFonts w:ascii="Arial" w:cs="Arial" w:eastAsia="Arial" w:hAnsi="Arial"/>
                <w:sz w:val="18"/>
                <w:szCs w:val="18"/>
                <w:i w:val="1"/>
                <w:iCs w:val="1"/>
                <w:color w:val="auto"/>
                <w:w w:val="90"/>
              </w:rPr>
              <w:t>(5.1) pts</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*Includes an estimated charge of $400 million associated with the enactment of U.S. tax reform.</w:t>
      </w:r>
    </w:p>
    <w:p>
      <w:pPr>
        <w:spacing w:after="0" w:line="216"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color w:val="auto"/>
        </w:rPr>
        <w:t>Including the previously announced $350 million impact from the termination of certain accounts receivable sales programs, operating cash flow from continuing operations was a $28 million use of cash. On an adjusted basis, operating cash flow from continuing operations was $322 million. Cash balance at the end of 2017 was $1.3 billion. The company returned $68 million in dividends to shareholders in the quarter.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2017 Results</w:t>
      </w:r>
    </w:p>
    <w:p>
      <w:pPr>
        <w:spacing w:after="0" w:line="2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Total revenue of $10.3 billion, down 4.7 percent and in line with the company’s guidance of down mid-single digits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operating margin of 12.8 percent, up 0.3 points and within the expected range of 12.5 to 13.5 percent</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Strategic Transformation cost savings of $680 million, above the $600 million target</w:t>
      </w:r>
    </w:p>
    <w:p>
      <w:pPr>
        <w:ind w:left="340" w:right="28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Including the previously announced $500 million in incremental U.S. pension contributions and $350 million impact from the termination of certain accounts receivable sales programs, operating cash flow from continuing operations of $122 million. Adjusted operating cash flow from continuing operations of $972 million.</w:t>
      </w:r>
    </w:p>
    <w:p>
      <w:pPr>
        <w:spacing w:after="0" w:line="1"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Including estimated non-cash charge of $400 million associated with the enactment of U.S. tax reform, GAAP EPS from continuing operations of $0.70</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EPS of $3.48 cents, exceeded the company’s guidance range of $3.28 to $3.44</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2018 Guidance</w:t>
      </w:r>
    </w:p>
    <w:p>
      <w:pPr>
        <w:spacing w:after="0" w:line="2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company expects continued progress in 2018, as projected in its financial guidance. Xerox expects 2018 GAAP earnings from continuing operations of $2.30 to $2.50 per share and adjusted EPS of $3.50 to $3.70.</w:t>
      </w:r>
    </w:p>
    <w:p>
      <w:pPr>
        <w:spacing w:after="0" w:line="202"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color w:val="auto"/>
        </w:rPr>
        <w:t>The company expects its revenue trajectory to improve, declining 2 to 4 percent at constant currency. 2018 adjusted operating margin is expected to expand and be in the range of 13 to 14 percent.</w:t>
      </w:r>
    </w:p>
    <w:p>
      <w:pPr>
        <w:spacing w:after="0" w:line="202" w:lineRule="exact"/>
        <w:rPr>
          <w:sz w:val="20"/>
          <w:szCs w:val="20"/>
          <w:color w:val="auto"/>
        </w:rPr>
      </w:pPr>
    </w:p>
    <w:p>
      <w:pPr>
        <w:ind w:right="600"/>
        <w:spacing w:after="0" w:line="247" w:lineRule="auto"/>
        <w:rPr>
          <w:sz w:val="20"/>
          <w:szCs w:val="20"/>
          <w:color w:val="auto"/>
        </w:rPr>
      </w:pPr>
      <w:r>
        <w:rPr>
          <w:rFonts w:ascii="Arial" w:cs="Arial" w:eastAsia="Arial" w:hAnsi="Arial"/>
          <w:sz w:val="20"/>
          <w:szCs w:val="20"/>
          <w:color w:val="auto"/>
        </w:rPr>
        <w:t>Xerox expects to generate operating cash flow from continuing operations of $900 to $1,100 million and free cash flow from continuing operations of $750 to $950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Details</w:t>
      </w:r>
    </w:p>
    <w:p>
      <w:pPr>
        <w:spacing w:after="0" w:line="24" w:lineRule="exact"/>
        <w:rPr>
          <w:sz w:val="20"/>
          <w:szCs w:val="20"/>
          <w:color w:val="auto"/>
        </w:rPr>
      </w:pPr>
    </w:p>
    <w:p>
      <w:pPr>
        <w:ind w:right="660"/>
        <w:spacing w:after="0" w:line="247" w:lineRule="auto"/>
        <w:rPr>
          <w:sz w:val="20"/>
          <w:szCs w:val="20"/>
          <w:color w:val="auto"/>
        </w:rPr>
      </w:pPr>
      <w:r>
        <w:rPr>
          <w:rFonts w:ascii="Arial" w:cs="Arial" w:eastAsia="Arial" w:hAnsi="Arial"/>
          <w:sz w:val="20"/>
          <w:szCs w:val="20"/>
          <w:color w:val="auto"/>
        </w:rPr>
        <w:t xml:space="preserve">Xerox will be hosting a conference call today at 8:00 a.m. ET. The live event can be accessed online at </w:t>
      </w:r>
      <w:r>
        <w:rPr>
          <w:rFonts w:ascii="Arial" w:cs="Arial" w:eastAsia="Arial" w:hAnsi="Arial"/>
          <w:sz w:val="20"/>
          <w:szCs w:val="20"/>
          <w:u w:val="single" w:color="auto"/>
          <w:color w:val="0000FF"/>
        </w:rPr>
        <w:t>https://edge.media-server.com/m6/p/7ffthvi5</w:t>
      </w:r>
      <w:r>
        <w:rPr>
          <w:rFonts w:ascii="Arial" w:cs="Arial" w:eastAsia="Arial" w:hAnsi="Arial"/>
          <w:sz w:val="20"/>
          <w:szCs w:val="20"/>
          <w:color w:val="000000"/>
        </w:rPr>
        <w: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79" w:right="25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An archived audio webcast of this event will be available shortly following the conference call.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Xerox</w:t>
      </w:r>
    </w:p>
    <w:p>
      <w:pPr>
        <w:spacing w:after="0" w:line="24"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 xml:space="preserve">Xerox Corporation is a </w:t>
      </w:r>
      <w:r>
        <w:rPr>
          <w:rFonts w:ascii="Arial" w:cs="Arial" w:eastAsia="Arial" w:hAnsi="Arial"/>
          <w:sz w:val="20"/>
          <w:szCs w:val="20"/>
          <w:u w:val="single" w:color="auto"/>
          <w:color w:val="0000FF"/>
        </w:rPr>
        <w:t>technology</w:t>
      </w:r>
      <w:r>
        <w:rPr>
          <w:rFonts w:ascii="Arial" w:cs="Arial" w:eastAsia="Arial" w:hAnsi="Arial"/>
          <w:sz w:val="20"/>
          <w:szCs w:val="20"/>
          <w:color w:val="auto"/>
        </w:rPr>
        <w:t xml:space="preserve"> leader that innovates the way the world communicates, connects and works. We understand what’s at the heart of sharing information - and all of the forms it can take. We embrace the integration of paper and digital, the increasing requirement for mobility, and the need for seamless integration between work and personal worlds. Every day, our innovative print technologies and intelligent work solutions help people communicate and work better. Discover more at </w:t>
      </w:r>
      <w:r>
        <w:rPr>
          <w:rFonts w:ascii="Arial" w:cs="Arial" w:eastAsia="Arial" w:hAnsi="Arial"/>
          <w:sz w:val="20"/>
          <w:szCs w:val="20"/>
          <w:u w:val="single" w:color="auto"/>
          <w:color w:val="0000FF"/>
        </w:rPr>
        <w:t>www.xerox.com</w:t>
      </w:r>
      <w:r>
        <w:rPr>
          <w:rFonts w:ascii="Arial" w:cs="Arial" w:eastAsia="Arial" w:hAnsi="Arial"/>
          <w:sz w:val="20"/>
          <w:szCs w:val="20"/>
          <w:color w:val="0000FF"/>
        </w:rPr>
        <w:t xml:space="preserve"> </w:t>
      </w:r>
      <w:r>
        <w:rPr>
          <w:rFonts w:ascii="Arial" w:cs="Arial" w:eastAsia="Arial" w:hAnsi="Arial"/>
          <w:sz w:val="20"/>
          <w:szCs w:val="20"/>
          <w:color w:val="000000"/>
        </w:rPr>
        <w:t>and follow us on Twitter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@Xerox</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4" w:lineRule="exact"/>
        <w:rPr>
          <w:sz w:val="20"/>
          <w:szCs w:val="20"/>
          <w:color w:val="auto"/>
        </w:rPr>
      </w:pPr>
    </w:p>
    <w:p>
      <w:pPr>
        <w:ind w:right="300"/>
        <w:spacing w:after="0" w:line="239" w:lineRule="auto"/>
        <w:rPr>
          <w:sz w:val="20"/>
          <w:szCs w:val="20"/>
          <w:color w:val="auto"/>
        </w:rPr>
      </w:pPr>
      <w:r>
        <w:rPr>
          <w:rFonts w:ascii="Arial" w:cs="Arial" w:eastAsia="Arial" w:hAnsi="Arial"/>
          <w:sz w:val="20"/>
          <w:szCs w:val="20"/>
          <w:color w:val="auto"/>
        </w:rPr>
        <w:t>This release refers to the following non-GAAP financial measures for the fourth-quarter 2017, full-year 2017 and full-year 2018 guidance:</w:t>
      </w:r>
    </w:p>
    <w:p>
      <w:pPr>
        <w:spacing w:after="0" w:line="1" w:lineRule="exact"/>
        <w:rPr>
          <w:sz w:val="20"/>
          <w:szCs w:val="20"/>
          <w:color w:val="auto"/>
        </w:rPr>
      </w:pPr>
    </w:p>
    <w:p>
      <w:pPr>
        <w:ind w:left="340" w:right="40" w:hanging="332"/>
        <w:spacing w:after="0" w:line="23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Adjusted EPS, which excludes the amortization of intangibles, restructuring and related costs, certain retirement-related costs and other discrete adjustments including the impacts from the U.S. Tax Cuts and Jobs Act.</w:t>
      </w:r>
    </w:p>
    <w:p>
      <w:pPr>
        <w:spacing w:after="0" w:line="1" w:lineRule="exact"/>
        <w:rPr>
          <w:rFonts w:ascii="Arial" w:cs="Arial" w:eastAsia="Arial" w:hAnsi="Arial"/>
          <w:sz w:val="18"/>
          <w:szCs w:val="18"/>
          <w:color w:val="auto"/>
        </w:rPr>
      </w:pPr>
    </w:p>
    <w:p>
      <w:pPr>
        <w:ind w:left="340" w:right="20" w:hanging="332"/>
        <w:spacing w:after="0" w:line="23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Adjusted operating margin, which excludes Other expenses, net in addition to the EPS adjustments noted above and includes equity income.</w:t>
      </w:r>
    </w:p>
    <w:p>
      <w:pPr>
        <w:spacing w:after="0" w:line="1" w:lineRule="exact"/>
        <w:rPr>
          <w:rFonts w:ascii="Arial" w:cs="Arial" w:eastAsia="Arial" w:hAnsi="Arial"/>
          <w:sz w:val="18"/>
          <w:szCs w:val="18"/>
          <w:color w:val="auto"/>
        </w:rPr>
      </w:pPr>
    </w:p>
    <w:p>
      <w:pPr>
        <w:ind w:left="340" w:right="760" w:hanging="332"/>
        <w:spacing w:after="0" w:line="23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Adjusted gross margin and SAG (selling, administrative and general) as a percent of revenue, which excludes certain retirement-related costs.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Adjusted effective tax rate, which excludes the EPS adjustments noted above.</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Constant currency revenue growth, which excludes the effects of currency translation.</w:t>
      </w:r>
    </w:p>
    <w:p>
      <w:pPr>
        <w:ind w:left="340" w:right="560" w:hanging="332"/>
        <w:spacing w:after="0" w:line="23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Adjusted operating cash flow, which exclude the incremental U.S. pension contributions and the impact from eliminating certain accounts receivable sales programs.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Free cash flow, which is cash flow from continuing operations less capital expenditures including internal use software.</w:t>
      </w:r>
    </w:p>
    <w:p>
      <w:pPr>
        <w:spacing w:after="0" w:line="216"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This release may be deemed to be solicitation material in respect of the transactions with FUJIFILM Holdings Corporation (“Fujifilm") described herein (the “Transactions”) and/or the matters to be considered at the Company’s 2018 Annual Meeting of Shareholders. In connection with the Transactions and the 2018 Annual Meeting, Xerox plans to file with the Securities and Exchange Commission (“SEC”) and furnish to Xerox’s shareholders one or more proxy statements and other relevant documents.</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9"/>
          <w:szCs w:val="19"/>
          <w:color w:val="auto"/>
        </w:rPr>
        <w:t xml:space="preserve">BEFORE MAKING ANY VOTING DECISION, XEROX’S SHAREHOLDERS ARE URGED TO READ THE PROXY STATEMENT(S) IN THEIR ENTIRETY WHEN THEY BECOME AVAILABLE AND ANY OTHER DOCUMENTS TO BE FILED WITH THE SEC IN CONNECTION WITH THE TRANSACTIONS AND/OR THE COMPANY’S 2018 ANNUAL MEETING OR INCORPORATED BY REFERENCE IN THE PROXY STATEMENTS BECAUSE THEY WILL CONTAIN IMPORTANT INFORMATION ABOUT THE TRANSACTIONS AND/OR THE COMPANY’S 2018 ANNUAL MEETING AND THE PARTIES RELATED THERETO. Xerox’s shareholders will be able to obtain a free copy of documents filed with the SEC at the SEC’s website at </w:t>
      </w:r>
      <w:r>
        <w:rPr>
          <w:rFonts w:ascii="Arial" w:cs="Arial" w:eastAsia="Arial" w:hAnsi="Arial"/>
          <w:sz w:val="19"/>
          <w:szCs w:val="19"/>
          <w:u w:val="single" w:color="auto"/>
          <w:color w:val="0000FF"/>
        </w:rPr>
        <w:t>http://www.sec.gov</w:t>
      </w:r>
      <w:r>
        <w:rPr>
          <w:rFonts w:ascii="Arial" w:cs="Arial" w:eastAsia="Arial" w:hAnsi="Arial"/>
          <w:sz w:val="19"/>
          <w:szCs w:val="19"/>
          <w:color w:val="auto"/>
        </w:rPr>
        <w:t xml:space="preserve">. In addition, Xerox’s shareholders may obtain a free copy of Xerox’s filings with the SEC from Xerox’s website at </w:t>
      </w:r>
      <w:r>
        <w:rPr>
          <w:rFonts w:ascii="Arial" w:cs="Arial" w:eastAsia="Arial" w:hAnsi="Arial"/>
          <w:sz w:val="19"/>
          <w:szCs w:val="19"/>
          <w:u w:val="single" w:color="auto"/>
          <w:color w:val="0000FF"/>
        </w:rPr>
        <w:t>http://www.xerox.com</w:t>
      </w:r>
      <w:r>
        <w:rPr>
          <w:rFonts w:ascii="Arial" w:cs="Arial" w:eastAsia="Arial" w:hAnsi="Arial"/>
          <w:sz w:val="19"/>
          <w:szCs w:val="19"/>
          <w:color w:val="auto"/>
        </w:rPr>
        <w:t xml:space="preserve"> under the heading “Investor Relations” and then under the heading “SEC Filings.”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79" w:right="3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The directors, executive officers and certain other members of management and employees of Xerox may be deemed “participants” in the solicitation of proxies from shareholders of Xerox in favor of the Transactions or in connection with the matters to be considered at the Company’s 2018 Annual Meeting. Information regarding the persons who may, under the rules of the SEC, be considered participants in the solicitation of the shareholders of Xerox in connection with the Transactions or the Company’s 2018 Annual Meeting will be set forth in the applicable proxy statement and other relevant documents to be filed with the SEC. You can find information about Xerox’s executive officers and directors in Xerox’s Annual Report on Form 10-K for the fiscal year ended December 31, 2016, Xerox’s and such persons’ other filings with the SEC and in Xerox’s definitive proxy statement filed with the SEC on Schedule 14A.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risk that we do not realize all of the expected strategic and financial benefits from the separation and spin-off of our Business Process Outsourcing business; the effects on our business resulting from actions of activist shareholders; and other factors that are set forth in the “Risk Factors” section, the “Legal Proceedings” section, the “Management’s Discussion and Analysis of Financial Condition and Results of Operations” section and other sections of our Quarterly Reports on Form 10-Q for the quarters ended March 31, 2017, June 30, 2017 and September 30, 2017 and our 2016 Annual Report on Form 10-K, as well as our Current Reports on Form 8-K filed with the SEC. Furthermore, the actual results of the Transactions could vary materially as a result of</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5" w:right="259" w:bottom="1440" w:gutter="0" w:footer="0" w:header="0"/>
        </w:sectPr>
      </w:pPr>
    </w:p>
    <w:bookmarkStart w:id="10" w:name="page11"/>
    <w:bookmarkEnd w:id="10"/>
    <w:p>
      <w:pPr>
        <w:spacing w:after="0" w:line="253" w:lineRule="auto"/>
        <w:rPr>
          <w:sz w:val="20"/>
          <w:szCs w:val="20"/>
          <w:color w:val="auto"/>
        </w:rPr>
      </w:pPr>
      <w:r>
        <w:rPr>
          <w:rFonts w:ascii="Arial" w:cs="Arial" w:eastAsia="Arial" w:hAnsi="Arial"/>
          <w:sz w:val="19"/>
          <w:szCs w:val="19"/>
          <w:color w:val="auto"/>
        </w:rPr>
        <w:t>a number of factors, including, but not limited to: (i) the risk that the transactions may not be completed in a timely manner or at all, which may adversely affect Xerox’s business and the price of Xerox’s common stock, (ii) the failure to satisfy the conditions to the consummation of the transactions, including the receipt of certain approvals from Xerox’s shareholders and certain governmental and regulatory approvals, (iii) the parties may be unable to achieve expected synergies and operating efficiencies in the transactions within the expected time frames or at all, (iv) the transactions may not result in the accretion to Xerox’s earnings or other benefits, (v) the occurrence of any event, change or other circumstance that could give rise to the termination of the transaction agreements, (vi) the effect of the announcement or pendency of the transactions on Xerox’s and/or Fujifilm business relationships, operating results, and business generally, risks related to the proposed transactions disrupting Xerox’s current plans and operations and potential difficulties in Xerox’s employee retention as a result of the transactions, (vii) risks related to diverting management's attention from Xerox’s ongoing business operations, (viii) the outcome of any legal proceedings that may be instituted against Xerox, its officers or directors related to the transaction agreements or the transactions and (ix) the possibility that competing offers or acquisition proposals for Xerox will be made. Xerox assumes no obligation to update any forward-looking statements as a result of new information or future events or developments, except as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Fuji Xerox Co., Ltd. (“Fuji Xerox”) is a joint venture between Xerox Corporation and Fujifilm in which Xerox holds a noncontrolling 25% equity interest and Fujifilm holds the remaining equity interest. In April 2017, Fujifilm formed an independent investigation committee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concluded that we should revise our previously issued annual and interim consolidated financial statements for 2014, 2015 and 2016 and the first quarter of 2017 the next time they are filed. Our review of this matter has been completed. However, Fujifilm and Fuji Xerox continue to review Fujifilm’s oversight and governance of Fuji Xerox as well as Fuji Xerox’s oversight and governance over its businesses in light of the findings of the IIC. At this time, we can provide no assurances relative to the outcome of any potential governmental investigations or any consequences thereof that may happen as a result of this matter.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Carl Langsenkamp, Xerox, +1-585-423-5782, </w:t>
      </w:r>
      <w:r>
        <w:rPr>
          <w:rFonts w:ascii="Arial" w:cs="Arial" w:eastAsia="Arial" w:hAnsi="Arial"/>
          <w:sz w:val="20"/>
          <w:szCs w:val="20"/>
          <w:u w:val="single" w:color="auto"/>
          <w:color w:val="0000FF"/>
        </w:rPr>
        <w:t>carl.langsenkamp@xerox.com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Jennifer Horsley, Xerox, +1-203-849-2656, </w:t>
      </w:r>
      <w:r>
        <w:rPr>
          <w:rFonts w:ascii="Arial" w:cs="Arial" w:eastAsia="Arial" w:hAnsi="Arial"/>
          <w:sz w:val="20"/>
          <w:szCs w:val="20"/>
          <w:u w:val="single" w:color="auto"/>
          <w:color w:val="0000FF"/>
        </w:rPr>
        <w:t>jennifer.horsley@xerox.com</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https://www.news.xerox.com</w:t>
      </w:r>
      <w:r>
        <w:rPr>
          <w:rFonts w:ascii="Arial" w:cs="Arial" w:eastAsia="Arial" w:hAnsi="Arial"/>
          <w:sz w:val="20"/>
          <w:szCs w:val="20"/>
          <w:color w:val="auto"/>
        </w:rPr>
        <w:t>. For open commentary, industry perspectives and views,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http://twitter.com/xerox, http://connect.blogs.xerox.com</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http://www.facebook.com/XeroxCorp</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https://www.instagram.com/xerox/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http://www.linkedin.com/company/xerox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http://www.youtube.com/XeroxCorp</w:t>
      </w:r>
      <w:r>
        <w:rPr>
          <w:rFonts w:ascii="Arial" w:cs="Arial" w:eastAsia="Arial" w:hAnsi="Arial"/>
          <w:sz w:val="20"/>
          <w:szCs w:val="20"/>
          <w:color w:val="000000"/>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Xerox</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Xerox and Design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are trademarks of Xerox in the United States and/or other countries.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4,073</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4,319</w:t>
            </w: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Services, maintenance and rentals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Financing</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2,747</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10,265</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10,771</w:t>
            </w:r>
          </w:p>
        </w:tc>
        <w:tc>
          <w:tcPr>
            <w:tcW w:w="0" w:type="dxa"/>
            <w:vAlign w:val="bottom"/>
          </w:tcPr>
          <w:p>
            <w:pPr>
              <w:spacing w:after="0"/>
              <w:rPr>
                <w:sz w:val="1"/>
                <w:szCs w:val="1"/>
                <w:color w:val="auto"/>
              </w:rPr>
            </w:pPr>
          </w:p>
        </w:tc>
      </w:tr>
      <w:tr>
        <w:trPr>
          <w:trHeight w:val="25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2,657</w:t>
            </w: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3,580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financing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Other expenses,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9,695</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10,203</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7"/>
                <w:szCs w:val="17"/>
                <w:b w:val="1"/>
                <w:bCs w:val="1"/>
                <w:color w:val="auto"/>
                <w:vertAlign w:val="superscript"/>
              </w:rPr>
              <w:t>(1)</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tax expense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Equity in net income of unconsolidated affiliates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from Continuing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Xerox</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Xerox:</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Net (loss) income from 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(Loss) Income Attributable to Xerox</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(Loss) Earnings per Share</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Basic (Loss) Earnings per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Diluted (Loss) Earnings per Share</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Diluted (Loss) Earnings per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34" w:lineRule="exact"/>
        <w:rPr>
          <w:sz w:val="20"/>
          <w:szCs w:val="20"/>
          <w:color w:val="auto"/>
        </w:rPr>
      </w:pPr>
    </w:p>
    <w:p>
      <w:pPr>
        <w:ind w:left="160" w:hanging="152"/>
        <w:spacing w:after="0"/>
        <w:tabs>
          <w:tab w:leader="none" w:pos="160" w:val="left"/>
        </w:tabs>
        <w:numPr>
          <w:ilvl w:val="0"/>
          <w:numId w:val="7"/>
        </w:numPr>
        <w:rPr>
          <w:rFonts w:ascii="Arial" w:cs="Arial" w:eastAsia="Arial" w:hAnsi="Arial"/>
          <w:sz w:val="9"/>
          <w:szCs w:val="9"/>
          <w:i w:val="1"/>
          <w:iCs w:val="1"/>
          <w:color w:val="auto"/>
        </w:rPr>
      </w:pPr>
      <w:r>
        <w:rPr>
          <w:rFonts w:ascii="Arial" w:cs="Arial" w:eastAsia="Arial" w:hAnsi="Arial"/>
          <w:sz w:val="13"/>
          <w:szCs w:val="13"/>
          <w:i w:val="1"/>
          <w:iCs w:val="1"/>
          <w:color w:val="auto"/>
        </w:rPr>
        <w:t>Referred to as “Pre-Tax (Loss) Income” throughout the remainder of this document.</w:t>
      </w:r>
    </w:p>
    <w:p>
      <w:pPr>
        <w:spacing w:after="0" w:line="14" w:lineRule="exact"/>
        <w:rPr>
          <w:rFonts w:ascii="Arial" w:cs="Arial" w:eastAsia="Arial" w:hAnsi="Arial"/>
          <w:sz w:val="9"/>
          <w:szCs w:val="9"/>
          <w:i w:val="1"/>
          <w:iCs w:val="1"/>
          <w:color w:val="auto"/>
        </w:rPr>
      </w:pPr>
    </w:p>
    <w:p>
      <w:pPr>
        <w:ind w:left="140" w:hanging="132"/>
        <w:spacing w:after="0" w:line="234" w:lineRule="auto"/>
        <w:tabs>
          <w:tab w:leader="none" w:pos="1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 xml:space="preserve">Reflects our one-for-four reverse stock split that became effective on June 14, 2017. </w:t>
      </w:r>
      <w:r>
        <w:rPr>
          <w:rFonts w:ascii="Arial" w:cs="Arial" w:eastAsia="Arial" w:hAnsi="Arial"/>
          <w:sz w:val="12"/>
          <w:szCs w:val="12"/>
          <w:i w:val="1"/>
          <w:iCs w:val="1"/>
          <w:color w:val="auto"/>
        </w:rPr>
        <w:t>See "Financial Review" section.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2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6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2016</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Xerox</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Translation adjustments,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Unrealized gains (losses),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Changes in defined benefit plans,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(Loss), Net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9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Less: Other comprehensive (loss) income, net attributable to</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8"/>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noncontrolling interests</w:t>
            </w:r>
          </w:p>
        </w:tc>
        <w:tc>
          <w:tcPr>
            <w:tcW w:w="3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(Loss), Net Attributable to Xerox</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(Loss) Income,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Comprehensive income, net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(Loss) Income, Net Attributable to Xerox</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9" w:right="239" w:bottom="1440" w:gutter="0" w:footer="0" w:header="0"/>
        </w:sectPr>
      </w:pPr>
    </w:p>
    <w:bookmarkStart w:id="13" w:name="page14"/>
    <w:bookmarkEnd w:id="13"/>
    <w:p>
      <w:pPr>
        <w:ind w:left="4920"/>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204"/>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1,293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 of discontinued operations</w:t>
            </w:r>
          </w:p>
        </w:tc>
        <w:tc>
          <w:tcPr>
            <w:tcW w:w="16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6,992</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2,323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2,398</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on operating leases,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Land, buildings and equipment,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affiliates, at equity</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Deferred tax assets, long-term</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77"/>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15,946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18,051</w:t>
            </w:r>
          </w:p>
        </w:tc>
        <w:tc>
          <w:tcPr>
            <w:tcW w:w="0" w:type="dxa"/>
            <w:vAlign w:val="bottom"/>
          </w:tcPr>
          <w:p>
            <w:pPr>
              <w:spacing w:after="0"/>
              <w:rPr>
                <w:sz w:val="1"/>
                <w:szCs w:val="1"/>
                <w:color w:val="auto"/>
              </w:rPr>
            </w:pPr>
          </w:p>
        </w:tc>
      </w:tr>
      <w:tr>
        <w:trPr>
          <w:trHeight w:val="251"/>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 of discontinued operations</w:t>
            </w:r>
          </w:p>
        </w:tc>
        <w:tc>
          <w:tcPr>
            <w:tcW w:w="16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4,654</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5,235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5,305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Pension and other benefit liabilities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Post-retirement medical benefits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13,090</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4,856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(4,337)</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Xerox shareholders’ equity</w:t>
            </w:r>
          </w:p>
        </w:tc>
        <w:tc>
          <w:tcPr>
            <w:tcW w:w="16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4,709</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4,747</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18,051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 of common stock issued and outstanding</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254,613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253,594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9" w:right="239" w:bottom="1440" w:gutter="0" w:footer="0" w:header="0"/>
          <w:type w:val="continuous"/>
        </w:sectPr>
      </w:pPr>
    </w:p>
    <w:bookmarkStart w:id="14" w:name="page15"/>
    <w:bookmarkEnd w:id="1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Year Ended</w:t>
            </w:r>
          </w:p>
        </w:tc>
        <w:tc>
          <w:tcPr>
            <w:tcW w:w="760" w:type="dxa"/>
            <w:vAlign w:val="bottom"/>
          </w:tcPr>
          <w:p>
            <w:pPr>
              <w:spacing w:after="0"/>
              <w:rPr>
                <w:sz w:val="14"/>
                <w:szCs w:val="14"/>
                <w:color w:val="auto"/>
              </w:rPr>
            </w:pPr>
          </w:p>
        </w:tc>
      </w:tr>
      <w:tr>
        <w:trPr>
          <w:trHeight w:val="178"/>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color w:val="auto"/>
              </w:rPr>
              <w:t>December 31,</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6"/>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270"/>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loss from discontinued operations, net of tax</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r>
      <w:tr>
        <w:trPr>
          <w:trHeight w:val="250"/>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633</w:t>
            </w:r>
          </w:p>
        </w:tc>
      </w:tr>
      <w:tr>
        <w:trPr>
          <w:trHeight w:val="276"/>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required to reconcile net (loss) income to cash flows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563</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Provision for receivables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Provision for inventory</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Undistributed equity in net income of unconsolidated affiliates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230</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Payments for restructurings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Defined benefit pension cost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127</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(Increase) decrease in accounts receivable and billed portion of finance receivables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Collections of deferred proceeds from sales of receivables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Decrease (increase) in inventories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(Increase) decrease in finance receivables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Collections on beneficial interest from sales of finance receivables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Decrease (increase) in other current and long-term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(Decrease) increase in accounts payable and accrued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(Decrease) increase in other current and long-term liabilities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operating,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250"/>
        </w:trPr>
        <w:tc>
          <w:tcPr>
            <w:tcW w:w="6540" w:type="dxa"/>
            <w:vAlign w:val="bottom"/>
            <w:gridSpan w:val="2"/>
          </w:tcPr>
          <w:p>
            <w:pPr>
              <w:ind w:left="720"/>
              <w:spacing w:after="0"/>
              <w:rPr>
                <w:sz w:val="20"/>
                <w:szCs w:val="20"/>
                <w:color w:val="auto"/>
              </w:rPr>
            </w:pPr>
            <w:r>
              <w:rPr>
                <w:rFonts w:ascii="Arial" w:cs="Arial" w:eastAsia="Arial" w:hAnsi="Arial"/>
                <w:sz w:val="14"/>
                <w:szCs w:val="14"/>
                <w:color w:val="auto"/>
              </w:rPr>
              <w:t>Net cash (used in) provided by operating activities of continuing operations</w:t>
            </w: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1,018</w:t>
            </w:r>
          </w:p>
        </w:tc>
      </w:tr>
      <w:tr>
        <w:trPr>
          <w:trHeight w:val="270"/>
        </w:trPr>
        <w:tc>
          <w:tcPr>
            <w:tcW w:w="65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r>
      <w:tr>
        <w:trPr>
          <w:trHeight w:val="250"/>
        </w:trPr>
        <w:tc>
          <w:tcPr>
            <w:tcW w:w="654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Cost of additions to land, buildings and equipment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Proceeds from sales of land, buildings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Cost of additions to internal use software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Proceeds from sale of businesses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investing,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6540" w:type="dxa"/>
            <w:vAlign w:val="bottom"/>
            <w:gridSpan w:val="2"/>
          </w:tcPr>
          <w:p>
            <w:pPr>
              <w:ind w:left="72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70"/>
        </w:trPr>
        <w:tc>
          <w:tcPr>
            <w:tcW w:w="65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 of discontinued operations</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250"/>
        </w:trPr>
        <w:tc>
          <w:tcPr>
            <w:tcW w:w="654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Net (payments) proceeds on debt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925</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Common stock dividends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Preferred stock dividends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Proceeds from issuances of common stock</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Repurchases related to stock-based compensation</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Payments to noncontrolling interests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Other financing, net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654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r>
      <w:tr>
        <w:trPr>
          <w:trHeight w:val="243"/>
        </w:trPr>
        <w:tc>
          <w:tcPr>
            <w:tcW w:w="64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44"/>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50"/>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Increase in cash of discontinued operations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276"/>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r>
      <w:tr>
        <w:trPr>
          <w:trHeight w:val="264"/>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1,228</w:t>
            </w:r>
          </w:p>
        </w:tc>
      </w:tr>
      <w:tr>
        <w:trPr>
          <w:trHeight w:val="204"/>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2,223</w:t>
            </w:r>
          </w:p>
        </w:tc>
      </w:tr>
      <w:tr>
        <w:trPr>
          <w:trHeight w:val="28"/>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589"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9</w:t>
      </w:r>
    </w:p>
    <w:p>
      <w:pPr>
        <w:sectPr>
          <w:pgSz w:w="11900" w:h="16838" w:orient="portrait"/>
          <w:cols w:equalWidth="0" w:num="1">
            <w:col w:w="9019"/>
          </w:cols>
          <w:pgMar w:left="1440" w:top="422" w:right="1440"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006EBF"/>
        </w:rPr>
        <w:t>Financial Review</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Transaction to Combine Xerox and Fuji Xerox</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Xerox Corporation and Fujifilm Holdings Corporation (“Fujifilm”) today announced that they have entered into a definitive agreement to combine Xerox and their longstanding Fuji Xerox joint venture. The combined company will be a global leader in innovative print technologies and intelligent work solutions. This proposed combination provides Xerox shareholders with significant cash at closing, as well as a substantial interest in the significantly stronger combined company. The transaction has been unanimously approved by the Board of Directors of both Fujifilm and Xerox. Additional information about this transaction can be found in the parties' joint release.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w:t>
      </w:r>
      <w:r>
        <w:rPr>
          <w:rFonts w:ascii="Arial" w:cs="Arial" w:eastAsia="Arial" w:hAnsi="Arial"/>
          <w:sz w:val="22"/>
          <w:szCs w:val="22"/>
          <w:b w:val="1"/>
          <w:bCs w:val="1"/>
          <w:color w:val="1269BC"/>
        </w:rPr>
        <w:t>orrection of Fuji Xerox Misstatement in Prior Period Financial Statements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Fuji Xerox is a joint venture between Xerox Corporation and Fujifilm Holdings Corporation (“Fujifilm”) in which Xerox holds a noncontrolling 25% equity interest and Fujifilm holds the remaining equity interest. In April 2017, Fujifilm publicly announced it had formed an independent investigation committee (IIC) to conduct a review of the appropriateness of the accounting practices at Fuji Xerox’s New Zealand subsidiary related to the recovery of receivables associated with certain bundled leasing transactions that occurred in, or prior to, Fuji Xerox’s fiscal year ending March 31, 2016. The IIC’s review, completed during the second quarter 2017, identified total aggregate adjustments to Fuji Xerox’s prior period financial statements of approximately JPY 40 billion (approximately $360 million based on the Yen/U.S. Dollar spot exchange rate at March 31, 2017 of 111.89). The adjustments identified by the IIC primarily related to misstatements at Fuji Xerox’s New Zealand subsidiary as well as their Australian subsidiary and certain other adjustments. We determined that our cumulative share of the total adjustments identified as part of the IIC's investigation was approximately $90 million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and impacted our fiscal years 2009 through 2017.</w:t>
      </w:r>
    </w:p>
    <w:p>
      <w:pPr>
        <w:spacing w:after="0" w:line="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second quarter 2017, we determined that the misstatements to our equity income in prior years and in first quarter 2017 resulting from the IIC’s review were immaterial to our previously issued financial statements. However, we concluded that the cumulative correction of these misstatements would have had a material effect on our current year consolidated financial statements. Accordingly, we will revise our previously issued annual and interim consolidated financial statements for 2014, 2015 and 2016 and the first quarter of 2017 the next time they are filed. Certain of the corrections discussed above affected periods prior to fiscal year 2014, and this effect was reflected as a cumulative, net of tax adjustment to reduce retained earnings as of January 1, 2014 by $69 million. Amounts throughout this release have been adjusted to incorporate the revised amounts, where applicable.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Reverse Stock Split</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result of the spin-off of the company's Business Process Outsourcing (BPO) business, now Conduent Incorporated, Xerox's market capitalization was divided. Consequently, the company proposed a reverse stock split, which was intended to increase the per share trading price of Xerox common stock and to improve its liquidity and facilitate its trading. On May 23, 2017, the Board of Directors authorized the reverse stock split of outstanding Xerox common stock at a ratio of one-for-four shares, together with the proportionate reduction in the authorized shares of its common stock from 1,750,000,000 shares to 437,500,000 shares. Shareholder approval for the reverse stock split was obtained at the company's Annual Shareholders Meeting on May 23, 2017 and the reverse stock split became effective on June 14, 2017. At the effective time, every four shares of the company’s common stock that were issued and outstanding were automatically combined into one issued and outstanding share, without any change in par value of such shares. Accordingly, we reclassified $760 million from Common stock to Additional paid-in capital. The reverse stock split also correspondingly affected all outstanding Xerox equity awards and outstanding convertible securities.</w:t>
      </w:r>
    </w:p>
    <w:p>
      <w:pPr>
        <w:spacing w:after="0" w:line="10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All authorized, issued and outstanding stock and per share amounts contained within the accompanying Condensed Consolidated Financial Statements have been adjusted to reflect this reverse stock split for all prior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2" w:right="2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6EBF"/>
        </w:rPr>
        <w:t>Separation Update</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31, 2016, Xerox Corporation completed the separation of its BPO business from its Document Technology and Document Outsourcing (DT/DO) business (the “Separation”). The Separation was accomplished through the transfer of the BPO business into a new legal entity, Conduent Incorporated ("Conduent"), and then distributing one hundred percent (100%) of the outstanding common stock of Conduent to Xerox Corporation stockholders (the “Distribution”). Conduent is now an independent public company trading on the New York Stock Exchange (“NYSE”) under the symbol “CNDT”. As a result of the Separation and Distribution, the BPO business is presented as a discontinued operation and, as such, has been excluded from continuing operations for all periods presented.</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Segment Changes</w:t>
      </w:r>
    </w:p>
    <w:p>
      <w:pPr>
        <w:spacing w:after="0" w:line="18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Following the separation of the BPO business, we realigned our operations to better manage the business and serve our customers and the markets in which we operate. In 2017, we transitioned to a geographic focus and are primarily organized from a sales perspective on the basis of “go-to-market” sales channels. These sales channels are structured to serve a range of customers for our products and services. As a result of this transition and change in structure, we concluded that we have one operating and reportable segment - the design, development and sale of document management systems and solutions. Our chief executive officer was identified as the chief operating decision maker (“CODM”). All of the company’s activities are interrelated, and each activity is dependent upon and supportive of the others, including product development, supply chain and back-office support services. In addition, all significant operating decisions, by management and the Board, are largely based upon an analysis of Xerox on a total Company basis, including assessments related to the company’s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09" w:lineRule="exact"/>
        <w:rPr>
          <w:sz w:val="20"/>
          <w:szCs w:val="20"/>
          <w:color w:val="auto"/>
        </w:rPr>
      </w:pPr>
    </w:p>
    <w:p>
      <w:pPr>
        <w:ind w:left="340" w:right="160" w:hanging="332"/>
        <w:spacing w:after="0" w:line="279" w:lineRule="auto"/>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the aggregate revision to retained earnings and the $90 million impact at March 31, 2017 is primarily due to currency and the impact of adjustments recorded directly by Xerox in the first quarter 2017.</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63" w:right="25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006EBF"/>
        </w:rPr>
        <w:t>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0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8"/>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rPr>
              <w:t>% of Total Revenue</w:t>
            </w:r>
          </w:p>
        </w:tc>
      </w:tr>
      <w:tr>
        <w:trPr>
          <w:trHeight w:val="180"/>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r>
      <w:tr>
        <w:trPr>
          <w:trHeight w:val="25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w:t>
            </w: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2,065</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2,080</w:t>
            </w:r>
          </w:p>
        </w:tc>
        <w:tc>
          <w:tcPr>
            <w:tcW w:w="11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ind w:right="22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76%</w:t>
            </w:r>
          </w:p>
        </w:tc>
      </w:tr>
      <w:tr>
        <w:trPr>
          <w:trHeight w:val="243"/>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2,747</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2,734</w:t>
            </w:r>
          </w:p>
        </w:tc>
        <w:tc>
          <w:tcPr>
            <w:tcW w:w="11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Reconciliation to Condensed Consolidated Statements of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ind w:left="40"/>
              <w:spacing w:after="0"/>
              <w:rPr>
                <w:sz w:val="20"/>
                <w:szCs w:val="20"/>
                <w:color w:val="auto"/>
              </w:rPr>
            </w:pPr>
            <w:r>
              <w:rPr>
                <w:rFonts w:ascii="Arial" w:cs="Arial" w:eastAsia="Arial" w:hAnsi="Arial"/>
                <w:sz w:val="14"/>
                <w:szCs w:val="14"/>
                <w:color w:val="auto"/>
              </w:rPr>
              <w:t>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280" w:type="dxa"/>
            <w:vAlign w:val="bottom"/>
          </w:tcPr>
          <w:p>
            <w:pPr>
              <w:spacing w:after="0"/>
              <w:rPr>
                <w:sz w:val="15"/>
                <w:szCs w:val="15"/>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1,133</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1.1%</w:t>
            </w:r>
          </w:p>
        </w:tc>
        <w:tc>
          <w:tcPr>
            <w:tcW w:w="1200" w:type="dxa"/>
            <w:vAlign w:val="bottom"/>
          </w:tcPr>
          <w:p>
            <w:pPr>
              <w:jc w:val="center"/>
              <w:spacing w:after="0"/>
              <w:rPr>
                <w:sz w:val="20"/>
                <w:szCs w:val="20"/>
                <w:color w:val="auto"/>
              </w:rPr>
            </w:pPr>
            <w:r>
              <w:rPr>
                <w:rFonts w:ascii="Arial" w:cs="Arial" w:eastAsia="Arial" w:hAnsi="Arial"/>
                <w:sz w:val="14"/>
                <w:szCs w:val="14"/>
                <w:color w:val="auto"/>
              </w:rPr>
              <w:t>(1.1)%</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Supplies, paper and other sales</w:t>
            </w:r>
          </w:p>
        </w:tc>
        <w:tc>
          <w:tcPr>
            <w:tcW w:w="3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2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(3.1)%</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Equipment Sales</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w:t>
            </w:r>
          </w:p>
        </w:tc>
        <w:tc>
          <w:tcPr>
            <w:tcW w:w="1180" w:type="dxa"/>
            <w:vAlign w:val="bottom"/>
            <w:tcBorders>
              <w:bottom w:val="single" w:sz="8" w:color="CCEEFF"/>
            </w:tcBorders>
          </w:tcPr>
          <w:p>
            <w:pPr>
              <w:jc w:val="right"/>
              <w:ind w:right="328"/>
              <w:spacing w:after="0"/>
              <w:rPr>
                <w:sz w:val="20"/>
                <w:szCs w:val="20"/>
                <w:color w:val="auto"/>
              </w:rPr>
            </w:pPr>
            <w:r>
              <w:rPr>
                <w:rFonts w:ascii="Arial" w:cs="Arial" w:eastAsia="Arial" w:hAnsi="Arial"/>
                <w:sz w:val="14"/>
                <w:szCs w:val="14"/>
                <w:color w:val="auto"/>
              </w:rPr>
              <w:t>4.3%</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r>
      <w:tr>
        <w:trPr>
          <w:trHeight w:val="251"/>
        </w:trPr>
        <w:tc>
          <w:tcPr>
            <w:tcW w:w="4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Services, maintenance and rentals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28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1,524</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0.4%</w:t>
            </w:r>
          </w:p>
        </w:tc>
        <w:tc>
          <w:tcPr>
            <w:tcW w:w="1200" w:type="dxa"/>
            <w:vAlign w:val="bottom"/>
          </w:tcPr>
          <w:p>
            <w:pPr>
              <w:jc w:val="center"/>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Supplies, paper and other sales</w:t>
            </w: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(3.1)%</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Add: Financing</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180" w:type="dxa"/>
            <w:vAlign w:val="bottom"/>
            <w:tcBorders>
              <w:bottom w:val="single" w:sz="8" w:color="CCEEFF"/>
            </w:tcBorders>
          </w:tcPr>
          <w:p>
            <w:pPr>
              <w:jc w:val="right"/>
              <w:ind w:right="268"/>
              <w:spacing w:after="0"/>
              <w:rPr>
                <w:sz w:val="20"/>
                <w:szCs w:val="20"/>
                <w:color w:val="auto"/>
              </w:rPr>
            </w:pPr>
            <w:r>
              <w:rPr>
                <w:rFonts w:ascii="Arial" w:cs="Arial" w:eastAsia="Arial" w:hAnsi="Arial"/>
                <w:sz w:val="14"/>
                <w:szCs w:val="14"/>
                <w:color w:val="auto"/>
              </w:rPr>
              <w:t>(7.8)%</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(10.6)%</w:t>
            </w: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Post Sale Revenue</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2,065</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2,080</w:t>
            </w:r>
          </w:p>
        </w:tc>
        <w:tc>
          <w:tcPr>
            <w:tcW w:w="11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(0.7)%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(3.1)%</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1,601</w:t>
            </w:r>
          </w:p>
        </w:tc>
        <w:tc>
          <w:tcPr>
            <w:tcW w:w="2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(1.6)%</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International</w:t>
            </w: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1,001</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4.8%</w:t>
            </w:r>
          </w:p>
        </w:tc>
        <w:tc>
          <w:tcPr>
            <w:tcW w:w="1200" w:type="dxa"/>
            <w:vAlign w:val="bottom"/>
          </w:tcPr>
          <w:p>
            <w:pPr>
              <w:jc w:val="center"/>
              <w:spacing w:after="0"/>
              <w:rPr>
                <w:sz w:val="20"/>
                <w:szCs w:val="20"/>
                <w:color w:val="auto"/>
              </w:rPr>
            </w:pPr>
            <w:r>
              <w:rPr>
                <w:rFonts w:ascii="Arial" w:cs="Arial" w:eastAsia="Arial" w:hAnsi="Arial"/>
                <w:sz w:val="14"/>
                <w:szCs w:val="14"/>
                <w:color w:val="auto"/>
              </w:rPr>
              <w:t>(1.2)%</w:t>
            </w:r>
          </w:p>
        </w:tc>
        <w:tc>
          <w:tcPr>
            <w:tcW w:w="1020" w:type="dxa"/>
            <w:vAlign w:val="bottom"/>
          </w:tcPr>
          <w:p>
            <w:pPr>
              <w:jc w:val="center"/>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35%</w:t>
            </w: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2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(4.6)%</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7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7"/>
                <w:szCs w:val="17"/>
                <w:b w:val="1"/>
                <w:bCs w:val="1"/>
                <w:color w:val="auto"/>
                <w:vertAlign w:val="superscript"/>
              </w:rPr>
              <w:t>(2)</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2,747</w:t>
            </w: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2,734</w:t>
            </w:r>
          </w:p>
        </w:tc>
        <w:tc>
          <w:tcPr>
            <w:tcW w:w="1180" w:type="dxa"/>
            <w:vAlign w:val="bottom"/>
            <w:tcBorders>
              <w:bottom w:val="single" w:sz="8" w:color="CCEEFF"/>
            </w:tcBorders>
          </w:tcPr>
          <w:p>
            <w:pPr>
              <w:jc w:val="right"/>
              <w:ind w:right="328"/>
              <w:spacing w:after="0"/>
              <w:rPr>
                <w:sz w:val="20"/>
                <w:szCs w:val="20"/>
                <w:color w:val="auto"/>
              </w:rPr>
            </w:pPr>
            <w:r>
              <w:rPr>
                <w:rFonts w:ascii="Arial" w:cs="Arial" w:eastAsia="Arial" w:hAnsi="Arial"/>
                <w:sz w:val="14"/>
                <w:szCs w:val="14"/>
                <w:color w:val="auto"/>
              </w:rPr>
              <w:t>0.5%</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Memo:</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Managed Document Services</w:t>
            </w:r>
            <w:r>
              <w:rPr>
                <w:rFonts w:ascii="Arial" w:cs="Arial" w:eastAsia="Arial" w:hAnsi="Arial"/>
                <w:sz w:val="17"/>
                <w:szCs w:val="17"/>
                <w:color w:val="auto"/>
                <w:vertAlign w:val="superscript"/>
              </w:rPr>
              <w:t>(3)</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3.4%</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w:t>
            </w:r>
          </w:p>
        </w:tc>
      </w:tr>
      <w:tr>
        <w:trPr>
          <w:trHeight w:val="130"/>
        </w:trPr>
        <w:tc>
          <w:tcPr>
            <w:tcW w:w="458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5" w:lineRule="exact"/>
        <w:rPr>
          <w:sz w:val="20"/>
          <w:szCs w:val="20"/>
          <w:color w:val="auto"/>
        </w:rPr>
      </w:pPr>
    </w:p>
    <w:p>
      <w:pPr>
        <w:ind w:left="340" w:right="260" w:hanging="332"/>
        <w:spacing w:after="0" w:line="24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Equipment sales revenue in 2016 has been revised to reclassify certain Global Imaging Systems IT-related equipment sales to other sales, which are included in Post sale revenue.</w:t>
      </w:r>
    </w:p>
    <w:p>
      <w:pPr>
        <w:ind w:left="340" w:hanging="332"/>
        <w:spacing w:after="0"/>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Refer to Appendix II for our Geographic Sales Channels and Product/Offering Definitions.</w:t>
      </w:r>
    </w:p>
    <w:p>
      <w:pPr>
        <w:spacing w:after="0" w:line="1" w:lineRule="exact"/>
        <w:rPr>
          <w:rFonts w:ascii="Arial" w:cs="Arial" w:eastAsia="Arial" w:hAnsi="Arial"/>
          <w:sz w:val="14"/>
          <w:szCs w:val="14"/>
          <w:i w:val="1"/>
          <w:iCs w:val="1"/>
          <w:color w:val="auto"/>
        </w:rPr>
      </w:pPr>
    </w:p>
    <w:p>
      <w:pPr>
        <w:ind w:left="340" w:right="80" w:hanging="332"/>
        <w:spacing w:after="0" w:line="258"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equipment revenue, Managed Document Services (MDS) was $768 million in fourth quarter 2017 and $743 million in fourth quarter 2016, representing an increase of 3.4% including a 2.6-percentage point favorable impact from currency.</w:t>
      </w:r>
    </w:p>
    <w:p>
      <w:pPr>
        <w:spacing w:after="0" w:line="13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Fourth quarter 2017 total revenue increased 0.5% as compared to fourth quarter 2016, with a 2.5-percentage point favorable impact from currency. Fourth quarter 2017 total revenue reflected the following:</w:t>
      </w:r>
    </w:p>
    <w:p>
      <w:pPr>
        <w:spacing w:after="0" w:line="120" w:lineRule="exact"/>
        <w:rPr>
          <w:sz w:val="20"/>
          <w:szCs w:val="20"/>
          <w:color w:val="auto"/>
        </w:rPr>
      </w:pPr>
    </w:p>
    <w:p>
      <w:pPr>
        <w:ind w:left="340" w:right="10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decreased 0.7% as compared to fourth quarter 2016, with a 2.4-percentage point favorable impact from currency. Post</w:t>
      </w:r>
      <w:r>
        <w:rPr>
          <w:rFonts w:ascii="Arial" w:cs="Arial" w:eastAsia="Arial" w:hAnsi="Arial"/>
          <w:sz w:val="18"/>
          <w:szCs w:val="18"/>
          <w:b w:val="1"/>
          <w:bCs w:val="1"/>
          <w:color w:val="auto"/>
        </w:rPr>
        <w:t xml:space="preserve"> </w:t>
      </w:r>
      <w:r>
        <w:rPr>
          <w:rFonts w:ascii="Arial" w:cs="Arial" w:eastAsia="Arial" w:hAnsi="Arial"/>
          <w:sz w:val="18"/>
          <w:szCs w:val="18"/>
          <w:color w:val="auto"/>
        </w:rPr>
        <w:t>sale revenue is comprised of the following:</w:t>
      </w:r>
    </w:p>
    <w:p>
      <w:pPr>
        <w:ind w:left="980" w:right="100" w:hanging="324"/>
        <w:spacing w:after="0" w:line="24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Managed Document Services (MDS) offerings, and revenues from our Communication and Marketing Solutions (CMS) offerings that transferred to Xerox from the BPO business upon Separation. These revenues increased 0.4%, with a 2.6-percentage point 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lower signings and installs in prior periods and the continuing decline in page volumes. These declines were partially mitigated by $20 million of higher revenues associated with a licensing agreement along with higher revenue from MDS, developing markets and acquisitions within our Global Imaging business.</w:t>
      </w:r>
    </w:p>
    <w:p>
      <w:pPr>
        <w:spacing w:after="0" w:line="4" w:lineRule="exact"/>
        <w:rPr>
          <w:rFonts w:ascii="Arial" w:cs="Arial" w:eastAsia="Arial" w:hAnsi="Arial"/>
          <w:sz w:val="18"/>
          <w:szCs w:val="18"/>
          <w:color w:val="auto"/>
        </w:rPr>
      </w:pPr>
    </w:p>
    <w:p>
      <w:pPr>
        <w:ind w:left="980" w:right="460" w:hanging="32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declined 3.1%, with a 1.7-percentage point 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driven by lower network integration solutions sales from our Global Imaging business, while supplies revenues were flat compared to prior year despite continued declines in equipment manufacturer (OEM) supplies.</w:t>
      </w:r>
    </w:p>
    <w:p>
      <w:pPr>
        <w:spacing w:after="0" w:line="1" w:lineRule="exact"/>
        <w:rPr>
          <w:rFonts w:ascii="Arial" w:cs="Arial" w:eastAsia="Arial" w:hAnsi="Arial"/>
          <w:sz w:val="18"/>
          <w:szCs w:val="18"/>
          <w:b w:val="1"/>
          <w:bCs w:val="1"/>
          <w:color w:val="auto"/>
        </w:rPr>
      </w:pPr>
    </w:p>
    <w:p>
      <w:pPr>
        <w:ind w:left="980" w:right="120" w:hanging="324"/>
        <w:spacing w:after="0" w:line="256" w:lineRule="auto"/>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7.8%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finance receivables balance due to lower equipment sales in prior periods and included a 2.8-percentage point favorable impact from currency.</w:t>
      </w:r>
    </w:p>
    <w:p>
      <w:pPr>
        <w:sectPr>
          <w:pgSz w:w="11900" w:h="16838" w:orient="portrait"/>
          <w:cols w:equalWidth="0" w:num="1">
            <w:col w:w="11420"/>
          </w:cols>
          <w:pgMar w:left="240" w:top="59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93"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color w:val="auto"/>
              </w:rPr>
              <w:t>December 31,</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Entry</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401</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High-end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150</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654</w:t>
            </w:r>
          </w:p>
        </w:tc>
        <w:tc>
          <w:tcPr>
            <w:tcW w:w="11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5" w:lineRule="exact"/>
        <w:rPr>
          <w:sz w:val="20"/>
          <w:szCs w:val="20"/>
          <w:color w:val="auto"/>
        </w:rPr>
      </w:pPr>
    </w:p>
    <w:p>
      <w:pPr>
        <w:ind w:left="340" w:right="260" w:hanging="332"/>
        <w:spacing w:after="0" w:line="258"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Equipment sales revenue in 2016 has been revised to reclassify certain Global Imaging Systems IT-related equipment sales to other sales, which are included in Post sale revenue.</w:t>
      </w:r>
    </w:p>
    <w:p>
      <w:pPr>
        <w:spacing w:after="0" w:line="274" w:lineRule="exact"/>
        <w:rPr>
          <w:sz w:val="20"/>
          <w:szCs w:val="20"/>
          <w:color w:val="auto"/>
        </w:rPr>
      </w:pPr>
    </w:p>
    <w:p>
      <w:pPr>
        <w:ind w:left="340" w:right="100" w:hanging="332"/>
        <w:spacing w:after="0" w:line="26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Equipment sales revenue </w:t>
      </w:r>
      <w:r>
        <w:rPr>
          <w:rFonts w:ascii="Arial" w:cs="Arial" w:eastAsia="Arial" w:hAnsi="Arial"/>
          <w:sz w:val="17"/>
          <w:szCs w:val="17"/>
          <w:color w:val="auto"/>
        </w:rPr>
        <w:t>increased 4.3% as compared to fourth quarter 2016, with a 2.8-percentage point favorable impact from</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as well as the net benefits from the planned expansion of our U.S. channels. Revenue increased despite price declines of approximately 5% (which were in-line with our historic declines). The increase at constant currency</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in entry sales reflected higher install activity associated with the new ConnectKey products partially offset by continued lower OEM activity and a higher mix of lower-end monochrome devices in developing markets. Mid-range declined modestly as a result of ongoing black-and-white revenue declines that reflected overall market trends, nearly offset by increased sales of our new ConnectKey products. The increase in high-end sales primarily reflected higher revenues from our continuous feed inkjet and iGen systems as well as demand for our recently launched Versant entry production color systems, partially offset by lower revenues from our black-and-white systems consistent with market decline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Install activity includes Managed Document Services and Xerox-branded products shipped to Global Imaging Systems. Detail by product group (see Appendix II) is shown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r>
        <w:rPr>
          <w:rFonts w:ascii="Arial" w:cs="Arial" w:eastAsia="Arial" w:hAnsi="Arial"/>
          <w:sz w:val="21"/>
          <w:szCs w:val="21"/>
          <w:i w:val="1"/>
          <w:iCs w:val="1"/>
          <w:color w:val="auto"/>
          <w:vertAlign w:val="superscript"/>
        </w:rPr>
        <w:t>2</w:t>
      </w:r>
    </w:p>
    <w:p>
      <w:pPr>
        <w:ind w:left="340" w:right="46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 increase in color multifunction devices, reflecting demand for recently launched products as well as the migration from printers to multifunction devices, consistent with market trends.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34% increase in black-and-white multifunction devices, driven largely by higher activity for low-end devices in developing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1"/>
          <w:szCs w:val="21"/>
          <w:i w:val="1"/>
          <w:iCs w:val="1"/>
          <w:color w:val="auto"/>
          <w:vertAlign w:val="superscript"/>
        </w:rPr>
        <w:t>3</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 increase in mid-range color installs, reflecting higher demand for recently launched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increase in mid-range black-and-white, as demand for recently launched products more than offset market trends.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1"/>
          <w:szCs w:val="21"/>
          <w:i w:val="1"/>
          <w:iCs w:val="1"/>
          <w:color w:val="auto"/>
          <w:vertAlign w:val="superscript"/>
        </w:rPr>
        <w:t>3</w:t>
      </w:r>
    </w:p>
    <w:p>
      <w:pPr>
        <w:ind w:left="340" w:right="52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 decrease in high-end color systems, as growth from continuous feed inkjet color and the higher-end configurations of the recently launched Versant products was more than offset by lower installs of products at the lower-end of the high-end portfolio.</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 decrease in high-end black-and-white systems reflecting market trends.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Signings</w:t>
      </w:r>
    </w:p>
    <w:p>
      <w:pPr>
        <w:spacing w:after="0" w:line="2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Our reported signings mostly represent those from our Enterprise deals, as we do not currently include signings from our growing partner print services offerings or those from our Global Imaging Systems channel. Total Contract Value (TCV) is the estimated total contractual revenue related to signed contracts; our signings expressed in TCV were as follows: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9"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right="148"/>
              <w:spacing w:after="0"/>
              <w:rPr>
                <w:sz w:val="20"/>
                <w:szCs w:val="20"/>
                <w:color w:val="auto"/>
              </w:rPr>
            </w:pPr>
            <w:r>
              <w:rPr>
                <w:rFonts w:ascii="Arial" w:cs="Arial" w:eastAsia="Arial" w:hAnsi="Arial"/>
                <w:sz w:val="14"/>
                <w:szCs w:val="14"/>
                <w:color w:val="auto"/>
              </w:rPr>
              <w:t>Year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8"/>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color w:val="auto"/>
              </w:rPr>
              <w:t>December 31,</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4"/>
          </w:tcPr>
          <w:p>
            <w:pPr>
              <w:jc w:val="center"/>
              <w:ind w:right="88"/>
              <w:spacing w:after="0"/>
              <w:rPr>
                <w:sz w:val="20"/>
                <w:szCs w:val="20"/>
                <w:color w:val="auto"/>
              </w:rPr>
            </w:pPr>
            <w:r>
              <w:rPr>
                <w:rFonts w:ascii="Arial" w:cs="Arial" w:eastAsia="Arial" w:hAnsi="Arial"/>
                <w:sz w:val="14"/>
                <w:szCs w:val="14"/>
                <w:color w:val="auto"/>
              </w:rPr>
              <w:t>December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CC %</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CC %</w:t>
            </w:r>
          </w:p>
        </w:tc>
      </w:tr>
      <w:tr>
        <w:trPr>
          <w:trHeight w:val="178"/>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millions)</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Signings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2,734</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r>
      <w:tr>
        <w:trPr>
          <w:trHeight w:val="130"/>
        </w:trPr>
        <w:tc>
          <w:tcPr>
            <w:tcW w:w="3200" w:type="dxa"/>
            <w:vAlign w:val="bottom"/>
          </w:tcPr>
          <w:p>
            <w:pPr>
              <w:jc w:val="right"/>
              <w:ind w:right="1437"/>
              <w:spacing w:after="0"/>
              <w:rPr>
                <w:sz w:val="20"/>
                <w:szCs w:val="20"/>
                <w:color w:val="auto"/>
              </w:rPr>
            </w:pPr>
            <w:r>
              <w:rPr>
                <w:rFonts w:ascii="Arial" w:cs="Arial" w:eastAsia="Arial" w:hAnsi="Arial"/>
                <w:sz w:val="11"/>
                <w:szCs w:val="11"/>
                <w:color w:val="auto"/>
                <w:w w:val="98"/>
              </w:rPr>
              <w:t>____________________________</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3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Fourth quarter 2017 signings increased 18.4% from fourth quarter 2016, with a 1.6-percentage point unfavorable impact from currency, reflecting higher contribution from both new business and renewals. On a trailing twelve month (TTM) basis, signings decreased 0.7% from the comparable prior year period, with a 1.7-percentage point unfavorable impact from currency.</w:t>
      </w:r>
    </w:p>
    <w:p>
      <w:pPr>
        <w:spacing w:after="0" w:line="9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New business TCV increased 11.0% from fourth quarter 2016, with a 2.5-percentage point unfavorable impact from currency, consistent with the sales cycle progression of deals corresponding with the full roll-out of our new products, and favorably impacted by a depressed level of signings in the prior year period. On a TTM basis, new business TCV decreased 12.6% from the comparable prior year period, with a 2.0-percentage point unfavorable impact from currency. The full year performance reflects ongoing competitive pressure in the market as well as the timing of new products amplified by the longer sales cycles in this area of the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Renewal rate</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Renewal rate is defined as the annual recurring revenue (ARR) on contracts that are renewed during the period as a percentage of ARR on all contracts for which a renewal decision was made during the period. Contract renewal rate for the fourth quarter and full year 2017 was 86% and 84%, respectively, and increased compared to our full year 2016 renewal rate of 82%.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Costs, Expenses and Other Income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Three Months Ended December 31,</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Reported</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58"/>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B/(W)</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B/(W)</w:t>
            </w:r>
          </w:p>
        </w:tc>
      </w:tr>
      <w:tr>
        <w:trPr>
          <w:trHeight w:val="25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RD&amp;E</w:t>
            </w:r>
          </w:p>
        </w:tc>
        <w:tc>
          <w:tcPr>
            <w:tcW w:w="2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84"/>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Gross Margin</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 pts.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Post sale Gross Margin</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0.9 pts.</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 pts.</w:t>
            </w:r>
          </w:p>
        </w:tc>
      </w:tr>
      <w:tr>
        <w:trPr>
          <w:trHeight w:val="27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Gross Margin</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(0.4) pts.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 pts.</w:t>
            </w: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0.1 pts.</w:t>
            </w:r>
          </w:p>
        </w:tc>
      </w:tr>
      <w:tr>
        <w:trPr>
          <w:trHeight w:val="27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 as a % of Revenue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 pts.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 pts.</w:t>
            </w:r>
          </w:p>
        </w:tc>
      </w:tr>
      <w:tr>
        <w:trPr>
          <w:trHeight w:val="284"/>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Income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Pre-tax Income Margin</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 pts.</w:t>
            </w:r>
          </w:p>
        </w:tc>
        <w:tc>
          <w:tcPr>
            <w:tcW w:w="240" w:type="dxa"/>
            <w:vAlign w:val="bottom"/>
          </w:tcPr>
          <w:p>
            <w:pPr>
              <w:spacing w:after="0"/>
              <w:rPr>
                <w:sz w:val="22"/>
                <w:szCs w:val="22"/>
                <w:color w:val="auto"/>
              </w:rPr>
            </w:pPr>
          </w:p>
        </w:tc>
        <w:tc>
          <w:tcPr>
            <w:tcW w:w="940" w:type="dxa"/>
            <w:vAlign w:val="bottom"/>
            <w:gridSpan w:val="2"/>
          </w:tcPr>
          <w:p>
            <w:pPr>
              <w:ind w:left="42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2"/>
                <w:szCs w:val="22"/>
                <w:color w:val="auto"/>
              </w:rPr>
            </w:pP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70"/>
        </w:trPr>
        <w:tc>
          <w:tcPr>
            <w:tcW w:w="45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Adjusted Operating Profit</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395</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Operating Margin</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 pts.</w:t>
            </w:r>
          </w:p>
        </w:tc>
      </w:tr>
      <w:tr>
        <w:trPr>
          <w:trHeight w:val="283"/>
        </w:trPr>
        <w:tc>
          <w:tcPr>
            <w:tcW w:w="4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color w:val="auto"/>
              </w:rPr>
              <w:t>Memo:</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Non-service retirement-related costs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N/A</w:t>
            </w:r>
          </w:p>
        </w:tc>
      </w:tr>
      <w:tr>
        <w:trPr>
          <w:trHeight w:val="130"/>
        </w:trPr>
        <w:tc>
          <w:tcPr>
            <w:tcW w:w="448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37" w:lineRule="exact"/>
        <w:rPr>
          <w:sz w:val="20"/>
          <w:szCs w:val="20"/>
          <w:color w:val="auto"/>
        </w:rPr>
      </w:pPr>
    </w:p>
    <w:p>
      <w:pPr>
        <w:ind w:right="340" w:firstLine="8"/>
        <w:spacing w:after="0" w:line="305" w:lineRule="auto"/>
        <w:tabs>
          <w:tab w:leader="none" w:pos="135" w:val="left"/>
        </w:tabs>
        <w:numPr>
          <w:ilvl w:val="0"/>
          <w:numId w:val="1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See the “Non-GAAP Financial Measures” section for an explanation of the non-GAAP financial measure. In fourth quarter 2016, we began to include Equity in net income of unconsolidated affiliates in the calculation of adjusted operating income and margin. Prior periods have been restated accordingly to conform to current year presentation.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Fourth quarter 2017 pre-tax income margin of 8.2% increased 1.7-percentage points as compared to fourth quarter 2016. The increase was primarily driven by lower restructuring and related costs that reflect the phasing of our strategic transformation initiatives, as well as lower Other expenses, net largely reflecting lower interest expense. Productivity and savings from strategic transformation, along with higher licensing revenue, mitigated the impact of lower post sale revenue, unfavorable transaction currency and non-service retirement-related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ind w:right="40"/>
        <w:spacing w:after="0" w:line="235" w:lineRule="auto"/>
        <w:rPr>
          <w:sz w:val="20"/>
          <w:szCs w:val="20"/>
          <w:color w:val="auto"/>
        </w:rPr>
      </w:pPr>
      <w:r>
        <w:rPr>
          <w:rFonts w:ascii="Arial" w:cs="Arial" w:eastAsia="Arial" w:hAnsi="Arial"/>
          <w:sz w:val="18"/>
          <w:szCs w:val="18"/>
          <w:color w:val="auto"/>
        </w:rPr>
        <w:t>Fourth quarter 2017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14.4% increased 0.2-percentage points as compared to fourth quarter 2016, reflecting productivity and savings from strategic transformation as well as higher licensing revenue, which more than offset the pace of post sale revenue decline and the impact of revenue generating and SAG investments along with adverse transaction currency of 0.3-percentage points.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was also unfavorably impacted by higher compensation and benefit expense which was partially offset by the benefit from a change in estimate related to consumables usage by customers.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Fourth quarter 2017 gross margin of 39.6% decreased by 0.4-percentage points compared to fourth quarter 2016.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gross margin of 40.4% increased by 0.1-percentage points. This performance reflected cost productivity and savings from strategic transformation, along with higher licensing revenue, that were partially offset by adverse transaction currency of 0.3-percentage points and the mix of our revenues.</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Fourth quarter 2017 equipment gross margin of 27.4% decreased 4.0-percentage points as compared to fourth quarter 2016, reflecting an unfavorable mix of our revenues as well as the impact of investments to support large account and channel sales and the impact of transaction currency, only partially offset by product cost productivity.</w:t>
      </w:r>
    </w:p>
    <w:p>
      <w:pPr>
        <w:spacing w:after="0" w:line="20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Fourth quarter 2017 post sale gross margin of 43.6% increased 0.9-percentage points as compared to fourth quarter 2016.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post sale gross margin of 44.7% improved 1.6-percentage points, including an approximate 0.6-percentage point benefit from a change in estimate related to consumables usage by customers; the improvement also reflected savings from strategic transformation and higher licensing revenue, which more than offset the pace of revenue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5"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Fourth quarter 2017 RD&amp;E as a percentage of revenue of 4.1% was flat compared to fourth quarter 2016.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RD&amp;E was 3.9% of revenue and decreased 0.1-percentage points compared to fourth quarter 2016.</w:t>
      </w:r>
    </w:p>
    <w:p>
      <w:pPr>
        <w:spacing w:after="0" w:line="15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RD&amp;E of $114 million increased by $1 million compared to fourth quarter 2016.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RD&amp;E of $106 million decreased by $3 million; the reduction reflected savings from strategic transformation including restructuring savings and lower expenses as a result of the transfer of resources to Electronics for Imaging (EFI), a third party high-end print server supplier, and the sale of our Xerox Research Centre Europe in Grenoble, France, which was mainly dedicated to supporting the discontinued BPO business. We strategically coordinate our R&amp;D investments with Fuji Xerox.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SAG as a percentage of revenue of 24.6% increased by 1.2-percentage points from fourth quarter 2016 primarily as a result of higher non-service retirement-related costs.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SAG was 23.2% of revenue and increased 0.1-percentage points, reflecting the impact of lower revenues that were partially mitigated by productivity and cost savings from strategic transformation, including savings from restructuring.</w:t>
      </w:r>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SAG of $676 million was $37 million higher than fourth quarter 2016.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SAG of $636 million increased by $5 million, including an approximate $11 million unfavorable impact from currency. The reduction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primarily reflected cost savings, including savings from restructuring, and lower incentives and marketing expenses; these savings were partially offset by higher compensation and benefit expenses as well as expenses from Global Imaging acquisitions. Bad debt expense of $3 million was $1 million higher than fourth quarter 2016 and remained at less than one percent of receivables.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Non-service retirement-related costs were $43 million higher than fourth quarter 2016, primarily due to higher losses from pension settlements.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2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Restructuring and related costs of $24 million for the fourth quarter 2017 included net restructuring and asset impairment charges of $23 million and $1 million of additional costs primarily related to professional support services associated with the implementation of the Strategic Transformation program.</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Fourth quarter 2017 net restructuring and asset impairment charges of $23 million included $25 million of severance costs related to headcount reductions of approximately 500 employees worldwide, $1 million of lease cancellation charges and $7 million of asset impairment losses related to the closure of a manufacturing site in Latin America. Fourth quarter 2017 actions impacted several functional areas, with approximately 35% focused on gross margin improvements and approximately 60% on SAG reductions, with the remainder focused on RD&amp;E optimization. These costs were partially offset by $10 million of net reversals for changes in estimated reserves from prior period initiatives.</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Restructuring and related costs of $92 million for the fourth quarter 2016 included net restructuring and asset impairment charges of $76 million and $16 million of additional costs primarily related to professional support services associated with the implementation of the Strategic Transformation program.</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Fourth quarter 2016 net restructuring and asset impairment charges of $76 million included $57 million of severance costs related to headcount reductions of approximately 800 employees worldwide and $ 26 million of lease cancellation charges primarily related to early termination of the lease for our corporate airplane as a result of the elimination of our corporate aviation department. Fourth quarter 2016 actions impacted several functional areas, with approximately 36% focused on gross margin improvements and approximately 57% on SAG reductions, with the remainder focused on RD&amp;E optimization. These costs were partially offset by $7 million of net reversals for changes in estimated reserves from prior period initiatives.</w:t>
      </w:r>
    </w:p>
    <w:p>
      <w:pPr>
        <w:spacing w:after="0" w:line="15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restructuring reserve balance as of December 31, 2017 for all programs was $109 million, of which $106 million is expected to be spent over the next twelve months.</w:t>
      </w:r>
    </w:p>
    <w:p>
      <w:pPr>
        <w:spacing w:after="0" w:line="14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During 2018, we expect to incur additional restructuring and related costs of approximately $200 million for actions and initiatives that have not yet been finalized. Approximately $40 million of the full year charge is expected to be recognized in the first quarter of the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2017 amortization of intangible assets of $12 million was $2 million lower than fourth quarter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Worldwide employment was approximately 35,300 as of December 31, 2017 and decreased by approximately 2,300 from December 31, 2016. The reduction is primarily due to the impact of restructuring and productivity-related reductions partially offset by an increase of approximately 370 from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Other Expenses, Net</w:t>
      </w:r>
    </w:p>
    <w:p>
      <w:pPr>
        <w:spacing w:after="0" w:line="194"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December 31,</w:t>
            </w:r>
          </w:p>
        </w:tc>
        <w:tc>
          <w:tcPr>
            <w:tcW w:w="1160" w:type="dxa"/>
            <w:vAlign w:val="bottom"/>
            <w:tcBorders>
              <w:bottom w:val="single" w:sz="8" w:color="auto"/>
            </w:tcBorders>
          </w:tcPr>
          <w:p>
            <w:pPr>
              <w:spacing w:after="0"/>
              <w:rPr>
                <w:sz w:val="15"/>
                <w:szCs w:val="15"/>
                <w:color w:val="auto"/>
              </w:rPr>
            </w:pP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2016</w:t>
            </w:r>
          </w:p>
        </w:tc>
      </w:tr>
      <w:tr>
        <w:trPr>
          <w:trHeight w:val="25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Currency losses, net</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Loss on sales of accounts receivable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Loss on early extinguishment of debt</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 other expenses, net</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r>
      <w:tr>
        <w:trPr>
          <w:trHeight w:val="237"/>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Fourth quarter 2017 non-financing interest expense of $30 million was $13 million lower than fourth quarter 2016. When combined with financing interest expense (Cost of financing), total interest expense declined by $10 million from fourth quarter 2016 primarily due to a lower debt balance reflecting debt repayments of approximately $1.3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26" w:right="259" w:bottom="1440" w:gutter="0" w:footer="0" w:header="0"/>
        </w:sectPr>
      </w:pPr>
    </w:p>
    <w:bookmarkStart w:id="23" w:name="page24"/>
    <w:bookmarkEnd w:id="23"/>
    <w:p>
      <w:pPr>
        <w:jc w:val="both"/>
        <w:ind w:right="280"/>
        <w:spacing w:after="0" w:line="256" w:lineRule="auto"/>
        <w:rPr>
          <w:sz w:val="20"/>
          <w:szCs w:val="20"/>
          <w:color w:val="auto"/>
        </w:rPr>
      </w:pPr>
      <w:r>
        <w:rPr>
          <w:rFonts w:ascii="Arial" w:cs="Arial" w:eastAsia="Arial" w:hAnsi="Arial"/>
          <w:sz w:val="18"/>
          <w:szCs w:val="18"/>
          <w:color w:val="auto"/>
        </w:rPr>
        <w:t>billion in the first quarter 2017 partially offset by new debt issued in the third quarter 2017 to fund a $500 million voluntary contribution to our U.S. defined benefit pension plans; the decline also reflected lower average interest rates. See "Debt and Customer Financing Activities"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early extinguishment of debt</w:t>
      </w:r>
    </w:p>
    <w:p>
      <w:pPr>
        <w:spacing w:after="0" w:line="2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fourth quarter of 2017, we recorded a $7 million loss associated with the repayment of $475 million in Senior Notes. See "Debt and Customer Financing Activities" for further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Income Taxes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Fourth quarter 2017 effective tax rate was 196.5%. This rate includes our current estimated impact of the 2017 Tax Cuts and Jobs Act (the "Tax Act") which is discussed below.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fourth quarter 2017 tax rate was 26.2%. This rate was lower than the U.S. statutory tax rate of 35% primarily due to foreign tax credits.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non-service retirement-related costs and other discrete items including the impact of the Tax Act.</w:t>
      </w:r>
    </w:p>
    <w:p>
      <w:pPr>
        <w:spacing w:after="0" w:line="15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Fourth quarter 2016 effective tax rate was 10.1%.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fourth quarter 2016 tax rate was 21.1%. Both rates were lower than the U.S. statutory tax rate primarily due to foreign tax credits resulting from anticipated dividends from our foreign subsidiaries and the geographic mix of our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and non-service retirement-related costs.</w:t>
      </w:r>
    </w:p>
    <w:p>
      <w:pPr>
        <w:spacing w:after="0" w:line="162"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 Excluding the effects of intangibles amortization, restructuring and related costs, non-service retirement-related costs and other discrete items, we anticipate that our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will be approximately 24% to 27% for full year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Cuts and Jobs Act (the “Tax Act”)</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things, lowering the U.S. statutory corporate income tax rate from 35% to 21% and implementing a territorial tax system that includes a one-time transition tax on deemed repatriated earnings of foreign subsidiaries.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fourth quarter 2017, we recorded an estimated non-cash charge of $400 million reflecting the impact associated with the provisions of the Tax Act based on currently available information. Approximately $165 million of the charge is related to the deemed repatriation tax, $135 million from the re-measurement of U.S. deferred tax assets and liabilities to the lower enacted statutory tax rate and the remainder associated with other tax liabilities resulting from anticipated distributions of our foreign earnings. As a consequence of the Tax Act, we now anticipate the distribution of our foreign earnings and no longer consider them indefinitely reinvested. Additionally, we expect to utilize our existing foreign tax credit carryforward to settle the estimated deemed repatriation tax.</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Our estimated charge incorporates assumptions made based on our current interpretation of the Tax Act as well as currently available information and may change, possibly materially, as we complete our analysis and receive additional clarification and implementation guidance. Changes in interpretations and assumptions as well as actions we may take as a result of the Tax Act may also impact this estimated charge.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Equity in Net Income of Unconsolidated Affiliates</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Equity in net income of unconsolidated affiliates primarily reflects our 25% share of Fuji Xerox net income. Fourth quarter 2017 equity income of $25 million decreased by $2 million compared to fourth quarter 2016 including $1 million of higher year-over-year charges related to our share of Fuji Xerox after-tax restructuring and other charges. Other charges included audit and other fees associated with the independent investigation of Fuji Xerox's accounting practices.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82" w:right="25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006EBF"/>
        </w:rPr>
        <w:t>Net Income from Continuing Operations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Fourth quarter 2017 net loss from continuing operations attributable to Xerox was $196 million, or $0.78 per diluted share, which included an estimated non-cash charge of $400 million or $1.55 per diluted share impact for the provisions associated with the Tax Cuts and Jobs Act. See the “Income Taxes” section for further explanation.</w:t>
      </w:r>
    </w:p>
    <w:p>
      <w:pPr>
        <w:spacing w:after="0" w:line="14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$274 million, or $1.04 per diluted share. Fourth quarter 2017 adjustments to net income included the amortization of intangible assets, restructuring and related costs, non-service retirement-related costs, as well as other discrete, unusual or infrequent items as described in our Non-GAAP Financial Measures sections.</w:t>
      </w:r>
    </w:p>
    <w:p>
      <w:pPr>
        <w:spacing w:after="0" w:line="16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Fourth quarter 2016 net income from continuing operations attributable to Xerox was $ 185 million, or $0.70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$264 million, or $1.00 per diluted share. Fourth quarter 2016 adjustments to net income include the amortization of intangible assets, restructuring and related costs, and non-service retirement-related costs.</w:t>
      </w:r>
    </w:p>
    <w:p>
      <w:pPr>
        <w:spacing w:after="0" w:line="16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See the "Non-GAAP Financial Measures" section for the fourth quarter adjustments to net income and the calculation of adjusted EPS. The calculations of basic and diluted earnings per share are included as Appendix I.</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863" w:right="31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006EBF"/>
        </w:rPr>
        <w:t>Discontinued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Business Process Outsourcing (BPO):</w:t>
      </w:r>
    </w:p>
    <w:p>
      <w:pPr>
        <w:spacing w:after="0" w:line="18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As previously discussed, on December 31, 2016, Xerox completed the Separation of its BPO business through the Distribution of all of the issued and outstanding stock of Conduent to Xerox Corporation stockholders. As a result of the Separation and Distribution, the financial position and results of operations of the BPO Business are presented as discontinued operations and, as such, have been excluded from continuing operations for all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2017 Income from discontinued operations, reflected a change in the tax estimate.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our Discontinued Operations is as follows:</w:t>
      </w:r>
    </w:p>
    <w:p>
      <w:pPr>
        <w:spacing w:after="0" w:line="177"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2016</w:t>
            </w:r>
          </w:p>
        </w:tc>
      </w:tr>
      <w:tr>
        <w:trPr>
          <w:trHeight w:val="25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r>
      <w:tr>
        <w:trPr>
          <w:trHeight w:val="283"/>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services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1,387</w:t>
            </w:r>
          </w:p>
        </w:tc>
      </w:tr>
      <w:tr>
        <w:trPr>
          <w:trHeight w:val="270"/>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expenses</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1,345</w:t>
            </w:r>
          </w:p>
        </w:tc>
      </w:tr>
      <w:tr>
        <w:trPr>
          <w:trHeight w:val="24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2,732</w:t>
            </w:r>
          </w:p>
        </w:tc>
      </w:tr>
      <w:tr>
        <w:trPr>
          <w:trHeight w:val="283"/>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loss before income taxes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Income tax benefit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w:t>
            </w:r>
          </w:p>
        </w:tc>
      </w:tr>
      <w:tr>
        <w:trPr>
          <w:trHeight w:val="243"/>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discontinued operations, net of tax</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ind w:right="380" w:firstLine="8"/>
        <w:spacing w:after="0" w:line="234" w:lineRule="auto"/>
        <w:tabs>
          <w:tab w:leader="none" w:pos="150" w:val="left"/>
        </w:tabs>
        <w:numPr>
          <w:ilvl w:val="0"/>
          <w:numId w:val="17"/>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2016 includes $84 of Separation related costs and $5 of interest on the $1.0 billion Senior Unsecured Term Facility, which was required to be repaid upon completion of the Separation and therefore was reported within Income (loss) from discontinued operations,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right="280" w:hanging="332"/>
        <w:spacing w:after="0" w:line="211"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Entry installations exclude OEM sales; including OEM sales, Entry color multifunction devices increased 15%, while Entry black-and-white multifunction devices increased 26%.</w:t>
      </w:r>
    </w:p>
    <w:p>
      <w:pPr>
        <w:ind w:left="340" w:right="100" w:hanging="332"/>
        <w:spacing w:after="0" w:line="218"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increased 14%, and High-end color systems decreased 12%.</w:t>
      </w:r>
    </w:p>
    <w:p>
      <w:pPr>
        <w:sectPr>
          <w:pgSz w:w="11900" w:h="16838" w:orient="portrait"/>
          <w:cols w:equalWidth="0" w:num="1">
            <w:col w:w="11420"/>
          </w:cols>
          <w:pgMar w:left="240" w:top="593"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93"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5"/>
          <w:szCs w:val="25"/>
          <w:b w:val="1"/>
          <w:bCs w:val="1"/>
          <w:color w:val="006EBF"/>
        </w:rPr>
        <w:t>Capital Resources and Liquidity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and cash equivalents: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8"/>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25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 of continuing operations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5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r>
      <w:tr>
        <w:trPr>
          <w:trHeight w:val="28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Net cash used in investing activities of discontinued operations</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w:t>
            </w:r>
          </w:p>
        </w:tc>
      </w:tr>
      <w:tr>
        <w:trPr>
          <w:trHeight w:val="250"/>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r>
      <w:tr>
        <w:trPr>
          <w:trHeight w:val="28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r>
      <w:tr>
        <w:trPr>
          <w:trHeight w:val="28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Increase in cash of discontinued operations</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247</w:t>
            </w:r>
          </w:p>
        </w:tc>
      </w:tr>
      <w:tr>
        <w:trPr>
          <w:trHeight w:val="256"/>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9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1,781</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w:t>
            </w:r>
          </w:p>
        </w:tc>
      </w:tr>
      <w:tr>
        <w:trPr>
          <w:trHeight w:val="243"/>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Net cash used in operating activities of continuing operations was $28 million in fourth quarter 2017. The $490 million decrease in operating cash from fourth quarter 2016 was primarily due to the following:</w:t>
      </w:r>
    </w:p>
    <w:p>
      <w:pPr>
        <w:spacing w:after="0" w:line="196" w:lineRule="exact"/>
        <w:rPr>
          <w:sz w:val="20"/>
          <w:szCs w:val="20"/>
          <w:color w:val="auto"/>
        </w:rPr>
      </w:pPr>
    </w:p>
    <w:p>
      <w:pPr>
        <w:ind w:left="340" w:righ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$376 million decrease from accounts receivable primarily as a result of the termination of all accounts receivable sales arrangements in North America and all but one arrangement in Europe during the fourth quarter 2017.</w:t>
      </w:r>
    </w:p>
    <w:p>
      <w:pPr>
        <w:ind w:left="340" w:right="18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$44 million decrease in accounts payable and accrued compensation primarily related to the year-over-year timing of supplier and vendor payments.</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$43 million decrease from higher pension contributions primarily in the U.K.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$31 million decrease from finance receivables primarily related to a higher level of originations from increased equipment sales.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million decrease from higher restructuring payments.</w:t>
      </w:r>
    </w:p>
    <w:p>
      <w:pPr>
        <w:spacing w:after="0" w:line="9"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$43 million increase in dividends received from equity investments other than Fuji Xerox representing the accumulation of earnings over multiple years.</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$38 million increase due to higher net tax payments in prior year partially attributable to our tax sharing arrangement with Conduent.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Net cash provided by investing activities of continuing operations was $85 million in fourth quarter 2017. The increase in cash was primarily due to the receipt of the final payment of $ 127 million on the performance-based instrument associated with our 1997 sale of The Resolution Group (TRG), included in Other investing,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used in financing activities was $ 555 million in fourth quarter 2017. The $ 1,352 million decrease in cash from fourth quarter 2016 was primarily due from net debt activity. Fourth quarter 2017 reflects payments of $488 million on Senior Notes, which includes a prepayment premium of $13 million, compared to prior year net proceeds of $889 million from debt incurred in connection with the Separation.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2"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006EBF"/>
        </w:rPr>
        <w:t>Debt and Customer Financing Activities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6,349</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22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Fair value adjustments</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terminated swaps</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current swaps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Notes Payable of $6 million and $4 million as of December 31, 2017 and December 31, 2016, respectively.</w:t>
      </w:r>
    </w:p>
    <w:p>
      <w:pPr>
        <w:ind w:left="340" w:right="160" w:hanging="332"/>
        <w:spacing w:after="0" w:line="225" w:lineRule="auto"/>
        <w:tabs>
          <w:tab w:leader="none" w:pos="34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Senior Notes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2017, we issued $ 1.0 billion of 3.625% Senior Notes due March 2023 (the "2023 Senior Notes") resulting in aggregate net proceeds of approximately $992 million. Interest on these Senior Notes is payable semi-annually. Debt issuance costs of approximately $8 million were paid and deferred in connection with the issuance of these Senior Notes and will be amortized over the term of the Senior Notes. The proceeds were used for general corporate purposes, which included a $500 million voluntary cash contribution to our U.S. defined benefit pension plans as well as the early redemption of $ 475 million of the remaining $740 million 6.35% Senior Notes due May 2018. The redemption was completed in October 2017, and we recorded a related net loss of $7 million in fourth quarter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Separation Debt Activity</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Separation, Conduent made a cash distribution of approximately $1.8 billion to Xerox in fourth quarter 2016. Xerox used a portion of the cash distribution proceeds to repay its $1.0 billion Senior Unsecured Term Facility in January 2017, which was required to be repaid upon completion of the Separation. This $1.0 billion of cash and debt was excluded from the Cash and cash equivalents and Total Debt at December 31, 2016, respectively, and was reported in Current Assets and Current Liabilities of discontinued operations at December 31, 2016, respectively. Interest expense associated with this borrowing incurred during 2016 was included in Income (loss) from discontinued operations, net of tax. Xerox used the balance of the proceeds received as well as cash on hand to repay its $500 million 6.75% Senior Notes and $500 million 2.95% Senior Notes that came due in first quarter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4,219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700" w:hanging="332"/>
        <w:spacing w:after="0" w:line="220"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40" w:hanging="332"/>
        <w:spacing w:after="0" w:line="199"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2016 includes an increase of $198 million due to currency.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63" w:right="239" w:bottom="1440" w:gutter="0" w:footer="0" w:header="0"/>
        </w:sectPr>
      </w:pPr>
    </w:p>
    <w:bookmarkStart w:id="28" w:name="page29"/>
    <w:bookmarkEnd w:id="28"/>
    <w:p>
      <w:pPr>
        <w:ind w:right="120"/>
        <w:spacing w:after="0" w:line="256"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debt</w:t>
            </w: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Core debt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Accounts receivable sales arrangements are utilized in the normal course of business as part of our cash and liquidity management. Prior to fourth quarter 2017, we had facilities in the U.S., Canada and several countries in Europe that enabled us to sell certain accounts receivable, without recourse, to third-parties. The accounts receivable sold were generally short-term trade receivables with payment due dates of less than 60 days. In connection with the efforts of our Strategic Transformation program to reduce costs and simplify our business processes, during the fourth quarter 2017 we terminated all accounts receivable sales arrangements in North America and all but one arrangement in Europe, which resulted in a one-time reduction of our operating cash flows. The remaining accounts receivable sales facility in Europe enables us to sell receivables associated with our distributor network on an ongoing basis without recourse. Under this arrangement, we sell our entire interest in the related accounts receivable for cash and no portion of the payment is held back or deferred by the purchaser.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77"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2016</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sales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proceeds</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Loss on sales of accounts receivable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7"/>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Estimated (decrease) increase to operating cash flows</w:t>
            </w:r>
            <w:r>
              <w:rPr>
                <w:rFonts w:ascii="Arial" w:cs="Arial" w:eastAsia="Arial" w:hAnsi="Arial"/>
                <w:sz w:val="17"/>
                <w:szCs w:val="17"/>
                <w:color w:val="auto"/>
                <w:vertAlign w:val="superscript"/>
              </w:rPr>
              <w:t>(1),(2)</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130"/>
        </w:trPr>
        <w:tc>
          <w:tcPr>
            <w:tcW w:w="8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107" w:lineRule="exact"/>
        <w:rPr>
          <w:sz w:val="20"/>
          <w:szCs w:val="20"/>
          <w:color w:val="auto"/>
        </w:rPr>
      </w:pPr>
    </w:p>
    <w:p>
      <w:pPr>
        <w:ind w:left="340" w:right="360" w:hanging="332"/>
        <w:spacing w:after="0" w:line="220"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the deferred proceeds, collections prior to the end of the quarter and currency.</w:t>
      </w:r>
    </w:p>
    <w:p>
      <w:pPr>
        <w:ind w:left="340" w:right="360" w:hanging="332"/>
        <w:spacing w:after="0" w:line="218"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an estimated decrease of approximately $350 million associated with the termination of certain accounts receivable sales programs and the lack of new sales of accounts receivable in the fourth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25"/>
          <w:szCs w:val="25"/>
          <w:b w:val="1"/>
          <w:bCs w:val="1"/>
          <w:color w:val="006EBF"/>
        </w:rPr>
        <w:t>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Additional Information and Where to Find It</w:t>
      </w:r>
    </w:p>
    <w:p>
      <w:pPr>
        <w:spacing w:after="0" w:line="18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This release may be deemed to be solicitation material in respect of the transactions with FUJIFILM Holdings Corporation (“Fujifilm") described herein (the “Transactions”) and/or the matters to be considered at the Company’s 2018 Annual Meeting of Shareholders. In connection with the Transactions and the 2018 Annual Meeting, Xerox plans to file with the Securities and Exchange Commission (“SEC”) and furnish to Xerox’s shareholders one or more proxy statements and other relevant documents. BEFORE MAKING ANY VOTING DECISION, XEROX’S SHAREHOLDERS ARE URGED TO READ THE PROXY STATEMENT(S) IN THEIR ENTIRETY WHEN THEY BECOME AVAILABLE AND ANY OTHER DOCUMENTS TO BE FILED WITH THE SEC IN CONNECTION WITH THE TRANSACTIONS AND/OR THE COMPANY’S 2018 ANNUAL MEETING OR INCORPORATED BY REFERENCE IN THE PROXY STATEMENTS BECAUSE THEY WILL CONTAIN IMPORTANT INFORMATION ABOUT THE TRANSACTIONS AND/OR THE COMPANY’S 2018 ANNUAL MEETING AND THE PARTIES RELATED THERETO. Xerox’s shareholders will be able to obtain a free copy of documents filed with the SEC at the SEC’s website at </w:t>
      </w:r>
      <w:r>
        <w:rPr>
          <w:rFonts w:ascii="Arial" w:cs="Arial" w:eastAsia="Arial" w:hAnsi="Arial"/>
          <w:sz w:val="18"/>
          <w:szCs w:val="18"/>
          <w:u w:val="single" w:color="auto"/>
          <w:color w:val="0000FF"/>
        </w:rPr>
        <w:t>http://www.sec.gov</w:t>
      </w:r>
      <w:r>
        <w:rPr>
          <w:rFonts w:ascii="Arial" w:cs="Arial" w:eastAsia="Arial" w:hAnsi="Arial"/>
          <w:sz w:val="18"/>
          <w:szCs w:val="18"/>
          <w:color w:val="auto"/>
        </w:rPr>
        <w:t xml:space="preserve">. In addition, Xerox’s shareholders may obtain a free copy of Xerox’s filings with the SEC from Xerox’s website at </w:t>
      </w:r>
      <w:r>
        <w:rPr>
          <w:rFonts w:ascii="Arial" w:cs="Arial" w:eastAsia="Arial" w:hAnsi="Arial"/>
          <w:sz w:val="18"/>
          <w:szCs w:val="18"/>
          <w:u w:val="single" w:color="auto"/>
          <w:color w:val="0000FF"/>
        </w:rPr>
        <w:t>http://www.xerox.com</w:t>
      </w:r>
      <w:r>
        <w:rPr>
          <w:rFonts w:ascii="Arial" w:cs="Arial" w:eastAsia="Arial" w:hAnsi="Arial"/>
          <w:sz w:val="18"/>
          <w:szCs w:val="18"/>
          <w:color w:val="auto"/>
        </w:rPr>
        <w:t xml:space="preserve"> under the heading “Investor Relations” and then under the heading “SEC Filings.”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Participants in the Solicitation</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directors, executive officers and certain other members of management and employees of Xerox may be deemed “participants” in the solicitation of proxies from shareholders of Xerox in favor of the Transactions or in connection with the matters to be considered at the Company’s 2018 Annual Meeting. Information regarding the persons who may, under the rules of the SEC, be considered participants in the solicitation of the shareholders of Xerox in connection with the Transactions or the Company’s 2018 Annual Meeting will be set forth in the applicable proxy statement and other relevant documents to be filed with the SEC. You can find information about Xerox’s executive officers and directors in Xerox’s Annual Report on Form 10-K for the fiscal year ended December 31, 2016, Xerox’s and such persons’ other filings with the SEC and in Xerox’s definitive proxy statement filed with the SEC on Schedule 14A.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Cautionary Statement Regarding Forward-Looking Statements</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risk that we do not realize all of the expected strategic and financial benefits from the separation and spin-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2" w:right="239" w:bottom="1440" w:gutter="0" w:footer="0" w:header="0"/>
        </w:sectPr>
      </w:pPr>
    </w:p>
    <w:bookmarkStart w:id="30" w:name="page31"/>
    <w:bookmarkEnd w:id="30"/>
    <w:p>
      <w:pPr>
        <w:ind w:right="20"/>
        <w:spacing w:after="0" w:line="251" w:lineRule="auto"/>
        <w:rPr>
          <w:sz w:val="20"/>
          <w:szCs w:val="20"/>
          <w:color w:val="auto"/>
        </w:rPr>
      </w:pPr>
      <w:r>
        <w:rPr>
          <w:rFonts w:ascii="Arial" w:cs="Arial" w:eastAsia="Arial" w:hAnsi="Arial"/>
          <w:sz w:val="18"/>
          <w:szCs w:val="18"/>
          <w:color w:val="auto"/>
        </w:rPr>
        <w:t>off of our Business Process Outsourcing business; the effects on our business resulting from actions of activist shareholders; and other factors that are set forth in the “Risk Factors” section, the “Legal Proceedings” section, the “Management’s Discussion and Analysis of Financial Condition and Results of Operations” section and other sections of our Quarterly Reports on Form 10-Q for the quarters ended March 31, 2017, June 30, 2017 and September 30, 2017 and our 2016 Annual Report on Form 10-K, as well as our Current Reports on Form 8-K filed with the SEC. Furthermore, the actual results of the Transactions could vary materially as a result of a number of factors, including, but not limited to: (i) the risk that the transactions may not be completed in a timely manner or at all, which may adversely affect Xerox’s business and the price of Xerox’s common stock, (ii) the failure to satisfy the conditions to the consummation of the transactions, including the receipt of certain approvals from Xerox’s shareholders and certain governmental and regulatory approvals, (iii) the parties may be unable to achieve expected synergies and operating efficiencies in the transactions within the expected time frames or at all, (iv) the transactions may not result in the accretion to Xerox’s earnings or other benefits, (v) the occurrence of any event, change or other circumstance that could give rise to the termination of the transaction agreements, (vi) the effect of the announcement or pendency of the transactions on Xerox’s and/or Fujifilm business relationships, operating results, and business generally, risks related to the proposed transactions disrupting Xerox’s current plans and operations and potential difficulties in Xerox’s employee retention as a result of the transactions, (vii) risks related to diverting management's attention from Xerox’s ongoing business operations, (viii) the outcome of any legal proceedings that may be instituted against Xerox, its officers or directors related to the transaction agreements or the transactions and (ix) the possibility that competing offers or acquisition proposals for Xerox will be made. Xerox assumes no obligation to update any forward-looking statements as a result of new information or future events or developments, except as required by law.</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Fuji Xerox Co., Ltd. (“Fuji Xerox”) is a joint venture between Xerox Corporation and Fujifilm in which Xerox holds a noncontrolling 25% equity interest and Fujifilm holds the remaining equity interest. In April 2017, Fujifilm formed an independent investigation committee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$ 360 million) primarily related to misstatements at Fuji Xerox’s New Zealand and Australian subsidiaries. We determined that our share of the total adjustments identified as part of the investigation was approximately $90 million and impacted our fiscal years 2009 through 2017. We concluded that we should revise our previously issued annual and interim consolidated financial statements for 2014, 2015 and 2016 and the first quarter of 2017 the next time they are filed. Our review of this matter has been completed. However, Fujifilm and Fuji Xerox continue to review Fujifilm’s oversight and governance of Fuji Xerox as well as Fuji Xerox’s oversight and governance over its businesses in light of the findings of the IIC. At this time, we can provide no assurances relative to the outcome of any potential governmental investigations or any consequences thereof that may happen as a result of this matter.</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773" w:right="31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006EBF"/>
        </w:rPr>
        <w:t>Non-GAAP Financial Measures</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4"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A reconciliation of these non-GAAP financial measures to the most directly comparable financial measures calculated and presented in accordance with GAAP are set forth below as well as in the fourth quarter 2017 presentation slides available at </w:t>
      </w:r>
      <w:r>
        <w:rPr>
          <w:rFonts w:ascii="Arial" w:cs="Arial" w:eastAsia="Arial" w:hAnsi="Arial"/>
          <w:sz w:val="17"/>
          <w:szCs w:val="17"/>
          <w:u w:val="single" w:color="auto"/>
          <w:color w:val="auto"/>
        </w:rPr>
        <w:t>www.xerox.com/investor</w:t>
      </w:r>
      <w:r>
        <w:rPr>
          <w:rFonts w:ascii="Arial" w:cs="Arial" w:eastAsia="Arial" w:hAnsi="Arial"/>
          <w:sz w:val="17"/>
          <w:szCs w:val="17"/>
          <w:color w:val="auto"/>
        </w:rPr>
        <w:t>.</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RD&amp;E and SAG (adjusted for non-service retirement-related costs and transaction/proxy related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207" w:lineRule="exact"/>
        <w:rPr>
          <w:sz w:val="20"/>
          <w:szCs w:val="20"/>
          <w:color w:val="auto"/>
        </w:rPr>
      </w:pPr>
    </w:p>
    <w:p>
      <w:pPr>
        <w:jc w:val="both"/>
        <w:ind w:left="340" w:right="22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2"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Strategic Transformation program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Strategic Transformation program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5" w:lineRule="exact"/>
        <w:rPr>
          <w:rFonts w:ascii="Arial" w:cs="Arial" w:eastAsia="Arial" w:hAnsi="Arial"/>
          <w:sz w:val="18"/>
          <w:szCs w:val="18"/>
          <w:color w:val="auto"/>
        </w:rPr>
      </w:pPr>
    </w:p>
    <w:p>
      <w:pPr>
        <w:jc w:val="both"/>
        <w:ind w:left="340" w:right="160" w:hanging="332"/>
        <w:spacing w:after="0" w:line="26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Non-service retirement-related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Our defined benefit pension and retiree health costs include several elements impacted by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plan assets and obligations that are primarily driven by changes in the debt and equity markets as well as those that are predominantly legacy in nature and related to employees who are no longer providing current service to the company (e.g. retirees and ex-employees).</w:t>
      </w:r>
    </w:p>
    <w:p>
      <w:pPr>
        <w:ind w:left="340" w:right="20"/>
        <w:spacing w:after="0" w:line="250" w:lineRule="auto"/>
        <w:rPr>
          <w:rFonts w:ascii="Arial" w:cs="Arial" w:eastAsia="Arial" w:hAnsi="Arial"/>
          <w:sz w:val="17"/>
          <w:szCs w:val="17"/>
          <w:color w:val="auto"/>
        </w:rPr>
      </w:pPr>
      <w:r>
        <w:rPr>
          <w:rFonts w:ascii="Arial" w:cs="Arial" w:eastAsia="Arial" w:hAnsi="Arial"/>
          <w:sz w:val="18"/>
          <w:szCs w:val="18"/>
          <w:color w:val="auto"/>
        </w:rPr>
        <w:t>These elements include (i) interest cost, (ii) expected return on plan assets, (iii) amortized actuarial gains/losses and (iv) the impacts of any plan settlements/curtailments. Accordingly, we consider these elements of our periodic retirement plan costs to be outside the operational performance of the business or legacy costs and not necessarily indicative of current or future cash flow requirements. Adjusted earnings will continue to include the elements of our retirement costs related to current employee service (service cost and amortization of prior service cost) as well as the cost of our defined contribution plans.</w:t>
      </w:r>
    </w:p>
    <w:p>
      <w:pPr>
        <w:spacing w:after="0" w:line="2" w:lineRule="exact"/>
        <w:rPr>
          <w:rFonts w:ascii="Arial" w:cs="Arial" w:eastAsia="Arial" w:hAnsi="Arial"/>
          <w:sz w:val="17"/>
          <w:szCs w:val="17"/>
          <w:color w:val="auto"/>
        </w:rPr>
      </w:pPr>
    </w:p>
    <w:p>
      <w:pPr>
        <w:ind w:left="340" w:right="380" w:hanging="332"/>
        <w:spacing w:after="0" w:line="250" w:lineRule="auto"/>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we also excluded the following items given their discrete, unusual or infrequent</w:t>
      </w:r>
      <w:r>
        <w:rPr>
          <w:rFonts w:ascii="Arial" w:cs="Arial" w:eastAsia="Arial" w:hAnsi="Arial"/>
          <w:sz w:val="18"/>
          <w:szCs w:val="18"/>
          <w:i w:val="1"/>
          <w:iCs w:val="1"/>
          <w:color w:val="auto"/>
        </w:rPr>
        <w:t xml:space="preserve"> </w:t>
      </w:r>
      <w:r>
        <w:rPr>
          <w:rFonts w:ascii="Arial" w:cs="Arial" w:eastAsia="Arial" w:hAnsi="Arial"/>
          <w:sz w:val="18"/>
          <w:szCs w:val="18"/>
          <w:color w:val="auto"/>
        </w:rPr>
        <w:t>nature and their impact on our results for the period:</w:t>
      </w: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Losses on early extinguishment of debt in the first and fourth quarter of 2017</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benefit from the remeasurement of a tax matter in the first quarter of 2017 that related to a previously adjusted item</w:t>
      </w:r>
    </w:p>
    <w:p>
      <w:pPr>
        <w:spacing w:after="0" w:line="9" w:lineRule="exact"/>
        <w:rPr>
          <w:rFonts w:ascii="Arial" w:cs="Arial" w:eastAsia="Arial" w:hAnsi="Arial"/>
          <w:sz w:val="18"/>
          <w:szCs w:val="18"/>
          <w:color w:val="auto"/>
        </w:rPr>
      </w:pPr>
    </w:p>
    <w:p>
      <w:pPr>
        <w:ind w:left="980" w:right="20" w:hanging="324"/>
        <w:spacing w:after="0" w:line="291"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Costs incurred in the fourth quarter of 2017 related to the recently announced transaction with Fujifilm as well as to our expected proxy contest. These costs are primarily for third-party investment banking, legal, accounting, consulting and other similar services.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65" w:right="259" w:bottom="1440" w:gutter="0" w:footer="0" w:header="0"/>
        </w:sectPr>
      </w:pPr>
    </w:p>
    <w:bookmarkStart w:id="32" w:name="page33"/>
    <w:bookmarkEnd w:id="32"/>
    <w:p>
      <w:pPr>
        <w:ind w:left="980" w:right="200" w:hanging="324"/>
        <w:spacing w:after="0" w:line="26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estimated non-cash charge in the fourth quarter 2017 reflecting the impact associated with the enactment of the Tax Cuts and Jobs Act (the "Tax Act") in December 2017. See the “Income Taxes” section for further explanation.</w:t>
      </w:r>
    </w:p>
    <w:p>
      <w:pPr>
        <w:spacing w:after="0" w:line="19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calculate and utilize adjusted operating income and margin measures by adjusting our reported pre-tax income and margin amounts. In addition to the costs and expenses noted as adjustments for our Adjusted Earnings measures, adjusted operating income and margin also exclude Other expenses, net. Other expenses, net is primarily comprised of non-financing interest expense and also includes certain other non-operating costs and expenses. We exclude these amounts in order to evaluate our current and past operating performance and to better understand the expected future trends in our business. Adjusted Operating income and margin also include Equity in net income of unconsolidated affiliates. Equity in net income of unconsolidated affiliates primarily reflects our 25% share of Fuji Xerox net income. We include this amount in our measure of operating income and margin as Fuji Xerox is our primary intermediary to the Asia/Pacific market for distribution of Xerox branded products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the local country currency. The constant currency impact for signings growth is calculated on the basis of plan currency rates. Management believes the constant currency measure provides investors an additional perspective on revenue trends. Currency impact can be determined as the difference between actual growth rates and constant currency growth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better understand trends in our business, we believe that it is helpful to subtract amounts for capital expenditures (inclusive of internal use software) from cash flows from continuing operations.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88"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1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Net Income and EPS reconciliation: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80" w:type="dxa"/>
            <w:vAlign w:val="bottom"/>
            <w:gridSpan w:val="9"/>
          </w:tcPr>
          <w:p>
            <w:pPr>
              <w:jc w:val="right"/>
              <w:ind w:right="88"/>
              <w:spacing w:after="0"/>
              <w:rPr>
                <w:sz w:val="20"/>
                <w:szCs w:val="20"/>
                <w:color w:val="auto"/>
              </w:rPr>
            </w:pPr>
            <w:r>
              <w:rPr>
                <w:rFonts w:ascii="Arial" w:cs="Arial" w:eastAsia="Arial" w:hAnsi="Arial"/>
                <w:sz w:val="14"/>
                <w:szCs w:val="14"/>
                <w:color w:val="auto"/>
              </w:rPr>
              <w:t>Three Months Ended 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4"/>
                <w:szCs w:val="14"/>
                <w:color w:val="auto"/>
              </w:rPr>
              <w:t>Year Ended December 31,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76"/>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2017</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2016</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2016</w:t>
            </w:r>
          </w:p>
        </w:tc>
        <w:tc>
          <w:tcPr>
            <w:tcW w:w="680" w:type="dxa"/>
            <w:vAlign w:val="bottom"/>
            <w:tcBorders>
              <w:bottom w:val="single" w:sz="8" w:color="auto"/>
            </w:tcBorders>
          </w:tcPr>
          <w:p>
            <w:pPr>
              <w:spacing w:after="0"/>
              <w:rPr>
                <w:sz w:val="24"/>
                <w:szCs w:val="24"/>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EPS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EPS</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EPS</w:t>
            </w:r>
          </w:p>
        </w:tc>
      </w:tr>
      <w:tr>
        <w:trPr>
          <w:trHeight w:val="2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Non-service retirement-related costs</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and proxy related costs</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7"/>
                <w:szCs w:val="17"/>
                <w:color w:val="auto"/>
                <w:vertAlign w:val="superscript"/>
              </w:rPr>
              <w:t>(2)</w:t>
            </w: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Tax Act</w:t>
            </w: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Remeasurement of unrecognized tax positions</w:t>
            </w:r>
          </w:p>
        </w:tc>
        <w:tc>
          <w:tcPr>
            <w:tcW w:w="30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(3)</w:t>
            </w:r>
          </w:p>
        </w:tc>
        <w:tc>
          <w:tcPr>
            <w:tcW w:w="3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r>
      <w:tr>
        <w:trPr>
          <w:trHeight w:val="277"/>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3.53</w:t>
            </w:r>
          </w:p>
        </w:tc>
      </w:tr>
      <w:tr>
        <w:trPr>
          <w:trHeight w:val="142"/>
        </w:trPr>
        <w:tc>
          <w:tcPr>
            <w:tcW w:w="334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Dividends on preferred stock used in adjusted</w:t>
            </w: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r>
      <w:tr>
        <w:trPr>
          <w:trHeight w:val="189"/>
        </w:trPr>
        <w:tc>
          <w:tcPr>
            <w:tcW w:w="33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4"/>
                <w:szCs w:val="14"/>
                <w:color w:val="auto"/>
              </w:rPr>
              <w:t>EPS calculation</w:t>
            </w:r>
            <w:r>
              <w:rPr>
                <w:rFonts w:ascii="Arial" w:cs="Arial" w:eastAsia="Arial" w:hAnsi="Arial"/>
                <w:sz w:val="17"/>
                <w:szCs w:val="17"/>
                <w:color w:val="auto"/>
                <w:vertAlign w:val="superscript"/>
              </w:rPr>
              <w:t>(4)</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(4)</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256</w:t>
            </w: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7"/>
                <w:szCs w:val="17"/>
                <w:color w:val="auto"/>
                <w:vertAlign w:val="superscript"/>
              </w:rPr>
              <w:t>(5)</w:t>
            </w: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(loss) income and EPS from continuing operations attributable to Xerox.</w:t>
      </w:r>
    </w:p>
    <w:p>
      <w:pPr>
        <w:ind w:left="340" w:hanging="332"/>
        <w:spacing w:after="0" w:line="187"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340" w:hanging="332"/>
        <w:spacing w:after="0" w:line="187"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2017 represent audit and other fees associated with the independent investigation of Fuji Xerox's accounting practices.</w:t>
      </w:r>
    </w:p>
    <w:p>
      <w:pPr>
        <w:ind w:left="340" w:right="280" w:hanging="332"/>
        <w:spacing w:after="0" w:line="211"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 those periods that exclude the preferred stock dividend, the average shares for the calculations of diluted EPS include 7 million shares associated with our Series A or Series B convertible preferred stock, as applicable.</w:t>
      </w:r>
    </w:p>
    <w:p>
      <w:pPr>
        <w:ind w:left="340" w:right="340" w:hanging="332"/>
        <w:spacing w:after="0" w:line="218"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December 31, 2017 as well as shares associated with our Series B convertible preferred stock plus potential dilutive common shares as used for the calculation of diluted earnings per share for the fourth quarter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8"/>
          </w:tcPr>
          <w:p>
            <w:pPr>
              <w:jc w:val="center"/>
              <w:ind w:right="4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December 31, 2017</w:t>
            </w: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rPr>
              <w:t>December 31, 2016</w:t>
            </w: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color w:val="auto"/>
              </w:rPr>
              <w:t>Income Tax</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color w:val="auto"/>
              </w:rPr>
              <w:t>Effective Tax</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5"/>
          </w:tcPr>
          <w:p>
            <w:pPr>
              <w:jc w:val="center"/>
              <w:ind w:right="320"/>
              <w:spacing w:after="0"/>
              <w:rPr>
                <w:sz w:val="20"/>
                <w:szCs w:val="20"/>
                <w:color w:val="auto"/>
              </w:rPr>
            </w:pPr>
            <w:r>
              <w:rPr>
                <w:rFonts w:ascii="Arial" w:cs="Arial" w:eastAsia="Arial" w:hAnsi="Arial"/>
                <w:sz w:val="14"/>
                <w:szCs w:val="14"/>
                <w:color w:val="auto"/>
              </w:rPr>
              <w:t>Income Tax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millions)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Rate</w:t>
            </w:r>
          </w:p>
        </w:tc>
        <w:tc>
          <w:tcPr>
            <w:tcW w:w="10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Income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3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US Tax Act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3"/>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color w:val="auto"/>
              </w:rPr>
              <w:t>Year Ended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5"/>
          </w:tcPr>
          <w:p>
            <w:pPr>
              <w:jc w:val="center"/>
              <w:ind w:right="320"/>
              <w:spacing w:after="0"/>
              <w:rPr>
                <w:sz w:val="20"/>
                <w:szCs w:val="20"/>
                <w:color w:val="auto"/>
              </w:rPr>
            </w:pPr>
            <w:r>
              <w:rPr>
                <w:rFonts w:ascii="Arial" w:cs="Arial" w:eastAsia="Arial" w:hAnsi="Arial"/>
                <w:sz w:val="14"/>
                <w:szCs w:val="14"/>
                <w:color w:val="auto"/>
              </w:rPr>
              <w:t>Year Ended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rPr>
              <w:t>December 31, 2017</w:t>
            </w: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color w:val="auto"/>
              </w:rPr>
              <w:t>December 31, 2016</w:t>
            </w: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color w:val="auto"/>
                <w:w w:val="98"/>
              </w:rPr>
              <w:t>Income Tax</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color w:val="auto"/>
                <w:w w:val="98"/>
              </w:rPr>
              <w:t>Effective Tax</w:t>
            </w: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5"/>
          </w:tcPr>
          <w:p>
            <w:pPr>
              <w:jc w:val="center"/>
              <w:ind w:right="360"/>
              <w:spacing w:after="0"/>
              <w:rPr>
                <w:sz w:val="20"/>
                <w:szCs w:val="20"/>
                <w:color w:val="auto"/>
              </w:rPr>
            </w:pPr>
            <w:r>
              <w:rPr>
                <w:rFonts w:ascii="Arial" w:cs="Arial" w:eastAsia="Arial" w:hAnsi="Arial"/>
                <w:sz w:val="14"/>
                <w:szCs w:val="14"/>
                <w:color w:val="auto"/>
              </w:rPr>
              <w:t>Income Tax</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Rate</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Income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gridSpan w:val="2"/>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3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Tax Act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5"/>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Remeasurement of unrecognized tax positions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4"/>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9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Income Tax Expense from continuing operations.</w:t>
      </w:r>
    </w:p>
    <w:p>
      <w:pPr>
        <w:ind w:left="340" w:hanging="332"/>
        <w:spacing w:after="0" w:line="187"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Net Income and EPS reconciliation for details.</w:t>
      </w:r>
    </w:p>
    <w:p>
      <w:pPr>
        <w:ind w:left="340" w:right="100" w:hanging="332"/>
        <w:spacing w:after="0" w:line="218"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tax impact on Adjusted Pre-Tax Income from continuing operations is calculated under the same accounting principles applied to the As Reported Pre-Tax Income under ASC 740, which employs an annual effective tax rate method to the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11"/>
          </w:tcPr>
          <w:p>
            <w:pPr>
              <w:jc w:val="center"/>
              <w:ind w:left="468"/>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9"/>
          </w:tcPr>
          <w:p>
            <w:pPr>
              <w:jc w:val="center"/>
              <w:ind w:right="60"/>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4"/>
                <w:szCs w:val="14"/>
                <w:color w:val="auto"/>
              </w:rPr>
              <w:t>December 31, 2017</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color w:val="auto"/>
              </w:rPr>
              <w:t>December 31, 2016</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Profit</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Revenue</w:t>
            </w:r>
          </w:p>
        </w:tc>
        <w:tc>
          <w:tcPr>
            <w:tcW w:w="10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Profit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Revenue</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3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color w:val="auto"/>
              </w:rPr>
              <w:t>Amortization of intangible assets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Non-service retirement-related costs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4"/>
          </w:tcPr>
          <w:p>
            <w:pPr>
              <w:ind w:left="40"/>
              <w:spacing w:after="0"/>
              <w:rPr>
                <w:sz w:val="20"/>
                <w:szCs w:val="20"/>
                <w:color w:val="auto"/>
              </w:rPr>
            </w:pPr>
            <w:r>
              <w:rPr>
                <w:rFonts w:ascii="Arial" w:cs="Arial" w:eastAsia="Arial" w:hAnsi="Arial"/>
                <w:sz w:val="14"/>
                <w:szCs w:val="14"/>
                <w:color w:val="auto"/>
              </w:rPr>
              <w:t>Transaction and proxy related costs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expenses, net</w:t>
            </w: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60" w:type="dxa"/>
            <w:vAlign w:val="bottom"/>
            <w:gridSpan w:val="4"/>
          </w:tcPr>
          <w:p>
            <w:pPr>
              <w:ind w:left="40"/>
              <w:spacing w:after="0"/>
              <w:rPr>
                <w:sz w:val="20"/>
                <w:szCs w:val="20"/>
                <w:color w:val="auto"/>
              </w:rPr>
            </w:pPr>
            <w:r>
              <w:rPr>
                <w:rFonts w:ascii="Arial" w:cs="Arial" w:eastAsia="Arial" w:hAnsi="Arial"/>
                <w:sz w:val="14"/>
                <w:szCs w:val="14"/>
                <w:b w:val="1"/>
                <w:bCs w:val="1"/>
                <w:color w:val="auto"/>
              </w:rPr>
              <w:t>Adjusted</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6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6"/>
          </w:tcPr>
          <w:p>
            <w:pPr>
              <w:jc w:val="center"/>
              <w:ind w:right="280"/>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jc w:val="center"/>
              <w:ind w:right="280"/>
              <w:spacing w:after="0"/>
              <w:rPr>
                <w:sz w:val="20"/>
                <w:szCs w:val="20"/>
                <w:color w:val="auto"/>
              </w:rPr>
            </w:pPr>
            <w:r>
              <w:rPr>
                <w:rFonts w:ascii="Arial" w:cs="Arial" w:eastAsia="Arial" w:hAnsi="Arial"/>
                <w:sz w:val="14"/>
                <w:szCs w:val="14"/>
                <w:color w:val="auto"/>
              </w:rPr>
              <w:t>Year Ended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color w:val="auto"/>
              </w:rPr>
              <w:t>December 31, 2017</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color w:val="auto"/>
              </w:rPr>
              <w:t>December 31, 2016</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 millions)</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Profit</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Margin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Profit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3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and related costs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color w:val="auto"/>
              </w:rPr>
              <w:t>Amortization of intangible assets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Non-service retirement-related costs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color w:val="auto"/>
              </w:rPr>
              <w:t>Transaction and proxy related costs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expenses, net</w:t>
            </w: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1,316</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10,265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1,351</w:t>
            </w:r>
          </w:p>
        </w:tc>
        <w:tc>
          <w:tcPr>
            <w:tcW w:w="3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10,771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 from continuing operations.</w:t>
      </w:r>
    </w:p>
    <w:p>
      <w:pPr>
        <w:ind w:left="340" w:hanging="332"/>
        <w:spacing w:after="0" w:line="199"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fourth quarter 2017 represent audit and other fees associated with the independent investigation of Fuji Xerox's accounting practices.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Financial Ratios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spacing w:after="0"/>
              <w:rPr>
                <w:sz w:val="14"/>
                <w:szCs w:val="14"/>
                <w:color w:val="auto"/>
              </w:rPr>
            </w:pPr>
          </w:p>
        </w:tc>
      </w:tr>
      <w:tr>
        <w:trPr>
          <w:trHeight w:val="178"/>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color w:val="auto"/>
              </w:rPr>
              <w:t>December 31, 2017</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rPr>
              <w:t>December 31, 2016</w:t>
            </w:r>
          </w:p>
        </w:tc>
        <w:tc>
          <w:tcPr>
            <w:tcW w:w="1060" w:type="dxa"/>
            <w:vAlign w:val="bottom"/>
            <w:tcBorders>
              <w:bottom w:val="single" w:sz="8" w:color="auto"/>
            </w:tcBorders>
          </w:tcPr>
          <w:p>
            <w:pPr>
              <w:spacing w:after="0"/>
              <w:rPr>
                <w:sz w:val="15"/>
                <w:szCs w:val="15"/>
                <w:color w:val="auto"/>
              </w:rPr>
            </w:pPr>
          </w:p>
        </w:tc>
      </w:tr>
      <w:tr>
        <w:trPr>
          <w:trHeight w:val="270"/>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As Reported</w:t>
            </w:r>
            <w:r>
              <w:rPr>
                <w:rFonts w:ascii="Arial" w:cs="Arial" w:eastAsia="Arial" w:hAnsi="Arial"/>
                <w:sz w:val="17"/>
                <w:szCs w:val="17"/>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8"/>
              </w:rPr>
              <w:t>Adjustments</w:t>
            </w:r>
            <w:r>
              <w:rPr>
                <w:rFonts w:ascii="Arial" w:cs="Arial" w:eastAsia="Arial" w:hAnsi="Arial"/>
                <w:sz w:val="17"/>
                <w:szCs w:val="17"/>
                <w:color w:val="auto"/>
                <w:w w:val="98"/>
                <w:vertAlign w:val="superscript"/>
              </w:rPr>
              <w:t>(2)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Adjusted</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As Reported</w:t>
            </w:r>
            <w:r>
              <w:rPr>
                <w:rFonts w:ascii="Arial" w:cs="Arial" w:eastAsia="Arial" w:hAnsi="Arial"/>
                <w:sz w:val="17"/>
                <w:szCs w:val="17"/>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8"/>
              </w:rPr>
              <w:t>Adjustments</w:t>
            </w:r>
            <w:r>
              <w:rPr>
                <w:rFonts w:ascii="Arial" w:cs="Arial" w:eastAsia="Arial" w:hAnsi="Arial"/>
                <w:sz w:val="17"/>
                <w:szCs w:val="17"/>
                <w:color w:val="auto"/>
                <w:w w:val="98"/>
                <w:vertAlign w:val="superscript"/>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Adjusted</w:t>
            </w:r>
          </w:p>
        </w:tc>
      </w:tr>
      <w:tr>
        <w:trPr>
          <w:trHeight w:val="25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2,734</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Total Gross Profit</w:t>
            </w: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1,101</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Post sale revenue</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2,080</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Post sale gross profit</w:t>
            </w: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896</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RD&amp;E</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SAG</w:t>
            </w: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631</w:t>
            </w:r>
          </w:p>
        </w:tc>
      </w:tr>
      <w:tr>
        <w:trPr>
          <w:trHeight w:val="290"/>
        </w:trPr>
        <w:tc>
          <w:tcPr>
            <w:tcW w:w="3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Total Gross Margin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Post sale Gross Margin</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 as a % of Revenue</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bl>
    <w:p>
      <w:pPr>
        <w:spacing w:after="0" w:line="200" w:lineRule="exact"/>
        <w:rPr>
          <w:sz w:val="20"/>
          <w:szCs w:val="20"/>
          <w:color w:val="auto"/>
        </w:rPr>
      </w:pPr>
    </w:p>
    <w:p>
      <w:pPr>
        <w:sectPr>
          <w:pgSz w:w="11900" w:h="16838" w:orient="portrait"/>
          <w:cols w:equalWidth="0" w:num="1">
            <w:col w:w="11420"/>
          </w:cols>
          <w:pgMar w:left="240" w:top="755"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55"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color w:val="auto"/>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color w:val="auto"/>
              </w:rPr>
              <w:t>Year Ended</w:t>
            </w:r>
          </w:p>
        </w:tc>
        <w:tc>
          <w:tcPr>
            <w:tcW w:w="1060" w:type="dxa"/>
            <w:vAlign w:val="bottom"/>
          </w:tcPr>
          <w:p>
            <w:pPr>
              <w:spacing w:after="0"/>
              <w:rPr>
                <w:sz w:val="14"/>
                <w:szCs w:val="14"/>
                <w:color w:val="auto"/>
              </w:rPr>
            </w:pPr>
          </w:p>
        </w:tc>
      </w:tr>
      <w:tr>
        <w:trPr>
          <w:trHeight w:val="178"/>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color w:val="auto"/>
              </w:rPr>
              <w:t>December 31, 2017</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December 31, 2016</w:t>
            </w:r>
          </w:p>
        </w:tc>
        <w:tc>
          <w:tcPr>
            <w:tcW w:w="1060" w:type="dxa"/>
            <w:vAlign w:val="bottom"/>
            <w:tcBorders>
              <w:bottom w:val="single" w:sz="8" w:color="auto"/>
            </w:tcBorders>
          </w:tcPr>
          <w:p>
            <w:pPr>
              <w:spacing w:after="0"/>
              <w:rPr>
                <w:sz w:val="15"/>
                <w:szCs w:val="15"/>
                <w:color w:val="auto"/>
              </w:rPr>
            </w:pPr>
          </w:p>
        </w:tc>
      </w:tr>
      <w:tr>
        <w:trPr>
          <w:trHeight w:val="270"/>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As Reported</w:t>
            </w:r>
            <w:r>
              <w:rPr>
                <w:rFonts w:ascii="Arial" w:cs="Arial" w:eastAsia="Arial" w:hAnsi="Arial"/>
                <w:sz w:val="17"/>
                <w:szCs w:val="17"/>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8"/>
              </w:rPr>
              <w:t>Adjustments</w:t>
            </w:r>
            <w:r>
              <w:rPr>
                <w:rFonts w:ascii="Arial" w:cs="Arial" w:eastAsia="Arial" w:hAnsi="Arial"/>
                <w:sz w:val="17"/>
                <w:szCs w:val="17"/>
                <w:color w:val="auto"/>
                <w:w w:val="98"/>
                <w:vertAlign w:val="superscript"/>
              </w:rPr>
              <w:t>(2)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Adjusted</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As Reported</w:t>
            </w:r>
            <w:r>
              <w:rPr>
                <w:rFonts w:ascii="Arial" w:cs="Arial" w:eastAsia="Arial" w:hAnsi="Arial"/>
                <w:sz w:val="17"/>
                <w:szCs w:val="17"/>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8"/>
              </w:rPr>
              <w:t>Adjustments</w:t>
            </w:r>
            <w:r>
              <w:rPr>
                <w:rFonts w:ascii="Arial" w:cs="Arial" w:eastAsia="Arial" w:hAnsi="Arial"/>
                <w:sz w:val="17"/>
                <w:szCs w:val="17"/>
                <w:color w:val="auto"/>
                <w:w w:val="98"/>
                <w:vertAlign w:val="superscript"/>
              </w:rPr>
              <w:t>(2)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Adjusted</w:t>
            </w:r>
          </w:p>
        </w:tc>
      </w:tr>
      <w:tr>
        <w:trPr>
          <w:trHeight w:val="25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10,771</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Total Gross Profit</w:t>
            </w: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4,261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4,310</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Post sale revenue</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8,352</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Post sale gross profit</w:t>
            </w: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3,513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3,562</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RD&amp;E</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451</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SAG</w:t>
            </w: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2,524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2,638</w:t>
            </w:r>
          </w:p>
        </w:tc>
      </w:tr>
      <w:tr>
        <w:trPr>
          <w:trHeight w:val="290"/>
        </w:trPr>
        <w:tc>
          <w:tcPr>
            <w:tcW w:w="3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Total Gross Margin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Post sale Gross Margin</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r>
      <w:tr>
        <w:trPr>
          <w:trHeight w:val="264"/>
        </w:trPr>
        <w:tc>
          <w:tcPr>
            <w:tcW w:w="322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 as a % of Revenue</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81"/>
        </w:trPr>
        <w:tc>
          <w:tcPr>
            <w:tcW w:w="312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Revenue and costs from continuing operations.</w:t>
      </w:r>
    </w:p>
    <w:p>
      <w:pPr>
        <w:spacing w:after="0" w:line="43" w:lineRule="exact"/>
        <w:rPr>
          <w:rFonts w:ascii="Arial" w:cs="Arial" w:eastAsia="Arial" w:hAnsi="Arial"/>
          <w:sz w:val="18"/>
          <w:szCs w:val="18"/>
          <w:i w:val="1"/>
          <w:iCs w:val="1"/>
          <w:color w:val="auto"/>
          <w:vertAlign w:val="superscript"/>
        </w:rPr>
      </w:pPr>
    </w:p>
    <w:p>
      <w:pPr>
        <w:ind w:left="340" w:hanging="332"/>
        <w:spacing w:after="0" w:line="199"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2017 includes adjustments for non-service retirement-related costs and transaction/proxy related costs. 2016 includes adjustments for non-service retirement-related costs.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Cash Flows reconciliation: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December 31, 2017</w:t>
            </w: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Voluntary contribution to U.S. defined benefit pension plans</w:t>
            </w:r>
          </w:p>
        </w:tc>
        <w:tc>
          <w:tcPr>
            <w:tcW w:w="200" w:type="dxa"/>
            <w:vAlign w:val="bottom"/>
          </w:tcPr>
          <w:p>
            <w:pPr>
              <w:spacing w:after="0"/>
              <w:rPr>
                <w:sz w:val="22"/>
                <w:szCs w:val="22"/>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Elimination of certain accounts receivables sales programs</w:t>
            </w:r>
          </w:p>
        </w:tc>
        <w:tc>
          <w:tcPr>
            <w:tcW w:w="20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cash (used in) provided by operating activities of continuing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Guidance: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Earnings per Share</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FY 2018</w:t>
            </w:r>
          </w:p>
        </w:tc>
        <w:tc>
          <w:tcPr>
            <w:tcW w:w="0" w:type="dxa"/>
            <w:vAlign w:val="bottom"/>
          </w:tcPr>
          <w:p>
            <w:pPr>
              <w:spacing w:after="0"/>
              <w:rPr>
                <w:sz w:val="1"/>
                <w:szCs w:val="1"/>
                <w:color w:val="auto"/>
              </w:rPr>
            </w:pPr>
          </w:p>
        </w:tc>
      </w:tr>
      <w:tr>
        <w:trPr>
          <w:trHeight w:val="256"/>
        </w:trPr>
        <w:tc>
          <w:tcPr>
            <w:tcW w:w="94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GAAP EPS from Continuing Operations</w:t>
            </w:r>
          </w:p>
        </w:tc>
        <w:tc>
          <w:tcPr>
            <w:tcW w:w="1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$2.30 - $2.50</w:t>
            </w: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Non-GAAP Adjustments</w:t>
            </w:r>
          </w:p>
        </w:tc>
        <w:tc>
          <w:tcPr>
            <w:tcW w:w="1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43"/>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Adjusted EPS from Continuing Operations</w:t>
            </w:r>
          </w:p>
        </w:tc>
        <w:tc>
          <w:tcPr>
            <w:tcW w:w="1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$3.50 - $3.70</w:t>
            </w:r>
          </w:p>
        </w:tc>
        <w:tc>
          <w:tcPr>
            <w:tcW w:w="0" w:type="dxa"/>
            <w:vAlign w:val="bottom"/>
          </w:tcPr>
          <w:p>
            <w:pPr>
              <w:spacing w:after="0"/>
              <w:rPr>
                <w:sz w:val="1"/>
                <w:szCs w:val="1"/>
                <w:color w:val="auto"/>
              </w:rPr>
            </w:pPr>
          </w:p>
        </w:tc>
      </w:tr>
      <w:tr>
        <w:trPr>
          <w:trHeight w:val="20"/>
        </w:trPr>
        <w:tc>
          <w:tcPr>
            <w:tcW w:w="9360" w:type="dxa"/>
            <w:vAlign w:val="bottom"/>
            <w:vMerge w:val="restart"/>
          </w:tcPr>
          <w:p>
            <w:pPr>
              <w:jc w:val="right"/>
              <w:ind w:right="7593"/>
              <w:spacing w:after="0"/>
              <w:rPr>
                <w:sz w:val="20"/>
                <w:szCs w:val="20"/>
                <w:color w:val="auto"/>
              </w:rPr>
            </w:pPr>
            <w:r>
              <w:rPr>
                <w:rFonts w:ascii="Arial" w:cs="Arial" w:eastAsia="Arial" w:hAnsi="Arial"/>
                <w:sz w:val="11"/>
                <w:szCs w:val="11"/>
                <w:color w:val="auto"/>
                <w:w w:val="98"/>
              </w:rPr>
              <w:t>____________________________</w:t>
            </w: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9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right="460"/>
        <w:spacing w:after="0" w:line="279" w:lineRule="auto"/>
        <w:rPr>
          <w:sz w:val="20"/>
          <w:szCs w:val="20"/>
          <w:color w:val="auto"/>
        </w:rPr>
      </w:pPr>
      <w:r>
        <w:rPr>
          <w:rFonts w:ascii="Arial" w:cs="Arial" w:eastAsia="Arial" w:hAnsi="Arial"/>
          <w:sz w:val="14"/>
          <w:szCs w:val="14"/>
          <w:i w:val="1"/>
          <w:iCs w:val="1"/>
          <w:color w:val="auto"/>
        </w:rPr>
        <w:t>Note: Adjusted EPS guidance excludes amortization of intangible assets, restructuring and related costs and non-service retirement-related costs, as well as other discretely identified adjustments.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Free Cash Flow</w:t>
            </w:r>
          </w:p>
        </w:tc>
      </w:tr>
      <w:tr>
        <w:trPr>
          <w:trHeight w:val="264"/>
        </w:trPr>
        <w:tc>
          <w:tcPr>
            <w:tcW w:w="9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FY 2018</w:t>
            </w:r>
          </w:p>
        </w:tc>
      </w:tr>
      <w:tr>
        <w:trPr>
          <w:trHeight w:val="256"/>
        </w:trPr>
        <w:tc>
          <w:tcPr>
            <w:tcW w:w="94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Cash Flows from Continuing Operations</w:t>
            </w:r>
          </w:p>
        </w:tc>
        <w:tc>
          <w:tcPr>
            <w:tcW w:w="1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$900 - $1,100</w:t>
            </w:r>
          </w:p>
        </w:tc>
      </w:tr>
      <w:tr>
        <w:trPr>
          <w:trHeight w:val="264"/>
        </w:trPr>
        <w:tc>
          <w:tcPr>
            <w:tcW w:w="9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Less: Capital Expenditures (including Internal Use Software)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43"/>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Free Cash Flows from Continuing Operations</w:t>
            </w:r>
          </w:p>
        </w:tc>
        <w:tc>
          <w:tcPr>
            <w:tcW w:w="1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$750 - $950</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3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5"/>
          <w:szCs w:val="25"/>
          <w:b w:val="1"/>
          <w:bCs w:val="1"/>
          <w:color w:val="auto"/>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Earnings per Common Share</w:t>
      </w:r>
    </w:p>
    <w:p>
      <w:pPr>
        <w:jc w:val="center"/>
        <w:spacing w:after="0"/>
        <w:rPr>
          <w:sz w:val="20"/>
          <w:szCs w:val="20"/>
          <w:color w:val="auto"/>
        </w:rPr>
      </w:pPr>
      <w:r>
        <w:rPr>
          <w:rFonts w:ascii="Arial" w:cs="Arial" w:eastAsia="Arial" w:hAnsi="Arial"/>
          <w:sz w:val="18"/>
          <w:szCs w:val="18"/>
          <w:color w:val="auto"/>
        </w:rPr>
        <w:t>(in millions except per share data, shares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Year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Net (loss) income from continuing operations attributable to Xerox</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dividends on preferred stock</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6540" w:type="dxa"/>
            <w:vAlign w:val="bottom"/>
          </w:tcPr>
          <w:p>
            <w:pPr>
              <w:ind w:left="40"/>
              <w:spacing w:after="0"/>
              <w:rPr>
                <w:sz w:val="20"/>
                <w:szCs w:val="20"/>
                <w:color w:val="auto"/>
              </w:rPr>
            </w:pPr>
            <w:r>
              <w:rPr>
                <w:rFonts w:ascii="Arial" w:cs="Arial" w:eastAsia="Arial" w:hAnsi="Arial"/>
                <w:sz w:val="14"/>
                <w:szCs w:val="14"/>
                <w:color w:val="auto"/>
              </w:rPr>
              <w:t>Adjusted net (loss) income from continuing operations available to common shareholders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1"/>
                <w:szCs w:val="21"/>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from discontinued operations attributable to Xerox</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83"/>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net (loss) income available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24"/>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254,616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253,391</w:t>
            </w: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from continuing operations attributable to Xerox</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Accrued dividends on preferred stock</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net (loss) income from continuing operations available to common shareholders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from discontinued operations attributable to Xerox</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(loss) income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254,616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253,538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254,341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253,391</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283"/>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254,616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257,002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256,570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255,995</w:t>
            </w:r>
          </w:p>
        </w:tc>
        <w:tc>
          <w:tcPr>
            <w:tcW w:w="0" w:type="dxa"/>
            <w:vAlign w:val="bottom"/>
          </w:tcPr>
          <w:p>
            <w:pPr>
              <w:spacing w:after="0"/>
              <w:rPr>
                <w:sz w:val="1"/>
                <w:szCs w:val="1"/>
                <w:color w:val="auto"/>
              </w:rPr>
            </w:pPr>
          </w:p>
        </w:tc>
      </w:tr>
      <w:tr>
        <w:trPr>
          <w:trHeight w:val="251"/>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83"/>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7"/>
        </w:trPr>
        <w:tc>
          <w:tcPr>
            <w:tcW w:w="65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The following securities were not included in the computation of diluted earnings per share as they</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were either contingently issuable shares or shares that if included would have been anti-dilutive: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Stock options</w:t>
            </w:r>
          </w:p>
        </w:tc>
        <w:tc>
          <w:tcPr>
            <w:tcW w:w="2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Convertible preferred stock</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6,742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Anti-Dilutive Securities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12,374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2" w:right="239" w:bottom="1440" w:gutter="0" w:footer="0" w:header="0"/>
        </w:sectPr>
      </w:pPr>
    </w:p>
    <w:bookmarkStart w:id="37" w:name="page38"/>
    <w:bookmarkEnd w:id="37"/>
    <w:p>
      <w:pPr>
        <w:jc w:val="center"/>
        <w:ind w:right="-219"/>
        <w:spacing w:after="0"/>
        <w:rPr>
          <w:sz w:val="20"/>
          <w:szCs w:val="20"/>
          <w:color w:val="auto"/>
        </w:rPr>
      </w:pPr>
      <w:r>
        <w:rPr>
          <w:rFonts w:ascii="Arial" w:cs="Arial" w:eastAsia="Arial" w:hAnsi="Arial"/>
          <w:sz w:val="25"/>
          <w:szCs w:val="25"/>
          <w:b w:val="1"/>
          <w:bCs w:val="1"/>
          <w:color w:val="auto"/>
        </w:rPr>
        <w:t>APPENDIX II</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Xerox Corporation</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Geographic Sales Channels and Product/Offering Definitions</w:t>
      </w:r>
    </w:p>
    <w:p>
      <w:pPr>
        <w:spacing w:after="0" w:line="200" w:lineRule="exact"/>
        <w:rPr>
          <w:sz w:val="20"/>
          <w:szCs w:val="20"/>
          <w:color w:val="auto"/>
        </w:rPr>
      </w:pPr>
    </w:p>
    <w:p>
      <w:pPr>
        <w:spacing w:after="0" w:line="2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w:t>
      </w:r>
    </w:p>
    <w:p>
      <w:pPr>
        <w:spacing w:after="0" w:line="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North America, which includes our sales channels in the U.S. and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International, which includes our sales channels in Europe, Eurasia, Latin America,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primarily includes our OEM business, as well as sales to and royalties from Fuji Xerox, and our licensing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right="240" w:hanging="328"/>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Managed Document Services (MDS) revenue, which includes solutions and services that span from managing print to automating processes to managing content. Our primary offerings within MDS are Managed Print Services (including from Global Imaging Systems), as well as workflow automation services, and Centralized Print Services and Solutions (CPS). MDS excludes Communication and Marketing Solutions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582"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25"/>
          <w:szCs w:val="25"/>
          <w:b w:val="1"/>
          <w:bCs w:val="1"/>
          <w:color w:val="auto"/>
        </w:rPr>
        <w:t>APPENDIX III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Correction of Fuji Xerox Misstatement in Prior Period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Previously Presented in our Second-Quarter 2017 Earnings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Consolidated Statements of Income (Loss) and Non-GAAP Financial Measures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following tables reconcile selected lines from the company’s first quarter 2017 and fiscal years 2016, 2015 and 2014 Consolidated Statements of Income (Loss) and applicable non-GAAP Operating Income/Margin reconciliations from the previously reported amounts to the revised amounts. These revisions did not have an impact on the company's operating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8"/>
              <w:spacing w:after="0"/>
              <w:rPr>
                <w:sz w:val="20"/>
                <w:szCs w:val="20"/>
                <w:color w:val="auto"/>
              </w:rPr>
            </w:pPr>
            <w:r>
              <w:rPr>
                <w:rFonts w:ascii="Arial" w:cs="Arial" w:eastAsia="Arial" w:hAnsi="Arial"/>
                <w:sz w:val="14"/>
                <w:szCs w:val="14"/>
                <w:b w:val="1"/>
                <w:bCs w:val="1"/>
                <w:color w:val="auto"/>
              </w:rPr>
              <w:t>Year Ended December 31, 2016</w:t>
            </w:r>
          </w:p>
        </w:tc>
      </w:tr>
      <w:tr>
        <w:trPr>
          <w:trHeight w:val="25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9"/>
              </w:rPr>
              <w:t xml:space="preserve">Adjustment </w:t>
            </w:r>
            <w:r>
              <w:rPr>
                <w:rFonts w:ascii="Arial" w:cs="Arial" w:eastAsia="Arial" w:hAnsi="Arial"/>
                <w:sz w:val="17"/>
                <w:szCs w:val="17"/>
                <w:color w:val="auto"/>
                <w:w w:val="99"/>
                <w:vertAlign w:val="superscript"/>
              </w:rPr>
              <w:t>(1)</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Revised</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Reported</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Adjustment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As Revised</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r>
      <w:tr>
        <w:trPr>
          <w:trHeight w:val="244"/>
        </w:trPr>
        <w:tc>
          <w:tcPr>
            <w:tcW w:w="3700" w:type="dxa"/>
            <w:vAlign w:val="bottom"/>
            <w:gridSpan w:val="3"/>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127</w:t>
            </w:r>
          </w:p>
        </w:tc>
      </w:tr>
      <w:tr>
        <w:trPr>
          <w:trHeight w:val="276"/>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633</w:t>
            </w:r>
          </w:p>
        </w:tc>
      </w:tr>
      <w:tr>
        <w:trPr>
          <w:trHeight w:val="264"/>
        </w:trPr>
        <w:tc>
          <w:tcPr>
            <w:tcW w:w="3700" w:type="dxa"/>
            <w:vAlign w:val="bottom"/>
            <w:gridSpan w:val="3"/>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(460)</w:t>
            </w:r>
          </w:p>
        </w:tc>
      </w:tr>
      <w:tr>
        <w:trPr>
          <w:trHeight w:val="276"/>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Xerox</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r>
      <w:tr>
        <w:trPr>
          <w:trHeight w:val="270"/>
        </w:trPr>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9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Xerox</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622</w:t>
            </w:r>
          </w:p>
        </w:tc>
      </w:tr>
      <w:tr>
        <w:trPr>
          <w:trHeight w:val="270"/>
        </w:trPr>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3700" w:type="dxa"/>
            <w:vAlign w:val="bottom"/>
            <w:gridSpan w:val="3"/>
          </w:tcPr>
          <w:p>
            <w:pPr>
              <w:ind w:left="4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2.36</w:t>
            </w:r>
          </w:p>
        </w:tc>
      </w:tr>
      <w:tr>
        <w:trPr>
          <w:trHeight w:val="276"/>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r>
      <w:tr>
        <w:trPr>
          <w:trHeight w:val="270"/>
        </w:trPr>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3700" w:type="dxa"/>
            <w:vAlign w:val="bottom"/>
            <w:gridSpan w:val="3"/>
          </w:tcPr>
          <w:p>
            <w:pPr>
              <w:ind w:left="4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2.33</w:t>
            </w:r>
          </w:p>
        </w:tc>
      </w:tr>
      <w:tr>
        <w:trPr>
          <w:trHeight w:val="276"/>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r>
      <w:tr>
        <w:trPr>
          <w:trHeight w:val="284"/>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Non-GAAP Measures</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3700" w:type="dxa"/>
            <w:vAlign w:val="bottom"/>
            <w:gridSpan w:val="3"/>
          </w:tcPr>
          <w:p>
            <w:pPr>
              <w:ind w:left="40"/>
              <w:spacing w:after="0"/>
              <w:rPr>
                <w:sz w:val="20"/>
                <w:szCs w:val="20"/>
                <w:color w:val="auto"/>
              </w:rPr>
            </w:pPr>
            <w:r>
              <w:rPr>
                <w:rFonts w:ascii="Arial" w:cs="Arial" w:eastAsia="Arial" w:hAnsi="Arial"/>
                <w:sz w:val="14"/>
                <w:szCs w:val="14"/>
                <w:color w:val="auto"/>
              </w:rPr>
              <w:t>Adjusted 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927</w:t>
            </w:r>
          </w:p>
        </w:tc>
      </w:tr>
      <w:tr>
        <w:trPr>
          <w:trHeight w:val="276"/>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3.53</w:t>
            </w:r>
          </w:p>
        </w:tc>
      </w:tr>
      <w:tr>
        <w:trPr>
          <w:trHeight w:val="284"/>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xml:space="preserve">Adjusted Operating Profit </w:t>
            </w:r>
            <w:r>
              <w:rPr>
                <w:rFonts w:ascii="Arial" w:cs="Arial" w:eastAsia="Arial" w:hAnsi="Arial"/>
                <w:sz w:val="17"/>
                <w:szCs w:val="17"/>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1,351</w:t>
            </w:r>
          </w:p>
        </w:tc>
      </w:tr>
      <w:tr>
        <w:trPr>
          <w:trHeight w:val="258"/>
        </w:trPr>
        <w:tc>
          <w:tcPr>
            <w:tcW w:w="3700" w:type="dxa"/>
            <w:vAlign w:val="bottom"/>
            <w:gridSpan w:val="3"/>
          </w:tcPr>
          <w:p>
            <w:pPr>
              <w:ind w:left="40"/>
              <w:spacing w:after="0"/>
              <w:rPr>
                <w:sz w:val="20"/>
                <w:szCs w:val="20"/>
                <w:color w:val="auto"/>
              </w:rPr>
            </w:pPr>
            <w:r>
              <w:rPr>
                <w:rFonts w:ascii="Arial" w:cs="Arial" w:eastAsia="Arial" w:hAnsi="Arial"/>
                <w:sz w:val="14"/>
                <w:szCs w:val="14"/>
                <w:color w:val="auto"/>
              </w:rPr>
              <w:t>Adjusted Operating Margin</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79"/>
        </w:trPr>
        <w:tc>
          <w:tcPr>
            <w:tcW w:w="3700" w:type="dxa"/>
            <w:vAlign w:val="bottom"/>
            <w:gridSpan w:val="3"/>
          </w:tcPr>
          <w:p>
            <w:pPr>
              <w:spacing w:after="0"/>
              <w:rPr>
                <w:sz w:val="20"/>
                <w:szCs w:val="20"/>
                <w:color w:val="auto"/>
              </w:rPr>
            </w:pPr>
            <w:r>
              <w:rPr>
                <w:rFonts w:ascii="Arial" w:cs="Arial" w:eastAsia="Arial" w:hAnsi="Arial"/>
                <w:sz w:val="11"/>
                <w:szCs w:val="11"/>
                <w:color w:val="auto"/>
              </w:rPr>
              <w:t>____________________________</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215" w:lineRule="exact"/>
        <w:rPr>
          <w:sz w:val="20"/>
          <w:szCs w:val="20"/>
          <w:color w:val="auto"/>
        </w:rPr>
      </w:pPr>
    </w:p>
    <w:p>
      <w:pPr>
        <w:ind w:right="240" w:firstLine="8"/>
        <w:spacing w:after="0" w:line="305" w:lineRule="auto"/>
        <w:tabs>
          <w:tab w:leader="none" w:pos="135" w:val="left"/>
        </w:tabs>
        <w:numPr>
          <w:ilvl w:val="0"/>
          <w:numId w:val="3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difference between the $30 million out-of-period adjustment recorded in the first quarter 2017 and the revision adjustment of $24 million, primarily relates to the additional adjustments subsequently identified as part of the IIC review.</w:t>
      </w:r>
    </w:p>
    <w:p>
      <w:pPr>
        <w:spacing w:after="0" w:line="105" w:lineRule="exact"/>
        <w:rPr>
          <w:rFonts w:ascii="Arial" w:cs="Arial" w:eastAsia="Arial" w:hAnsi="Arial"/>
          <w:sz w:val="15"/>
          <w:szCs w:val="15"/>
          <w:i w:val="1"/>
          <w:iCs w:val="1"/>
          <w:color w:val="auto"/>
          <w:vertAlign w:val="superscript"/>
        </w:rPr>
      </w:pPr>
    </w:p>
    <w:p>
      <w:pPr>
        <w:ind w:right="100" w:firstLine="8"/>
        <w:spacing w:after="0" w:line="305" w:lineRule="auto"/>
        <w:tabs>
          <w:tab w:leader="none" w:pos="135" w:val="left"/>
        </w:tabs>
        <w:numPr>
          <w:ilvl w:val="0"/>
          <w:numId w:val="3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As reported Adjusted Operating Profit excludes Fuji Xerox restructuring charges. As reported Adjusted Operating Profit for the three months ended March 31, 2017 also reflects the reversal of the $30 million out-of-period adjustment recorded in the first quarter 2017.</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2" w:right="239" w:bottom="144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rPr>
              <w:t>Year Ended December 31, 2015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Year Ended December 31, 2014</w:t>
            </w:r>
          </w:p>
        </w:tc>
      </w:tr>
      <w:tr>
        <w:trPr>
          <w:trHeight w:val="229"/>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As Revised</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As Revised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142</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1,034</w:t>
            </w: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1,018</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 Attributable to Xerox</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995</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19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 from continuing operations attributable to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Xerox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1,011</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3.42</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3.37</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3.37</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3.32</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 Measures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1,130</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Adjusted EPS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3.77</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 xml:space="preserve">Adjusted Operating Profit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1,670</w:t>
            </w:r>
          </w:p>
        </w:tc>
      </w:tr>
      <w:tr>
        <w:trPr>
          <w:trHeight w:val="27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Operating Margin</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65"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As reported Adjusted Operating Profit excludes Fuji Xerox restructuring charges.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369"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Revised Quarterly Results of Operations</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tables reconcile selected lines from the company’s 2016 and 2015 quarterly Consolidated Statements of Income (Loss) from the previously reported amounts to the revised amounts: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rPr>
              <w:t>Three Months Ended March 31, 2016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Three Months Ended June 30, 2016</w:t>
            </w:r>
          </w:p>
        </w:tc>
      </w:tr>
      <w:tr>
        <w:trPr>
          <w:trHeight w:val="229"/>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As Revised</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As Revised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199</w:t>
            </w: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 Attributable to Xerox</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158</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0.75</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0.60</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0.75</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0.60</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 Measures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257</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Adjusted EPS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0.98</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 xml:space="preserve">Adjusted Operating Profit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361</w:t>
            </w:r>
          </w:p>
        </w:tc>
      </w:tr>
      <w:tr>
        <w:trPr>
          <w:trHeight w:val="27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Operating Margin</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bl>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rPr>
              <w:t>Three Months Ended September 30, 2016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Three Months Ended December 31, 2016</w:t>
            </w:r>
          </w:p>
        </w:tc>
      </w:tr>
      <w:tr>
        <w:trPr>
          <w:trHeight w:val="229"/>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As Revised</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As Revised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188</w:t>
            </w: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 (Loss) Attributable to Xerox</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(843)</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Basic Earnings (Loss)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0.71</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(3.35)</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Earnings (Loss)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0.70</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(3.30)</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 Measures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264</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Adjusted EPS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1.00</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 xml:space="preserve">Adjusted Operating Profit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388</w:t>
            </w:r>
          </w:p>
        </w:tc>
      </w:tr>
      <w:tr>
        <w:trPr>
          <w:trHeight w:val="27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Operating Margin</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65"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As reported Adjusted Operating Profit excludes Fuji Xerox restructuring charges.</w:t>
      </w:r>
    </w:p>
    <w:p>
      <w:pPr>
        <w:sectPr>
          <w:pgSz w:w="11900" w:h="16838" w:orient="portrait"/>
          <w:cols w:equalWidth="0" w:num="1">
            <w:col w:w="11400"/>
          </w:cols>
          <w:pgMar w:left="240" w:top="751" w:right="2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751" w:right="259" w:bottom="1440" w:gutter="0" w:footer="0" w:header="0"/>
          <w:type w:val="continuous"/>
        </w:sectPr>
      </w:pPr>
    </w:p>
    <w:bookmarkStart w:id="41" w:name="page42"/>
    <w:bookmarkEnd w:id="41"/>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rPr>
              <w:t>Three Months Ended March 31, 2015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Three Months Ended June 30, 2015</w:t>
            </w:r>
          </w:p>
        </w:tc>
      </w:tr>
      <w:tr>
        <w:trPr>
          <w:trHeight w:val="229"/>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As Revised</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As Revised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206</w:t>
            </w: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 Attributable to Xerox</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0.72</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0.01</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0.71</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0.01</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 Measures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221</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Adjusted EPS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0.78</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 xml:space="preserve">Adjusted Operating Profit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349</w:t>
            </w:r>
          </w:p>
        </w:tc>
      </w:tr>
      <w:tr>
        <w:trPr>
          <w:trHeight w:val="27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Operating Margin</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bl>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b w:val="1"/>
                <w:bCs w:val="1"/>
                <w:color w:val="auto"/>
              </w:rPr>
              <w:t>Three Months Ended September 30, 2015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Three Months Ended December 31, 2015</w:t>
            </w:r>
          </w:p>
        </w:tc>
      </w:tr>
      <w:tr>
        <w:trPr>
          <w:trHeight w:val="229"/>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As Revised</w:t>
            </w:r>
          </w:p>
        </w:tc>
        <w:tc>
          <w:tcPr>
            <w:tcW w:w="1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rPr>
              <w:t>Adjustment</w:t>
            </w:r>
          </w:p>
        </w:tc>
        <w:tc>
          <w:tcPr>
            <w:tcW w:w="160" w:type="dxa"/>
            <w:vAlign w:val="bottom"/>
          </w:tcPr>
          <w:p>
            <w:pPr>
              <w:spacing w:after="0"/>
              <w:rPr>
                <w:sz w:val="19"/>
                <w:szCs w:val="19"/>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As Revised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Equity in net income of unconsolidated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257</w:t>
            </w: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272</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(Loss) Income Attributable to Xerox</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267</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Basic (Loss)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0.97</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1.03</w:t>
            </w:r>
          </w:p>
        </w:tc>
      </w:tr>
      <w:tr>
        <w:trPr>
          <w:trHeight w:val="276"/>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(Loss) Earnings per Share:</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0.96</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1.02</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 Measures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w:t>
            </w:r>
          </w:p>
        </w:tc>
      </w:tr>
      <w:tr>
        <w:trPr>
          <w:trHeight w:val="264"/>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Adjusted EPS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0.88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1.08</w:t>
            </w:r>
          </w:p>
        </w:tc>
      </w:tr>
      <w:tr>
        <w:trPr>
          <w:trHeight w:val="290"/>
        </w:trPr>
        <w:tc>
          <w:tcPr>
            <w:tcW w:w="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 xml:space="preserve">Adjusted Operating Profit </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389</w:t>
            </w:r>
          </w:p>
        </w:tc>
      </w:tr>
      <w:tr>
        <w:trPr>
          <w:trHeight w:val="27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Operating Margin</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65"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As reported Adjusted Operating Profit excludes Fuji Xerox restructuring charges.</w:t>
      </w:r>
    </w:p>
    <w:p>
      <w:pPr>
        <w:spacing w:after="0" w:line="154" w:lineRule="exact"/>
        <w:rPr>
          <w:sz w:val="20"/>
          <w:szCs w:val="20"/>
          <w:color w:val="auto"/>
        </w:rPr>
      </w:pPr>
    </w:p>
    <w:p>
      <w:pPr>
        <w:spacing w:after="0" w:line="379" w:lineRule="auto"/>
        <w:rPr>
          <w:sz w:val="20"/>
          <w:szCs w:val="20"/>
          <w:color w:val="auto"/>
        </w:rPr>
      </w:pPr>
      <w:r>
        <w:rPr>
          <w:rFonts w:ascii="Arial" w:cs="Arial" w:eastAsia="Arial" w:hAnsi="Arial"/>
          <w:sz w:val="14"/>
          <w:szCs w:val="14"/>
          <w:color w:val="auto"/>
        </w:rPr>
        <w:t>NOTE: The sum of quarterly earnings per share may differ from the full-year amounts due to rounding, or in the case of diluted earnings per share, because securities that are anti-dilutive in certain quarters may not be anti-dilutive on a full year-year basis.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sectPr>
      <w:pgSz w:w="11900" w:h="16838" w:orient="portrait"/>
      <w:cols w:equalWidth="0" w:num="1">
        <w:col w:w="11400"/>
      </w:cols>
      <w:pgMar w:left="240" w:top="81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x"/>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lvl w:ilvl="1">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2019-12-29T02:17:11Z</dcterms:created>
  <dcterms:modified xsi:type="dcterms:W3CDTF">2019-12-29T02:17:11Z</dcterms:modified>
</cp:coreProperties>
</file>