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5394d8k.htm"/>
      <w:bookmarkStart w:id="1" w:name="ksd4539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Date of Report (date of earliest event reported): August 11,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57300"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276225"/>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48"/>
        </w:rPr>
      </w:pPr>
      <w:r>
        <w:rPr>
          <w:rFonts w:ascii="Times New Roman" w:hAnsi="Times New Roman"/>
          <w:b/>
          <w:sz w:val="48"/>
        </w:rPr>
        <w:t xml:space="preserve">XEROX HOLDINGS CORPORATION </w:t>
      </w:r>
    </w:p>
    <w:p>
      <w:pPr>
        <w:pStyle w:val="TextBody"/>
        <w:bidi w:val="0"/>
        <w:spacing w:before="0" w:after="0"/>
        <w:jc w:val="center"/>
        <w:rPr>
          <w:rFonts w:ascii="Times New Roman" w:hAnsi="Times New Roman"/>
          <w:b/>
          <w:sz w:val="48"/>
        </w:rPr>
      </w:pPr>
      <w:r>
        <w:rPr>
          <w:rFonts w:ascii="Times New Roman" w:hAnsi="Times New Roman"/>
          <w:b/>
          <w:sz w:val="48"/>
        </w:rPr>
        <w:t xml:space="preserve">XEROX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spacing w:val="0"/>
              </w:rPr>
            </w:pPr>
            <w:r>
              <w:rPr>
                <w:b/>
                <w:spacing w:val="0"/>
              </w:rPr>
              <w:t>New York</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001-39013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83-3933743</w:t>
            </w:r>
          </w:p>
        </w:tc>
      </w:tr>
      <w:tr>
        <w:trPr/>
        <w:tc>
          <w:tcPr>
            <w:tcW w:w="1985" w:type="dxa"/>
            <w:tcBorders/>
            <w:vAlign w:val="center"/>
          </w:tcPr>
          <w:p>
            <w:pPr>
              <w:pStyle w:val="TableContents"/>
              <w:bidi w:val="0"/>
              <w:spacing w:before="0" w:after="0"/>
              <w:jc w:val="center"/>
              <w:rPr>
                <w:b/>
                <w:spacing w:val="0"/>
              </w:rPr>
            </w:pPr>
            <w:r>
              <w:rPr>
                <w:b/>
                <w:spacing w:val="0"/>
              </w:rPr>
              <w:t>New York</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001-04471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16-0468020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401 Merritt 7</w:t>
      </w:r>
    </w:p>
    <w:p>
      <w:pPr>
        <w:pStyle w:val="TextBody"/>
        <w:bidi w:val="0"/>
        <w:spacing w:before="0" w:after="0"/>
        <w:jc w:val="center"/>
        <w:rPr>
          <w:rFonts w:ascii="Times New Roman" w:hAnsi="Times New Roman"/>
          <w:b/>
          <w:sz w:val="20"/>
        </w:rPr>
      </w:pPr>
      <w:r>
        <w:rPr>
          <w:rFonts w:ascii="Times New Roman" w:hAnsi="Times New Roman"/>
          <w:b/>
          <w:sz w:val="20"/>
        </w:rPr>
        <w:t>Norwalk</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Connecticut</w:t>
      </w:r>
    </w:p>
    <w:p>
      <w:pPr>
        <w:pStyle w:val="TextBody"/>
        <w:bidi w:val="0"/>
        <w:spacing w:before="0" w:after="0"/>
        <w:jc w:val="center"/>
        <w:rPr>
          <w:rFonts w:ascii="Times New Roman" w:hAnsi="Times New Roman"/>
          <w:b/>
          <w:sz w:val="20"/>
        </w:rPr>
      </w:pPr>
      <w:r>
        <w:rPr>
          <w:rFonts w:ascii="Times New Roman" w:hAnsi="Times New Roman"/>
          <w:b/>
          <w:sz w:val="20"/>
        </w:rPr>
        <w:t>06851-1056</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(203)</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849-5216</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10140" w:type="dxa"/>
        <w:jc w:val="left"/>
        <w:tblInd w:w="0" w:type="dxa"/>
        <w:tblLayout w:type="fixed"/>
        <w:tblCellMar>
          <w:top w:w="0" w:type="dxa"/>
          <w:left w:w="0" w:type="dxa"/>
          <w:bottom w:w="0" w:type="dxa"/>
          <w:right w:w="0" w:type="dxa"/>
        </w:tblCellMar>
      </w:tblPr>
      <w:tblGrid>
        <w:gridCol w:w="6275"/>
        <w:gridCol w:w="120"/>
        <w:gridCol w:w="605"/>
        <w:gridCol w:w="120"/>
        <w:gridCol w:w="3020"/>
      </w:tblGrid>
      <w:tr>
        <w:trPr/>
        <w:tc>
          <w:tcPr>
            <w:tcW w:w="6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20" w:type="dxa"/>
            <w:tcBorders/>
            <w:vAlign w:val="center"/>
          </w:tcPr>
          <w:p>
            <w:pPr>
              <w:pStyle w:val="TableContents"/>
              <w:bidi w:val="0"/>
              <w:spacing w:before="0" w:after="283"/>
              <w:jc w:val="left"/>
              <w:rPr/>
            </w:pPr>
            <w:r>
              <w:rPr/>
              <w:t>  </w:t>
            </w:r>
          </w:p>
        </w:tc>
        <w:tc>
          <w:tcPr>
            <w:tcW w:w="30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275" w:type="dxa"/>
            <w:tcBorders/>
            <w:vAlign w:val="center"/>
          </w:tcPr>
          <w:p>
            <w:pPr>
              <w:pStyle w:val="TableContents"/>
              <w:bidi w:val="0"/>
              <w:spacing w:before="0" w:after="0"/>
              <w:jc w:val="center"/>
              <w:rPr>
                <w:b/>
                <w:spacing w:val="0"/>
              </w:rPr>
            </w:pPr>
            <w:r>
              <w:rPr>
                <w:b/>
                <w:spacing w:val="0"/>
              </w:rPr>
              <w:t>Xerox Holdings Corporation Common Stock, $1.00 par value</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0"/>
              <w:jc w:val="center"/>
              <w:rPr>
                <w:b/>
                <w:spacing w:val="0"/>
              </w:rPr>
            </w:pPr>
            <w:r>
              <w:rPr>
                <w:b/>
                <w:spacing w:val="0"/>
              </w:rPr>
              <w:t>XRX</w:t>
            </w:r>
          </w:p>
        </w:tc>
        <w:tc>
          <w:tcPr>
            <w:tcW w:w="1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center"/>
              <w:rPr>
                <w:b/>
                <w:spacing w:val="0"/>
              </w:rPr>
            </w:pPr>
            <w:r>
              <w:rPr>
                <w:b/>
                <w:spacing w:val="0"/>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0" w:after="0"/>
        <w:jc w:val="left"/>
        <w:rPr/>
      </w:pPr>
      <w:r>
        <w:rPr/>
        <w:t> </w:t>
      </w:r>
    </w:p>
    <w:tbl>
      <w:tblPr>
        <w:tblW w:w="6290" w:type="dxa"/>
        <w:jc w:val="left"/>
        <w:tblInd w:w="0" w:type="dxa"/>
        <w:tblLayout w:type="fixed"/>
        <w:tblCellMar>
          <w:top w:w="0" w:type="dxa"/>
          <w:left w:w="0" w:type="dxa"/>
          <w:bottom w:w="0" w:type="dxa"/>
          <w:right w:w="0" w:type="dxa"/>
        </w:tblCellMar>
      </w:tblPr>
      <w:tblGrid>
        <w:gridCol w:w="2960"/>
        <w:gridCol w:w="60"/>
        <w:gridCol w:w="230"/>
        <w:gridCol w:w="120"/>
        <w:gridCol w:w="2615"/>
        <w:gridCol w:w="60"/>
        <w:gridCol w:w="245"/>
      </w:tblGrid>
      <w:tr>
        <w:trPr/>
        <w:tc>
          <w:tcPr>
            <w:tcW w:w="29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0"/>
              <w:jc w:val="left"/>
              <w:rPr>
                <w:b/>
                <w:spacing w:val="0"/>
              </w:rPr>
            </w:pPr>
            <w:r>
              <w:rPr>
                <w:b/>
                <w:spacing w:val="0"/>
              </w:rPr>
              <w:t>Xerox Holdings Corporation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b/>
                <w:spacing w:val="0"/>
              </w:rPr>
            </w:pPr>
            <w:r>
              <w:rPr>
                <w:b/>
                <w:spacing w:val="0"/>
              </w:rPr>
              <w:t>Xerox Corporation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tbl>
      <w:tblPr>
        <w:tblW w:w="5660" w:type="dxa"/>
        <w:jc w:val="left"/>
        <w:tblInd w:w="0" w:type="dxa"/>
        <w:tblLayout w:type="fixed"/>
        <w:tblCellMar>
          <w:top w:w="0" w:type="dxa"/>
          <w:left w:w="0" w:type="dxa"/>
          <w:bottom w:w="0" w:type="dxa"/>
          <w:right w:w="0" w:type="dxa"/>
        </w:tblCellMar>
      </w:tblPr>
      <w:tblGrid>
        <w:gridCol w:w="2960"/>
        <w:gridCol w:w="60"/>
        <w:gridCol w:w="230"/>
        <w:gridCol w:w="120"/>
        <w:gridCol w:w="1985"/>
        <w:gridCol w:w="60"/>
        <w:gridCol w:w="245"/>
      </w:tblGrid>
      <w:tr>
        <w:trPr/>
        <w:tc>
          <w:tcPr>
            <w:tcW w:w="29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0"/>
              <w:jc w:val="left"/>
              <w:rPr>
                <w:b/>
                <w:spacing w:val="0"/>
              </w:rPr>
            </w:pPr>
            <w:r>
              <w:rPr>
                <w:b/>
                <w:spacing w:val="0"/>
              </w:rPr>
              <w:t>Xerox Holdings Corporation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b/>
                <w:spacing w:val="0"/>
              </w:rPr>
            </w:pPr>
            <w:r>
              <w:rPr>
                <w:b/>
                <w:spacing w:val="0"/>
              </w:rPr>
              <w:t>Xerox Corporation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August 11, 2025, Xerox Holdings Corporation (“Xerox Holdings”) and Xerox Corporation (“Xerox Corp” and, together with Xerox Holdings, the “Company”) announced that John Bruno will cease to serve as President and Chief Operating Officer of the Company as of August 31, 2025 (the “Separation Date”). Mr. Bruno will continue to serve as a member of the Company’s board of directors (the “Board”) and will chair an Integration Committee to be newly formed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September 1, 2025, Louie Pastor, the Company’s Chief Administrative Officer &amp; Global Head of Operations, will serve as President and Chief Operating Officer of the Company. No changes to Mr. Pastor’s compensation are being made at this time in connection with his change in title. </w:t>
      </w:r>
    </w:p>
    <w:p>
      <w:pPr>
        <w:pStyle w:val="TextBody"/>
        <w:bidi w:val="0"/>
        <w:spacing w:before="240" w:after="0"/>
        <w:jc w:val="left"/>
        <w:rPr>
          <w:rFonts w:ascii="Times New Roman" w:hAnsi="Times New Roman"/>
          <w:sz w:val="20"/>
        </w:rPr>
      </w:pPr>
      <w:r>
        <w:rPr>
          <w:rFonts w:ascii="Times New Roman" w:hAnsi="Times New Roman"/>
          <w:sz w:val="20"/>
        </w:rPr>
        <w:t xml:space="preserve">On August 14, 2025, Xerox Corp entered into a General Release and </w:t>
      </w:r>
    </w:p>
    <w:p>
      <w:pPr>
        <w:pStyle w:val="TextBody"/>
        <w:bidi w:val="0"/>
        <w:spacing w:before="240" w:after="0"/>
        <w:jc w:val="left"/>
        <w:rPr>
          <w:rFonts w:ascii="Times New Roman" w:hAnsi="Times New Roman"/>
          <w:sz w:val="20"/>
        </w:rPr>
      </w:pPr>
      <w:r>
        <w:rPr>
          <w:rFonts w:ascii="Times New Roman" w:hAnsi="Times New Roman"/>
          <w:sz w:val="20"/>
        </w:rPr>
        <w:t>Non-Competition</w:t>
      </w:r>
    </w:p>
    <w:p>
      <w:pPr>
        <w:pStyle w:val="TextBody"/>
        <w:bidi w:val="0"/>
        <w:spacing w:before="240" w:after="0"/>
        <w:jc w:val="left"/>
        <w:rPr>
          <w:rFonts w:ascii="Times New Roman" w:hAnsi="Times New Roman"/>
          <w:sz w:val="20"/>
        </w:rPr>
      </w:pPr>
      <w:r>
        <w:rPr>
          <w:rFonts w:ascii="Times New Roman" w:hAnsi="Times New Roman"/>
          <w:sz w:val="20"/>
        </w:rPr>
        <w:t xml:space="preserve">Agreement (the “Release Agreement”) with Mr. Bruno. Pursuant to the Release Agreement, in exchange for a release of claims in favor of the Company and its affiliates, Mr. Bruno will be entitled to continued vesting of all outstanding time-based restricted stock units held by him as of the Separation Date in accordance with their original terms for so long as he continues to serve as both a member of the Board and, following the Separation Date, serves as chair of a newly formed Integration Committee of the Board. The Release Agreement also subjects Mr. Bruno to customary </w:t>
      </w:r>
    </w:p>
    <w:p>
      <w:pPr>
        <w:pStyle w:val="TextBody"/>
        <w:bidi w:val="0"/>
        <w:spacing w:before="240" w:after="0"/>
        <w:jc w:val="left"/>
        <w:rPr>
          <w:rFonts w:ascii="Times New Roman" w:hAnsi="Times New Roman"/>
          <w:sz w:val="20"/>
        </w:rPr>
      </w:pPr>
      <w:r>
        <w:rPr>
          <w:rFonts w:ascii="Times New Roman" w:hAnsi="Times New Roman"/>
          <w:sz w:val="20"/>
        </w:rPr>
        <w:t>non-disparagement</w:t>
      </w:r>
    </w:p>
    <w:p>
      <w:pPr>
        <w:pStyle w:val="TextBody"/>
        <w:bidi w:val="0"/>
        <w:spacing w:before="240" w:after="0"/>
        <w:jc w:val="left"/>
        <w:rPr>
          <w:rFonts w:ascii="Times New Roman" w:hAnsi="Times New Roman"/>
          <w:sz w:val="20"/>
        </w:rPr>
      </w:pPr>
      <w:r>
        <w:rPr>
          <w:rFonts w:ascii="Times New Roman" w:hAnsi="Times New Roman"/>
          <w:sz w:val="20"/>
        </w:rPr>
        <w:t xml:space="preserve">obligations, as well as </w:t>
      </w:r>
    </w:p>
    <w:p>
      <w:pPr>
        <w:pStyle w:val="TextBody"/>
        <w:bidi w:val="0"/>
        <w:spacing w:before="240" w:after="0"/>
        <w:jc w:val="left"/>
        <w:rPr>
          <w:rFonts w:ascii="Times New Roman" w:hAnsi="Times New Roman"/>
          <w:sz w:val="20"/>
        </w:rPr>
      </w:pPr>
      <w:r>
        <w:rPr>
          <w:rFonts w:ascii="Times New Roman" w:hAnsi="Times New Roman"/>
          <w:sz w:val="20"/>
        </w:rPr>
        <w:t>non-competition</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non-solicitation</w:t>
      </w:r>
    </w:p>
    <w:p>
      <w:pPr>
        <w:pStyle w:val="TextBody"/>
        <w:bidi w:val="0"/>
        <w:spacing w:before="240" w:after="0"/>
        <w:jc w:val="left"/>
        <w:rPr>
          <w:rFonts w:ascii="Times New Roman" w:hAnsi="Times New Roman"/>
          <w:sz w:val="20"/>
        </w:rPr>
      </w:pPr>
      <w:r>
        <w:rPr>
          <w:rFonts w:ascii="Times New Roman" w:hAnsi="Times New Roman"/>
          <w:sz w:val="20"/>
        </w:rPr>
        <w:t xml:space="preserve">covenants that will apply for 24 months following the Separation Date and a general cooperation covenant that survives for 36 months following the Separation Date. The foregoing description of the Release Agreement does not </w:t>
      </w:r>
    </w:p>
    <w:p>
      <w:pPr>
        <w:pStyle w:val="TextBody"/>
        <w:bidi w:val="0"/>
        <w:spacing w:before="240" w:after="0"/>
        <w:jc w:val="left"/>
        <w:rPr>
          <w:rFonts w:ascii="Times New Roman" w:hAnsi="Times New Roman"/>
          <w:sz w:val="20"/>
        </w:rPr>
      </w:pPr>
      <w:r>
        <w:rPr>
          <w:rFonts w:ascii="Times New Roman" w:hAnsi="Times New Roman"/>
          <w:sz w:val="20"/>
        </w:rPr>
        <w:t>purport to be</w:t>
      </w:r>
    </w:p>
    <w:p>
      <w:pPr>
        <w:pStyle w:val="TextBody"/>
        <w:bidi w:val="0"/>
        <w:spacing w:before="240" w:after="0"/>
        <w:jc w:val="left"/>
        <w:rPr>
          <w:rFonts w:ascii="Times New Roman" w:hAnsi="Times New Roman"/>
          <w:sz w:val="20"/>
        </w:rPr>
      </w:pPr>
      <w:r>
        <w:rPr>
          <w:rFonts w:ascii="Times New Roman" w:hAnsi="Times New Roman"/>
          <w:sz w:val="20"/>
        </w:rPr>
        <w:t xml:space="preserve">complete and is qualified in its entirety by reference to the full text of the Release Agreement, a copy of which is attached hereto as an exhibit.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August 11, 2025, the Company issued a press release announcing Mr. Bruno’s resignation and Mr. Pastor’s promotion to President and Chief Operating Officer. A copy of the press release is attached hereto as Exhibit 99.1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and the Exhibits incorporated by reference herein shall not be deemed “filed” for purposes of Section 18 of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0"/>
              <w:jc w:val="center"/>
              <w:rPr>
                <w:b/>
                <w:spacing w:val="0"/>
              </w:rPr>
            </w:pPr>
            <w:r>
              <w:rPr>
                <w:b/>
                <w:spacing w:val="0"/>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0"/>
              <w:jc w:val="center"/>
              <w:rPr>
                <w:b/>
                <w:spacing w:val="0"/>
              </w:rPr>
            </w:pPr>
            <w:r>
              <w:rPr>
                <w:b/>
                <w:spacing w:val="0"/>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45394dex101.htm">
              <w:r>
                <w:rPr>
                  <w:rStyle w:val="InternetLink"/>
                </w:rPr>
                <w:t xml:space="preserve">General Release and </w:t>
              </w:r>
            </w:hyperlink>
            <w:hyperlink w:anchor="d45394dex101.htm">
              <w:r>
                <w:rPr>
                  <w:rStyle w:val="InternetLink"/>
                  <w:spacing w:val="0"/>
                </w:rPr>
                <w:t>Non-Competition</w:t>
              </w:r>
            </w:hyperlink>
            <w:hyperlink w:anchor="d45394dex101.htm">
              <w:r>
                <w:rPr>
                  <w:rStyle w:val="InternetLink"/>
                </w:rPr>
                <w:t xml:space="preserve"> Agreement between Xerox Corporation and John Bruno, dated August 14, 2025.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45394dex991.htm">
              <w:r>
                <w:rPr>
                  <w:rStyle w:val="InternetLink"/>
                </w:rPr>
                <w:t xml:space="preserve">Press Release, Dated August 11, 2025, issued by Xerox Holdings Corporation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2195"/>
        <w:gridCol w:w="60"/>
        <w:gridCol w:w="23"/>
        <w:gridCol w:w="60"/>
        <w:gridCol w:w="1222"/>
        <w:gridCol w:w="112"/>
        <w:gridCol w:w="2689"/>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23" w:type="dxa"/>
            <w:gridSpan w:val="3"/>
            <w:tcBorders/>
            <w:vAlign w:val="center"/>
          </w:tcPr>
          <w:p>
            <w:pPr>
              <w:pStyle w:val="TableContents"/>
              <w:bidi w:val="0"/>
              <w:spacing w:before="0" w:after="283"/>
              <w:jc w:val="left"/>
              <w:rPr/>
            </w:pPr>
            <w:r>
              <w:rPr/>
              <w:t>XEROX HOLDINGS CORPORATION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82"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15,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By:</w:t>
            </w:r>
          </w:p>
        </w:tc>
        <w:tc>
          <w:tcPr>
            <w:tcW w:w="112" w:type="dxa"/>
            <w:tcBorders/>
            <w:vAlign w:val="center"/>
          </w:tcPr>
          <w:p>
            <w:pPr>
              <w:pStyle w:val="TableContents"/>
              <w:bidi w:val="0"/>
              <w:spacing w:before="0" w:after="283"/>
              <w:jc w:val="left"/>
              <w:rPr/>
            </w:pPr>
            <w:r>
              <w:rPr/>
              <w:t> </w:t>
            </w:r>
          </w:p>
        </w:tc>
        <w:tc>
          <w:tcPr>
            <w:tcW w:w="2689"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Flor M. Colón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Name:</w:t>
            </w:r>
          </w:p>
        </w:tc>
        <w:tc>
          <w:tcPr>
            <w:tcW w:w="112" w:type="dxa"/>
            <w:tcBorders/>
            <w:vAlign w:val="center"/>
          </w:tcPr>
          <w:p>
            <w:pPr>
              <w:pStyle w:val="TableContents"/>
              <w:bidi w:val="0"/>
              <w:spacing w:before="0" w:after="283"/>
              <w:jc w:val="left"/>
              <w:rPr/>
            </w:pPr>
            <w:r>
              <w:rPr/>
              <w:t> </w:t>
            </w:r>
          </w:p>
        </w:tc>
        <w:tc>
          <w:tcPr>
            <w:tcW w:w="2689" w:type="dxa"/>
            <w:tcBorders/>
            <w:vAlign w:val="center"/>
          </w:tcPr>
          <w:p>
            <w:pPr>
              <w:pStyle w:val="TableContents"/>
              <w:bidi w:val="0"/>
              <w:spacing w:before="0" w:after="283"/>
              <w:jc w:val="left"/>
              <w:rPr/>
            </w:pPr>
            <w:r>
              <w:rPr/>
              <w:t>Flor M. Colón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Title:</w:t>
            </w:r>
          </w:p>
        </w:tc>
        <w:tc>
          <w:tcPr>
            <w:tcW w:w="112" w:type="dxa"/>
            <w:tcBorders/>
            <w:vAlign w:val="center"/>
          </w:tcPr>
          <w:p>
            <w:pPr>
              <w:pStyle w:val="TableContents"/>
              <w:bidi w:val="0"/>
              <w:spacing w:before="0" w:after="283"/>
              <w:jc w:val="left"/>
              <w:rPr/>
            </w:pPr>
            <w:r>
              <w:rPr/>
              <w:t> </w:t>
            </w:r>
          </w:p>
        </w:tc>
        <w:tc>
          <w:tcPr>
            <w:tcW w:w="2689" w:type="dxa"/>
            <w:tcBorders/>
            <w:vAlign w:val="center"/>
          </w:tcPr>
          <w:p>
            <w:pPr>
              <w:pStyle w:val="TableContents"/>
              <w:bidi w:val="0"/>
              <w:spacing w:before="0" w:after="283"/>
              <w:jc w:val="left"/>
              <w:rPr/>
            </w:pPr>
            <w:r>
              <w:rPr/>
              <w:t>Secretary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083" w:type="dxa"/>
            <w:gridSpan w:val="4"/>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23" w:type="dxa"/>
            <w:gridSpan w:val="3"/>
            <w:tcBorders/>
            <w:vAlign w:val="center"/>
          </w:tcPr>
          <w:p>
            <w:pPr>
              <w:pStyle w:val="TableContents"/>
              <w:bidi w:val="0"/>
              <w:spacing w:before="0" w:after="283"/>
              <w:jc w:val="left"/>
              <w:rPr/>
            </w:pPr>
            <w:r>
              <w:rPr/>
              <w:t>XEROX CORPORATION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82"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15,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By:</w:t>
            </w:r>
          </w:p>
        </w:tc>
        <w:tc>
          <w:tcPr>
            <w:tcW w:w="112" w:type="dxa"/>
            <w:tcBorders/>
            <w:vAlign w:val="center"/>
          </w:tcPr>
          <w:p>
            <w:pPr>
              <w:pStyle w:val="TableContents"/>
              <w:bidi w:val="0"/>
              <w:spacing w:before="0" w:after="283"/>
              <w:jc w:val="left"/>
              <w:rPr/>
            </w:pPr>
            <w:r>
              <w:rPr/>
              <w:t> </w:t>
            </w:r>
          </w:p>
        </w:tc>
        <w:tc>
          <w:tcPr>
            <w:tcW w:w="2689"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Flor M. Colón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Name:</w:t>
            </w:r>
          </w:p>
        </w:tc>
        <w:tc>
          <w:tcPr>
            <w:tcW w:w="112" w:type="dxa"/>
            <w:tcBorders/>
            <w:vAlign w:val="center"/>
          </w:tcPr>
          <w:p>
            <w:pPr>
              <w:pStyle w:val="TableContents"/>
              <w:bidi w:val="0"/>
              <w:spacing w:before="0" w:after="283"/>
              <w:jc w:val="left"/>
              <w:rPr/>
            </w:pPr>
            <w:r>
              <w:rPr/>
              <w:t> </w:t>
            </w:r>
          </w:p>
        </w:tc>
        <w:tc>
          <w:tcPr>
            <w:tcW w:w="2689" w:type="dxa"/>
            <w:tcBorders/>
            <w:vAlign w:val="center"/>
          </w:tcPr>
          <w:p>
            <w:pPr>
              <w:pStyle w:val="TableContents"/>
              <w:bidi w:val="0"/>
              <w:spacing w:before="0" w:after="283"/>
              <w:jc w:val="left"/>
              <w:rPr/>
            </w:pPr>
            <w:r>
              <w:rPr/>
              <w:t>Flor M. Colón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Title:</w:t>
            </w:r>
          </w:p>
        </w:tc>
        <w:tc>
          <w:tcPr>
            <w:tcW w:w="112" w:type="dxa"/>
            <w:tcBorders/>
            <w:vAlign w:val="center"/>
          </w:tcPr>
          <w:p>
            <w:pPr>
              <w:pStyle w:val="TableContents"/>
              <w:bidi w:val="0"/>
              <w:spacing w:before="0" w:after="283"/>
              <w:jc w:val="left"/>
              <w:rPr/>
            </w:pPr>
            <w:r>
              <w:rPr/>
              <w:t> </w:t>
            </w:r>
          </w:p>
        </w:tc>
        <w:tc>
          <w:tcPr>
            <w:tcW w:w="2689" w:type="dxa"/>
            <w:tcBorders/>
            <w:vAlign w:val="center"/>
          </w:tcPr>
          <w:p>
            <w:pPr>
              <w:pStyle w:val="TableContents"/>
              <w:bidi w:val="0"/>
              <w:spacing w:before="0" w:after="283"/>
              <w:jc w:val="left"/>
              <w:rPr/>
            </w:pPr>
            <w:r>
              <w:rPr/>
              <w:t>Secretary</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- 5 - </w:t>
      </w:r>
    </w:p>
    <w:p>
      <w:pPr>
        <w:pStyle w:val="TextBody"/>
        <w:bidi w:val="0"/>
        <w:spacing w:before="0" w:after="0"/>
        <w:jc w:val="right"/>
        <w:rPr>
          <w:rFonts w:ascii="Times New Roman" w:hAnsi="Times New Roman"/>
          <w:b/>
          <w:sz w:val="20"/>
        </w:rPr>
      </w:pPr>
      <w:bookmarkStart w:id="2" w:name="d45394dex101.htm"/>
      <w:bookmarkStart w:id="3" w:name="ksd45394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99060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90600"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Officer Name: John G. Bruno </w:t>
      </w:r>
    </w:p>
    <w:p>
      <w:pPr>
        <w:pStyle w:val="TextBody"/>
        <w:bidi w:val="0"/>
        <w:spacing w:before="240" w:after="0"/>
        <w:jc w:val="left"/>
        <w:rPr>
          <w:rFonts w:ascii="Times New Roman" w:hAnsi="Times New Roman"/>
          <w:b/>
          <w:sz w:val="20"/>
        </w:rPr>
      </w:pPr>
      <w:r>
        <w:rPr>
          <w:rFonts w:ascii="Times New Roman" w:hAnsi="Times New Roman"/>
          <w:b/>
          <w:sz w:val="20"/>
        </w:rPr>
        <w:t xml:space="preserve">Officer Title: President and Chief Operating Officer </w:t>
      </w:r>
    </w:p>
    <w:p>
      <w:pPr>
        <w:pStyle w:val="TextBody"/>
        <w:bidi w:val="0"/>
        <w:spacing w:before="240" w:after="0"/>
        <w:jc w:val="left"/>
        <w:rPr>
          <w:rFonts w:ascii="Times New Roman" w:hAnsi="Times New Roman"/>
          <w:b/>
          <w:sz w:val="20"/>
        </w:rPr>
      </w:pPr>
      <w:r>
        <w:rPr>
          <w:rFonts w:ascii="Times New Roman" w:hAnsi="Times New Roman"/>
          <w:b/>
          <w:sz w:val="20"/>
        </w:rPr>
        <w:t xml:space="preserve">Employee No.: 50570264 </w:t>
      </w:r>
    </w:p>
    <w:p>
      <w:pPr>
        <w:pStyle w:val="TextBody"/>
        <w:bidi w:val="0"/>
        <w:spacing w:before="240" w:after="0"/>
        <w:jc w:val="left"/>
        <w:rPr>
          <w:rFonts w:ascii="Times New Roman" w:hAnsi="Times New Roman"/>
          <w:b/>
          <w:sz w:val="20"/>
        </w:rPr>
      </w:pPr>
      <w:r>
        <w:rPr>
          <w:rFonts w:ascii="Times New Roman" w:hAnsi="Times New Roman"/>
          <w:b/>
          <w:sz w:val="20"/>
        </w:rPr>
        <w:t xml:space="preserve">Resignation Date: August 31, 2025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Release and Non-Competition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Date provided to Officer: August 14, 2025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John G. Bruno’s (“I” or “Bruno”) pivotal role in the conception and execution of Xerox Corporation’s (“Xerox” or the “Company”) Reinvention and the importance of Bruno’s continued involvement to the success of the initiative going forward, the Company has determined it to be in Xerox’s best interest to modify Bruno’s Restricted Stock Unit award agreements (“RSUs”) outstanding as of Bruno’s August 31, 2025 voluntary resignation of employment as Xerox’s President and Chief Operating Officer (the “Resignation Date”) to provide for the continued vesting of all outstanding RSU award agreements through their final vesting dates. Such continuation of vesting shall be contingent upon Bruno’s execution of this General Release and Non-Competition Agreement (“Agreement” or “Release”) as well as his ongoing service as a member of the Board of Directors of Xerox Holdings Corporation and Xerox Corporation and, effective upon the Resignation Date, Bruno’s commencement as Chair and member of the Board’s Integration Committee. In consideration of the covenants and other promises made herein, including the continued equity vesting benefits provided hereunder as set forth in Exhibit A (collectively the “Resignation Benefits”), which will be in lieu of any other compensation that Bruno would otherwise receive as a member of the Board or as the Chair and member of the Integration Committee following the Resignation Date, I, John Bruno, hereby agree as follows with respect to my Resignation from employment with Xerox on August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release Xerox from all the claims described in this General Release and Non-Competition Agreement. For purposes of this General Release, “Xerox” or the “Company” refers to Xerox Corporation, Xerox Holdings Corporation, and their affiliates, and for purposes of the Agreement’s release and non-disparagement provisions, includes Xerox’s employees, directors, officers, agents, stockholders, subsidiaries, affiliates, successors, assigns, and the Xerox employee benefit plans in which I either am now or have been a participant, and the trustees, administrators, successors, agents and assigns of those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release Xerox from any and all claims, other than the Resignation Benefits, even if I do not know about the claim at this time, based on anything that has occurred prior to the Resignation Date. For example, I release Xerox from any claims based on all laws, including but not limited to the following (all laws as currently amended):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6"/>
        <w:gridCol w:w="123"/>
        <w:gridCol w:w="4906"/>
      </w:tblGrid>
      <w:tr>
        <w:trPr/>
        <w:tc>
          <w:tcPr>
            <w:tcW w:w="517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Age Discrimination in Employment Act of 1967 (ADEA) (which prohibits discrimination on the basis of age)</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Equal Pay Act of 1963</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Older Workers’ Benefit Protection Act of 1990 (OWBPA)</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Fair Labor Standards Act of 1938</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Title VII of the Civil Rights Act of 1964</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Employee Retirement Income Security Act of 1974 (ERISA), other than my right to receive any accrued benefit to which I am entitled under a Xerox ERISA plan, in accordance with the terms of such plan</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Civil Rights Acts of 1866, 1870, 1871 and 1991</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Worker Adjustment and Retraining Notification Act of 1989</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Americans with Disabilities Act of 1990</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Uniformed Services Reemployment Rights Act of 1994</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Rehabilitation Act of 1973</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Vietnam Era Veteran’s Readjustment Assistance Act of 1974</w:t>
            </w:r>
          </w:p>
        </w:tc>
      </w:tr>
      <w:tr>
        <w:trPr>
          <w:trHeight w:val="120" w:hRule="atLeast"/>
        </w:trPr>
        <w:tc>
          <w:tcPr>
            <w:tcW w:w="5176"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283"/>
              <w:jc w:val="left"/>
              <w:rPr/>
            </w:pPr>
            <w:r>
              <w:rPr/>
              <w:t>Family and Medical Leave Act of 1993</w:t>
            </w:r>
          </w:p>
        </w:tc>
        <w:tc>
          <w:tcPr>
            <w:tcW w:w="123"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also release Xerox from any existing or potential claims based on the laws of the states where I am employed and reside, such as state fair employment practice and wage laws or any other law, regulations or collective agreements concerning employment. I release Xerox from all claims arising out of the offer of employment to me by Xerox, the hiring of me by Xerox, my compensation, any employment contract between Xerox and me, and any promises made by Xerox regarding future employment, in each case, other than the Resignation Benefits. I also release Xerox from all claims for punitive or compensatory damages, costs or attorney’s fees. For the avoidance of doubt, I am not releasing any claims to the Resignation Benefits. </w:t>
            </w:r>
            <w:r>
              <w:rPr>
                <w:rFonts w:ascii="Times New Roman" w:hAnsi="Times New Roman"/>
                <w:b/>
                <w:sz w:val="20"/>
              </w:rPr>
              <w:t>I also agree that I will not bring or participate in any class, collective, or representative action, as a plaintiff or class member, against Xerox which asserts, in whole or in part, any claims(s) which arose through the date I sign this Agreement, whether or not such claims are specifically covered by this Agreement. I further agree that if I am included within any class, collective, or representative action I will take all necessary steps to opt-out of the action or refrain from opting in. Notwithstanding the foregoing, I do not surrender my right to participate in a legal action where my interest arises solely by virtue of my status as a Xerox shareholder.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understand and agree that this General Release and Xerox’s agreement to provide the Resignation Benefits to me should not be construed, in any way, as an admission by Xerox of any wrongdoing or liability to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understand that nothing contained in this General Release limits my ability to file a charge or complaint with any state or federal government agency about potential violations of laws or regulations, including but not limited to the Securities and Exchange Commission and the EEOC or a comparable state or local agency. I further understand that this General Release does not limit my ability to communicate with any governmental agency or otherwise participate in any investigation or proceeding that may be conducted by any governmental agency, including providing documents or other information, without notice to Xerox. This General Release does not limit my right to receive an award for information provided to any federal governmental agency related to a possible violation of the federal securities or occupational safety laws; however, I agree to waive my right to recover monetary damages in any charge or complaint filed by me, or lawsuit filed by anyone else on my behalf, related to any other violation of law or regulation. Notwithstanding any provision of this Agreement to the contrary, I do not release, and this Agreement does not cause me to release: (i) any rights to indemnification or advancement pursuant to any Indemnification Agreement Xerox and I have mutually executed, applicable law, the bylaws of Xerox or any applicable directors’ and officers’ insurance;(ii) any of my rights as a shareholder; and (iii) my rights under the Agreement. I acknowledge and confirm that I continue to be bound by the terms of the Mutual Arbitration Agreement for Current Employees, effective May 15, 2023 (the “MAA”).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provided in paragraph 5 above and the MAA, I agree and covenant not to file any suit, charge or complaint against Xerox in any court with regard to any of the claims released in paragraphs 2 and 3. I further represent that no such claims, complaints, charges, or other proceedings are pending in any court, administrative agency, commission or other forum relating directly or indirectly to my employment with Xerox. Notwithstanding the foregoing, this General Release does not prohibit me from challenging or seeking a determination in good faith of the validity of this General Release under the Age Discrimination Employment Act and does not impose any condition precedent, penalty, or other limitation for doing so unless specifically authorized by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Xerox advises me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TO CONSULT WITH AN ATTORNEY OF MY CHOOSING TO COUNSEL ME AS TO MY RIGHTS BEFORE I SIGN THIS GENERAL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TO TAKE SUFFICIENT TIME TO DECIDE WHETHER TO SIGN THIS GENERAL RELEASE. I HAVE AT LEAST 21 DAYS FROM THE DATE THIS GENERAL RELEASE IS PROVIDED TO ME TO CONSIDER IT BEFORE I SIGN AND RETURN IT TO XEROX;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THAT EVEN AFTER I SIGN AND RETURN THIS RELEASE TO XEROX, I WILL HAVE 15 DAYS THEREAFTER TO CHANGE MY MIND AND REVOKE MY RELEASE BY ASKING XEROX FOR ITS RETURN.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understand and agree that this General Release waives all claims I may have at the time I sign it, including claims I do not then know about or suspect. I further understand and acknowledge that California Civil Code, Section 1542 provides: “A GENERAL RELEASE DOES NOT EXTEND TO CLAIMS THAT THE CREDITOROR RELEASING PARTY DOES NOT KNOW OR SUSPECT EXIST IN HIS OR HER FAVOR AT THE TIME OF EXECUTING THE GENERAL RELEASE, AND THAT IF KNOWN BY HIM OR HER WOULD HAVE MATERIALLY AFFECTED HIS OR HER SETTLEMENT WITH THE DEBTOR OR RELEASED PARTY.” I waive any rights I may have under that Code section, if applicable, or any other similar state or federal statute or common law principle of similar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NON-COMPETITION WITH XEROX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settle existing or potential claims regarding any non-compete undertaking I understand and agree that this agreement supersedes all prior agreements or understandings, written or oral, between Xerox and me. I commit that, for a period of twenty-four (24) months from the Resignation Date and during such period (the “Restricted Period”), I will not, directly or indirectly, solicit persons or companies that have been customers of Xerox during the twelve (12) months prior to the Resignation Date to: (i) establish commercial relationships concerning products or services that compete with those manufactured or marketed by Xerox as of the Resignation Date; or (ii) solicit, induce or encourage such customers to reduce or terminate their established business relationships with Xerox.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NON-SOLICITATION OF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Restricted Period, I will not, individually or on behalf of any third party, solicit for hire, induce, recruit, encourage to terminate employment with Xerox, or hire, any person who is a current employee of Xerox at any time during the Restricted Period or who was an employee of Xerox during the six (6)-month period prior to the Resignation Date.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COOPERATION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period of thirty-six (36) months from the Resignation Date, I agree that, without additional compensation (other than reimbursement for reasonable out-of-pocket expenses), I will cooperate with Xerox during the course of all proceedings arising out of Xerox’s business about which I have knowledge or information. For purposes of this Agreement, (a) “proceedings” includes internal investigations, administrative investigations, or court or arbitration proceedings, and lawsuits (including pre-trial discovery and trial testimony) and (b) “cooperate” includes (i) being reasonably available for interviews, meetings, depositions, hearings and/or trials without the need for subpoena or assurances by Xerox, (ii) providing any and all documents in my possession that relate to the proceeding, and (iii) providing assistance in locating any and all relevant notes and/or documents relevant to any proceedings.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NON-DISPARAGEMENT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parties agree that neither party will intentionally make, or intentionally cause any person to make, disparaging remarks about the other party.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DISPUTE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Except as provided in the MAA with respect to claims covered thereunder, the parties agree that all other claims between the parties shall be resolved exclusively by binding arbitration pursuant to the Federal Arbitration Act (“</w:t>
            </w:r>
            <w:r>
              <w:rPr>
                <w:rFonts w:ascii="Times New Roman" w:hAnsi="Times New Roman"/>
                <w:sz w:val="20"/>
                <w:u w:val="single"/>
              </w:rPr>
              <w:t>FAA</w:t>
            </w:r>
            <w:r>
              <w:rPr>
                <w:rFonts w:ascii="Times New Roman" w:hAnsi="Times New Roman"/>
                <w:sz w:val="20"/>
              </w:rPr>
              <w:t xml:space="preserve">”), and the laws of the State of New York (except to the extent preempted by the FAA). The parties agree that any dispute will be arbitrated in New York, New York or other location mutually agreed to by the parties, in accordance with the Employment Arbitration Rules &amp; Procedures of Judicial Arbitration and Mediation Services, Inc. (“JAMS”) including rules permitting each of the parties to seek expedited relief in arbitration before a single arbitrator. The parties agree that they shall split equally those expenses unique to arbitration unless prohibited by applicable law, and that each party shall bear each party’s own attorneys’ fees and legal costs, unless otherwise ordered by the arbitrator. The parties agree that the arbitrator shall apply the substantive law (and the law of remedies, if applicable) of the State of New York to the claim(s) asserted, except to the extent preempted by ERISA or other federal law. The parties agree to file any demand for arbitration within the time limit established by the applicable statute of limitations for the asserted claims, and that failure to demand arbitration within the prescribed time period shall result in waiver of those claims. The parties agree that this arbitration agreement shall not apply to any claim that by law may not be arbitrated. I UNDERSTAND AND AGREE THAT BY AGREEING TO THE EXCLUSIVE RESOLUTION OF CLAIMS THROUGH BINDING ARBITRATION IN ACCORDANCE WITH THIS SECTION, I AM WAIVING MY RIGHTS TO BRING SUCH CLAIMS IN COURT, INCLUDING ANY RIGHT TO A JURY TRIAL. I UNDERSTAND AND AGREE THAT MY WAIVER OF MY RIGHTS TO BRING SUCH CLAIMS IN COURT INCLUDES, WITHOUT LIMITATION, MY WAIVER OF MY RIGHT TO BRING ANY CLAIMS FOR BENEFITS IN FEDERAL DISTRICT COURT. The parties agree that nothing in this Agreement is intended to limit the right of either party to seek equitable relief in a court of competent jurisdiction, including Xerox’s right to seek equitable relief if I breach or threaten to breach any of the provisions in Section 9, 10 or 12 of this Agreement. The parties agree that the rights and remedies provided herein are cumulative,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exercise of any right or remedy, whether pursuant hereto, to any other agreement, or to law, shall not preclude or waive the right to exercise any or all other rights and remedies. The parties agree that arbitral award determination shall be final and binding upon the parties. </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ACKNOWLEGEMENT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acknowledge that I have carefully read and fully understand all of the terms and provisions of this Agreement, I have had a reasonable period of time to review it, I have had the right to consult with an attorney or other advisor of my choosing about the terms of this Agreement and the consequences of executing it, and I am knowingly and voluntarily signing this Agreement because it is satisfactory to me in all respects and settles all existing and potential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Pending approval of the Compensation and Human Capital Committee of the Board of Directors, I consent to amending all my RSU award agreements outstanding on the Resignation Date to provide continued vesting of all unvested RSUs until fully vested. I acknowledge that such continued vesting shall be in lieu of any other compensation I would otherwise receive as a member of the Board or as the Chair and member of the Board’s Integration Committee and is contingent upon my timely execution and non-recission of this General Release and my continued service as both a member of the Board and the Chair of the Integration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This Agreement constitutes the complete and final agreement between the parties regarding the subject matter hereof and supersedes all prior agreements or understandings, written or oral, between the parties regarding the subject matter hereof, including my participation in the Xerox Officer Severance Program and the Amended and Restated Severance Letter Agreement Providing Certain Benefits Upon Termination of Employment Following a Change in Control entered into between Xerox and me, dated</w:t>
            </w:r>
            <w:r>
              <w:rPr>
                <w:rFonts w:ascii="Times New Roman" w:hAnsi="Times New Roman"/>
                <w:sz w:val="20"/>
                <w:u w:val="single"/>
              </w:rPr>
              <w:t xml:space="preserve"> </w:t>
            </w:r>
            <w:r>
              <w:rPr>
                <w:rFonts w:ascii="Times New Roman" w:hAnsi="Times New Roman"/>
                <w:sz w:val="20"/>
              </w:rPr>
              <w:t xml:space="preserve">October 28, 2022; provided, however, that nothing contained herein shall supersede the terms and conditions of any benefit plan, nondisclosure, confidentiality, or indemnification agreement, entered into prior to the Resignation Date, including any Confidentiality or Proprietary Information Agreement, or, any Indemnification Agreement entered into between Xerox and me, all which are incorporated herein by reference and shall survive any termination of the employment relationship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may be executed in one or more counterparts, each of which shall be an original and all of which, taken together, shall constitute one and the same instrument. Each party may deliver its executed counterpart by hand, courier, mail, or in pdf format by email.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XEROX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Flor Colon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Acknowledged and Agreed to</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G. Bruno</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Officer Signature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Officer Name: </w:t>
            </w:r>
            <w:r>
              <w:rPr>
                <w:b/>
              </w:rPr>
              <w:t>John G. Bruno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Xerox Employee Number: </w:t>
            </w:r>
            <w:r>
              <w:rPr>
                <w:b/>
              </w:rPr>
              <w:t>50570254</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signed and returned to Xerox: August 14,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2"/>
        </w:rPr>
      </w:pPr>
      <w:r>
        <w:rPr>
          <w:rFonts w:ascii="ARIAL" w:hAnsi="ARIAL"/>
          <w:b/>
          <w:sz w:val="22"/>
        </w:rPr>
        <w:t xml:space="preserve">EXHIBIT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6"/>
        <w:gridCol w:w="123"/>
        <w:gridCol w:w="1405"/>
        <w:gridCol w:w="123"/>
        <w:gridCol w:w="7668"/>
      </w:tblGrid>
      <w:tr>
        <w:trPr/>
        <w:tc>
          <w:tcPr>
            <w:tcW w:w="8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68" w:type="dxa"/>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5" w:type="dxa"/>
            <w:tcBorders/>
          </w:tcPr>
          <w:p>
            <w:pPr>
              <w:pStyle w:val="TableContents"/>
              <w:bidi w:val="0"/>
              <w:spacing w:before="0" w:after="283"/>
              <w:jc w:val="left"/>
              <w:rPr>
                <w:b/>
              </w:rPr>
            </w:pPr>
            <w:r>
              <w:rPr>
                <w:b/>
              </w:rPr>
              <w:t>Name</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John Bruno</w:t>
            </w:r>
          </w:p>
        </w:tc>
      </w:tr>
      <w:tr>
        <w:trPr/>
        <w:tc>
          <w:tcPr>
            <w:tcW w:w="88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5" w:type="dxa"/>
            <w:tcBorders/>
          </w:tcPr>
          <w:p>
            <w:pPr>
              <w:pStyle w:val="TableContents"/>
              <w:bidi w:val="0"/>
              <w:spacing w:before="0" w:after="283"/>
              <w:jc w:val="left"/>
              <w:rPr>
                <w:b/>
              </w:rPr>
            </w:pPr>
            <w:r>
              <w:rPr>
                <w:b/>
              </w:rPr>
              <w:t>EE# ID</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50570264</w:t>
            </w:r>
          </w:p>
        </w:tc>
      </w:tr>
    </w:tbl>
    <w:p>
      <w:pPr>
        <w:pStyle w:val="TextBody"/>
        <w:bidi w:val="0"/>
        <w:spacing w:before="0" w:after="0"/>
        <w:jc w:val="left"/>
        <w:rPr/>
      </w:pPr>
      <w:r>
        <w:rPr/>
        <w:t> </w:t>
      </w:r>
    </w:p>
    <w:tbl>
      <w:tblPr>
        <w:tblW w:w="21210" w:type="dxa"/>
        <w:jc w:val="center"/>
        <w:tblInd w:w="0" w:type="dxa"/>
        <w:tblLayout w:type="fixed"/>
        <w:tblCellMar>
          <w:top w:w="0" w:type="dxa"/>
          <w:left w:w="0" w:type="dxa"/>
          <w:bottom w:w="0" w:type="dxa"/>
          <w:right w:w="0" w:type="dxa"/>
        </w:tblCellMar>
      </w:tblPr>
      <w:tblGrid>
        <w:gridCol w:w="635"/>
        <w:gridCol w:w="60"/>
        <w:gridCol w:w="1715"/>
        <w:gridCol w:w="60"/>
        <w:gridCol w:w="1625"/>
        <w:gridCol w:w="60"/>
        <w:gridCol w:w="1595"/>
        <w:gridCol w:w="60"/>
        <w:gridCol w:w="1580"/>
        <w:gridCol w:w="60"/>
        <w:gridCol w:w="965"/>
        <w:gridCol w:w="60"/>
        <w:gridCol w:w="1745"/>
        <w:gridCol w:w="60"/>
        <w:gridCol w:w="1265"/>
        <w:gridCol w:w="60"/>
        <w:gridCol w:w="1265"/>
        <w:gridCol w:w="60"/>
        <w:gridCol w:w="1835"/>
        <w:gridCol w:w="60"/>
        <w:gridCol w:w="1895"/>
        <w:gridCol w:w="60"/>
        <w:gridCol w:w="4430"/>
      </w:tblGrid>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30" w:type="dxa"/>
            <w:tcBorders/>
            <w:vAlign w:val="center"/>
          </w:tcPr>
          <w:p>
            <w:pPr>
              <w:pStyle w:val="TableContents"/>
              <w:bidi w:val="0"/>
              <w:spacing w:before="0" w:after="283"/>
              <w:jc w:val="left"/>
              <w:rPr>
                <w:sz w:val="4"/>
                <w:szCs w:val="4"/>
              </w:rPr>
            </w:pPr>
            <w:r>
              <w:rPr>
                <w:sz w:val="4"/>
                <w:szCs w:val="4"/>
              </w:rPr>
            </w:r>
          </w:p>
        </w:tc>
      </w:tr>
      <w:tr>
        <w:trPr/>
        <w:tc>
          <w:tcPr>
            <w:tcW w:w="2410" w:type="dxa"/>
            <w:gridSpan w:val="3"/>
            <w:tcBorders>
              <w:top w:val="single" w:sz="2" w:space="0" w:color="000000"/>
              <w:left w:val="single" w:sz="2" w:space="0" w:color="000000"/>
              <w:bottom w:val="single" w:sz="2" w:space="0" w:color="000000"/>
              <w:right w:val="single" w:sz="2" w:space="0" w:color="000000"/>
            </w:tcBorders>
            <w:shd w:fill="C00000" w:val="clear"/>
            <w:tcMar>
              <w:top w:w="28" w:type="dxa"/>
              <w:left w:w="160" w:type="dxa"/>
              <w:bottom w:w="8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1"/>
              </w:rPr>
            </w:pPr>
            <w:r>
              <w:rPr>
                <w:rFonts w:ascii="ARIAL" w:hAnsi="ARIAL"/>
                <w:b/>
                <w:color w:val="FFFFFF"/>
                <w:sz w:val="21"/>
              </w:rPr>
              <w:t>Dates</w:t>
            </w:r>
          </w:p>
        </w:tc>
        <w:tc>
          <w:tcPr>
            <w:tcW w:w="60" w:type="dxa"/>
            <w:tcBorders>
              <w:top w:val="single" w:sz="2" w:space="0" w:color="000000"/>
              <w:left w:val="single" w:sz="2" w:space="0" w:color="000000"/>
              <w:bottom w:val="single" w:sz="2" w:space="0" w:color="000000"/>
            </w:tcBorders>
            <w:shd w:fill="C00000" w:val="clear"/>
            <w:tcMar>
              <w:top w:w="28" w:type="dxa"/>
              <w:left w:w="28" w:type="dxa"/>
              <w:bottom w:w="28" w:type="dxa"/>
            </w:tcMar>
            <w:vAlign w:val="bottom"/>
          </w:tcPr>
          <w:p>
            <w:pPr>
              <w:pStyle w:val="TableContents"/>
              <w:bidi w:val="0"/>
              <w:spacing w:before="0" w:after="283"/>
              <w:jc w:val="left"/>
              <w:rPr/>
            </w:pPr>
            <w:r>
              <w:rPr/>
              <w:t> </w:t>
            </w:r>
          </w:p>
        </w:tc>
        <w:tc>
          <w:tcPr>
            <w:tcW w:w="3280" w:type="dxa"/>
            <w:gridSpan w:val="3"/>
            <w:tcBorders>
              <w:top w:val="single" w:sz="2" w:space="0" w:color="000000"/>
              <w:bottom w:val="single" w:sz="2" w:space="0" w:color="000000"/>
              <w:right w:val="single" w:sz="2" w:space="0" w:color="000000"/>
            </w:tcBorders>
            <w:shd w:fill="C00000"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shd w:fill="C00000" w:val="clear"/>
            <w:tcMar>
              <w:top w:w="28" w:type="dxa"/>
              <w:left w:w="28" w:type="dxa"/>
              <w:bottom w:w="28" w:type="dxa"/>
            </w:tcMar>
            <w:vAlign w:val="bottom"/>
          </w:tcPr>
          <w:p>
            <w:pPr>
              <w:pStyle w:val="TableContents"/>
              <w:bidi w:val="0"/>
              <w:spacing w:before="0" w:after="283"/>
              <w:jc w:val="left"/>
              <w:rPr/>
            </w:pPr>
            <w:r>
              <w:rPr/>
              <w:t> </w:t>
            </w:r>
          </w:p>
        </w:tc>
        <w:tc>
          <w:tcPr>
            <w:tcW w:w="2605" w:type="dxa"/>
            <w:gridSpan w:val="3"/>
            <w:tcBorders>
              <w:top w:val="single" w:sz="2" w:space="0" w:color="000000"/>
              <w:bottom w:val="single" w:sz="2" w:space="0" w:color="000000"/>
              <w:right w:val="single" w:sz="2" w:space="0" w:color="000000"/>
            </w:tcBorders>
            <w:shd w:fill="C00000" w:val="clear"/>
            <w:tcMar>
              <w:top w:w="28" w:type="dxa"/>
              <w:bottom w:w="8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1"/>
              </w:rPr>
            </w:pPr>
            <w:r>
              <w:rPr>
                <w:rFonts w:ascii="ARIAL" w:hAnsi="ARIAL"/>
                <w:b/>
                <w:color w:val="FFFFFF"/>
                <w:sz w:val="21"/>
              </w:rPr>
              <w:t>PSU Performance</w:t>
            </w:r>
          </w:p>
        </w:tc>
        <w:tc>
          <w:tcPr>
            <w:tcW w:w="60" w:type="dxa"/>
            <w:tcBorders>
              <w:top w:val="single" w:sz="2" w:space="0" w:color="000000"/>
              <w:left w:val="single" w:sz="2" w:space="0" w:color="000000"/>
              <w:bottom w:val="single" w:sz="2" w:space="0" w:color="000000"/>
            </w:tcBorders>
            <w:shd w:fill="C00000" w:val="clear"/>
            <w:tcMar>
              <w:top w:w="28" w:type="dxa"/>
              <w:left w:w="28" w:type="dxa"/>
              <w:bottom w:w="28" w:type="dxa"/>
            </w:tcMar>
            <w:vAlign w:val="bottom"/>
          </w:tcPr>
          <w:p>
            <w:pPr>
              <w:pStyle w:val="TableContents"/>
              <w:bidi w:val="0"/>
              <w:spacing w:before="0" w:after="283"/>
              <w:jc w:val="left"/>
              <w:rPr/>
            </w:pPr>
            <w:r>
              <w:rPr/>
              <w:t> </w:t>
            </w:r>
          </w:p>
        </w:tc>
        <w:tc>
          <w:tcPr>
            <w:tcW w:w="6290" w:type="dxa"/>
            <w:gridSpan w:val="7"/>
            <w:tcBorders>
              <w:top w:val="single" w:sz="2" w:space="0" w:color="000000"/>
              <w:bottom w:val="single" w:sz="2" w:space="0" w:color="000000"/>
              <w:right w:val="single" w:sz="2" w:space="0" w:color="000000"/>
            </w:tcBorders>
            <w:shd w:fill="C00000" w:val="clear"/>
            <w:tcMar>
              <w:top w:w="28" w:type="dxa"/>
              <w:bottom w:w="8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1"/>
              </w:rPr>
            </w:pPr>
            <w:r>
              <w:rPr>
                <w:rFonts w:ascii="ARIAL" w:hAnsi="ARIAL"/>
                <w:b/>
                <w:color w:val="FFFFFF"/>
                <w:sz w:val="21"/>
              </w:rPr>
              <w:t>Prorations</w:t>
            </w:r>
          </w:p>
        </w:tc>
        <w:tc>
          <w:tcPr>
            <w:tcW w:w="60" w:type="dxa"/>
            <w:tcBorders>
              <w:top w:val="single" w:sz="2" w:space="0" w:color="000000"/>
              <w:left w:val="single" w:sz="2" w:space="0" w:color="000000"/>
              <w:bottom w:val="single" w:sz="2" w:space="0" w:color="000000"/>
            </w:tcBorders>
            <w:shd w:fill="C00000" w:val="clear"/>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shd w:fill="C00000" w:val="clear"/>
            <w:tcMar>
              <w:top w:w="28" w:type="dxa"/>
              <w:bottom w:w="8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1"/>
              </w:rPr>
            </w:pPr>
            <w:r>
              <w:rPr>
                <w:rFonts w:ascii="ARIAL" w:hAnsi="ARIAL"/>
                <w:b/>
                <w:color w:val="FFFFFF"/>
                <w:sz w:val="21"/>
              </w:rPr>
              <w:t>Value1</w:t>
            </w:r>
          </w:p>
        </w:tc>
        <w:tc>
          <w:tcPr>
            <w:tcW w:w="60" w:type="dxa"/>
            <w:tcBorders>
              <w:top w:val="single" w:sz="2" w:space="0" w:color="000000"/>
              <w:left w:val="single" w:sz="2" w:space="0" w:color="000000"/>
              <w:bottom w:val="single" w:sz="2" w:space="0" w:color="000000"/>
            </w:tcBorders>
            <w:shd w:fill="C00000" w:val="clear"/>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shd w:fill="C00000" w:val="clear"/>
            <w:tcMar>
              <w:top w:w="28" w:type="dxa"/>
              <w:bottom w:w="80"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1"/>
              </w:rPr>
            </w:pPr>
            <w:r>
              <w:rPr>
                <w:rFonts w:ascii="ARIAL" w:hAnsi="ARIAL"/>
                <w:b/>
                <w:color w:val="FFFFFF"/>
                <w:sz w:val="21"/>
              </w:rPr>
              <w:t>Description</w:t>
            </w:r>
          </w:p>
        </w:tc>
      </w:tr>
      <w:tr>
        <w:trPr>
          <w:trHeight w:val="75" w:hRule="atLeast"/>
        </w:trPr>
        <w:tc>
          <w:tcPr>
            <w:tcW w:w="635" w:type="dxa"/>
            <w:tcBorders>
              <w:top w:val="single" w:sz="2" w:space="0" w:color="000000"/>
              <w:left w:val="single" w:sz="2" w:space="0" w:color="000000"/>
              <w:right w:val="single" w:sz="2" w:space="0" w:color="000000"/>
            </w:tcBorders>
            <w:shd w:fill="C00000" w:val="clear"/>
            <w:tcMar>
              <w:top w:w="28" w:type="dxa"/>
              <w:left w:w="160" w:type="dxa"/>
              <w:right w:w="28" w:type="dxa"/>
            </w:tcMar>
            <w:vAlign w:val="center"/>
          </w:tcPr>
          <w:p>
            <w:pPr>
              <w:pStyle w:val="TableContents"/>
              <w:bidi w:val="0"/>
              <w:spacing w:before="0" w:after="283"/>
              <w:jc w:val="left"/>
              <w:rPr/>
            </w:pPr>
            <w:r>
              <w:rPr/>
              <w:t> </w:t>
            </w:r>
          </w:p>
        </w:tc>
        <w:tc>
          <w:tcPr>
            <w:tcW w:w="1775"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c>
          <w:tcPr>
            <w:tcW w:w="1655"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c>
          <w:tcPr>
            <w:tcW w:w="1025"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c>
          <w:tcPr>
            <w:tcW w:w="1805"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c>
          <w:tcPr>
            <w:tcW w:w="1895"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c>
          <w:tcPr>
            <w:tcW w:w="1955"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c>
          <w:tcPr>
            <w:tcW w:w="4490" w:type="dxa"/>
            <w:gridSpan w:val="2"/>
            <w:tcBorders>
              <w:top w:val="single" w:sz="2" w:space="0" w:color="000000"/>
              <w:left w:val="single" w:sz="2" w:space="0" w:color="000000"/>
              <w:right w:val="single" w:sz="2" w:space="0" w:color="000000"/>
            </w:tcBorders>
            <w:shd w:fill="C00000" w:val="clear"/>
            <w:tcMar>
              <w:top w:w="28" w:type="dxa"/>
              <w:left w:w="28" w:type="dxa"/>
              <w:right w:w="28" w:type="dxa"/>
            </w:tcMar>
            <w:vAlign w:val="center"/>
          </w:tcPr>
          <w:p>
            <w:pPr>
              <w:pStyle w:val="TableContents"/>
              <w:bidi w:val="0"/>
              <w:spacing w:before="0" w:after="283"/>
              <w:jc w:val="left"/>
              <w:rPr/>
            </w:pPr>
            <w:r>
              <w:rPr/>
              <w:t> </w:t>
            </w:r>
          </w:p>
        </w:tc>
      </w:tr>
      <w:tr>
        <w:trPr/>
        <w:tc>
          <w:tcPr>
            <w:tcW w:w="635" w:type="dxa"/>
            <w:tcBorders>
              <w:left w:val="single" w:sz="2" w:space="0" w:color="000000"/>
              <w:bottom w:val="single" w:sz="2" w:space="0" w:color="000000"/>
              <w:right w:val="single" w:sz="2" w:space="0" w:color="000000"/>
            </w:tcBorders>
            <w:shd w:fill="C00000" w:val="clear"/>
            <w:tcMar>
              <w:left w:w="160" w:type="dxa"/>
              <w:bottom w:w="28" w:type="dxa"/>
              <w:right w:w="28" w:type="dxa"/>
            </w:tcMar>
            <w:vAlign w:val="center"/>
          </w:tcPr>
          <w:p>
            <w:pPr>
              <w:pStyle w:val="TableContents"/>
              <w:bidi w:val="0"/>
              <w:spacing w:before="0" w:after="283"/>
              <w:jc w:val="center"/>
              <w:rPr>
                <w:b/>
                <w:color w:val="FFFFFF"/>
              </w:rPr>
            </w:pPr>
            <w:r>
              <w:rPr>
                <w:b/>
                <w:color w:val="FFFFFF"/>
              </w:rPr>
              <w:t>Grant</w:t>
              <w:br/>
              <w:t>Date</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1715" w:type="dxa"/>
            <w:tcBorders>
              <w:bottom w:val="single" w:sz="2" w:space="0" w:color="000000"/>
              <w:right w:val="single" w:sz="2" w:space="0" w:color="000000"/>
            </w:tcBorders>
            <w:shd w:fill="C00000" w:val="clear"/>
            <w:tcMar>
              <w:bottom w:w="28" w:type="dxa"/>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21"/>
              </w:rPr>
              <w:t>Full Term Vest </w:t>
              <w:br/>
              <w:t> Date </w:t>
            </w:r>
          </w:p>
          <w:p>
            <w:pPr>
              <w:pStyle w:val="TableContents"/>
              <w:bidi w:val="0"/>
              <w:spacing w:before="0" w:after="20"/>
              <w:jc w:val="center"/>
              <w:rPr>
                <w:color w:val="FFFFFF"/>
              </w:rPr>
            </w:pPr>
            <w:r>
              <w:rPr>
                <w:color w:val="FFFFFF"/>
              </w:rPr>
              <w:t> </w:t>
            </w:r>
            <w:r>
              <w:rPr>
                <w:rFonts w:ascii="ARIAL" w:hAnsi="ARIAL"/>
                <w:b/>
                <w:color w:val="FFFFFF"/>
                <w:sz w:val="21"/>
              </w:rPr>
              <w:t>(by tranche) </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1625" w:type="dxa"/>
            <w:tcBorders>
              <w:bottom w:val="single" w:sz="2" w:space="0" w:color="000000"/>
              <w:right w:val="single" w:sz="2" w:space="0" w:color="000000"/>
            </w:tcBorders>
            <w:shd w:fill="C00000" w:val="clear"/>
            <w:tcMar>
              <w:bottom w:w="28" w:type="dxa"/>
              <w:right w:w="28" w:type="dxa"/>
            </w:tcMar>
            <w:vAlign w:val="center"/>
          </w:tcPr>
          <w:p>
            <w:pPr>
              <w:pStyle w:val="TableContents"/>
              <w:bidi w:val="0"/>
              <w:spacing w:before="0" w:after="283"/>
              <w:jc w:val="center"/>
              <w:rPr>
                <w:color w:val="FFFFFF"/>
              </w:rPr>
            </w:pPr>
            <w:r>
              <w:rPr>
                <w:color w:val="FFFFFF"/>
              </w:rPr>
              <w:t> </w:t>
            </w:r>
            <w:r>
              <w:rPr>
                <w:b/>
                <w:color w:val="FFFFFF"/>
              </w:rPr>
              <w:t>RSU Awards </w:t>
              <w:br/>
              <w:t> (by tranche) </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1595" w:type="dxa"/>
            <w:tcBorders>
              <w:bottom w:val="single" w:sz="2" w:space="0" w:color="000000"/>
              <w:right w:val="single" w:sz="2" w:space="0" w:color="000000"/>
            </w:tcBorders>
            <w:shd w:fill="C00000" w:val="clear"/>
            <w:tcMar>
              <w:bottom w:w="28" w:type="dxa"/>
              <w:right w:w="28" w:type="dxa"/>
            </w:tcMar>
            <w:vAlign w:val="center"/>
          </w:tcPr>
          <w:p>
            <w:pPr>
              <w:pStyle w:val="TableContents"/>
              <w:bidi w:val="0"/>
              <w:spacing w:before="0" w:after="283"/>
              <w:jc w:val="center"/>
              <w:rPr>
                <w:color w:val="FFFFFF"/>
              </w:rPr>
            </w:pPr>
            <w:r>
              <w:rPr>
                <w:color w:val="FFFFFF"/>
              </w:rPr>
              <w:t> </w:t>
            </w:r>
            <w:r>
              <w:rPr>
                <w:b/>
                <w:color w:val="FFFFFF"/>
              </w:rPr>
              <w:t>PSU Awards </w:t>
              <w:br/>
              <w:t> (by tranche) </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1580" w:type="dxa"/>
            <w:tcBorders>
              <w:bottom w:val="single" w:sz="2" w:space="0" w:color="000000"/>
              <w:right w:val="single" w:sz="2" w:space="0" w:color="000000"/>
            </w:tcBorders>
            <w:shd w:fill="C00000" w:val="clear"/>
            <w:tcMar>
              <w:bottom w:w="28" w:type="dxa"/>
              <w:right w:w="28" w:type="dxa"/>
            </w:tcMar>
            <w:vAlign w:val="center"/>
          </w:tcPr>
          <w:p>
            <w:pPr>
              <w:pStyle w:val="TableContents"/>
              <w:bidi w:val="0"/>
              <w:spacing w:before="0" w:after="283"/>
              <w:jc w:val="center"/>
              <w:rPr>
                <w:color w:val="FFFFFF"/>
              </w:rPr>
            </w:pPr>
            <w:r>
              <w:rPr>
                <w:color w:val="FFFFFF"/>
              </w:rPr>
              <w:t> </w:t>
            </w:r>
            <w:r>
              <w:rPr>
                <w:b/>
                <w:color w:val="FFFFFF"/>
              </w:rPr>
              <w:t>Performance </w:t>
              <w:br/>
              <w:t>Factor</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965" w:type="dxa"/>
            <w:tcBorders>
              <w:bottom w:val="single" w:sz="2" w:space="0" w:color="000000"/>
              <w:right w:val="single" w:sz="2" w:space="0" w:color="000000"/>
            </w:tcBorders>
            <w:shd w:fill="C00000" w:val="clear"/>
            <w:tcMar>
              <w:bottom w:w="28" w:type="dxa"/>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21"/>
              </w:rPr>
              <w:t>Perf </w:t>
              <w:br/>
              <w:t> Shares </w:t>
            </w:r>
          </w:p>
          <w:p>
            <w:pPr>
              <w:pStyle w:val="TableContents"/>
              <w:bidi w:val="0"/>
              <w:spacing w:before="0" w:after="20"/>
              <w:jc w:val="center"/>
              <w:rPr>
                <w:color w:val="FFFFFF"/>
              </w:rPr>
            </w:pPr>
            <w:r>
              <w:rPr>
                <w:color w:val="FFFFFF"/>
              </w:rPr>
              <w:t> </w:t>
            </w:r>
            <w:r>
              <w:rPr>
                <w:rFonts w:ascii="ARIAL" w:hAnsi="ARIAL"/>
                <w:b/>
                <w:color w:val="FFFFFF"/>
                <w:sz w:val="21"/>
              </w:rPr>
              <w:t>Earned </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1745" w:type="dxa"/>
            <w:tcBorders>
              <w:bottom w:val="single" w:sz="2" w:space="0" w:color="000000"/>
              <w:right w:val="single" w:sz="2" w:space="0" w:color="000000"/>
            </w:tcBorders>
            <w:shd w:fill="C00000" w:val="clear"/>
            <w:tcMar>
              <w:bottom w:w="28" w:type="dxa"/>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21"/>
              </w:rPr>
              <w:t>No of Months </w:t>
            </w:r>
          </w:p>
          <w:p>
            <w:pPr>
              <w:pStyle w:val="TableContents"/>
              <w:bidi w:val="0"/>
              <w:spacing w:before="0" w:after="0"/>
              <w:jc w:val="center"/>
              <w:rPr>
                <w:color w:val="FFFFFF"/>
              </w:rPr>
            </w:pPr>
            <w:r>
              <w:rPr>
                <w:color w:val="FFFFFF"/>
              </w:rPr>
              <w:t> </w:t>
            </w:r>
            <w:r>
              <w:rPr>
                <w:rFonts w:ascii="ARIAL" w:hAnsi="ARIAL"/>
                <w:b/>
                <w:color w:val="FFFFFF"/>
                <w:sz w:val="21"/>
              </w:rPr>
              <w:t>between Grant </w:t>
            </w:r>
          </w:p>
          <w:p>
            <w:pPr>
              <w:pStyle w:val="TableContents"/>
              <w:bidi w:val="0"/>
              <w:spacing w:before="0" w:after="0"/>
              <w:jc w:val="center"/>
              <w:rPr>
                <w:color w:val="FFFFFF"/>
              </w:rPr>
            </w:pPr>
            <w:r>
              <w:rPr>
                <w:color w:val="FFFFFF"/>
              </w:rPr>
              <w:t> </w:t>
            </w:r>
            <w:r>
              <w:rPr>
                <w:rFonts w:ascii="ARIAL" w:hAnsi="ARIAL"/>
                <w:b/>
                <w:color w:val="FFFFFF"/>
                <w:sz w:val="21"/>
              </w:rPr>
              <w:t>Date to Term </w:t>
            </w:r>
          </w:p>
          <w:p>
            <w:pPr>
              <w:pStyle w:val="TableContents"/>
              <w:bidi w:val="0"/>
              <w:spacing w:before="0" w:after="20"/>
              <w:jc w:val="center"/>
              <w:rPr>
                <w:color w:val="FFFFFF"/>
              </w:rPr>
            </w:pPr>
            <w:r>
              <w:rPr>
                <w:color w:val="FFFFFF"/>
              </w:rPr>
              <w:t> </w:t>
            </w:r>
            <w:r>
              <w:rPr>
                <w:rFonts w:ascii="ARIAL" w:hAnsi="ARIAL"/>
                <w:b/>
                <w:color w:val="FFFFFF"/>
                <w:sz w:val="21"/>
              </w:rPr>
              <w:t>Date </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shd w:fill="C00000" w:val="clear"/>
            <w:tcMar>
              <w:bottom w:w="28" w:type="dxa"/>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21"/>
              </w:rPr>
              <w:t>No of Full </w:t>
            </w:r>
          </w:p>
          <w:p>
            <w:pPr>
              <w:pStyle w:val="TableContents"/>
              <w:bidi w:val="0"/>
              <w:spacing w:before="0" w:after="0"/>
              <w:jc w:val="center"/>
              <w:rPr>
                <w:color w:val="FFFFFF"/>
              </w:rPr>
            </w:pPr>
            <w:r>
              <w:rPr>
                <w:color w:val="FFFFFF"/>
              </w:rPr>
              <w:t> </w:t>
            </w:r>
            <w:r>
              <w:rPr>
                <w:rFonts w:ascii="ARIAL" w:hAnsi="ARIAL"/>
                <w:b/>
                <w:color w:val="FFFFFF"/>
                <w:sz w:val="21"/>
              </w:rPr>
              <w:t>Months </w:t>
              <w:br/>
              <w:t> Employed </w:t>
              <w:br/>
              <w:t> months in </w:t>
            </w:r>
          </w:p>
          <w:p>
            <w:pPr>
              <w:pStyle w:val="TableContents"/>
              <w:bidi w:val="0"/>
              <w:spacing w:before="0" w:after="20"/>
              <w:jc w:val="center"/>
              <w:rPr>
                <w:color w:val="FFFFFF"/>
              </w:rPr>
            </w:pPr>
            <w:r>
              <w:rPr>
                <w:color w:val="FFFFFF"/>
              </w:rPr>
              <w:t> </w:t>
            </w:r>
            <w:r>
              <w:rPr>
                <w:rFonts w:ascii="ARIAL" w:hAnsi="ARIAL"/>
                <w:b/>
                <w:color w:val="FFFFFF"/>
                <w:sz w:val="21"/>
              </w:rPr>
              <w:t>Full Term </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shd w:fill="C00000" w:val="clear"/>
            <w:tcMar>
              <w:bottom w:w="28" w:type="dxa"/>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21"/>
              </w:rPr>
              <w:t>Pro-ration </w:t>
            </w:r>
          </w:p>
          <w:p>
            <w:pPr>
              <w:pStyle w:val="TableContents"/>
              <w:bidi w:val="0"/>
              <w:spacing w:before="0" w:after="20"/>
              <w:jc w:val="center"/>
              <w:rPr>
                <w:rFonts w:ascii="ARIAL" w:hAnsi="ARIAL"/>
                <w:b/>
                <w:color w:val="FFFFFF"/>
                <w:sz w:val="21"/>
              </w:rPr>
            </w:pPr>
            <w:r>
              <w:rPr>
                <w:rFonts w:ascii="ARIAL" w:hAnsi="ARIAL"/>
                <w:b/>
                <w:color w:val="FFFFFF"/>
                <w:sz w:val="21"/>
              </w:rPr>
              <w:t>%</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1835" w:type="dxa"/>
            <w:tcBorders>
              <w:bottom w:val="single" w:sz="2" w:space="0" w:color="000000"/>
              <w:right w:val="single" w:sz="2" w:space="0" w:color="000000"/>
            </w:tcBorders>
            <w:shd w:fill="C00000" w:val="clear"/>
            <w:tcMar>
              <w:bottom w:w="28" w:type="dxa"/>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21"/>
              </w:rPr>
              <w:t>RSUs and </w:t>
              <w:br/>
              <w:t> earned PSUs </w:t>
              <w:br/>
              <w:t> (based on </w:t>
            </w:r>
          </w:p>
          <w:p>
            <w:pPr>
              <w:pStyle w:val="TableContents"/>
              <w:bidi w:val="0"/>
              <w:spacing w:before="0" w:after="20"/>
              <w:jc w:val="center"/>
              <w:rPr>
                <w:color w:val="FFFFFF"/>
              </w:rPr>
            </w:pPr>
            <w:r>
              <w:rPr>
                <w:color w:val="FFFFFF"/>
              </w:rPr>
              <w:t> </w:t>
            </w:r>
            <w:r>
              <w:rPr>
                <w:rFonts w:ascii="ARIAL" w:hAnsi="ARIAL"/>
                <w:b/>
                <w:color w:val="FFFFFF"/>
                <w:sz w:val="21"/>
              </w:rPr>
              <w:t>assumptions)2  </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1895" w:type="dxa"/>
            <w:tcBorders>
              <w:bottom w:val="single" w:sz="2" w:space="0" w:color="000000"/>
              <w:right w:val="single" w:sz="2" w:space="0" w:color="000000"/>
            </w:tcBorders>
            <w:shd w:fill="C00000" w:val="clear"/>
            <w:tcMar>
              <w:bottom w:w="28" w:type="dxa"/>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21"/>
              </w:rPr>
              <w:t>Estimated Value </w:t>
              <w:br/>
              <w:t> (Based on $4.20 </w:t>
            </w:r>
          </w:p>
          <w:p>
            <w:pPr>
              <w:pStyle w:val="TableContents"/>
              <w:bidi w:val="0"/>
              <w:spacing w:before="0" w:after="20"/>
              <w:jc w:val="center"/>
              <w:rPr>
                <w:color w:val="FFFFFF"/>
              </w:rPr>
            </w:pPr>
            <w:r>
              <w:rPr>
                <w:color w:val="FFFFFF"/>
              </w:rPr>
              <w:t> </w:t>
            </w:r>
            <w:r>
              <w:rPr>
                <w:rFonts w:ascii="ARIAL" w:hAnsi="ARIAL"/>
                <w:b/>
                <w:color w:val="FFFFFF"/>
                <w:sz w:val="21"/>
              </w:rPr>
              <w:t>share price) </w:t>
            </w:r>
          </w:p>
        </w:tc>
        <w:tc>
          <w:tcPr>
            <w:tcW w:w="60" w:type="dxa"/>
            <w:tcBorders>
              <w:left w:val="single" w:sz="2" w:space="0" w:color="000000"/>
              <w:bottom w:val="single" w:sz="2" w:space="0" w:color="000000"/>
            </w:tcBorders>
            <w:shd w:fill="C00000" w:val="clear"/>
            <w:tcMar>
              <w:left w:w="28" w:type="dxa"/>
              <w:bottom w:w="28" w:type="dxa"/>
            </w:tcMar>
            <w:vAlign w:val="bottom"/>
          </w:tcPr>
          <w:p>
            <w:pPr>
              <w:pStyle w:val="TableContents"/>
              <w:bidi w:val="0"/>
              <w:spacing w:before="0" w:after="283"/>
              <w:jc w:val="left"/>
              <w:rPr/>
            </w:pPr>
            <w:r>
              <w:rPr/>
              <w:t> </w:t>
            </w:r>
          </w:p>
        </w:tc>
        <w:tc>
          <w:tcPr>
            <w:tcW w:w="4430" w:type="dxa"/>
            <w:tcBorders>
              <w:bottom w:val="single" w:sz="2" w:space="0" w:color="000000"/>
              <w:right w:val="single" w:sz="2" w:space="0" w:color="000000"/>
            </w:tcBorders>
            <w:shd w:fill="C00000" w:val="clear"/>
            <w:tcMar>
              <w:bottom w:w="28" w:type="dxa"/>
              <w:right w:w="40" w:type="dxa"/>
            </w:tcMar>
            <w:vAlign w:val="center"/>
          </w:tcPr>
          <w:p>
            <w:pPr>
              <w:pStyle w:val="TableContents"/>
              <w:bidi w:val="0"/>
              <w:spacing w:before="0" w:after="283"/>
              <w:jc w:val="center"/>
              <w:rPr>
                <w:b/>
                <w:color w:val="FFFFFF"/>
              </w:rPr>
            </w:pPr>
            <w:r>
              <w:rPr>
                <w:b/>
                <w:color w:val="FFFFFF"/>
              </w:rPr>
              <w:t>Grant Detail</w:t>
            </w:r>
          </w:p>
        </w:tc>
      </w:tr>
      <w:tr>
        <w:trPr/>
        <w:tc>
          <w:tcPr>
            <w:tcW w:w="63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2410" w:type="dxa"/>
            <w:gridSpan w:val="3"/>
            <w:tcBorders>
              <w:left w:val="single" w:sz="2" w:space="0" w:color="000000"/>
            </w:tcBorders>
            <w:shd w:fill="000000" w:val="clear"/>
            <w:tcMar>
              <w:left w:w="160" w:type="dxa"/>
            </w:tcMar>
            <w:vAlign w:val="center"/>
          </w:tcPr>
          <w:p>
            <w:pPr>
              <w:pStyle w:val="TableContents"/>
              <w:bidi w:val="0"/>
              <w:spacing w:before="0" w:after="283"/>
              <w:jc w:val="left"/>
              <w:rPr>
                <w:b/>
                <w:color w:val="FFFFFF"/>
              </w:rPr>
            </w:pPr>
            <w:r>
              <w:rPr>
                <w:b/>
                <w:color w:val="FFFFFF"/>
              </w:rPr>
              <w:t>Restricted Shares</w:t>
            </w:r>
          </w:p>
        </w:tc>
        <w:tc>
          <w:tcPr>
            <w:tcW w:w="60" w:type="dxa"/>
            <w:tcBorders/>
            <w:shd w:fill="000000" w:val="clear"/>
            <w:vAlign w:val="bottom"/>
          </w:tcPr>
          <w:p>
            <w:pPr>
              <w:pStyle w:val="TableContents"/>
              <w:bidi w:val="0"/>
              <w:spacing w:before="0" w:after="283"/>
              <w:jc w:val="left"/>
              <w:rPr/>
            </w:pPr>
            <w:r>
              <w:rPr/>
              <w:t> </w:t>
            </w:r>
          </w:p>
        </w:tc>
        <w:tc>
          <w:tcPr>
            <w:tcW w:w="16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59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58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96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74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26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26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8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89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4430" w:type="dxa"/>
            <w:tcBorders>
              <w:right w:val="single" w:sz="2" w:space="0" w:color="000000"/>
            </w:tcBorders>
            <w:shd w:fill="000000" w:val="clear"/>
            <w:tcMar>
              <w:right w:w="40" w:type="dxa"/>
            </w:tcMar>
            <w:vAlign w:val="center"/>
          </w:tcPr>
          <w:p>
            <w:pPr>
              <w:pStyle w:val="TableContents"/>
              <w:bidi w:val="0"/>
              <w:spacing w:before="0" w:after="283"/>
              <w:jc w:val="left"/>
              <w:rPr/>
            </w:pPr>
            <w:r>
              <w:rPr/>
              <w:t> </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3/11/2025 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3/11/2026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181,405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12</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12</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181,405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$761,901</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2025 RSU grant - 1st  tranche</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3/11/2025 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6/11/2026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$190,504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2025 RSU grant -2nd tranche</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3/11/2025 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9/11/2026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$190,504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2025 RSU grant - 3rd tranche</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3/11/2025 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12/11/2026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$190,504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2025 RSU grant - 4th tranche</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3/11/2025 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3/11/2027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$190,504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2025 RSU grant - 5th tranche</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3/11/2025 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6/11/2027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$190,504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2025 RSU grant - 6th tranche</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3/11/2025 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9/11/2027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$190,504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2025 RSU grant - 7th tranche</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3/11/2025 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12/11/2027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$190,499</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2025 RSU grant - 8th tranche</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3/11/2025 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3/11/2028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45,358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$190,504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2025 RSU grant - 9th tranche</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b/>
              </w:rPr>
            </w:pPr>
            <w:r>
              <w:rPr>
                <w:b/>
              </w:rPr>
              <w:t>544,268</w:t>
            </w:r>
          </w:p>
        </w:tc>
        <w:tc>
          <w:tcPr>
            <w:tcW w:w="60" w:type="dxa"/>
            <w:tcBorders/>
            <w:vAlign w:val="bottom"/>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pPr>
            <w:r>
              <w:rPr/>
              <w:t>544,268</w:t>
            </w:r>
          </w:p>
        </w:tc>
        <w:tc>
          <w:tcPr>
            <w:tcW w:w="60" w:type="dxa"/>
            <w:tcBorders/>
            <w:vAlign w:val="bottom"/>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$2,285,926</w:t>
            </w:r>
          </w:p>
        </w:tc>
        <w:tc>
          <w:tcPr>
            <w:tcW w:w="60" w:type="dxa"/>
            <w:tcBorders/>
            <w:vAlign w:val="bottom"/>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sz w:val="4"/>
                <w:szCs w:val="4"/>
              </w:rPr>
            </w:pPr>
            <w:r>
              <w:rPr>
                <w:sz w:val="4"/>
                <w:szCs w:val="4"/>
              </w:rPr>
            </w:r>
          </w:p>
        </w:tc>
      </w:tr>
      <w:tr>
        <w:trPr/>
        <w:tc>
          <w:tcPr>
            <w:tcW w:w="635" w:type="dxa"/>
            <w:tcBorders>
              <w:top w:val="single" w:sz="2" w:space="0" w:color="000000"/>
              <w:left w:val="single" w:sz="2" w:space="0" w:color="000000"/>
            </w:tcBorders>
            <w:shd w:fill="808080" w:val="clear"/>
            <w:tcMar>
              <w:top w:w="28" w:type="dxa"/>
              <w:left w:w="160"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71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62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59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580"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96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74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26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26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83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89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4430" w:type="dxa"/>
            <w:tcBorders>
              <w:top w:val="single" w:sz="2" w:space="0" w:color="000000"/>
              <w:right w:val="single" w:sz="2" w:space="0" w:color="000000"/>
            </w:tcBorders>
            <w:shd w:fill="808080" w:val="clear"/>
            <w:tcMar>
              <w:top w:w="28" w:type="dxa"/>
              <w:right w:w="40" w:type="dxa"/>
            </w:tcMar>
            <w:vAlign w:val="center"/>
          </w:tcPr>
          <w:p>
            <w:pPr>
              <w:pStyle w:val="TableContents"/>
              <w:bidi w:val="0"/>
              <w:spacing w:before="0" w:after="283"/>
              <w:jc w:val="left"/>
              <w:rPr/>
            </w:pPr>
            <w:r>
              <w:rPr/>
              <w:t> </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3/11/2024 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3/11/2025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71,125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71,125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$298,725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Vested prior to termination date of 08-31-2025</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3/11/2024 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3/11/2026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71,125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71,125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$298,725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2024 RSU grant - 2nd tranche</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3/11/2024 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3/11/2027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71,147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71,147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$298,817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2024 RSU grant - 3rd tranche</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b/>
              </w:rPr>
            </w:pPr>
            <w:r>
              <w:rPr>
                <w:b/>
              </w:rPr>
              <w:t>213,397</w:t>
            </w:r>
          </w:p>
        </w:tc>
        <w:tc>
          <w:tcPr>
            <w:tcW w:w="60" w:type="dxa"/>
            <w:tcBorders/>
            <w:vAlign w:val="bottom"/>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pPr>
            <w:r>
              <w:rPr/>
              <w:t>142,272</w:t>
            </w:r>
          </w:p>
        </w:tc>
        <w:tc>
          <w:tcPr>
            <w:tcW w:w="60" w:type="dxa"/>
            <w:tcBorders/>
            <w:vAlign w:val="bottom"/>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$597,542</w:t>
            </w:r>
          </w:p>
        </w:tc>
        <w:tc>
          <w:tcPr>
            <w:tcW w:w="60" w:type="dxa"/>
            <w:tcBorders/>
            <w:vAlign w:val="bottom"/>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sz w:val="4"/>
                <w:szCs w:val="4"/>
              </w:rPr>
            </w:pPr>
            <w:r>
              <w:rPr>
                <w:sz w:val="4"/>
                <w:szCs w:val="4"/>
              </w:rPr>
            </w:r>
          </w:p>
        </w:tc>
      </w:tr>
      <w:tr>
        <w:trPr/>
        <w:tc>
          <w:tcPr>
            <w:tcW w:w="635" w:type="dxa"/>
            <w:tcBorders>
              <w:top w:val="single" w:sz="2" w:space="0" w:color="000000"/>
              <w:left w:val="single" w:sz="2" w:space="0" w:color="000000"/>
            </w:tcBorders>
            <w:shd w:fill="808080" w:val="clear"/>
            <w:tcMar>
              <w:top w:w="28" w:type="dxa"/>
              <w:left w:w="160"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71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62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59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580"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96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74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26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26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83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1895" w:type="dxa"/>
            <w:tcBorders>
              <w:top w:val="single" w:sz="2" w:space="0" w:color="000000"/>
            </w:tcBorders>
            <w:shd w:fill="808080" w:val="clear"/>
            <w:tcMar>
              <w:top w:w="28" w:type="dxa"/>
            </w:tcMar>
            <w:vAlign w:val="center"/>
          </w:tcPr>
          <w:p>
            <w:pPr>
              <w:pStyle w:val="TableContents"/>
              <w:bidi w:val="0"/>
              <w:spacing w:before="0" w:after="283"/>
              <w:jc w:val="left"/>
              <w:rPr/>
            </w:pPr>
            <w:r>
              <w:rPr/>
              <w:t> </w:t>
            </w:r>
          </w:p>
        </w:tc>
        <w:tc>
          <w:tcPr>
            <w:tcW w:w="60" w:type="dxa"/>
            <w:tcBorders>
              <w:top w:val="single" w:sz="2" w:space="0" w:color="000000"/>
            </w:tcBorders>
            <w:shd w:fill="808080" w:val="clear"/>
            <w:tcMar>
              <w:top w:w="28" w:type="dxa"/>
            </w:tcMar>
            <w:vAlign w:val="bottom"/>
          </w:tcPr>
          <w:p>
            <w:pPr>
              <w:pStyle w:val="TableContents"/>
              <w:bidi w:val="0"/>
              <w:spacing w:before="0" w:after="283"/>
              <w:jc w:val="left"/>
              <w:rPr/>
            </w:pPr>
            <w:r>
              <w:rPr/>
              <w:t> </w:t>
            </w:r>
          </w:p>
        </w:tc>
        <w:tc>
          <w:tcPr>
            <w:tcW w:w="4430" w:type="dxa"/>
            <w:tcBorders>
              <w:top w:val="single" w:sz="2" w:space="0" w:color="000000"/>
              <w:right w:val="single" w:sz="2" w:space="0" w:color="000000"/>
            </w:tcBorders>
            <w:shd w:fill="808080" w:val="clear"/>
            <w:tcMar>
              <w:top w:w="28" w:type="dxa"/>
              <w:right w:w="40" w:type="dxa"/>
            </w:tcMar>
            <w:vAlign w:val="center"/>
          </w:tcPr>
          <w:p>
            <w:pPr>
              <w:pStyle w:val="TableContents"/>
              <w:bidi w:val="0"/>
              <w:spacing w:before="0" w:after="283"/>
              <w:jc w:val="left"/>
              <w:rPr/>
            </w:pPr>
            <w:r>
              <w:rPr/>
              <w:t> </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1/18/2023 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1/18/2024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35,378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35,378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$148,588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Vested prior to termination date of 08-31-2025</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1/18/2023 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1/18/2025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35,379</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35,379</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$148,592</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Vested prior to termination date of 08-31-2025</w:t>
            </w:r>
          </w:p>
        </w:tc>
      </w:tr>
      <w:tr>
        <w:trPr/>
        <w:tc>
          <w:tcPr>
            <w:tcW w:w="63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sz w:val="21"/>
              </w:rPr>
            </w:pPr>
            <w:r>
              <w:rPr>
                <w:rFonts w:ascii="ARIAL" w:hAnsi="ARIAL"/>
                <w:sz w:val="21"/>
              </w:rPr>
              <w:t>1/18/2023 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1/18/2026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36,450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100%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36,450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$153,090</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3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left"/>
              <w:rPr/>
            </w:pPr>
            <w:r>
              <w:rPr/>
              <w:t>Annual 2023 RSU grant - 3rd tranche</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b/>
              </w:rPr>
            </w:pPr>
            <w:r>
              <w:rPr>
                <w:b/>
              </w:rPr>
              <w:t>107,207</w:t>
            </w:r>
          </w:p>
        </w:tc>
        <w:tc>
          <w:tcPr>
            <w:tcW w:w="60" w:type="dxa"/>
            <w:tcBorders/>
            <w:vAlign w:val="bottom"/>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pPr>
            <w:r>
              <w:rPr/>
              <w:t>36,450</w:t>
            </w:r>
          </w:p>
        </w:tc>
        <w:tc>
          <w:tcPr>
            <w:tcW w:w="60" w:type="dxa"/>
            <w:tcBorders/>
            <w:vAlign w:val="bottom"/>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$153,090</w:t>
            </w:r>
          </w:p>
        </w:tc>
        <w:tc>
          <w:tcPr>
            <w:tcW w:w="60" w:type="dxa"/>
            <w:tcBorders/>
            <w:vAlign w:val="bottom"/>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2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90" w:type="dxa"/>
            <w:gridSpan w:val="3"/>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sz w:val="4"/>
                <w:szCs w:val="4"/>
              </w:rPr>
            </w:pPr>
            <w:r>
              <w:rPr>
                <w:sz w:val="4"/>
                <w:szCs w:val="4"/>
              </w:rPr>
            </w:r>
          </w:p>
        </w:tc>
      </w:tr>
      <w:tr>
        <w:trPr/>
        <w:tc>
          <w:tcPr>
            <w:tcW w:w="635"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1715"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1625"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1595"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1580"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965"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1745"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1265"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1265"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1835"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1895" w:type="dxa"/>
            <w:tcBorders/>
            <w:shd w:fill="808080" w:val="clear"/>
            <w:vAlign w:val="center"/>
          </w:tcPr>
          <w:p>
            <w:pPr>
              <w:pStyle w:val="TableContents"/>
              <w:bidi w:val="0"/>
              <w:spacing w:before="0" w:after="283"/>
              <w:jc w:val="left"/>
              <w:rPr>
                <w:sz w:val="4"/>
                <w:szCs w:val="4"/>
              </w:rPr>
            </w:pPr>
            <w:r>
              <w:rPr>
                <w:sz w:val="4"/>
                <w:szCs w:val="4"/>
              </w:rPr>
            </w:r>
          </w:p>
        </w:tc>
        <w:tc>
          <w:tcPr>
            <w:tcW w:w="60" w:type="dxa"/>
            <w:tcBorders/>
            <w:shd w:fill="808080" w:val="clear"/>
            <w:vAlign w:val="bottom"/>
          </w:tcPr>
          <w:p>
            <w:pPr>
              <w:pStyle w:val="TableContents"/>
              <w:bidi w:val="0"/>
              <w:spacing w:before="0" w:after="283"/>
              <w:jc w:val="left"/>
              <w:rPr/>
            </w:pPr>
            <w:r>
              <w:rPr/>
              <w:t> </w:t>
            </w:r>
          </w:p>
        </w:tc>
        <w:tc>
          <w:tcPr>
            <w:tcW w:w="4430" w:type="dxa"/>
            <w:tcBorders/>
            <w:shd w:fill="808080" w:val="clear"/>
            <w:vAlign w:val="center"/>
          </w:tcPr>
          <w:p>
            <w:pPr>
              <w:pStyle w:val="TableContents"/>
              <w:bidi w:val="0"/>
              <w:spacing w:before="0" w:after="283"/>
              <w:jc w:val="left"/>
              <w:rPr>
                <w:sz w:val="4"/>
                <w:szCs w:val="4"/>
              </w:rPr>
            </w:pPr>
            <w:r>
              <w:rPr>
                <w:sz w:val="4"/>
                <w:szCs w:val="4"/>
              </w:rPr>
            </w:r>
          </w:p>
        </w:tc>
      </w:tr>
      <w:tr>
        <w:trPr/>
        <w:tc>
          <w:tcPr>
            <w:tcW w:w="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2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90" w:type="dxa"/>
            <w:gridSpan w:val="3"/>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b/>
              </w:rPr>
            </w:pPr>
            <w:r>
              <w:rPr>
                <w:b/>
              </w:rPr>
              <w:t>Total RSUs</w:t>
            </w:r>
          </w:p>
        </w:tc>
        <w:tc>
          <w:tcPr>
            <w:tcW w:w="60" w:type="dxa"/>
            <w:tcBorders/>
            <w:vAlign w:val="bottom"/>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b/>
              </w:rPr>
            </w:pPr>
            <w:r>
              <w:rPr>
                <w:b/>
              </w:rPr>
              <w:t>864,872</w:t>
            </w:r>
          </w:p>
        </w:tc>
        <w:tc>
          <w:tcPr>
            <w:tcW w:w="60" w:type="dxa"/>
            <w:tcBorders/>
            <w:vAlign w:val="bottom"/>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b/>
              </w:rPr>
            </w:pPr>
            <w:r>
              <w:rPr>
                <w:b/>
              </w:rPr>
              <w:t>722,990</w:t>
            </w:r>
          </w:p>
        </w:tc>
        <w:tc>
          <w:tcPr>
            <w:tcW w:w="60" w:type="dxa"/>
            <w:tcBorders/>
            <w:vAlign w:val="bottom"/>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b/>
              </w:rPr>
            </w:pPr>
            <w:r>
              <w:rPr>
                <w:b/>
              </w:rPr>
              <w:t>$3,036,558</w:t>
            </w:r>
          </w:p>
        </w:tc>
        <w:tc>
          <w:tcPr>
            <w:tcW w:w="60" w:type="dxa"/>
            <w:tcBorders/>
            <w:vAlign w:val="bottom"/>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2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90" w:type="dxa"/>
            <w:gridSpan w:val="3"/>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sz w:val="4"/>
                <w:szCs w:val="4"/>
              </w:rPr>
            </w:pPr>
            <w:r>
              <w:rPr>
                <w:sz w:val="4"/>
                <w:szCs w:val="4"/>
              </w:rPr>
            </w:r>
          </w:p>
        </w:tc>
      </w:tr>
      <w:tr>
        <w:trPr/>
        <w:tc>
          <w:tcPr>
            <w:tcW w:w="2410" w:type="dxa"/>
            <w:gridSpan w:val="3"/>
            <w:tcBorders/>
            <w:shd w:fill="000000" w:val="clear"/>
            <w:vAlign w:val="center"/>
          </w:tcPr>
          <w:p>
            <w:pPr>
              <w:pStyle w:val="TableContents"/>
              <w:bidi w:val="0"/>
              <w:spacing w:before="0" w:after="283"/>
              <w:jc w:val="right"/>
              <w:rPr>
                <w:b/>
                <w:color w:val="FFFFFF"/>
              </w:rPr>
            </w:pPr>
            <w:r>
              <w:rPr>
                <w:b/>
                <w:color w:val="FFFFFF"/>
              </w:rPr>
              <w:t>Total Prorated Shares and Current Value</w:t>
            </w:r>
          </w:p>
        </w:tc>
        <w:tc>
          <w:tcPr>
            <w:tcW w:w="60" w:type="dxa"/>
            <w:tcBorders/>
            <w:shd w:fill="000000" w:val="clear"/>
            <w:vAlign w:val="bottom"/>
          </w:tcPr>
          <w:p>
            <w:pPr>
              <w:pStyle w:val="TableContents"/>
              <w:bidi w:val="0"/>
              <w:spacing w:before="0" w:after="283"/>
              <w:jc w:val="left"/>
              <w:rPr/>
            </w:pPr>
            <w:r>
              <w:rPr/>
              <w:t> </w:t>
            </w:r>
          </w:p>
        </w:tc>
        <w:tc>
          <w:tcPr>
            <w:tcW w:w="16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59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58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96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74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26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26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bottom"/>
          </w:tcPr>
          <w:p>
            <w:pPr>
              <w:pStyle w:val="TableContents"/>
              <w:bidi w:val="0"/>
              <w:spacing w:before="0" w:after="283"/>
              <w:jc w:val="left"/>
              <w:rPr/>
            </w:pPr>
            <w:r>
              <w:rPr/>
              <w:t> </w:t>
            </w:r>
          </w:p>
        </w:tc>
        <w:tc>
          <w:tcPr>
            <w:tcW w:w="1835" w:type="dxa"/>
            <w:tcBorders/>
            <w:shd w:fill="000000" w:val="clear"/>
            <w:vAlign w:val="center"/>
          </w:tcPr>
          <w:p>
            <w:pPr>
              <w:pStyle w:val="TableContents"/>
              <w:bidi w:val="0"/>
              <w:spacing w:before="0" w:after="283"/>
              <w:jc w:val="center"/>
              <w:rPr>
                <w:b/>
                <w:color w:val="FFFFFF"/>
              </w:rPr>
            </w:pPr>
            <w:r>
              <w:rPr>
                <w:b/>
                <w:color w:val="FFFFFF"/>
              </w:rPr>
              <w:t>722,990</w:t>
            </w:r>
          </w:p>
        </w:tc>
        <w:tc>
          <w:tcPr>
            <w:tcW w:w="60" w:type="dxa"/>
            <w:tcBorders/>
            <w:shd w:fill="000000" w:val="clear"/>
            <w:vAlign w:val="bottom"/>
          </w:tcPr>
          <w:p>
            <w:pPr>
              <w:pStyle w:val="TableContents"/>
              <w:bidi w:val="0"/>
              <w:spacing w:before="0" w:after="283"/>
              <w:jc w:val="left"/>
              <w:rPr/>
            </w:pPr>
            <w:r>
              <w:rPr/>
              <w:t> </w:t>
            </w:r>
          </w:p>
        </w:tc>
        <w:tc>
          <w:tcPr>
            <w:tcW w:w="1895" w:type="dxa"/>
            <w:tcBorders/>
            <w:shd w:fill="000000" w:val="clear"/>
            <w:vAlign w:val="center"/>
          </w:tcPr>
          <w:p>
            <w:pPr>
              <w:pStyle w:val="TableContents"/>
              <w:bidi w:val="0"/>
              <w:spacing w:before="0" w:after="283"/>
              <w:jc w:val="center"/>
              <w:rPr>
                <w:b/>
                <w:color w:val="FFFFFF"/>
              </w:rPr>
            </w:pPr>
            <w:r>
              <w:rPr>
                <w:b/>
                <w:color w:val="FFFFFF"/>
              </w:rPr>
              <w:t>$3,036,558</w:t>
            </w:r>
          </w:p>
        </w:tc>
        <w:tc>
          <w:tcPr>
            <w:tcW w:w="60" w:type="dxa"/>
            <w:tcBorders/>
            <w:shd w:fill="000000" w:val="clear"/>
            <w:vAlign w:val="bottom"/>
          </w:tcPr>
          <w:p>
            <w:pPr>
              <w:pStyle w:val="TableContents"/>
              <w:bidi w:val="0"/>
              <w:spacing w:before="0" w:after="283"/>
              <w:jc w:val="left"/>
              <w:rPr/>
            </w:pPr>
            <w:r>
              <w:rPr/>
              <w:t> </w:t>
            </w:r>
          </w:p>
        </w:tc>
        <w:tc>
          <w:tcPr>
            <w:tcW w:w="4430" w:type="dxa"/>
            <w:tcBorders/>
            <w:shd w:fill="000000"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97"/>
        <w:gridCol w:w="108"/>
        <w:gridCol w:w="1497"/>
        <w:gridCol w:w="108"/>
        <w:gridCol w:w="1428"/>
        <w:gridCol w:w="127"/>
        <w:gridCol w:w="4840"/>
      </w:tblGrid>
      <w:tr>
        <w:trPr/>
        <w:tc>
          <w:tcPr>
            <w:tcW w:w="209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4840" w:type="dxa"/>
            <w:tcBorders/>
            <w:vAlign w:val="center"/>
          </w:tcPr>
          <w:p>
            <w:pPr>
              <w:pStyle w:val="TableContents"/>
              <w:bidi w:val="0"/>
              <w:spacing w:before="0" w:after="283"/>
              <w:jc w:val="left"/>
              <w:rPr>
                <w:sz w:val="4"/>
                <w:szCs w:val="4"/>
              </w:rPr>
            </w:pPr>
            <w:r>
              <w:rPr>
                <w:sz w:val="4"/>
                <w:szCs w:val="4"/>
              </w:rPr>
            </w:r>
          </w:p>
        </w:tc>
      </w:tr>
      <w:tr>
        <w:trPr/>
        <w:tc>
          <w:tcPr>
            <w:tcW w:w="2097" w:type="dxa"/>
            <w:tcBorders/>
          </w:tcPr>
          <w:p>
            <w:pPr>
              <w:pStyle w:val="TableContents"/>
              <w:bidi w:val="0"/>
              <w:spacing w:before="0" w:after="283"/>
              <w:jc w:val="left"/>
              <w:rPr>
                <w:u w:val="single"/>
              </w:rPr>
            </w:pPr>
            <w:r>
              <w:rPr>
                <w:u w:val="single"/>
              </w:rPr>
              <w:t>Assumptions:</w:t>
            </w:r>
          </w:p>
        </w:tc>
        <w:tc>
          <w:tcPr>
            <w:tcW w:w="108" w:type="dxa"/>
            <w:tcBorders/>
            <w:vAlign w:val="bottom"/>
          </w:tcPr>
          <w:p>
            <w:pPr>
              <w:pStyle w:val="TableContents"/>
              <w:bidi w:val="0"/>
              <w:spacing w:before="0" w:after="283"/>
              <w:jc w:val="left"/>
              <w:rPr/>
            </w:pPr>
            <w:r>
              <w:rPr/>
              <w:t> </w:t>
            </w:r>
          </w:p>
        </w:tc>
        <w:tc>
          <w:tcPr>
            <w:tcW w:w="149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2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sz w:val="4"/>
                <w:szCs w:val="4"/>
              </w:rPr>
            </w:pPr>
            <w:r>
              <w:rPr>
                <w:sz w:val="4"/>
                <w:szCs w:val="4"/>
              </w:rPr>
            </w:r>
          </w:p>
        </w:tc>
      </w:tr>
      <w:tr>
        <w:trPr/>
        <w:tc>
          <w:tcPr>
            <w:tcW w:w="2097" w:type="dxa"/>
            <w:tcBorders/>
          </w:tcPr>
          <w:p>
            <w:pPr>
              <w:pStyle w:val="TableContents"/>
              <w:bidi w:val="0"/>
              <w:spacing w:before="0" w:after="283"/>
              <w:jc w:val="left"/>
              <w:rPr>
                <w:b/>
              </w:rPr>
            </w:pPr>
            <w:r>
              <w:rPr>
                <w:b/>
              </w:rPr>
              <w:t xml:space="preserve">Term Reason: </w:t>
            </w:r>
          </w:p>
        </w:tc>
        <w:tc>
          <w:tcPr>
            <w:tcW w:w="108" w:type="dxa"/>
            <w:tcBorders/>
            <w:vAlign w:val="bottom"/>
          </w:tcPr>
          <w:p>
            <w:pPr>
              <w:pStyle w:val="TableContents"/>
              <w:bidi w:val="0"/>
              <w:spacing w:before="0" w:after="283"/>
              <w:jc w:val="left"/>
              <w:rPr/>
            </w:pPr>
            <w:r>
              <w:rPr/>
              <w:t> </w:t>
            </w:r>
          </w:p>
        </w:tc>
        <w:tc>
          <w:tcPr>
            <w:tcW w:w="8000" w:type="dxa"/>
            <w:gridSpan w:val="5"/>
            <w:tcBorders/>
          </w:tcPr>
          <w:p>
            <w:pPr>
              <w:pStyle w:val="TableContents"/>
              <w:bidi w:val="0"/>
              <w:spacing w:before="0" w:after="283"/>
              <w:jc w:val="left"/>
              <w:rPr>
                <w:b/>
              </w:rPr>
            </w:pPr>
            <w:r>
              <w:rPr>
                <w:b/>
              </w:rPr>
              <w:t>Voluntary Termination - Resignation</w:t>
            </w:r>
          </w:p>
        </w:tc>
      </w:tr>
      <w:tr>
        <w:trPr/>
        <w:tc>
          <w:tcPr>
            <w:tcW w:w="2097" w:type="dxa"/>
            <w:tcBorders/>
          </w:tcPr>
          <w:p>
            <w:pPr>
              <w:pStyle w:val="TableContents"/>
              <w:bidi w:val="0"/>
              <w:spacing w:before="0" w:after="283"/>
              <w:jc w:val="left"/>
              <w:rPr>
                <w:b/>
              </w:rPr>
            </w:pPr>
            <w:r>
              <w:rPr>
                <w:b/>
              </w:rPr>
              <w:t>Extended Term Date:</w:t>
            </w:r>
          </w:p>
        </w:tc>
        <w:tc>
          <w:tcPr>
            <w:tcW w:w="108" w:type="dxa"/>
            <w:tcBorders/>
            <w:vAlign w:val="bottom"/>
          </w:tcPr>
          <w:p>
            <w:pPr>
              <w:pStyle w:val="TableContents"/>
              <w:bidi w:val="0"/>
              <w:spacing w:before="0" w:after="283"/>
              <w:jc w:val="left"/>
              <w:rPr/>
            </w:pPr>
            <w:r>
              <w:rPr/>
              <w:t> </w:t>
            </w:r>
          </w:p>
        </w:tc>
        <w:tc>
          <w:tcPr>
            <w:tcW w:w="1497" w:type="dxa"/>
            <w:tcBorders/>
          </w:tcPr>
          <w:p>
            <w:pPr>
              <w:pStyle w:val="TableContents"/>
              <w:bidi w:val="0"/>
              <w:spacing w:before="0" w:after="283"/>
              <w:jc w:val="center"/>
              <w:rPr/>
            </w:pPr>
            <w:r>
              <w:rPr/>
              <w:t>11-Mar-28</w:t>
            </w:r>
          </w:p>
        </w:tc>
        <w:tc>
          <w:tcPr>
            <w:tcW w:w="108" w:type="dxa"/>
            <w:tcBorders/>
            <w:vAlign w:val="bottom"/>
          </w:tcPr>
          <w:p>
            <w:pPr>
              <w:pStyle w:val="TableContents"/>
              <w:bidi w:val="0"/>
              <w:spacing w:before="0" w:after="283"/>
              <w:jc w:val="left"/>
              <w:rPr/>
            </w:pPr>
            <w:r>
              <w:rPr/>
              <w:t> </w:t>
            </w:r>
          </w:p>
        </w:tc>
        <w:tc>
          <w:tcPr>
            <w:tcW w:w="142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sz w:val="4"/>
                <w:szCs w:val="4"/>
              </w:rPr>
            </w:pPr>
            <w:r>
              <w:rPr>
                <w:sz w:val="4"/>
                <w:szCs w:val="4"/>
              </w:rPr>
            </w:r>
          </w:p>
        </w:tc>
      </w:tr>
      <w:tr>
        <w:trPr/>
        <w:tc>
          <w:tcPr>
            <w:tcW w:w="3702" w:type="dxa"/>
            <w:gridSpan w:val="3"/>
            <w:tcBorders/>
          </w:tcPr>
          <w:p>
            <w:pPr>
              <w:pStyle w:val="TableContents"/>
              <w:bidi w:val="0"/>
              <w:spacing w:before="0" w:after="283"/>
              <w:jc w:val="left"/>
              <w:rPr/>
            </w:pPr>
            <w:r>
              <w:rPr/>
              <w:t>1. Value used for calculations:</w:t>
            </w:r>
          </w:p>
        </w:tc>
        <w:tc>
          <w:tcPr>
            <w:tcW w:w="108" w:type="dxa"/>
            <w:tcBorders/>
            <w:shd w:fill="808080" w:val="clear"/>
            <w:vAlign w:val="bottom"/>
          </w:tcPr>
          <w:p>
            <w:pPr>
              <w:pStyle w:val="TableContents"/>
              <w:bidi w:val="0"/>
              <w:spacing w:before="0" w:after="283"/>
              <w:jc w:val="left"/>
              <w:rPr/>
            </w:pPr>
            <w:r>
              <w:rPr/>
              <w:t> </w:t>
            </w:r>
          </w:p>
        </w:tc>
        <w:tc>
          <w:tcPr>
            <w:tcW w:w="1428" w:type="dxa"/>
            <w:tcBorders/>
            <w:shd w:fill="808080" w:val="clear"/>
          </w:tcPr>
          <w:p>
            <w:pPr>
              <w:pStyle w:val="TableContents"/>
              <w:bidi w:val="0"/>
              <w:spacing w:before="0" w:after="283"/>
              <w:jc w:val="right"/>
              <w:rPr/>
            </w:pPr>
            <w:r>
              <w:rPr/>
              <w:t>$    4.20</w:t>
            </w:r>
          </w:p>
        </w:tc>
        <w:tc>
          <w:tcPr>
            <w:tcW w:w="127"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pPr>
            <w:r>
              <w:rPr/>
              <w:t>FMV Close 11-Aug-25</w:t>
            </w:r>
          </w:p>
        </w:tc>
      </w:tr>
      <w:tr>
        <w:trPr/>
        <w:tc>
          <w:tcPr>
            <w:tcW w:w="3702" w:type="dxa"/>
            <w:gridSpan w:val="3"/>
            <w:tcBorders/>
          </w:tcPr>
          <w:p>
            <w:pPr>
              <w:pStyle w:val="TableContents"/>
              <w:bidi w:val="0"/>
              <w:spacing w:before="0" w:after="283"/>
              <w:jc w:val="left"/>
              <w:rPr/>
            </w:pPr>
            <w:r>
              <w:rPr/>
              <w:t>2. Totals excludes vested awards.</w:t>
            </w:r>
          </w:p>
        </w:tc>
        <w:tc>
          <w:tcPr>
            <w:tcW w:w="108" w:type="dxa"/>
            <w:tcBorders/>
            <w:vAlign w:val="bottom"/>
          </w:tcPr>
          <w:p>
            <w:pPr>
              <w:pStyle w:val="TableContents"/>
              <w:bidi w:val="0"/>
              <w:spacing w:before="0" w:after="283"/>
              <w:jc w:val="left"/>
              <w:rPr/>
            </w:pPr>
            <w:r>
              <w:rPr/>
              <w:t> </w:t>
            </w:r>
          </w:p>
        </w:tc>
        <w:tc>
          <w:tcPr>
            <w:tcW w:w="142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ARIAL" w:hAnsi="ARIAL"/>
          <w:b/>
          <w:i/>
          <w:color w:val="C00000"/>
          <w:sz w:val="22"/>
        </w:rPr>
      </w:pPr>
      <w:r>
        <w:rPr>
          <w:rFonts w:ascii="ARIAL" w:hAnsi="ARIAL"/>
          <w:b/>
          <w:i/>
          <w:color w:val="C00000"/>
          <w:sz w:val="22"/>
        </w:rPr>
        <w:t xml:space="preserve">This document is for illustration purposes only; previously provided grant agreements govern each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4" w:name="d45394dex991.htm"/>
      <w:bookmarkStart w:id="5" w:name="ksd45394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3"/>
        <w:gridCol w:w="120"/>
        <w:gridCol w:w="3029"/>
        <w:gridCol w:w="120"/>
        <w:gridCol w:w="3373"/>
      </w:tblGrid>
      <w:tr>
        <w:trPr/>
        <w:tc>
          <w:tcPr>
            <w:tcW w:w="35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r>
      <w:tr>
        <w:trPr/>
        <w:tc>
          <w:tcPr>
            <w:tcW w:w="3563" w:type="dxa"/>
            <w:tcBorders/>
          </w:tcPr>
          <w:p>
            <w:pPr>
              <w:pStyle w:val="TableContents"/>
              <w:bidi w:val="0"/>
              <w:spacing w:before="0" w:after="283"/>
              <w:jc w:val="left"/>
              <w:rPr/>
            </w:pPr>
            <w:r>
              <w:rPr/>
              <w:t>News from Xerox Holdings Corporation</w:t>
            </w:r>
          </w:p>
        </w:tc>
        <w:tc>
          <w:tcPr>
            <w:tcW w:w="120"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73" w:type="dxa"/>
            <w:tcBorders/>
          </w:tcPr>
          <w:p>
            <w:pPr>
              <w:pStyle w:val="TableContents"/>
              <w:bidi w:val="0"/>
              <w:spacing w:before="0" w:after="283"/>
              <w:jc w:val="right"/>
              <w:rPr/>
            </w:pPr>
            <w:r>
              <w:rPr/>
              <w:drawing>
                <wp:inline distT="0" distB="0" distL="0" distR="0">
                  <wp:extent cx="1257300"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57300" cy="276225"/>
                          </a:xfrm>
                          <a:prstGeom prst="rect">
                            <a:avLst/>
                          </a:prstGeom>
                        </pic:spPr>
                      </pic:pic>
                    </a:graphicData>
                  </a:graphic>
                </wp:inline>
              </w:drawing>
            </w:r>
            <w:r>
              <w:rPr/>
              <w:t xml:space="preserve"> </w:t>
            </w:r>
          </w:p>
        </w:tc>
      </w:tr>
    </w:tbl>
    <w:p>
      <w:pPr>
        <w:pStyle w:val="TextBody"/>
        <w:bidi w:val="0"/>
        <w:spacing w:before="0" w:after="0"/>
        <w:jc w:val="left"/>
        <w:rPr>
          <w:rFonts w:ascii="Times New Roman" w:hAnsi="Times New Roman"/>
          <w:b/>
          <w:sz w:val="28"/>
        </w:rPr>
      </w:pPr>
      <w:r>
        <w:rPr>
          <w:rFonts w:ascii="Times New Roman" w:hAnsi="Times New Roman"/>
          <w:b/>
          <w:sz w:val="28"/>
        </w:rPr>
        <w:t xml:space="preserve">Xerox Announces President &amp; COO Transition </w:t>
      </w:r>
    </w:p>
    <w:p>
      <w:pPr>
        <w:pStyle w:val="TextBody"/>
        <w:bidi w:val="0"/>
        <w:spacing w:before="0" w:after="0"/>
        <w:jc w:val="left"/>
        <w:rPr>
          <w:rFonts w:ascii="Times New Roman" w:hAnsi="Times New Roman"/>
          <w:i/>
          <w:sz w:val="20"/>
        </w:rPr>
      </w:pPr>
      <w:r>
        <w:rPr>
          <w:rFonts w:ascii="Times New Roman" w:hAnsi="Times New Roman"/>
          <w:i/>
          <w:sz w:val="20"/>
        </w:rPr>
        <w:t xml:space="preserve">John Bruno accepts CEO role outside company; Louie Pastor named successor </w:t>
      </w:r>
    </w:p>
    <w:p>
      <w:pPr>
        <w:pStyle w:val="TextBody"/>
        <w:bidi w:val="0"/>
        <w:spacing w:before="120" w:after="0"/>
        <w:jc w:val="left"/>
        <w:rPr>
          <w:rFonts w:ascii="Times New Roman" w:hAnsi="Times New Roman"/>
          <w:sz w:val="20"/>
        </w:rPr>
      </w:pPr>
      <w:r>
        <w:rPr>
          <w:rFonts w:ascii="Times New Roman" w:hAnsi="Times New Roman"/>
          <w:b/>
          <w:sz w:val="20"/>
        </w:rPr>
        <w:t xml:space="preserve">Norwalk, Conn., Aug. 11, 2025 </w:t>
      </w:r>
      <w:r>
        <w:rPr>
          <w:rFonts w:ascii="Times New Roman" w:hAnsi="Times New Roman"/>
          <w:sz w:val="20"/>
        </w:rPr>
        <w:t xml:space="preserve">– </w:t>
      </w:r>
      <w:r>
        <w:rPr>
          <w:rFonts w:ascii="Times New Roman" w:hAnsi="Times New Roman"/>
          <w:sz w:val="20"/>
          <w:u w:val="single"/>
        </w:rPr>
        <w:t>Xerox Holdings Corporation</w:t>
      </w:r>
      <w:r>
        <w:rPr>
          <w:rFonts w:ascii="Times New Roman" w:hAnsi="Times New Roman"/>
          <w:sz w:val="20"/>
        </w:rPr>
        <w:t xml:space="preserve"> (NASDAQ: XRX) today announced that its President and Chief Operating Officer, John Bruno, has decided to pursue a CEO opportunity outside of Xerox. Bruno, who has served as President and COO since 2022 and as a Xerox Board member since 2024, will remain in his operating role through August 31, and then continue as a member of the Xerox Board of Directors. In his Board member role, he will chair the newly formed Integration Committee, overseeing the combination of Xerox and Lexmark. Louie Pastor has been named President and Chief Operating Officer, effective September 1. </w:t>
      </w:r>
    </w:p>
    <w:p>
      <w:pPr>
        <w:pStyle w:val="TextBody"/>
        <w:bidi w:val="0"/>
        <w:spacing w:before="240" w:after="0"/>
        <w:jc w:val="left"/>
        <w:rPr/>
      </w:pPr>
      <w:r>
        <w:rPr/>
        <w:t>“</w:t>
      </w:r>
      <w:r>
        <w:rPr>
          <w:rFonts w:ascii="Times New Roman" w:hAnsi="Times New Roman"/>
          <w:sz w:val="20"/>
        </w:rPr>
        <w:t xml:space="preserve">Leading Reinvention has been one of the most rewarding chapters of my career, and I’m deeply proud of all we’ve accomplished,” said Bruno. “As I transition out of day-to-day operations, I have complete confidence in Louie’s leadership. I remain fully committed to the future of Xerox and look forward to supporting the leadership team and Board as we enter this exciting next phase of growth and transformation.” </w:t>
      </w:r>
    </w:p>
    <w:p>
      <w:pPr>
        <w:pStyle w:val="TextBody"/>
        <w:bidi w:val="0"/>
        <w:spacing w:before="240" w:after="0"/>
        <w:jc w:val="left"/>
        <w:rPr>
          <w:rFonts w:ascii="Times New Roman" w:hAnsi="Times New Roman"/>
          <w:sz w:val="20"/>
        </w:rPr>
      </w:pPr>
      <w:r>
        <w:rPr>
          <w:rFonts w:ascii="Times New Roman" w:hAnsi="Times New Roman"/>
          <w:sz w:val="20"/>
        </w:rPr>
        <w:t xml:space="preserve">Pastor currently serves as Chief Administrative Officer and Global Head of Operations, where he leads the Xerox Reinvention Office and the Global Business Services organization. In this role, he restructured global operations and drove enterprise-wide improvements in IT, cybersecurity, analytics and operational efficiency. </w:t>
      </w:r>
    </w:p>
    <w:p>
      <w:pPr>
        <w:pStyle w:val="TextBody"/>
        <w:bidi w:val="0"/>
        <w:spacing w:before="240" w:after="0"/>
        <w:jc w:val="left"/>
        <w:rPr/>
      </w:pPr>
      <w:r>
        <w:rPr/>
        <w:t>“</w:t>
      </w:r>
      <w:r>
        <w:rPr>
          <w:rFonts w:ascii="Times New Roman" w:hAnsi="Times New Roman"/>
          <w:sz w:val="20"/>
        </w:rPr>
        <w:t xml:space="preserve">I want to thank John for being a true change agent—revamping our operating model and management system, shaping Reinvention, driving the Board reconstitution, and leading strategic acquisitions like ITsavvy and Lexmark,” said Steve Bandrowczak, chief executive officer at Xerox. “We wish him well in his new endeavor and look forward to continuing to work with him on the Board. I’m equally confident in Louie’s ability to guide our next phase of execution, and together their contributions will ensure a smooth transition and sustained momentum.” </w:t>
      </w:r>
    </w:p>
    <w:p>
      <w:pPr>
        <w:pStyle w:val="TextBody"/>
        <w:bidi w:val="0"/>
        <w:spacing w:before="240" w:after="0"/>
        <w:jc w:val="left"/>
        <w:rPr>
          <w:rFonts w:ascii="Times New Roman" w:hAnsi="Times New Roman"/>
          <w:sz w:val="20"/>
        </w:rPr>
      </w:pPr>
      <w:r>
        <w:rPr>
          <w:rFonts w:ascii="Times New Roman" w:hAnsi="Times New Roman"/>
          <w:sz w:val="20"/>
        </w:rPr>
        <w:t xml:space="preserve">As part of these leadership updates, Jacques-Edouard Gueden has been named Chief Revenue Officer effective September 1, leading the company’s direct and indirect print go-to-market units. Gueden, a 30-year Xerox veteran, currently serves as Chief Channel and Partner Officer, where he leads the company’s indirect print go-to-market unit. </w:t>
      </w:r>
    </w:p>
    <w:p>
      <w:pPr>
        <w:pStyle w:val="TextBody"/>
        <w:bidi w:val="0"/>
        <w:spacing w:before="240" w:after="0"/>
        <w:jc w:val="left"/>
        <w:rPr/>
      </w:pPr>
      <w:r>
        <w:rPr/>
        <w:t>“</w:t>
      </w:r>
      <w:r>
        <w:rPr>
          <w:rFonts w:ascii="Times New Roman" w:hAnsi="Times New Roman"/>
          <w:sz w:val="20"/>
        </w:rPr>
        <w:t xml:space="preserve">Jacques-Edouard has a deep understanding of our global client base, partner ecosystem, and go-to-market model, built over three decades of leadership at Xerox,” said Bandrowczak. “His proven ability to lead across regions and segments makes him uniquely suited to shape the sales strategy of the combined organization. I’m confident that under his leadership, we’ll strengthen our position across the channel, SMB, and enterprise markets, driving consistent execution and long-term growth.”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563"/>
        <w:gridCol w:w="120"/>
        <w:gridCol w:w="3029"/>
        <w:gridCol w:w="120"/>
        <w:gridCol w:w="3373"/>
      </w:tblGrid>
      <w:tr>
        <w:trPr/>
        <w:tc>
          <w:tcPr>
            <w:tcW w:w="35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r>
      <w:tr>
        <w:trPr/>
        <w:tc>
          <w:tcPr>
            <w:tcW w:w="3563" w:type="dxa"/>
            <w:tcBorders/>
          </w:tcPr>
          <w:p>
            <w:pPr>
              <w:pStyle w:val="TableContents"/>
              <w:bidi w:val="0"/>
              <w:spacing w:before="0" w:after="283"/>
              <w:jc w:val="left"/>
              <w:rPr/>
            </w:pPr>
            <w:r>
              <w:rPr/>
              <w:t>News from Xerox Holdings Corporation</w:t>
            </w:r>
          </w:p>
        </w:tc>
        <w:tc>
          <w:tcPr>
            <w:tcW w:w="120"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73" w:type="dxa"/>
            <w:tcBorders/>
          </w:tcPr>
          <w:p>
            <w:pPr>
              <w:pStyle w:val="TableContents"/>
              <w:bidi w:val="0"/>
              <w:spacing w:before="0" w:after="283"/>
              <w:jc w:val="right"/>
              <w:rPr/>
            </w:pPr>
            <w:r>
              <w:rPr/>
              <w:drawing>
                <wp:inline distT="0" distB="0" distL="0" distR="0">
                  <wp:extent cx="1257300"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57300" cy="27622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Forward-Looking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presentation and other written or oral statements made from time to time by management contain “forward looking statements” as defined in the Private Securities Litigation Reform Act of 1995 and involve certain risks and uncertainties. The words “anticipate”, “believe”, “estimate”, “expect”, “intend”, “will”, “would”, “could”, “can”, “should”, “targeting”, “projecting”, “driving”, “future”, “plan”, “predict”, “may” and similar expressions are intended to identify forward-looking statements. The Company’s actual results may differ significantly from the results discussed in the forward-looking statements. These statements reflect management’s current beliefs and assumptions and are subject to a number of other factors that may cause actual results to differ materially. </w:t>
      </w:r>
    </w:p>
    <w:p>
      <w:pPr>
        <w:pStyle w:val="TextBody"/>
        <w:bidi w:val="0"/>
        <w:spacing w:before="120" w:after="0"/>
        <w:jc w:val="left"/>
        <w:rPr>
          <w:rFonts w:ascii="Times New Roman" w:hAnsi="Times New Roman"/>
          <w:sz w:val="20"/>
        </w:rPr>
      </w:pPr>
      <w:r>
        <w:rPr>
          <w:rFonts w:ascii="Times New Roman" w:hAnsi="Times New Roman"/>
          <w:sz w:val="20"/>
        </w:rPr>
        <w:t xml:space="preserve">Such factors include but are not limited to: applicable market conditions; global macroeconomic conditions, including inflation, slower growth or recession, delays or disruptions in the global supply chain, higher interest rates, and wars and other conflicts, including the current conflict between Russia and Ukraine; our ability to succeed in a competitive environment, including by developing new products and service offerings and preserving our existing products and market share as well as repositioning our business in the face of customer preference, technological, and other change, such as evolving return-to-office and hybrid working trends; failure of our customers, vendors, and logistics partners to perform their contractual obligations to us; our ability to attract, train, and retain key personnel; execution risks around our Reinvention; the risk of breaches of our security systems due to cyber, malware, or other intentional attacks that could expose us to liability, litigation, regulatory action or damage our reputation; our ability to obtain adequate pricing for our products and services and to maintain and improve our cost structure; changes in economic and political conditions, licensing requirements, and tax laws in the United States and in the foreign countries in which we do business;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interest rates, cost of capital, and access to credit markets; risks related to our indebtedness; the imposition of new or incremental trade protection measures such as tariffs and import or export restrictions; funding requirements associated with our employee pension and retiree health benefit plans; changes in foreign currency exchange rates; the risk that we may be subject to new or heightened regulatory or operation risks as a result of our, or third parties,’ use or anticipated use of artificial intelligence technologies; the risk that our operations and products may not comply with applicable worldwide regulatory requirements, particularly environmental regulations and directives and anti-corruption laws; the outcome of litigation and regulatory proceedings to which we may be a party; laws, regulations, international agreements and other initiatives to limit greenhouse gas emissions or relating to climate change, as well as the physical effects of climate change; our ability to successfully integrate the Lexmark business and realize the anticipated benefits thereof, including expected synergies; and other factors that are set forth from time to time in the Company’s Securities and Exchange Commission filings, including the combined Annual Report on Form 10-K of Xerox Holdings and Xerox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speak only as of the date hereof or of the date to which they refer, and the Company assumes no obligation to update or revise any forward-looking statements as a result of new information or future events or developments, except as required by law.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563"/>
        <w:gridCol w:w="120"/>
        <w:gridCol w:w="3029"/>
        <w:gridCol w:w="120"/>
        <w:gridCol w:w="3373"/>
      </w:tblGrid>
      <w:tr>
        <w:trPr/>
        <w:tc>
          <w:tcPr>
            <w:tcW w:w="35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r>
      <w:tr>
        <w:trPr/>
        <w:tc>
          <w:tcPr>
            <w:tcW w:w="3563" w:type="dxa"/>
            <w:tcBorders/>
          </w:tcPr>
          <w:p>
            <w:pPr>
              <w:pStyle w:val="TableContents"/>
              <w:bidi w:val="0"/>
              <w:spacing w:before="0" w:after="283"/>
              <w:jc w:val="left"/>
              <w:rPr/>
            </w:pPr>
            <w:r>
              <w:rPr/>
              <w:t>News from Xerox Holdings Corporation</w:t>
            </w:r>
          </w:p>
        </w:tc>
        <w:tc>
          <w:tcPr>
            <w:tcW w:w="120"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73" w:type="dxa"/>
            <w:tcBorders/>
          </w:tcPr>
          <w:p>
            <w:pPr>
              <w:pStyle w:val="TableContents"/>
              <w:bidi w:val="0"/>
              <w:spacing w:before="0" w:after="283"/>
              <w:jc w:val="right"/>
              <w:rPr/>
            </w:pPr>
            <w:r>
              <w:rPr/>
              <w:drawing>
                <wp:inline distT="0" distB="0" distL="0" distR="0">
                  <wp:extent cx="1257300"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57300" cy="27622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About Xerox Holdings Corporation (NASDAQ: XRX) </w:t>
      </w:r>
    </w:p>
    <w:p>
      <w:pPr>
        <w:pStyle w:val="TextBody"/>
        <w:bidi w:val="0"/>
        <w:spacing w:before="120" w:after="0"/>
        <w:jc w:val="left"/>
        <w:rPr>
          <w:rFonts w:ascii="Times New Roman" w:hAnsi="Times New Roman"/>
          <w:sz w:val="20"/>
        </w:rPr>
      </w:pPr>
      <w:r>
        <w:rPr>
          <w:rFonts w:ascii="Times New Roman" w:hAnsi="Times New Roman"/>
          <w:sz w:val="20"/>
        </w:rPr>
        <w:t xml:space="preserve">Xerox has been redefining the workplace experience for over a century. As a services-led, software-enabled company, we power today’s hybrid workplace through advanced print, digital, and AI-driven technologies. In 2025 Xerox acquired Lexmark—expanding our global footprint, strengthening service capabilities, and equipping us to deliver an even broader portfolio of workplace technologies to our clients. Today, we continue our legacy of innovation to deliver client-centric, digitally driven solutions that meet the needs of a global, distributed workforce. Whether in offices, classrooms, or hospitals, we help our clients thrive in a constantly evolving business landscape. </w:t>
      </w:r>
    </w:p>
    <w:p>
      <w:pPr>
        <w:pStyle w:val="TextBody"/>
        <w:bidi w:val="0"/>
        <w:spacing w:before="360" w:after="0"/>
        <w:jc w:val="left"/>
        <w:rPr>
          <w:rFonts w:ascii="Times New Roman" w:hAnsi="Times New Roman"/>
          <w:b/>
          <w:sz w:val="20"/>
        </w:rPr>
      </w:pPr>
      <w:r>
        <w:rPr>
          <w:rFonts w:ascii="Times New Roman" w:hAnsi="Times New Roman"/>
          <w:b/>
          <w:sz w:val="20"/>
        </w:rPr>
        <w:t>Media Contact:</w:t>
      </w:r>
    </w:p>
    <w:p>
      <w:pPr>
        <w:pStyle w:val="TextBody"/>
        <w:bidi w:val="0"/>
        <w:spacing w:before="0" w:after="0"/>
        <w:jc w:val="left"/>
        <w:rPr>
          <w:rFonts w:ascii="Times New Roman" w:hAnsi="Times New Roman"/>
          <w:sz w:val="20"/>
        </w:rPr>
      </w:pPr>
      <w:r>
        <w:rPr>
          <w:rFonts w:ascii="Times New Roman" w:hAnsi="Times New Roman"/>
          <w:sz w:val="20"/>
        </w:rPr>
        <w:t xml:space="preserve">Justin Capella, Xerox, +1-203-258-6535, </w:t>
      </w:r>
      <w:r>
        <w:rPr>
          <w:rFonts w:ascii="Times New Roman" w:hAnsi="Times New Roman"/>
          <w:sz w:val="20"/>
          <w:u w:val="single"/>
        </w:rPr>
        <w:t>Justin.Capella@xerox.com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Note: To receive RSS news feeds, visit </w:t>
      </w:r>
      <w:r>
        <w:rPr>
          <w:rFonts w:ascii="Times New Roman" w:hAnsi="Times New Roman"/>
          <w:sz w:val="20"/>
          <w:u w:val="single"/>
        </w:rPr>
        <w:t>https://www.news.xerox.com</w:t>
      </w:r>
      <w:r>
        <w:rPr>
          <w:rFonts w:ascii="Times New Roman" w:hAnsi="Times New Roman"/>
          <w:sz w:val="20"/>
        </w:rPr>
        <w:t xml:space="preserve">. For open commentary, industry perspectives and views, visit </w:t>
      </w:r>
      <w:r>
        <w:rPr>
          <w:rFonts w:ascii="Times New Roman" w:hAnsi="Times New Roman"/>
          <w:sz w:val="20"/>
          <w:u w:val="single"/>
        </w:rPr>
        <w:t>http://www.linkedin.com/company/xerox</w:t>
      </w:r>
      <w:r>
        <w:rPr>
          <w:rFonts w:ascii="Times New Roman" w:hAnsi="Times New Roman"/>
          <w:sz w:val="20"/>
        </w:rPr>
        <w:t xml:space="preserve"> or </w:t>
      </w:r>
      <w:r>
        <w:rPr>
          <w:rFonts w:ascii="Times New Roman" w:hAnsi="Times New Roman"/>
          <w:sz w:val="20"/>
          <w:u w:val="single"/>
        </w:rPr>
        <w:t>http://www.youtube.com/XeroxCorp</w:t>
      </w:r>
      <w:r>
        <w:rPr>
          <w:rFonts w:ascii="Times New Roman" w:hAnsi="Times New Roman"/>
          <w:sz w:val="20"/>
        </w:rPr>
        <w:t xml:space="preserve">. © Xerox Corporation. Xerox ®, ConnectKey ®, and AltaLink ® are trademarks of Xerox in the United States and/or other countries. </w:t>
      </w:r>
    </w:p>
    <w:p>
      <w:pPr>
        <w:pStyle w:val="TextBody"/>
        <w:bidi w:val="0"/>
        <w:spacing w:before="24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5057</Words>
  <Characters>27421</Characters>
  <CharactersWithSpaces>32844</CharactersWithSpaces>
  <Paragraphs>1005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