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42"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3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January 26, 2021</w:t>
      </w:r>
    </w:p>
    <w:p>
      <w:pPr>
        <w:spacing w:after="0" w:line="32"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340360</wp:posOffset>
            </wp:positionV>
            <wp:extent cx="120904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XEROX HOLDINGS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XEROX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27" w:lineRule="exact"/>
        <w:rPr>
          <w:sz w:val="24"/>
          <w:szCs w:val="24"/>
          <w:color w:val="auto"/>
        </w:rPr>
      </w:pPr>
    </w:p>
    <w:tbl>
      <w:tblPr>
        <w:tblLayout w:type="fixed"/>
        <w:tblInd w:w="480" w:type="dxa"/>
        <w:tblCellMar>
          <w:top w:w="0" w:type="dxa"/>
          <w:left w:w="0" w:type="dxa"/>
          <w:bottom w:w="0" w:type="dxa"/>
          <w:right w:w="0" w:type="dxa"/>
        </w:tblCellMar>
      </w:tblPr>
      <w:tr>
        <w:trPr>
          <w:trHeight w:val="215"/>
        </w:trPr>
        <w:tc>
          <w:tcPr>
            <w:tcW w:w="3560" w:type="dxa"/>
            <w:vAlign w:val="bottom"/>
          </w:tcPr>
          <w:p>
            <w:pPr>
              <w:jc w:val="center"/>
              <w:ind w:right="644"/>
              <w:spacing w:after="0"/>
              <w:rPr>
                <w:sz w:val="20"/>
                <w:szCs w:val="20"/>
                <w:color w:val="auto"/>
              </w:rPr>
            </w:pPr>
            <w:r>
              <w:rPr>
                <w:rFonts w:ascii="Arial" w:cs="Arial" w:eastAsia="Arial" w:hAnsi="Arial"/>
                <w:sz w:val="16"/>
                <w:szCs w:val="16"/>
                <w:b w:val="1"/>
                <w:bCs w:val="1"/>
                <w:color w:val="auto"/>
                <w:w w:val="98"/>
              </w:rPr>
              <w:t>New York</w:t>
            </w:r>
          </w:p>
        </w:tc>
        <w:tc>
          <w:tcPr>
            <w:tcW w:w="3600" w:type="dxa"/>
            <w:vAlign w:val="bottom"/>
          </w:tcPr>
          <w:p>
            <w:pPr>
              <w:jc w:val="center"/>
              <w:ind w:right="342"/>
              <w:spacing w:after="0"/>
              <w:rPr>
                <w:sz w:val="20"/>
                <w:szCs w:val="20"/>
                <w:color w:val="auto"/>
              </w:rPr>
            </w:pPr>
            <w:r>
              <w:rPr>
                <w:rFonts w:ascii="Arial" w:cs="Arial" w:eastAsia="Arial" w:hAnsi="Arial"/>
                <w:sz w:val="16"/>
                <w:szCs w:val="16"/>
                <w:b w:val="1"/>
                <w:bCs w:val="1"/>
                <w:color w:val="auto"/>
              </w:rPr>
              <w:t>001-39013</w:t>
            </w:r>
          </w:p>
        </w:tc>
        <w:tc>
          <w:tcPr>
            <w:tcW w:w="2260" w:type="dxa"/>
            <w:vAlign w:val="bottom"/>
          </w:tcPr>
          <w:p>
            <w:pPr>
              <w:jc w:val="center"/>
              <w:ind w:left="1084"/>
              <w:spacing w:after="0"/>
              <w:rPr>
                <w:sz w:val="20"/>
                <w:szCs w:val="20"/>
                <w:color w:val="auto"/>
              </w:rPr>
            </w:pPr>
            <w:r>
              <w:rPr>
                <w:rFonts w:ascii="Arial" w:cs="Arial" w:eastAsia="Arial" w:hAnsi="Arial"/>
                <w:sz w:val="16"/>
                <w:szCs w:val="16"/>
                <w:b w:val="1"/>
                <w:bCs w:val="1"/>
                <w:color w:val="auto"/>
              </w:rPr>
              <w:t>83-3933743</w:t>
            </w:r>
          </w:p>
        </w:tc>
      </w:tr>
      <w:tr>
        <w:trPr>
          <w:trHeight w:val="216"/>
        </w:trPr>
        <w:tc>
          <w:tcPr>
            <w:tcW w:w="3560" w:type="dxa"/>
            <w:vAlign w:val="bottom"/>
          </w:tcPr>
          <w:p>
            <w:pPr>
              <w:jc w:val="center"/>
              <w:ind w:right="644"/>
              <w:spacing w:after="0"/>
              <w:rPr>
                <w:sz w:val="20"/>
                <w:szCs w:val="20"/>
                <w:color w:val="auto"/>
              </w:rPr>
            </w:pPr>
            <w:r>
              <w:rPr>
                <w:rFonts w:ascii="Arial" w:cs="Arial" w:eastAsia="Arial" w:hAnsi="Arial"/>
                <w:sz w:val="16"/>
                <w:szCs w:val="16"/>
                <w:b w:val="1"/>
                <w:bCs w:val="1"/>
                <w:color w:val="auto"/>
                <w:w w:val="98"/>
              </w:rPr>
              <w:t>New York</w:t>
            </w:r>
          </w:p>
        </w:tc>
        <w:tc>
          <w:tcPr>
            <w:tcW w:w="3600" w:type="dxa"/>
            <w:vAlign w:val="bottom"/>
          </w:tcPr>
          <w:p>
            <w:pPr>
              <w:jc w:val="center"/>
              <w:ind w:right="342"/>
              <w:spacing w:after="0"/>
              <w:rPr>
                <w:sz w:val="20"/>
                <w:szCs w:val="20"/>
                <w:color w:val="auto"/>
              </w:rPr>
            </w:pPr>
            <w:r>
              <w:rPr>
                <w:rFonts w:ascii="Arial" w:cs="Arial" w:eastAsia="Arial" w:hAnsi="Arial"/>
                <w:sz w:val="16"/>
                <w:szCs w:val="16"/>
                <w:b w:val="1"/>
                <w:bCs w:val="1"/>
                <w:color w:val="auto"/>
              </w:rPr>
              <w:t>001-04471</w:t>
            </w:r>
          </w:p>
        </w:tc>
        <w:tc>
          <w:tcPr>
            <w:tcW w:w="2260" w:type="dxa"/>
            <w:vAlign w:val="bottom"/>
          </w:tcPr>
          <w:p>
            <w:pPr>
              <w:jc w:val="center"/>
              <w:ind w:left="1084"/>
              <w:spacing w:after="0"/>
              <w:rPr>
                <w:sz w:val="20"/>
                <w:szCs w:val="20"/>
                <w:color w:val="auto"/>
              </w:rPr>
            </w:pPr>
            <w:r>
              <w:rPr>
                <w:rFonts w:ascii="Arial" w:cs="Arial" w:eastAsia="Arial" w:hAnsi="Arial"/>
                <w:sz w:val="16"/>
                <w:szCs w:val="16"/>
                <w:b w:val="1"/>
                <w:bCs w:val="1"/>
                <w:color w:val="auto"/>
              </w:rPr>
              <w:t>16-0468020</w:t>
            </w:r>
          </w:p>
        </w:tc>
      </w:tr>
      <w:tr>
        <w:trPr>
          <w:trHeight w:val="159"/>
        </w:trPr>
        <w:tc>
          <w:tcPr>
            <w:tcW w:w="3560" w:type="dxa"/>
            <w:vAlign w:val="bottom"/>
          </w:tcPr>
          <w:p>
            <w:pPr>
              <w:jc w:val="center"/>
              <w:ind w:right="644"/>
              <w:spacing w:after="0" w:line="159" w:lineRule="exact"/>
              <w:rPr>
                <w:sz w:val="20"/>
                <w:szCs w:val="20"/>
                <w:color w:val="auto"/>
              </w:rPr>
            </w:pPr>
            <w:r>
              <w:rPr>
                <w:rFonts w:ascii="Arial" w:cs="Arial" w:eastAsia="Arial" w:hAnsi="Arial"/>
                <w:sz w:val="14"/>
                <w:szCs w:val="14"/>
                <w:color w:val="auto"/>
              </w:rPr>
              <w:t>(State or other jurisdiction of incorporation or</w:t>
            </w:r>
          </w:p>
        </w:tc>
        <w:tc>
          <w:tcPr>
            <w:tcW w:w="3600" w:type="dxa"/>
            <w:vAlign w:val="bottom"/>
          </w:tcPr>
          <w:p>
            <w:pPr>
              <w:jc w:val="center"/>
              <w:ind w:right="362"/>
              <w:spacing w:after="0" w:line="159" w:lineRule="exact"/>
              <w:rPr>
                <w:sz w:val="20"/>
                <w:szCs w:val="20"/>
                <w:color w:val="auto"/>
              </w:rPr>
            </w:pPr>
            <w:r>
              <w:rPr>
                <w:rFonts w:ascii="Arial" w:cs="Arial" w:eastAsia="Arial" w:hAnsi="Arial"/>
                <w:sz w:val="14"/>
                <w:szCs w:val="14"/>
                <w:color w:val="auto"/>
              </w:rPr>
              <w:t>(Commission File Number)</w:t>
            </w:r>
          </w:p>
        </w:tc>
        <w:tc>
          <w:tcPr>
            <w:tcW w:w="2260" w:type="dxa"/>
            <w:vAlign w:val="bottom"/>
          </w:tcPr>
          <w:p>
            <w:pPr>
              <w:jc w:val="center"/>
              <w:ind w:left="1084"/>
              <w:spacing w:after="0" w:line="159" w:lineRule="exact"/>
              <w:rPr>
                <w:sz w:val="20"/>
                <w:szCs w:val="20"/>
                <w:color w:val="auto"/>
              </w:rPr>
            </w:pPr>
            <w:r>
              <w:rPr>
                <w:rFonts w:ascii="Arial" w:cs="Arial" w:eastAsia="Arial" w:hAnsi="Arial"/>
                <w:sz w:val="14"/>
                <w:szCs w:val="14"/>
                <w:color w:val="auto"/>
              </w:rPr>
              <w:t>(IRS Employer</w:t>
            </w:r>
          </w:p>
        </w:tc>
      </w:tr>
      <w:tr>
        <w:trPr>
          <w:trHeight w:val="172"/>
        </w:trPr>
        <w:tc>
          <w:tcPr>
            <w:tcW w:w="3560" w:type="dxa"/>
            <w:vAlign w:val="bottom"/>
          </w:tcPr>
          <w:p>
            <w:pPr>
              <w:jc w:val="center"/>
              <w:ind w:right="644"/>
              <w:spacing w:after="0"/>
              <w:rPr>
                <w:sz w:val="20"/>
                <w:szCs w:val="20"/>
                <w:color w:val="auto"/>
              </w:rPr>
            </w:pPr>
            <w:r>
              <w:rPr>
                <w:rFonts w:ascii="Arial" w:cs="Arial" w:eastAsia="Arial" w:hAnsi="Arial"/>
                <w:sz w:val="14"/>
                <w:szCs w:val="14"/>
                <w:color w:val="auto"/>
              </w:rPr>
              <w:t>organization)</w:t>
            </w:r>
          </w:p>
        </w:tc>
        <w:tc>
          <w:tcPr>
            <w:tcW w:w="3600" w:type="dxa"/>
            <w:vAlign w:val="bottom"/>
          </w:tcPr>
          <w:p>
            <w:pPr>
              <w:spacing w:after="0"/>
              <w:rPr>
                <w:sz w:val="14"/>
                <w:szCs w:val="14"/>
                <w:color w:val="auto"/>
              </w:rPr>
            </w:pPr>
          </w:p>
        </w:tc>
        <w:tc>
          <w:tcPr>
            <w:tcW w:w="2260" w:type="dxa"/>
            <w:vAlign w:val="bottom"/>
          </w:tcPr>
          <w:p>
            <w:pPr>
              <w:jc w:val="center"/>
              <w:ind w:left="1084"/>
              <w:spacing w:after="0"/>
              <w:rPr>
                <w:sz w:val="20"/>
                <w:szCs w:val="20"/>
                <w:color w:val="auto"/>
              </w:rPr>
            </w:pPr>
            <w:r>
              <w:rPr>
                <w:rFonts w:ascii="Arial" w:cs="Arial" w:eastAsia="Arial" w:hAnsi="Arial"/>
                <w:sz w:val="14"/>
                <w:szCs w:val="14"/>
                <w:color w:val="auto"/>
              </w:rPr>
              <w:t>Identification No.)</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998" w:right="339" w:bottom="1440" w:gutter="0" w:footer="0" w:header="0"/>
        </w:sectPr>
      </w:pPr>
    </w:p>
    <w:p>
      <w:pPr>
        <w:spacing w:after="0" w:line="32" w:lineRule="exact"/>
        <w:rPr>
          <w:sz w:val="24"/>
          <w:szCs w:val="24"/>
          <w:color w:val="auto"/>
        </w:rPr>
      </w:pPr>
    </w:p>
    <w:p>
      <w:pPr>
        <w:jc w:val="center"/>
        <w:ind w:left="52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tabs>
          <w:tab w:leader="none" w:pos="2140" w:val="left"/>
        </w:tabs>
        <w:rPr>
          <w:sz w:val="20"/>
          <w:szCs w:val="20"/>
          <w:color w:val="auto"/>
        </w:rPr>
      </w:pPr>
      <w:r>
        <w:rPr>
          <w:rFonts w:ascii="Arial" w:cs="Arial" w:eastAsia="Arial" w:hAnsi="Arial"/>
          <w:sz w:val="16"/>
          <w:szCs w:val="16"/>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29" w:lineRule="exact"/>
        <w:rPr>
          <w:sz w:val="24"/>
          <w:szCs w:val="24"/>
          <w:color w:val="auto"/>
        </w:rPr>
      </w:pPr>
    </w:p>
    <w:p>
      <w:pPr>
        <w:sectPr>
          <w:pgSz w:w="11900" w:h="16838" w:orient="portrait"/>
          <w:cols w:equalWidth="0" w:num="2">
            <w:col w:w="4320" w:space="720"/>
            <w:col w:w="6200"/>
          </w:cols>
          <w:pgMar w:left="320" w:top="99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Xerox Holdings Corporation Common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3">
            <w:col w:w="4700" w:space="720"/>
            <w:col w:w="1600" w:space="720"/>
            <w:col w:w="3500"/>
          </w:cols>
          <w:pgMar w:left="320" w:top="998" w:right="339" w:bottom="1440" w:gutter="0" w:footer="0" w:header="0"/>
          <w:type w:val="continuous"/>
        </w:sect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68" w:lineRule="exact"/>
        <w:rPr>
          <w:sz w:val="20"/>
          <w:szCs w:val="20"/>
          <w:color w:val="auto"/>
        </w:rPr>
      </w:pPr>
    </w:p>
    <w:p>
      <w:pPr>
        <w:ind w:right="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26, 2021, Registrant released its fourth quarter 2020 earnings and is furnishing to the Securities and Exchange Commission ("SEC") a copy of the earnings press release as Exhibit 99.1 to this Report under Item 2.02 of Form 8-K.</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980" w:type="dxa"/>
            <w:vAlign w:val="bottom"/>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26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99.1</w:t>
              </w:r>
            </w:hyperlink>
          </w:p>
        </w:tc>
        <w:tc>
          <w:tcPr>
            <w:tcW w:w="9980" w:type="dxa"/>
            <w:vAlign w:val="bottom"/>
          </w:tcPr>
          <w:p>
            <w:pPr>
              <w:ind w:left="280"/>
              <w:spacing w:after="0"/>
              <w:rPr>
                <w:sz w:val="20"/>
                <w:szCs w:val="20"/>
                <w:color w:val="auto"/>
              </w:rPr>
            </w:pPr>
            <w:r>
              <w:rPr>
                <w:rFonts w:ascii="Arial" w:cs="Arial" w:eastAsia="Arial" w:hAnsi="Arial"/>
                <w:sz w:val="18"/>
                <w:szCs w:val="18"/>
                <w:color w:val="auto"/>
              </w:rPr>
              <w:t>Registrant’s fourth quarter 2020 earnings press release dated January 26, 2021</w:t>
            </w:r>
          </w:p>
        </w:tc>
      </w:tr>
      <w:tr>
        <w:trPr>
          <w:trHeight w:val="1330"/>
        </w:trPr>
        <w:tc>
          <w:tcPr>
            <w:tcW w:w="126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Forward-Looking Statements</w:t>
      </w:r>
    </w:p>
    <w:p>
      <w:pPr>
        <w:spacing w:after="0" w:line="16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20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These forward-looking statements speak only as of the date of this filing or as of the date to which they refer, and Xerox assumes no obligation to update any forward-looking statements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1509395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HOLDINGS CORPORATION</w:t>
      </w:r>
    </w:p>
    <w:p>
      <w:pPr>
        <w:ind w:left="2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H. M</w:t>
      </w:r>
      <w:r>
        <w:rPr>
          <w:rFonts w:ascii="Arial" w:cs="Arial" w:eastAsia="Arial" w:hAnsi="Arial"/>
          <w:sz w:val="14"/>
          <w:szCs w:val="14"/>
          <w:color w:val="auto"/>
        </w:rPr>
        <w:t>ANCINI</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6350</wp:posOffset>
            </wp:positionV>
            <wp:extent cx="2297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Joseph H. Mancini, Jr.</w:t>
      </w:r>
    </w:p>
    <w:p>
      <w:pPr>
        <w:ind w:left="540"/>
        <w:spacing w:after="0" w:line="201" w:lineRule="auto"/>
        <w:rPr>
          <w:sz w:val="20"/>
          <w:szCs w:val="20"/>
          <w:color w:val="auto"/>
        </w:rPr>
      </w:pPr>
      <w:r>
        <w:rPr>
          <w:rFonts w:ascii="Arial" w:cs="Arial" w:eastAsia="Arial" w:hAnsi="Arial"/>
          <w:sz w:val="14"/>
          <w:szCs w:val="14"/>
          <w:b w:val="1"/>
          <w:bCs w:val="1"/>
          <w:color w:val="auto"/>
        </w:rPr>
        <w:t>Vice President and</w:t>
      </w:r>
    </w:p>
    <w:p>
      <w:pPr>
        <w:ind w:left="540"/>
        <w:spacing w:after="0" w:line="201" w:lineRule="auto"/>
        <w:rPr>
          <w:sz w:val="20"/>
          <w:szCs w:val="20"/>
          <w:color w:val="auto"/>
        </w:rPr>
      </w:pPr>
      <w:r>
        <w:rPr>
          <w:rFonts w:ascii="Arial" w:cs="Arial" w:eastAsia="Arial" w:hAnsi="Arial"/>
          <w:sz w:val="14"/>
          <w:szCs w:val="14"/>
          <w:b w:val="1"/>
          <w:bCs w:val="1"/>
          <w:color w:val="auto"/>
        </w:rPr>
        <w:t>Chief Accounting Officer</w:t>
      </w: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2021</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CORPORATION</w:t>
      </w:r>
    </w:p>
    <w:p>
      <w:pPr>
        <w:ind w:left="2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H. M</w:t>
      </w:r>
      <w:r>
        <w:rPr>
          <w:rFonts w:ascii="Arial" w:cs="Arial" w:eastAsia="Arial" w:hAnsi="Arial"/>
          <w:sz w:val="14"/>
          <w:szCs w:val="14"/>
          <w:color w:val="auto"/>
        </w:rPr>
        <w:t>ANCINI</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6350</wp:posOffset>
            </wp:positionV>
            <wp:extent cx="229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Joseph H. Mancini, Jr.</w:t>
      </w:r>
    </w:p>
    <w:p>
      <w:pPr>
        <w:ind w:left="540"/>
        <w:spacing w:after="0" w:line="201" w:lineRule="auto"/>
        <w:rPr>
          <w:sz w:val="20"/>
          <w:szCs w:val="20"/>
          <w:color w:val="auto"/>
        </w:rPr>
      </w:pPr>
      <w:r>
        <w:rPr>
          <w:rFonts w:ascii="Arial" w:cs="Arial" w:eastAsia="Arial" w:hAnsi="Arial"/>
          <w:sz w:val="14"/>
          <w:szCs w:val="14"/>
          <w:b w:val="1"/>
          <w:bCs w:val="1"/>
          <w:color w:val="auto"/>
        </w:rPr>
        <w:t>Vice President and</w:t>
      </w:r>
    </w:p>
    <w:p>
      <w:pPr>
        <w:ind w:left="540"/>
        <w:spacing w:after="0" w:line="201" w:lineRule="auto"/>
        <w:rPr>
          <w:sz w:val="20"/>
          <w:szCs w:val="20"/>
          <w:color w:val="auto"/>
        </w:rPr>
      </w:pPr>
      <w:r>
        <w:rPr>
          <w:rFonts w:ascii="Arial" w:cs="Arial" w:eastAsia="Arial" w:hAnsi="Arial"/>
          <w:sz w:val="14"/>
          <w:szCs w:val="14"/>
          <w:b w:val="1"/>
          <w:bCs w:val="1"/>
          <w:color w:val="auto"/>
        </w:rPr>
        <w:t>Chief Accounting Officer</w:t>
      </w: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580" w:type="dxa"/>
            <w:vAlign w:val="bottom"/>
          </w:tcPr>
          <w:p>
            <w:pPr>
              <w:ind w:left="3240"/>
              <w:spacing w:after="0"/>
              <w:rPr>
                <w:sz w:val="20"/>
                <w:szCs w:val="20"/>
                <w:color w:val="auto"/>
              </w:rPr>
            </w:pPr>
            <w:r>
              <w:rPr>
                <w:rFonts w:ascii="Arial" w:cs="Arial" w:eastAsia="Arial" w:hAnsi="Arial"/>
                <w:sz w:val="20"/>
                <w:szCs w:val="20"/>
                <w:b w:val="1"/>
                <w:bCs w:val="1"/>
                <w:color w:val="auto"/>
              </w:rPr>
              <w:t>EXHIBIT INDEX</w:t>
            </w:r>
          </w:p>
        </w:tc>
      </w:tr>
      <w:tr>
        <w:trPr>
          <w:trHeight w:val="563"/>
        </w:trPr>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5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500" w:type="dxa"/>
            <w:vAlign w:val="bottom"/>
            <w:tcBorders>
              <w:top w:val="single" w:sz="8" w:color="auto"/>
            </w:tcBorders>
          </w:tcPr>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99.1</w:t>
              </w:r>
            </w:hyperlink>
          </w:p>
        </w:tc>
        <w:tc>
          <w:tcPr>
            <w:tcW w:w="160" w:type="dxa"/>
            <w:vAlign w:val="bottom"/>
          </w:tcPr>
          <w:p>
            <w:pPr>
              <w:spacing w:after="0"/>
              <w:rPr>
                <w:sz w:val="19"/>
                <w:szCs w:val="19"/>
                <w:color w:val="auto"/>
              </w:rPr>
            </w:pPr>
          </w:p>
        </w:tc>
        <w:tc>
          <w:tcPr>
            <w:tcW w:w="9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Registrant’s fourth quarter 2020 earnings press release dated January 26, 2021</w:t>
            </w:r>
          </w:p>
        </w:tc>
      </w:tr>
      <w:tr>
        <w:trPr>
          <w:trHeight w:val="229"/>
        </w:trPr>
        <w:tc>
          <w:tcPr>
            <w:tcW w:w="1500" w:type="dxa"/>
            <w:vAlign w:val="bottom"/>
          </w:tcPr>
          <w:p>
            <w:pPr>
              <w:ind w:lef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29"/>
        </w:trPr>
        <w:tc>
          <w:tcPr>
            <w:tcW w:w="1500" w:type="dxa"/>
            <w:vAlign w:val="bottom"/>
          </w:tcPr>
          <w:p>
            <w:pPr>
              <w:ind w:lef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The cover page from this Current Report on Form 8-K, formatted as Inline XBRL.</w:t>
            </w:r>
          </w:p>
        </w:tc>
      </w:tr>
    </w:tbl>
    <w:p>
      <w:pPr>
        <w:sectPr>
          <w:pgSz w:w="11900" w:h="16838" w:orient="portrait"/>
          <w:cols w:equalWidth="0" w:num="1">
            <w:col w:w="11240"/>
          </w:cols>
          <w:pgMar w:left="320" w:top="1246" w:right="339" w:bottom="1440" w:gutter="0" w:footer="0" w:header="0"/>
        </w:sectPr>
      </w:pPr>
    </w:p>
    <w:bookmarkStart w:id="6" w:name="page7"/>
    <w:bookmarkEnd w:id="6"/>
    <w:p>
      <w:pPr>
        <w:ind w:left="778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188595</wp:posOffset>
            </wp:positionV>
            <wp:extent cx="120840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8405" cy="24003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uto"/>
        </w:rPr>
        <w:t>News from Xerox Holdings Corporatio</w:t>
      </w:r>
      <w:r>
        <w:rPr>
          <w:rFonts w:ascii="Arial" w:cs="Arial" w:eastAsia="Arial" w:hAnsi="Arial"/>
          <w:sz w:val="35"/>
          <w:szCs w:val="35"/>
          <w:color w:val="auto"/>
        </w:rPr>
        <w:t>n</w:t>
      </w:r>
    </w:p>
    <w:p>
      <w:pPr>
        <w:spacing w:after="0" w:line="279" w:lineRule="exact"/>
        <w:rPr>
          <w:sz w:val="20"/>
          <w:szCs w:val="20"/>
          <w:color w:val="auto"/>
        </w:rPr>
      </w:pPr>
    </w:p>
    <w:p>
      <w:pPr>
        <w:ind w:left="1760"/>
        <w:spacing w:after="0"/>
        <w:rPr>
          <w:sz w:val="20"/>
          <w:szCs w:val="20"/>
          <w:color w:val="auto"/>
        </w:rPr>
      </w:pPr>
      <w:r>
        <w:rPr>
          <w:rFonts w:ascii="Arial" w:cs="Arial" w:eastAsia="Arial" w:hAnsi="Arial"/>
          <w:sz w:val="14"/>
          <w:szCs w:val="14"/>
          <w:color w:val="909295"/>
        </w:rPr>
        <w:t>Xerox Holdings Corporation</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4"/>
          <w:szCs w:val="14"/>
          <w:color w:val="909295"/>
        </w:rPr>
        <w:t>201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909295"/>
        </w:rPr>
        <w:t>Merritt 7</w:t>
      </w:r>
    </w:p>
    <w:p>
      <w:pPr>
        <w:spacing w:after="0" w:line="1" w:lineRule="exact"/>
        <w:rPr>
          <w:sz w:val="20"/>
          <w:szCs w:val="20"/>
          <w:color w:val="auto"/>
        </w:rPr>
      </w:pPr>
    </w:p>
    <w:p>
      <w:pPr>
        <w:ind w:left="7060"/>
        <w:spacing w:after="0"/>
        <w:rPr>
          <w:sz w:val="20"/>
          <w:szCs w:val="20"/>
          <w:color w:val="auto"/>
        </w:rPr>
      </w:pPr>
      <w:r>
        <w:rPr>
          <w:rFonts w:ascii="Arial" w:cs="Arial" w:eastAsia="Arial" w:hAnsi="Arial"/>
          <w:sz w:val="14"/>
          <w:szCs w:val="14"/>
          <w:color w:val="909295"/>
        </w:rPr>
        <w:t>Norwalk, CT 06851-1056</w:t>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4"/>
          <w:szCs w:val="14"/>
          <w:color w:val="909295"/>
        </w:rPr>
        <w:t>tel+1-203-968-3000</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color w:val="auto"/>
        </w:rPr>
        <w:t>Xerox Releases Fourth-Quarter and Full-Year Results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Plans to create separate Software, Financing and Innovation businesses, launch corporate venture capital fund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Financial Summ</w:t>
      </w:r>
      <w:r>
        <w:rPr>
          <w:rFonts w:ascii="Arial" w:cs="Arial" w:eastAsia="Arial" w:hAnsi="Arial"/>
          <w:sz w:val="21"/>
          <w:szCs w:val="21"/>
          <w:color w:val="auto"/>
        </w:rPr>
        <w:t>ary</w:t>
      </w:r>
    </w:p>
    <w:p>
      <w:pPr>
        <w:spacing w:after="0" w:line="247" w:lineRule="exact"/>
        <w:rPr>
          <w:sz w:val="20"/>
          <w:szCs w:val="20"/>
          <w:color w:val="auto"/>
        </w:rPr>
      </w:pPr>
    </w:p>
    <w:p>
      <w:pPr>
        <w:jc w:val="both"/>
        <w:ind w:left="660" w:right="2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$235 million of operating cash flow from continuing operations in Q4, up $129 million from Q3 and down $163 million year-over-year (YOY); $548 million of full-year (FY) operating cash flow from continuing operations, down $696 million YOY.</w:t>
      </w:r>
    </w:p>
    <w:p>
      <w:pPr>
        <w:spacing w:after="0" w:line="1" w:lineRule="exact"/>
        <w:rPr>
          <w:rFonts w:ascii="Arial" w:cs="Arial" w:eastAsia="Arial" w:hAnsi="Arial"/>
          <w:sz w:val="18"/>
          <w:szCs w:val="18"/>
          <w:color w:val="auto"/>
        </w:rPr>
      </w:pPr>
    </w:p>
    <w:p>
      <w:pPr>
        <w:ind w:left="66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$221 million of free cash flow in Q4, up $133 million from Q3 and down $160 million YOY; $474 million of FY free cash flow, down $ 705 million YOY.</w:t>
      </w:r>
    </w:p>
    <w:p>
      <w:pPr>
        <w:ind w:left="66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Q4 adjusted operating margin of 9.5 percent, up 210 basis points from Q3 and down 730 basis points YOY; FY adjusted operating margin of 6.6 percent, down 650 basis points YOY.</w:t>
      </w:r>
    </w:p>
    <w:p>
      <w:pPr>
        <w:ind w:left="66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Q4 GAAP earnings per share (EPS) from continuing operations of $0.36, down $0.05 from Q3 and down $0.81 YOY; FY GAAP EPS from continuing operations of $0.84, down $1.94 YOY.</w:t>
      </w:r>
    </w:p>
    <w:p>
      <w:pPr>
        <w:ind w:left="660" w:hanging="328"/>
        <w:spacing w:after="0" w:line="22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Q4 adjusted EPS of $0.58, up $0.10 from Q3 and down $0.75 YOY; FY adjusted EPS of $1.41, down $2.14 YOY.</w:t>
      </w:r>
    </w:p>
    <w:p>
      <w:pPr>
        <w:ind w:left="66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$1.930 billion of Q4 revenue, up 9.2 percent or 8.5 percent in constant currency compared to Q3 and down 21.0 percent or 22.3 percent in constant currency YOY.</w:t>
      </w:r>
    </w:p>
    <w:p>
      <w:pPr>
        <w:ind w:left="660" w:hanging="328"/>
        <w:spacing w:after="0" w:line="22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$7.022 billion of FY revenue, down 22.5 percent YOY or 22.7 percent in constant currency YOY.</w:t>
      </w:r>
    </w:p>
    <w:p>
      <w:pPr>
        <w:ind w:left="660" w:hanging="328"/>
        <w:spacing w:after="0" w:line="22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Delivered $450 million of gross savings in 2020 under Project Own It.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Returned 112 percent of free cash flow to shareholders in 2020.</w:t>
      </w:r>
    </w:p>
    <w:p>
      <w:pPr>
        <w:spacing w:after="0" w:line="229" w:lineRule="exact"/>
        <w:rPr>
          <w:sz w:val="20"/>
          <w:szCs w:val="20"/>
          <w:color w:val="auto"/>
        </w:rPr>
      </w:pPr>
    </w:p>
    <w:p>
      <w:pPr>
        <w:ind w:right="2740"/>
        <w:spacing w:after="0" w:line="236" w:lineRule="auto"/>
        <w:rPr>
          <w:sz w:val="20"/>
          <w:szCs w:val="20"/>
          <w:color w:val="auto"/>
        </w:rPr>
      </w:pPr>
      <w:r>
        <w:rPr>
          <w:rFonts w:ascii="Arial" w:cs="Arial" w:eastAsia="Arial" w:hAnsi="Arial"/>
          <w:sz w:val="20"/>
          <w:szCs w:val="20"/>
          <w:color w:val="auto"/>
        </w:rPr>
        <w:t xml:space="preserve">NORWALK, Conn., Jan. 26, 2021 — </w:t>
      </w:r>
      <w:r>
        <w:rPr>
          <w:rFonts w:ascii="Arial" w:cs="Arial" w:eastAsia="Arial" w:hAnsi="Arial"/>
          <w:sz w:val="20"/>
          <w:szCs w:val="20"/>
          <w:color w:val="D92231"/>
        </w:rPr>
        <w:t>Xerox Holdings Corporation</w:t>
      </w:r>
      <w:r>
        <w:rPr>
          <w:rFonts w:ascii="Arial" w:cs="Arial" w:eastAsia="Arial" w:hAnsi="Arial"/>
          <w:sz w:val="20"/>
          <w:szCs w:val="20"/>
          <w:color w:val="auto"/>
        </w:rPr>
        <w:t xml:space="preserve"> (NYSE: XRX) today announced 2020 fourth-quarter and full-year results and guidance for 2021.</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“Times of adversity require working in unison, and I couldn’t be prouder of the way our team came together. We put our strategy to the test in 2020, delivering positive earnings per share and free cash flow, while returning capital to shareholders and continuing to invest in our future. The team’s discipline allowed us to turn on a dime, tightly controlling expenses while steadfastly supporting clients,” said Xerox Vice Chairman and CEO John Visentin. “Though the impact of the pandemic continues in 2021, we expect to return to growth this year as we increase the breadth of offerings and reach new customers in existing and new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5"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0"/>
          <w:szCs w:val="20"/>
          <w:b w:val="1"/>
          <w:bCs w:val="1"/>
          <w:color w:val="auto"/>
        </w:rPr>
        <w:t>Fourth-Quarter Key Financial Results - Continuing Operations:</w:t>
      </w:r>
    </w:p>
    <w:p>
      <w:pPr>
        <w:spacing w:after="0" w:line="115" w:lineRule="exact"/>
        <w:rPr>
          <w:sz w:val="20"/>
          <w:szCs w:val="20"/>
          <w:color w:val="auto"/>
        </w:rPr>
      </w:pPr>
    </w:p>
    <w:tbl>
      <w:tblPr>
        <w:tblLayout w:type="fixed"/>
        <w:tblInd w:w="90" w:type="dxa"/>
        <w:tblCellMar>
          <w:top w:w="0" w:type="dxa"/>
          <w:left w:w="0" w:type="dxa"/>
          <w:bottom w:w="0" w:type="dxa"/>
          <w:right w:w="0" w:type="dxa"/>
        </w:tblCellMar>
      </w:tblPr>
      <w:tr>
        <w:trPr>
          <w:trHeight w:val="176"/>
        </w:trPr>
        <w:tc>
          <w:tcPr>
            <w:tcW w:w="4140" w:type="dxa"/>
            <w:vAlign w:val="bottom"/>
            <w:tcBorders>
              <w:top w:val="single" w:sz="8" w:color="A6A6A6"/>
              <w:left w:val="single" w:sz="8" w:color="A6A6A6"/>
              <w:right w:val="single" w:sz="8" w:color="A6A6A6"/>
            </w:tcBorders>
            <w:vMerge w:val="restart"/>
          </w:tcPr>
          <w:p>
            <w:pPr>
              <w:ind w:left="40"/>
              <w:spacing w:after="0"/>
              <w:rPr>
                <w:sz w:val="20"/>
                <w:szCs w:val="20"/>
                <w:color w:val="auto"/>
              </w:rPr>
            </w:pPr>
            <w:r>
              <w:rPr>
                <w:rFonts w:ascii="Arial" w:cs="Arial" w:eastAsia="Arial" w:hAnsi="Arial"/>
                <w:sz w:val="16"/>
                <w:szCs w:val="16"/>
                <w:b w:val="1"/>
                <w:bCs w:val="1"/>
                <w:color w:val="D92130"/>
              </w:rPr>
              <w:t>(in millions, except per share data)</w:t>
            </w:r>
          </w:p>
        </w:tc>
        <w:tc>
          <w:tcPr>
            <w:tcW w:w="1720" w:type="dxa"/>
            <w:vAlign w:val="bottom"/>
            <w:tcBorders>
              <w:top w:val="single" w:sz="8" w:color="A6A6A6"/>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D92130"/>
              </w:rPr>
              <w:t>Q4 2020</w:t>
            </w:r>
          </w:p>
        </w:tc>
        <w:tc>
          <w:tcPr>
            <w:tcW w:w="1720" w:type="dxa"/>
            <w:vAlign w:val="bottom"/>
            <w:tcBorders>
              <w:top w:val="single" w:sz="8" w:color="A6A6A6"/>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D92130"/>
              </w:rPr>
              <w:t>Q4 2019</w:t>
            </w:r>
          </w:p>
        </w:tc>
        <w:tc>
          <w:tcPr>
            <w:tcW w:w="1700" w:type="dxa"/>
            <w:vAlign w:val="bottom"/>
            <w:tcBorders>
              <w:top w:val="single" w:sz="8" w:color="A6A6A6"/>
              <w:right w:val="single" w:sz="8" w:color="A6A6A6"/>
            </w:tcBorders>
          </w:tcPr>
          <w:p>
            <w:pPr>
              <w:jc w:val="center"/>
              <w:spacing w:after="0" w:line="175" w:lineRule="exact"/>
              <w:rPr>
                <w:sz w:val="20"/>
                <w:szCs w:val="20"/>
                <w:color w:val="auto"/>
              </w:rPr>
            </w:pPr>
            <w:r>
              <w:rPr>
                <w:rFonts w:ascii="Arial" w:cs="Arial" w:eastAsia="Arial" w:hAnsi="Arial"/>
                <w:sz w:val="16"/>
                <w:szCs w:val="16"/>
                <w:b w:val="1"/>
                <w:bCs w:val="1"/>
                <w:color w:val="D92130"/>
              </w:rPr>
              <w:t>B/(W)</w:t>
            </w:r>
          </w:p>
        </w:tc>
        <w:tc>
          <w:tcPr>
            <w:tcW w:w="1720" w:type="dxa"/>
            <w:vAlign w:val="bottom"/>
            <w:tcBorders>
              <w:top w:val="single" w:sz="8" w:color="A6A6A6"/>
              <w:right w:val="single" w:sz="8" w:color="A6A6A6"/>
            </w:tcBorders>
          </w:tcPr>
          <w:p>
            <w:pPr>
              <w:jc w:val="center"/>
              <w:spacing w:after="0" w:line="175" w:lineRule="exact"/>
              <w:rPr>
                <w:sz w:val="20"/>
                <w:szCs w:val="20"/>
                <w:color w:val="auto"/>
              </w:rPr>
            </w:pPr>
            <w:r>
              <w:rPr>
                <w:rFonts w:ascii="Arial" w:cs="Arial" w:eastAsia="Arial" w:hAnsi="Arial"/>
                <w:sz w:val="16"/>
                <w:szCs w:val="16"/>
                <w:b w:val="1"/>
                <w:bCs w:val="1"/>
                <w:color w:val="D92130"/>
              </w:rPr>
              <w:t>% Change</w:t>
            </w:r>
          </w:p>
        </w:tc>
        <w:tc>
          <w:tcPr>
            <w:tcW w:w="0" w:type="dxa"/>
            <w:vAlign w:val="bottom"/>
          </w:tcPr>
          <w:p>
            <w:pPr>
              <w:spacing w:after="0"/>
              <w:rPr>
                <w:sz w:val="1"/>
                <w:szCs w:val="1"/>
                <w:color w:val="auto"/>
              </w:rPr>
            </w:pPr>
          </w:p>
        </w:tc>
      </w:tr>
      <w:tr>
        <w:trPr>
          <w:trHeight w:val="215"/>
        </w:trPr>
        <w:tc>
          <w:tcPr>
            <w:tcW w:w="4140" w:type="dxa"/>
            <w:vAlign w:val="bottom"/>
            <w:tcBorders>
              <w:left w:val="single" w:sz="8" w:color="A6A6A6"/>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YOY</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YOY</w:t>
            </w:r>
          </w:p>
        </w:tc>
        <w:tc>
          <w:tcPr>
            <w:tcW w:w="0" w:type="dxa"/>
            <w:vAlign w:val="bottom"/>
          </w:tcPr>
          <w:p>
            <w:pPr>
              <w:spacing w:after="0"/>
              <w:rPr>
                <w:sz w:val="1"/>
                <w:szCs w:val="1"/>
                <w:color w:val="auto"/>
              </w:rPr>
            </w:pPr>
          </w:p>
        </w:tc>
      </w:tr>
      <w:tr>
        <w:trPr>
          <w:trHeight w:val="156"/>
        </w:trPr>
        <w:tc>
          <w:tcPr>
            <w:tcW w:w="4140" w:type="dxa"/>
            <w:vAlign w:val="bottom"/>
            <w:tcBorders>
              <w:left w:val="single" w:sz="8" w:color="A6A6A6"/>
              <w:right w:val="single" w:sz="8" w:color="A6A6A6"/>
            </w:tcBorders>
            <w:vMerge w:val="restart"/>
          </w:tcPr>
          <w:p>
            <w:pPr>
              <w:ind w:left="40"/>
              <w:spacing w:after="0"/>
              <w:rPr>
                <w:sz w:val="20"/>
                <w:szCs w:val="20"/>
                <w:color w:val="auto"/>
              </w:rPr>
            </w:pPr>
            <w:r>
              <w:rPr>
                <w:rFonts w:ascii="Arial" w:cs="Arial" w:eastAsia="Arial" w:hAnsi="Arial"/>
                <w:sz w:val="16"/>
                <w:szCs w:val="16"/>
                <w:b w:val="1"/>
                <w:bCs w:val="1"/>
                <w:color w:val="auto"/>
              </w:rPr>
              <w:t>Revenue</w:t>
            </w:r>
          </w:p>
        </w:tc>
        <w:tc>
          <w:tcPr>
            <w:tcW w:w="172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$1,930</w:t>
            </w:r>
          </w:p>
        </w:tc>
        <w:tc>
          <w:tcPr>
            <w:tcW w:w="172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$2,444</w:t>
            </w:r>
          </w:p>
        </w:tc>
        <w:tc>
          <w:tcPr>
            <w:tcW w:w="170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$(514)</w:t>
            </w:r>
          </w:p>
        </w:tc>
        <w:tc>
          <w:tcPr>
            <w:tcW w:w="1720" w:type="dxa"/>
            <w:vAlign w:val="bottom"/>
            <w:tcBorders>
              <w:right w:val="single" w:sz="8" w:color="A6A6A6"/>
            </w:tcBorders>
          </w:tcPr>
          <w:p>
            <w:pPr>
              <w:jc w:val="center"/>
              <w:spacing w:after="0" w:line="156" w:lineRule="exact"/>
              <w:rPr>
                <w:sz w:val="20"/>
                <w:szCs w:val="20"/>
                <w:color w:val="auto"/>
              </w:rPr>
            </w:pPr>
            <w:r>
              <w:rPr>
                <w:rFonts w:ascii="Arial" w:cs="Arial" w:eastAsia="Arial" w:hAnsi="Arial"/>
                <w:sz w:val="16"/>
                <w:szCs w:val="16"/>
                <w:b w:val="1"/>
                <w:bCs w:val="1"/>
                <w:color w:val="auto"/>
              </w:rPr>
              <w:t>(21.0)% AC (22.3)%</w:t>
            </w:r>
          </w:p>
        </w:tc>
        <w:tc>
          <w:tcPr>
            <w:tcW w:w="0" w:type="dxa"/>
            <w:vAlign w:val="bottom"/>
          </w:tcPr>
          <w:p>
            <w:pPr>
              <w:spacing w:after="0"/>
              <w:rPr>
                <w:sz w:val="1"/>
                <w:szCs w:val="1"/>
                <w:color w:val="auto"/>
              </w:rPr>
            </w:pPr>
          </w:p>
        </w:tc>
      </w:tr>
      <w:tr>
        <w:trPr>
          <w:trHeight w:val="216"/>
        </w:trPr>
        <w:tc>
          <w:tcPr>
            <w:tcW w:w="4140" w:type="dxa"/>
            <w:vAlign w:val="bottom"/>
            <w:tcBorders>
              <w:left w:val="single" w:sz="8" w:color="A6A6A6"/>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tcPr>
          <w:p>
            <w:pPr>
              <w:jc w:val="center"/>
              <w:spacing w:after="0" w:line="216" w:lineRule="exact"/>
              <w:rPr>
                <w:sz w:val="20"/>
                <w:szCs w:val="20"/>
                <w:color w:val="auto"/>
              </w:rPr>
            </w:pPr>
            <w:r>
              <w:rPr>
                <w:rFonts w:ascii="Arial" w:cs="Arial" w:eastAsia="Arial" w:hAnsi="Arial"/>
                <w:sz w:val="16"/>
                <w:szCs w:val="16"/>
                <w:b w:val="1"/>
                <w:bCs w:val="1"/>
                <w:color w:val="auto"/>
                <w:w w:val="96"/>
              </w:rPr>
              <w:t>CC</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07"/>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Gross Margin</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36.2%</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41.6%</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(540) bps</w:t>
            </w:r>
          </w:p>
        </w:tc>
        <w:tc>
          <w:tcPr>
            <w:tcW w:w="1720" w:type="dxa"/>
            <w:vAlign w:val="bottom"/>
            <w:tcBorders>
              <w:bottom w:val="single" w:sz="8" w:color="A6A6A6"/>
              <w:right w:val="single" w:sz="8" w:color="A6A6A6"/>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6A6A6"/>
              <w:bottom w:val="single" w:sz="8" w:color="A6A6A6"/>
              <w:right w:val="single" w:sz="8" w:color="A6A6A6"/>
            </w:tcBorders>
          </w:tcPr>
          <w:p>
            <w:pPr>
              <w:ind w:left="360"/>
              <w:spacing w:after="0"/>
              <w:rPr>
                <w:sz w:val="20"/>
                <w:szCs w:val="20"/>
                <w:color w:val="auto"/>
              </w:rPr>
            </w:pPr>
            <w:r>
              <w:rPr>
                <w:rFonts w:ascii="Arial" w:cs="Arial" w:eastAsia="Arial" w:hAnsi="Arial"/>
                <w:sz w:val="16"/>
                <w:szCs w:val="16"/>
                <w:color w:val="auto"/>
              </w:rPr>
              <w:t>RD&amp;E %</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3.9%</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8"/>
              </w:rPr>
              <w:t>3.8%</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(10) bps</w:t>
            </w:r>
          </w:p>
        </w:tc>
        <w:tc>
          <w:tcPr>
            <w:tcW w:w="1720" w:type="dxa"/>
            <w:vAlign w:val="bottom"/>
            <w:tcBorders>
              <w:bottom w:val="single" w:sz="8" w:color="A6A6A6"/>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SAG %</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22.8%</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20.9%</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(190) bps</w:t>
            </w:r>
          </w:p>
        </w:tc>
        <w:tc>
          <w:tcPr>
            <w:tcW w:w="1720" w:type="dxa"/>
            <w:vAlign w:val="bottom"/>
            <w:tcBorders>
              <w:bottom w:val="single" w:sz="8" w:color="A6A6A6"/>
              <w:right w:val="single" w:sz="8" w:color="A6A6A6"/>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Pre-Tax Income</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$103</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$336</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$(233)</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(69.3)%</w:t>
            </w:r>
          </w:p>
        </w:tc>
        <w:tc>
          <w:tcPr>
            <w:tcW w:w="0" w:type="dxa"/>
            <w:vAlign w:val="bottom"/>
          </w:tcPr>
          <w:p>
            <w:pPr>
              <w:spacing w:after="0"/>
              <w:rPr>
                <w:sz w:val="1"/>
                <w:szCs w:val="1"/>
                <w:color w:val="auto"/>
              </w:rPr>
            </w:pPr>
          </w:p>
        </w:tc>
      </w:tr>
      <w:tr>
        <w:trPr>
          <w:trHeight w:val="207"/>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Pre-Tax Income Margin</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5.3%</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13.7%</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(840) bps</w:t>
            </w:r>
          </w:p>
        </w:tc>
        <w:tc>
          <w:tcPr>
            <w:tcW w:w="1720" w:type="dxa"/>
            <w:vAlign w:val="bottom"/>
            <w:tcBorders>
              <w:bottom w:val="single" w:sz="8" w:color="A6A6A6"/>
              <w:right w:val="single" w:sz="8" w:color="A6A6A6"/>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14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Operating Income - Adjusted</w:t>
            </w:r>
            <w:r>
              <w:rPr>
                <w:rFonts w:ascii="Arial" w:cs="Arial" w:eastAsia="Arial" w:hAnsi="Arial"/>
                <w:sz w:val="21"/>
                <w:szCs w:val="21"/>
                <w:b w:val="1"/>
                <w:bCs w:val="1"/>
                <w:color w:val="auto"/>
                <w:vertAlign w:val="superscript"/>
              </w:rPr>
              <w:t>1</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$184</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$411</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$(227)</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(55.2)%</w:t>
            </w:r>
          </w:p>
        </w:tc>
        <w:tc>
          <w:tcPr>
            <w:tcW w:w="0" w:type="dxa"/>
            <w:vAlign w:val="bottom"/>
          </w:tcPr>
          <w:p>
            <w:pPr>
              <w:spacing w:after="0"/>
              <w:rPr>
                <w:sz w:val="1"/>
                <w:szCs w:val="1"/>
                <w:color w:val="auto"/>
              </w:rPr>
            </w:pPr>
          </w:p>
        </w:tc>
      </w:tr>
      <w:tr>
        <w:trPr>
          <w:trHeight w:val="277"/>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Operating Margin - Adjusted</w:t>
            </w:r>
            <w:r>
              <w:rPr>
                <w:rFonts w:ascii="Arial" w:cs="Arial" w:eastAsia="Arial" w:hAnsi="Arial"/>
                <w:sz w:val="21"/>
                <w:szCs w:val="21"/>
                <w:color w:val="auto"/>
                <w:vertAlign w:val="superscript"/>
              </w:rPr>
              <w:t>1</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9.5%</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16.8%</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(730) bps</w:t>
            </w:r>
          </w:p>
        </w:tc>
        <w:tc>
          <w:tcPr>
            <w:tcW w:w="1720" w:type="dxa"/>
            <w:vAlign w:val="bottom"/>
            <w:tcBorders>
              <w:bottom w:val="single" w:sz="8" w:color="A6A6A6"/>
              <w:right w:val="single" w:sz="8" w:color="A6A6A6"/>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GAAP EPS</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$0.36</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$1.17</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$(0.81)</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(69.2)%</w:t>
            </w:r>
          </w:p>
        </w:tc>
        <w:tc>
          <w:tcPr>
            <w:tcW w:w="0" w:type="dxa"/>
            <w:vAlign w:val="bottom"/>
          </w:tcPr>
          <w:p>
            <w:pPr>
              <w:spacing w:after="0"/>
              <w:rPr>
                <w:sz w:val="1"/>
                <w:szCs w:val="1"/>
                <w:color w:val="auto"/>
              </w:rPr>
            </w:pPr>
          </w:p>
        </w:tc>
      </w:tr>
      <w:tr>
        <w:trPr>
          <w:trHeight w:val="278"/>
        </w:trPr>
        <w:tc>
          <w:tcPr>
            <w:tcW w:w="4140" w:type="dxa"/>
            <w:vAlign w:val="bottom"/>
            <w:tcBorders>
              <w:left w:val="single" w:sz="8" w:color="A6A6A6"/>
              <w:bottom w:val="single" w:sz="8" w:color="A6A6A6"/>
              <w:right w:val="single" w:sz="8" w:color="A6A6A6"/>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EPS - Adjusted</w:t>
            </w:r>
            <w:r>
              <w:rPr>
                <w:rFonts w:ascii="Arial" w:cs="Arial" w:eastAsia="Arial" w:hAnsi="Arial"/>
                <w:sz w:val="21"/>
                <w:szCs w:val="21"/>
                <w:b w:val="1"/>
                <w:bCs w:val="1"/>
                <w:color w:val="auto"/>
                <w:vertAlign w:val="superscript"/>
              </w:rPr>
              <w:t>1</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$0.58</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$1.33</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$(0.75)</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(56.4)%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Key Financial Results - Continuing Operations:</w:t>
      </w:r>
    </w:p>
    <w:p>
      <w:pPr>
        <w:spacing w:after="0" w:line="102" w:lineRule="exact"/>
        <w:rPr>
          <w:sz w:val="20"/>
          <w:szCs w:val="20"/>
          <w:color w:val="auto"/>
        </w:rPr>
      </w:pPr>
    </w:p>
    <w:tbl>
      <w:tblPr>
        <w:tblLayout w:type="fixed"/>
        <w:tblInd w:w="90" w:type="dxa"/>
        <w:tblCellMar>
          <w:top w:w="0" w:type="dxa"/>
          <w:left w:w="0" w:type="dxa"/>
          <w:bottom w:w="0" w:type="dxa"/>
          <w:right w:w="0" w:type="dxa"/>
        </w:tblCellMar>
      </w:tblPr>
      <w:tr>
        <w:trPr>
          <w:trHeight w:val="176"/>
        </w:trPr>
        <w:tc>
          <w:tcPr>
            <w:tcW w:w="4140" w:type="dxa"/>
            <w:vAlign w:val="bottom"/>
            <w:tcBorders>
              <w:top w:val="single" w:sz="8" w:color="A6A6A6"/>
              <w:left w:val="single" w:sz="8" w:color="A6A6A6"/>
              <w:right w:val="single" w:sz="8" w:color="A6A6A6"/>
            </w:tcBorders>
            <w:vMerge w:val="restart"/>
          </w:tcPr>
          <w:p>
            <w:pPr>
              <w:ind w:left="40"/>
              <w:spacing w:after="0"/>
              <w:rPr>
                <w:sz w:val="20"/>
                <w:szCs w:val="20"/>
                <w:color w:val="auto"/>
              </w:rPr>
            </w:pPr>
            <w:r>
              <w:rPr>
                <w:rFonts w:ascii="Arial" w:cs="Arial" w:eastAsia="Arial" w:hAnsi="Arial"/>
                <w:sz w:val="16"/>
                <w:szCs w:val="16"/>
                <w:b w:val="1"/>
                <w:bCs w:val="1"/>
                <w:color w:val="D92130"/>
              </w:rPr>
              <w:t>(in millions, except per share data)</w:t>
            </w:r>
          </w:p>
        </w:tc>
        <w:tc>
          <w:tcPr>
            <w:tcW w:w="1720" w:type="dxa"/>
            <w:vAlign w:val="bottom"/>
            <w:tcBorders>
              <w:top w:val="single" w:sz="8" w:color="A6A6A6"/>
              <w:right w:val="single" w:sz="8" w:color="A6A6A6"/>
            </w:tcBorders>
            <w:vMerge w:val="restart"/>
          </w:tcPr>
          <w:p>
            <w:pPr>
              <w:ind w:left="540"/>
              <w:spacing w:after="0"/>
              <w:rPr>
                <w:sz w:val="20"/>
                <w:szCs w:val="20"/>
                <w:color w:val="auto"/>
              </w:rPr>
            </w:pPr>
            <w:r>
              <w:rPr>
                <w:rFonts w:ascii="Arial" w:cs="Arial" w:eastAsia="Arial" w:hAnsi="Arial"/>
                <w:sz w:val="16"/>
                <w:szCs w:val="16"/>
                <w:b w:val="1"/>
                <w:bCs w:val="1"/>
                <w:color w:val="D92130"/>
              </w:rPr>
              <w:t>FY 2020</w:t>
            </w:r>
          </w:p>
        </w:tc>
        <w:tc>
          <w:tcPr>
            <w:tcW w:w="1720" w:type="dxa"/>
            <w:vAlign w:val="bottom"/>
            <w:tcBorders>
              <w:top w:val="single" w:sz="8" w:color="A6A6A6"/>
              <w:right w:val="single" w:sz="8" w:color="A6A6A6"/>
            </w:tcBorders>
            <w:vMerge w:val="restart"/>
          </w:tcPr>
          <w:p>
            <w:pPr>
              <w:ind w:left="540"/>
              <w:spacing w:after="0"/>
              <w:rPr>
                <w:sz w:val="20"/>
                <w:szCs w:val="20"/>
                <w:color w:val="auto"/>
              </w:rPr>
            </w:pPr>
            <w:r>
              <w:rPr>
                <w:rFonts w:ascii="Arial" w:cs="Arial" w:eastAsia="Arial" w:hAnsi="Arial"/>
                <w:sz w:val="16"/>
                <w:szCs w:val="16"/>
                <w:b w:val="1"/>
                <w:bCs w:val="1"/>
                <w:color w:val="D92130"/>
              </w:rPr>
              <w:t>FY 2019</w:t>
            </w:r>
          </w:p>
        </w:tc>
        <w:tc>
          <w:tcPr>
            <w:tcW w:w="1700" w:type="dxa"/>
            <w:vAlign w:val="bottom"/>
            <w:tcBorders>
              <w:top w:val="single" w:sz="8" w:color="A6A6A6"/>
              <w:right w:val="single" w:sz="8" w:color="A6A6A6"/>
            </w:tcBorders>
          </w:tcPr>
          <w:p>
            <w:pPr>
              <w:jc w:val="center"/>
              <w:spacing w:after="0" w:line="175" w:lineRule="exact"/>
              <w:rPr>
                <w:sz w:val="20"/>
                <w:szCs w:val="20"/>
                <w:color w:val="auto"/>
              </w:rPr>
            </w:pPr>
            <w:r>
              <w:rPr>
                <w:rFonts w:ascii="Arial" w:cs="Arial" w:eastAsia="Arial" w:hAnsi="Arial"/>
                <w:sz w:val="16"/>
                <w:szCs w:val="16"/>
                <w:b w:val="1"/>
                <w:bCs w:val="1"/>
                <w:color w:val="D92130"/>
              </w:rPr>
              <w:t>B/(W)</w:t>
            </w:r>
          </w:p>
        </w:tc>
        <w:tc>
          <w:tcPr>
            <w:tcW w:w="1720" w:type="dxa"/>
            <w:vAlign w:val="bottom"/>
            <w:tcBorders>
              <w:top w:val="single" w:sz="8" w:color="A6A6A6"/>
              <w:right w:val="single" w:sz="8" w:color="A6A6A6"/>
            </w:tcBorders>
          </w:tcPr>
          <w:p>
            <w:pPr>
              <w:jc w:val="center"/>
              <w:spacing w:after="0" w:line="175" w:lineRule="exact"/>
              <w:rPr>
                <w:sz w:val="20"/>
                <w:szCs w:val="20"/>
                <w:color w:val="auto"/>
              </w:rPr>
            </w:pPr>
            <w:r>
              <w:rPr>
                <w:rFonts w:ascii="Arial" w:cs="Arial" w:eastAsia="Arial" w:hAnsi="Arial"/>
                <w:sz w:val="16"/>
                <w:szCs w:val="16"/>
                <w:b w:val="1"/>
                <w:bCs w:val="1"/>
                <w:color w:val="D92130"/>
              </w:rPr>
              <w:t>% Change</w:t>
            </w:r>
          </w:p>
        </w:tc>
        <w:tc>
          <w:tcPr>
            <w:tcW w:w="0" w:type="dxa"/>
            <w:vAlign w:val="bottom"/>
          </w:tcPr>
          <w:p>
            <w:pPr>
              <w:spacing w:after="0"/>
              <w:rPr>
                <w:sz w:val="1"/>
                <w:szCs w:val="1"/>
                <w:color w:val="auto"/>
              </w:rPr>
            </w:pPr>
          </w:p>
        </w:tc>
      </w:tr>
      <w:tr>
        <w:trPr>
          <w:trHeight w:val="215"/>
        </w:trPr>
        <w:tc>
          <w:tcPr>
            <w:tcW w:w="4140" w:type="dxa"/>
            <w:vAlign w:val="bottom"/>
            <w:tcBorders>
              <w:left w:val="single" w:sz="8" w:color="A6A6A6"/>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YOY</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YOY</w:t>
            </w:r>
          </w:p>
        </w:tc>
        <w:tc>
          <w:tcPr>
            <w:tcW w:w="0" w:type="dxa"/>
            <w:vAlign w:val="bottom"/>
          </w:tcPr>
          <w:p>
            <w:pPr>
              <w:spacing w:after="0"/>
              <w:rPr>
                <w:sz w:val="1"/>
                <w:szCs w:val="1"/>
                <w:color w:val="auto"/>
              </w:rPr>
            </w:pPr>
          </w:p>
        </w:tc>
      </w:tr>
      <w:tr>
        <w:trPr>
          <w:trHeight w:val="156"/>
        </w:trPr>
        <w:tc>
          <w:tcPr>
            <w:tcW w:w="4140" w:type="dxa"/>
            <w:vAlign w:val="bottom"/>
            <w:tcBorders>
              <w:left w:val="single" w:sz="8" w:color="A6A6A6"/>
              <w:right w:val="single" w:sz="8" w:color="A6A6A6"/>
            </w:tcBorders>
            <w:vMerge w:val="restart"/>
          </w:tcPr>
          <w:p>
            <w:pPr>
              <w:ind w:left="40"/>
              <w:spacing w:after="0"/>
              <w:rPr>
                <w:sz w:val="20"/>
                <w:szCs w:val="20"/>
                <w:color w:val="auto"/>
              </w:rPr>
            </w:pPr>
            <w:r>
              <w:rPr>
                <w:rFonts w:ascii="Arial" w:cs="Arial" w:eastAsia="Arial" w:hAnsi="Arial"/>
                <w:sz w:val="16"/>
                <w:szCs w:val="16"/>
                <w:b w:val="1"/>
                <w:bCs w:val="1"/>
                <w:color w:val="auto"/>
              </w:rPr>
              <w:t>Revenue</w:t>
            </w:r>
          </w:p>
        </w:tc>
        <w:tc>
          <w:tcPr>
            <w:tcW w:w="172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$7,022</w:t>
            </w:r>
          </w:p>
        </w:tc>
        <w:tc>
          <w:tcPr>
            <w:tcW w:w="172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$9,066</w:t>
            </w:r>
          </w:p>
        </w:tc>
        <w:tc>
          <w:tcPr>
            <w:tcW w:w="170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$(2,044)</w:t>
            </w:r>
          </w:p>
        </w:tc>
        <w:tc>
          <w:tcPr>
            <w:tcW w:w="1720" w:type="dxa"/>
            <w:vAlign w:val="bottom"/>
            <w:tcBorders>
              <w:right w:val="single" w:sz="8" w:color="A6A6A6"/>
            </w:tcBorders>
          </w:tcPr>
          <w:p>
            <w:pPr>
              <w:jc w:val="center"/>
              <w:spacing w:after="0" w:line="156" w:lineRule="exact"/>
              <w:rPr>
                <w:sz w:val="20"/>
                <w:szCs w:val="20"/>
                <w:color w:val="auto"/>
              </w:rPr>
            </w:pPr>
            <w:r>
              <w:rPr>
                <w:rFonts w:ascii="Arial" w:cs="Arial" w:eastAsia="Arial" w:hAnsi="Arial"/>
                <w:sz w:val="16"/>
                <w:szCs w:val="16"/>
                <w:b w:val="1"/>
                <w:bCs w:val="1"/>
                <w:color w:val="auto"/>
              </w:rPr>
              <w:t>(22.5)% AC (22.7)%</w:t>
            </w:r>
          </w:p>
        </w:tc>
        <w:tc>
          <w:tcPr>
            <w:tcW w:w="0" w:type="dxa"/>
            <w:vAlign w:val="bottom"/>
          </w:tcPr>
          <w:p>
            <w:pPr>
              <w:spacing w:after="0"/>
              <w:rPr>
                <w:sz w:val="1"/>
                <w:szCs w:val="1"/>
                <w:color w:val="auto"/>
              </w:rPr>
            </w:pPr>
          </w:p>
        </w:tc>
      </w:tr>
      <w:tr>
        <w:trPr>
          <w:trHeight w:val="216"/>
        </w:trPr>
        <w:tc>
          <w:tcPr>
            <w:tcW w:w="4140" w:type="dxa"/>
            <w:vAlign w:val="bottom"/>
            <w:tcBorders>
              <w:left w:val="single" w:sz="8" w:color="A6A6A6"/>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vMerge w:val="continue"/>
          </w:tcPr>
          <w:p>
            <w:pPr>
              <w:spacing w:after="0"/>
              <w:rPr>
                <w:sz w:val="18"/>
                <w:szCs w:val="18"/>
                <w:color w:val="auto"/>
              </w:rPr>
            </w:pPr>
          </w:p>
        </w:tc>
        <w:tc>
          <w:tcPr>
            <w:tcW w:w="1720" w:type="dxa"/>
            <w:vAlign w:val="bottom"/>
            <w:tcBorders>
              <w:bottom w:val="single" w:sz="8" w:color="A6A6A6"/>
              <w:right w:val="single" w:sz="8" w:color="A6A6A6"/>
            </w:tcBorders>
          </w:tcPr>
          <w:p>
            <w:pPr>
              <w:jc w:val="center"/>
              <w:spacing w:after="0" w:line="216" w:lineRule="exact"/>
              <w:rPr>
                <w:sz w:val="20"/>
                <w:szCs w:val="20"/>
                <w:color w:val="auto"/>
              </w:rPr>
            </w:pPr>
            <w:r>
              <w:rPr>
                <w:rFonts w:ascii="Arial" w:cs="Arial" w:eastAsia="Arial" w:hAnsi="Arial"/>
                <w:sz w:val="16"/>
                <w:szCs w:val="16"/>
                <w:b w:val="1"/>
                <w:bCs w:val="1"/>
                <w:color w:val="auto"/>
                <w:w w:val="96"/>
              </w:rPr>
              <w:t>CC</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07"/>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Gross Margin</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37.4%</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40.3%</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(290) bps</w:t>
            </w:r>
          </w:p>
        </w:tc>
        <w:tc>
          <w:tcPr>
            <w:tcW w:w="1720" w:type="dxa"/>
            <w:vAlign w:val="bottom"/>
            <w:tcBorders>
              <w:bottom w:val="single" w:sz="8" w:color="A6A6A6"/>
              <w:right w:val="single" w:sz="8" w:color="A6A6A6"/>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6A6A6"/>
              <w:bottom w:val="single" w:sz="8" w:color="A6A6A6"/>
              <w:right w:val="single" w:sz="8" w:color="A6A6A6"/>
            </w:tcBorders>
          </w:tcPr>
          <w:p>
            <w:pPr>
              <w:ind w:left="360"/>
              <w:spacing w:after="0"/>
              <w:rPr>
                <w:sz w:val="20"/>
                <w:szCs w:val="20"/>
                <w:color w:val="auto"/>
              </w:rPr>
            </w:pPr>
            <w:r>
              <w:rPr>
                <w:rFonts w:ascii="Arial" w:cs="Arial" w:eastAsia="Arial" w:hAnsi="Arial"/>
                <w:sz w:val="16"/>
                <w:szCs w:val="16"/>
                <w:color w:val="auto"/>
              </w:rPr>
              <w:t>RD&amp;E %</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4.4%</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8"/>
              </w:rPr>
              <w:t>4.1%</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(30) bps</w:t>
            </w:r>
          </w:p>
        </w:tc>
        <w:tc>
          <w:tcPr>
            <w:tcW w:w="1720" w:type="dxa"/>
            <w:vAlign w:val="bottom"/>
            <w:tcBorders>
              <w:bottom w:val="single" w:sz="8" w:color="A6A6A6"/>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SAG %</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26.4%</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23.0%</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(340) bps</w:t>
            </w:r>
          </w:p>
        </w:tc>
        <w:tc>
          <w:tcPr>
            <w:tcW w:w="1720" w:type="dxa"/>
            <w:vAlign w:val="bottom"/>
            <w:tcBorders>
              <w:bottom w:val="single" w:sz="8" w:color="A6A6A6"/>
              <w:right w:val="single" w:sz="8" w:color="A6A6A6"/>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Pre-Tax Income</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$252</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$822</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$(570)</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(69.3)%</w:t>
            </w:r>
          </w:p>
        </w:tc>
        <w:tc>
          <w:tcPr>
            <w:tcW w:w="0" w:type="dxa"/>
            <w:vAlign w:val="bottom"/>
          </w:tcPr>
          <w:p>
            <w:pPr>
              <w:spacing w:after="0"/>
              <w:rPr>
                <w:sz w:val="1"/>
                <w:szCs w:val="1"/>
                <w:color w:val="auto"/>
              </w:rPr>
            </w:pPr>
          </w:p>
        </w:tc>
      </w:tr>
      <w:tr>
        <w:trPr>
          <w:trHeight w:val="207"/>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Pre-Tax Income Margin</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3.6%</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w w:val="98"/>
              </w:rPr>
              <w:t>9.1%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(550) bps</w:t>
            </w:r>
          </w:p>
        </w:tc>
        <w:tc>
          <w:tcPr>
            <w:tcW w:w="1720" w:type="dxa"/>
            <w:vAlign w:val="bottom"/>
            <w:tcBorders>
              <w:bottom w:val="single" w:sz="8" w:color="A6A6A6"/>
              <w:right w:val="single" w:sz="8" w:color="A6A6A6"/>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14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Operating Income - Adjusted</w:t>
            </w:r>
            <w:r>
              <w:rPr>
                <w:rFonts w:ascii="Arial" w:cs="Arial" w:eastAsia="Arial" w:hAnsi="Arial"/>
                <w:sz w:val="21"/>
                <w:szCs w:val="21"/>
                <w:b w:val="1"/>
                <w:bCs w:val="1"/>
                <w:color w:val="auto"/>
                <w:vertAlign w:val="superscript"/>
              </w:rPr>
              <w:t>1</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$464</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$1,192</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$(728)</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(61.1)%</w:t>
            </w:r>
          </w:p>
        </w:tc>
        <w:tc>
          <w:tcPr>
            <w:tcW w:w="0" w:type="dxa"/>
            <w:vAlign w:val="bottom"/>
          </w:tcPr>
          <w:p>
            <w:pPr>
              <w:spacing w:after="0"/>
              <w:rPr>
                <w:sz w:val="1"/>
                <w:szCs w:val="1"/>
                <w:color w:val="auto"/>
              </w:rPr>
            </w:pPr>
          </w:p>
        </w:tc>
      </w:tr>
      <w:tr>
        <w:trPr>
          <w:trHeight w:val="277"/>
        </w:trPr>
        <w:tc>
          <w:tcPr>
            <w:tcW w:w="414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Operating Margin - Adjusted</w:t>
            </w:r>
            <w:r>
              <w:rPr>
                <w:rFonts w:ascii="Arial" w:cs="Arial" w:eastAsia="Arial" w:hAnsi="Arial"/>
                <w:sz w:val="21"/>
                <w:szCs w:val="21"/>
                <w:color w:val="auto"/>
                <w:vertAlign w:val="superscript"/>
              </w:rPr>
              <w:t>1</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6.6%</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13.1%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(650) bps</w:t>
            </w:r>
          </w:p>
        </w:tc>
        <w:tc>
          <w:tcPr>
            <w:tcW w:w="1720" w:type="dxa"/>
            <w:vAlign w:val="bottom"/>
            <w:tcBorders>
              <w:bottom w:val="single" w:sz="8" w:color="A6A6A6"/>
              <w:right w:val="single" w:sz="8" w:color="A6A6A6"/>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GAAP EPS</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$0.84</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$2.78</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$(1.94)</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(69.8)%</w:t>
            </w:r>
          </w:p>
        </w:tc>
        <w:tc>
          <w:tcPr>
            <w:tcW w:w="0" w:type="dxa"/>
            <w:vAlign w:val="bottom"/>
          </w:tcPr>
          <w:p>
            <w:pPr>
              <w:spacing w:after="0"/>
              <w:rPr>
                <w:sz w:val="1"/>
                <w:szCs w:val="1"/>
                <w:color w:val="auto"/>
              </w:rPr>
            </w:pPr>
          </w:p>
        </w:tc>
      </w:tr>
      <w:tr>
        <w:trPr>
          <w:trHeight w:val="278"/>
        </w:trPr>
        <w:tc>
          <w:tcPr>
            <w:tcW w:w="4140" w:type="dxa"/>
            <w:vAlign w:val="bottom"/>
            <w:tcBorders>
              <w:left w:val="single" w:sz="8" w:color="A6A6A6"/>
              <w:bottom w:val="single" w:sz="8" w:color="A6A6A6"/>
              <w:right w:val="single" w:sz="8" w:color="A6A6A6"/>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EPS - Adjusted</w:t>
            </w:r>
            <w:r>
              <w:rPr>
                <w:rFonts w:ascii="Arial" w:cs="Arial" w:eastAsia="Arial" w:hAnsi="Arial"/>
                <w:sz w:val="21"/>
                <w:szCs w:val="21"/>
                <w:b w:val="1"/>
                <w:bCs w:val="1"/>
                <w:color w:val="auto"/>
                <w:vertAlign w:val="superscript"/>
              </w:rPr>
              <w:t>1</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$1.41</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$3.55</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$(2.14)</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(60.3)%</w:t>
            </w:r>
          </w:p>
        </w:tc>
        <w:tc>
          <w:tcPr>
            <w:tcW w:w="0" w:type="dxa"/>
            <w:vAlign w:val="bottom"/>
          </w:tcPr>
          <w:p>
            <w:pPr>
              <w:spacing w:after="0"/>
              <w:rPr>
                <w:sz w:val="1"/>
                <w:szCs w:val="1"/>
                <w:color w:val="auto"/>
              </w:rPr>
            </w:pPr>
          </w:p>
        </w:tc>
      </w:tr>
      <w:tr>
        <w:trPr>
          <w:trHeight w:val="271"/>
        </w:trPr>
        <w:tc>
          <w:tcPr>
            <w:tcW w:w="4140" w:type="dxa"/>
            <w:vAlign w:val="bottom"/>
          </w:tcPr>
          <w:p>
            <w:pPr>
              <w:spacing w:after="0"/>
              <w:rPr>
                <w:sz w:val="20"/>
                <w:szCs w:val="20"/>
                <w:color w:val="auto"/>
              </w:rPr>
            </w:pPr>
            <w:r>
              <w:rPr>
                <w:rFonts w:ascii="Arial" w:cs="Arial" w:eastAsia="Arial" w:hAnsi="Arial"/>
                <w:sz w:val="13"/>
                <w:szCs w:val="13"/>
                <w:color w:val="auto"/>
              </w:rPr>
              <w:t>___________</w:t>
            </w:r>
          </w:p>
        </w:tc>
        <w:tc>
          <w:tcPr>
            <w:tcW w:w="17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9280" w:type="dxa"/>
            <w:vAlign w:val="bottom"/>
            <w:gridSpan w:val="4"/>
          </w:tcPr>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4"/>
                <w:szCs w:val="14"/>
                <w:color w:val="auto"/>
              </w:rPr>
              <w:t>Refer to the “Non-GAAP Financial Measures” section of this release for a discussion of these non-GAAP measures and their reconciliation to the</w:t>
            </w:r>
          </w:p>
        </w:tc>
        <w:tc>
          <w:tcPr>
            <w:tcW w:w="1720" w:type="dxa"/>
            <w:vAlign w:val="bottom"/>
          </w:tcPr>
          <w:p>
            <w:pPr>
              <w:ind w:left="80"/>
              <w:spacing w:after="0"/>
              <w:rPr>
                <w:sz w:val="20"/>
                <w:szCs w:val="20"/>
                <w:color w:val="auto"/>
              </w:rPr>
            </w:pPr>
            <w:r>
              <w:rPr>
                <w:rFonts w:ascii="Arial" w:cs="Arial" w:eastAsia="Arial" w:hAnsi="Arial"/>
                <w:sz w:val="14"/>
                <w:szCs w:val="14"/>
                <w:color w:val="auto"/>
                <w:w w:val="97"/>
              </w:rPr>
              <w:t>reported GAAP measures.</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Businesses to Deliver Continuous Growth</w:t>
      </w:r>
    </w:p>
    <w:p>
      <w:pPr>
        <w:spacing w:after="0" w:line="10" w:lineRule="exact"/>
        <w:rPr>
          <w:sz w:val="20"/>
          <w:szCs w:val="20"/>
          <w:color w:val="auto"/>
        </w:rPr>
      </w:pPr>
    </w:p>
    <w:p>
      <w:pPr>
        <w:ind w:left="80"/>
        <w:spacing w:after="0" w:line="236" w:lineRule="auto"/>
        <w:rPr>
          <w:sz w:val="20"/>
          <w:szCs w:val="20"/>
          <w:color w:val="auto"/>
        </w:rPr>
      </w:pPr>
      <w:r>
        <w:rPr>
          <w:rFonts w:ascii="Arial" w:cs="Arial" w:eastAsia="Arial" w:hAnsi="Arial"/>
          <w:sz w:val="20"/>
          <w:szCs w:val="20"/>
          <w:color w:val="auto"/>
        </w:rPr>
        <w:t>Xerox announced its intention to stand up its Software, Financing and Innovation organizations as separate and distinct businesses by 2022.</w:t>
      </w:r>
    </w:p>
    <w:p>
      <w:pPr>
        <w:spacing w:after="0" w:line="218" w:lineRule="exact"/>
        <w:rPr>
          <w:sz w:val="20"/>
          <w:szCs w:val="20"/>
          <w:color w:val="auto"/>
        </w:rPr>
      </w:pPr>
    </w:p>
    <w:p>
      <w:pPr>
        <w:jc w:val="both"/>
        <w:ind w:left="740" w:hanging="328"/>
        <w:spacing w:after="0" w:line="216"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Software business will include a growing portfolio comprised of: DocuShare</w:t>
      </w:r>
      <w:r>
        <w:rPr>
          <w:rFonts w:ascii="Arial" w:cs="Arial" w:eastAsia="Arial" w:hAnsi="Arial"/>
          <w:sz w:val="25"/>
          <w:szCs w:val="25"/>
          <w:color w:val="auto"/>
          <w:vertAlign w:val="superscript"/>
        </w:rPr>
        <w:t>®</w:t>
      </w:r>
      <w:r>
        <w:rPr>
          <w:rFonts w:ascii="Arial" w:cs="Arial" w:eastAsia="Arial" w:hAnsi="Arial"/>
          <w:sz w:val="20"/>
          <w:szCs w:val="20"/>
          <w:color w:val="auto"/>
        </w:rPr>
        <w:t>, a cloud-based content management system; XMPie, software that supports multichannel marketing campaigns; and CareAR, an augmented reality business Xerox acquired in late 2020. CareAR has signed agreements with a number of major companies.</w:t>
      </w:r>
    </w:p>
    <w:p>
      <w:pPr>
        <w:spacing w:after="0" w:line="223" w:lineRule="exact"/>
        <w:rPr>
          <w:rFonts w:ascii="Arial" w:cs="Arial" w:eastAsia="Arial" w:hAnsi="Arial"/>
          <w:sz w:val="18"/>
          <w:szCs w:val="18"/>
          <w:color w:val="auto"/>
        </w:rPr>
      </w:pPr>
    </w:p>
    <w:p>
      <w:pPr>
        <w:jc w:val="both"/>
        <w:ind w:left="740" w:hanging="328"/>
        <w:spacing w:after="0" w:line="232"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20"/>
          <w:szCs w:val="20"/>
          <w:color w:val="auto"/>
        </w:rPr>
        <w:t>Xerox Financial Services (XFS) will become a global payment solutions business, offering leasing for Xerox and third-party technology and office equipment. This will expand the company’s customer base, create cross-selling opportunities and provide more leasing options for small and medium-sized businesses.</w:t>
      </w:r>
    </w:p>
    <w:p>
      <w:pPr>
        <w:spacing w:after="0" w:line="224" w:lineRule="exact"/>
        <w:rPr>
          <w:rFonts w:ascii="Arial" w:cs="Arial" w:eastAsia="Arial" w:hAnsi="Arial"/>
          <w:sz w:val="18"/>
          <w:szCs w:val="18"/>
          <w:color w:val="auto"/>
        </w:rPr>
      </w:pPr>
    </w:p>
    <w:p>
      <w:pPr>
        <w:jc w:val="both"/>
        <w:ind w:left="740" w:hanging="328"/>
        <w:spacing w:after="0" w:line="23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Palo Alto Research Center (PARC) has been central in advancing the company’s innovation portfolio including 3D Printing and Digital Manufacturing, IoT Sensors and Services, and Clean Technology. Xerox installed its first 3D printer for a client in December, and IoT solutions are at work with the U.S. Defense Advanced Research Projects Agency and other clients.</w:t>
      </w:r>
    </w:p>
    <w:p>
      <w:pPr>
        <w:sectPr>
          <w:pgSz w:w="11900" w:h="16838" w:orient="portrait"/>
          <w:cols w:equalWidth="0" w:num="1">
            <w:col w:w="11320"/>
          </w:cols>
          <w:pgMar w:left="240" w:top="1367"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1367" w:right="339" w:bottom="1440" w:gutter="0" w:footer="0" w:header="0"/>
          <w:type w:val="continuous"/>
        </w:sectPr>
      </w:pPr>
    </w:p>
    <w:bookmarkStart w:id="8" w:name="page9"/>
    <w:bookmarkEnd w:id="8"/>
    <w:p>
      <w:pPr>
        <w:jc w:val="both"/>
        <w:spacing w:after="0" w:line="230" w:lineRule="auto"/>
        <w:rPr>
          <w:sz w:val="20"/>
          <w:szCs w:val="20"/>
          <w:color w:val="auto"/>
        </w:rPr>
      </w:pPr>
      <w:r>
        <w:rPr>
          <w:rFonts w:ascii="Arial" w:cs="Arial" w:eastAsia="Arial" w:hAnsi="Arial"/>
          <w:sz w:val="20"/>
          <w:szCs w:val="20"/>
          <w:color w:val="auto"/>
        </w:rPr>
        <w:t>In the coming months, Xerox will establish a $250 million corporate venture capital fund to invest in start-ups and early and mid-stage growth companies aligned with the company’s innovation pillars and targeted adjacencies. The corporate venture capital fund will further enhance the company’s existing innovation ecosystem and drive growth through investment, commercial partnerships and co-development of new technologies.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Guidance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Despite the high-level of economic uncertainty, the company expects continued progress on its strategic initiatives as projected in its 2021 financial guidance:</w:t>
      </w:r>
    </w:p>
    <w:p>
      <w:pPr>
        <w:spacing w:after="0" w:line="20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Revenue of at least $7.2 billion in constant currency or approximately 2.5 percent growth</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Operating cash flow from continuing operations of at least $600 million and free cash flow of at least $500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Xerox</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Xerox Holdings Corporation (NYSE: XRX) makes every day work better. </w:t>
      </w:r>
      <w:r>
        <w:rPr>
          <w:rFonts w:ascii="Arial" w:cs="Arial" w:eastAsia="Arial" w:hAnsi="Arial"/>
          <w:sz w:val="20"/>
          <w:szCs w:val="20"/>
          <w:color w:val="auto"/>
        </w:rPr>
        <w:t>We are a workplace technology company building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integrating software and hardware for enterprises large and small. As customers seek to manage information across digital and physical platforms, Xerox delivers a seamless, secure and sustainable experience. Whether inventing the copier, the ethernet, the laser printer or more, Xerox has long defined the modern work experience. Learn how that innovation continues at </w:t>
      </w:r>
      <w:r>
        <w:rPr>
          <w:rFonts w:ascii="Arial" w:cs="Arial" w:eastAsia="Arial" w:hAnsi="Arial"/>
          <w:sz w:val="20"/>
          <w:szCs w:val="20"/>
          <w:color w:val="D92231"/>
        </w:rPr>
        <w:t>xerox.com</w:t>
      </w:r>
      <w:r>
        <w:rPr>
          <w:rFonts w:ascii="Arial" w:cs="Arial" w:eastAsia="Arial" w:hAnsi="Arial"/>
          <w:sz w:val="20"/>
          <w:szCs w:val="20"/>
          <w:color w:val="000000"/>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This release refers to the following non-GAAP financial measures:</w:t>
      </w:r>
    </w:p>
    <w:p>
      <w:pPr>
        <w:spacing w:after="0" w:line="229" w:lineRule="exact"/>
        <w:rPr>
          <w:sz w:val="20"/>
          <w:szCs w:val="20"/>
          <w:color w:val="auto"/>
        </w:rPr>
      </w:pPr>
    </w:p>
    <w:p>
      <w:pPr>
        <w:jc w:val="both"/>
        <w:ind w:left="660" w:hanging="328"/>
        <w:spacing w:after="0" w:line="22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EPS, which excludes restructuring and related costs, the amortization of intangible assets, non-service retirement-related costs, transaction and related costs, net and other discrete adjustments from GAAP-EPS from continuing operations.</w:t>
      </w:r>
    </w:p>
    <w:p>
      <w:pPr>
        <w:spacing w:after="0" w:line="1" w:lineRule="exact"/>
        <w:rPr>
          <w:rFonts w:ascii="Arial" w:cs="Arial" w:eastAsia="Arial" w:hAnsi="Arial"/>
          <w:sz w:val="18"/>
          <w:szCs w:val="18"/>
          <w:color w:val="auto"/>
        </w:rPr>
      </w:pPr>
    </w:p>
    <w:p>
      <w:pPr>
        <w:ind w:left="660" w:hanging="328"/>
        <w:spacing w:after="0" w:line="22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operating margin and income, which exclude the EPS adjustments noted above as well as the remainder of other expenses, net from pre-tax income and margin.</w:t>
      </w:r>
    </w:p>
    <w:p>
      <w:pPr>
        <w:ind w:left="660" w:hanging="328"/>
        <w:spacing w:after="0" w:line="22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Constant currency (CC) revenue change, which excludes the effects of currency translation.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Free cash flow, which is cash flow from continuing operations less capital expenditures.</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48" w:right="339" w:bottom="1440" w:gutter="0" w:footer="0" w:header="0"/>
        </w:sectPr>
      </w:pPr>
    </w:p>
    <w:bookmarkStart w:id="9" w:name="page10"/>
    <w:bookmarkEnd w:id="9"/>
    <w:p>
      <w:pPr>
        <w:jc w:val="both"/>
        <w:spacing w:after="0" w:line="226" w:lineRule="auto"/>
        <w:rPr>
          <w:sz w:val="20"/>
          <w:szCs w:val="20"/>
          <w:color w:val="auto"/>
        </w:rPr>
      </w:pPr>
      <w:r>
        <w:rPr>
          <w:rFonts w:ascii="Arial" w:cs="Arial" w:eastAsia="Arial" w:hAnsi="Arial"/>
          <w:sz w:val="20"/>
          <w:szCs w:val="20"/>
          <w:color w:val="auto"/>
        </w:rPr>
        <w:t>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23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Caroline Gransee-Linsey, Xerox, +1-203-849-2359, </w:t>
      </w:r>
      <w:r>
        <w:rPr>
          <w:rFonts w:ascii="Arial" w:cs="Arial" w:eastAsia="Arial" w:hAnsi="Arial"/>
          <w:sz w:val="20"/>
          <w:szCs w:val="20"/>
          <w:color w:val="D92231"/>
        </w:rPr>
        <w:t>Caroline.Gransee-Linsey@xerox.com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Ann Pettrone, Xerox, +1-203-849-2590, </w:t>
      </w:r>
      <w:r>
        <w:rPr>
          <w:rFonts w:ascii="Arial" w:cs="Arial" w:eastAsia="Arial" w:hAnsi="Arial"/>
          <w:sz w:val="20"/>
          <w:szCs w:val="20"/>
          <w:color w:val="D92231"/>
        </w:rPr>
        <w:t>Ann.Pettrone@xerox.com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color w:val="D62231"/>
        </w:rPr>
        <w:t>https://www.news.xerox.com</w:t>
      </w:r>
      <w:r>
        <w:rPr>
          <w:rFonts w:ascii="Arial" w:cs="Arial" w:eastAsia="Arial" w:hAnsi="Arial"/>
          <w:sz w:val="20"/>
          <w:szCs w:val="20"/>
          <w:color w:val="auto"/>
        </w:rPr>
        <w:t>. For open commentary, industry perspectives and views,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visit </w:t>
      </w:r>
      <w:r>
        <w:rPr>
          <w:rFonts w:ascii="Arial" w:cs="Arial" w:eastAsia="Arial" w:hAnsi="Arial"/>
          <w:sz w:val="20"/>
          <w:szCs w:val="20"/>
          <w:color w:val="D62231"/>
        </w:rPr>
        <w:t>http://www.linkedin.com/company/xerox</w:t>
      </w:r>
      <w:r>
        <w:rPr>
          <w:rFonts w:ascii="Arial" w:cs="Arial" w:eastAsia="Arial" w:hAnsi="Arial"/>
          <w:sz w:val="20"/>
          <w:szCs w:val="20"/>
          <w:color w:val="auto"/>
        </w:rPr>
        <w:t xml:space="preserve">, </w:t>
      </w:r>
      <w:r>
        <w:rPr>
          <w:rFonts w:ascii="Arial" w:cs="Arial" w:eastAsia="Arial" w:hAnsi="Arial"/>
          <w:sz w:val="20"/>
          <w:szCs w:val="20"/>
          <w:color w:val="D62231"/>
        </w:rPr>
        <w:t>http://twitter.com/xerox</w:t>
      </w:r>
      <w:r>
        <w:rPr>
          <w:rFonts w:ascii="Arial" w:cs="Arial" w:eastAsia="Arial" w:hAnsi="Arial"/>
          <w:sz w:val="20"/>
          <w:szCs w:val="20"/>
          <w:color w:val="auto"/>
        </w:rPr>
        <w:t xml:space="preserve">, </w:t>
      </w:r>
      <w:r>
        <w:rPr>
          <w:rFonts w:ascii="Arial" w:cs="Arial" w:eastAsia="Arial" w:hAnsi="Arial"/>
          <w:sz w:val="20"/>
          <w:szCs w:val="20"/>
          <w:color w:val="D62231"/>
        </w:rPr>
        <w:t>http://www.facebook.com/XeroxCorp</w:t>
      </w:r>
      <w:r>
        <w:rPr>
          <w:rFonts w:ascii="Arial" w:cs="Arial" w:eastAsia="Arial" w:hAnsi="Arial"/>
          <w:sz w:val="20"/>
          <w:szCs w:val="20"/>
          <w:color w:val="auto"/>
        </w:rPr>
        <w:t xml:space="preserve">, </w:t>
      </w:r>
      <w:r>
        <w:rPr>
          <w:rFonts w:ascii="Arial" w:cs="Arial" w:eastAsia="Arial" w:hAnsi="Arial"/>
          <w:sz w:val="20"/>
          <w:szCs w:val="20"/>
          <w:color w:val="D62231"/>
        </w:rPr>
        <w:t>https://www.instagram.com/xerox/</w:t>
      </w:r>
      <w:r>
        <w:rPr>
          <w:rFonts w:ascii="Arial" w:cs="Arial" w:eastAsia="Arial" w:hAnsi="Arial"/>
          <w:sz w:val="20"/>
          <w:szCs w:val="20"/>
          <w:color w:val="000000"/>
        </w:rPr>
        <w:t>,</w:t>
      </w:r>
      <w:r>
        <w:rPr>
          <w:rFonts w:ascii="Arial" w:cs="Arial" w:eastAsia="Arial" w:hAnsi="Arial"/>
          <w:sz w:val="20"/>
          <w:szCs w:val="20"/>
          <w:color w:val="D62231"/>
        </w:rPr>
        <w:t xml:space="preserve"> http://www.youtube.com/XeroxCorp</w:t>
      </w:r>
      <w:r>
        <w:rPr>
          <w:rFonts w:ascii="Arial" w:cs="Arial" w:eastAsia="Arial" w:hAnsi="Arial"/>
          <w:sz w:val="20"/>
          <w:szCs w:val="20"/>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Xerox</w:t>
      </w:r>
      <w:r>
        <w:rPr>
          <w:rFonts w:ascii="Arial" w:cs="Arial" w:eastAsia="Arial" w:hAnsi="Arial"/>
          <w:sz w:val="28"/>
          <w:szCs w:val="28"/>
          <w:color w:val="auto"/>
          <w:vertAlign w:val="superscript"/>
        </w:rPr>
        <w:t>®</w:t>
      </w:r>
      <w:r>
        <w:rPr>
          <w:rFonts w:ascii="Arial" w:cs="Arial" w:eastAsia="Arial" w:hAnsi="Arial"/>
          <w:sz w:val="20"/>
          <w:szCs w:val="20"/>
          <w:color w:val="auto"/>
        </w:rPr>
        <w:t xml:space="preserve"> and DocuShare</w:t>
      </w:r>
      <w:r>
        <w:rPr>
          <w:rFonts w:ascii="Arial" w:cs="Arial" w:eastAsia="Arial" w:hAnsi="Arial"/>
          <w:sz w:val="28"/>
          <w:szCs w:val="28"/>
          <w:color w:val="auto"/>
          <w:vertAlign w:val="superscript"/>
        </w:rPr>
        <w:t>®</w:t>
      </w:r>
      <w:r>
        <w:rPr>
          <w:rFonts w:ascii="Arial" w:cs="Arial" w:eastAsia="Arial" w:hAnsi="Arial"/>
          <w:sz w:val="20"/>
          <w:szCs w:val="20"/>
          <w:color w:val="auto"/>
        </w:rPr>
        <w:t xml:space="preserve"> are trademarks of Xerox in the United States and/or other countries.</w:t>
      </w:r>
    </w:p>
    <w:p>
      <w:pPr>
        <w:sectPr>
          <w:pgSz w:w="11900" w:h="16838" w:orient="portrait"/>
          <w:cols w:equalWidth="0" w:num="1">
            <w:col w:w="11240"/>
          </w:cols>
          <w:pgMar w:left="320" w:top="9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90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INCOME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14"/>
                <w:szCs w:val="14"/>
                <w:color w:val="auto"/>
              </w:rPr>
            </w:pPr>
          </w:p>
        </w:tc>
      </w:t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14"/>
                <w:szCs w:val="14"/>
                <w:color w:val="auto"/>
              </w:rPr>
            </w:pPr>
          </w:p>
        </w:tc>
      </w:tr>
      <w:tr>
        <w:trPr>
          <w:trHeight w:val="18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per-share data)</w:t>
            </w:r>
          </w:p>
        </w:tc>
        <w:tc>
          <w:tcPr>
            <w:tcW w:w="100" w:type="dxa"/>
            <w:vAlign w:val="bottom"/>
            <w:tcBorders>
              <w:bottom w:val="single" w:sz="8" w:color="E5E5E5"/>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6"/>
              </w:rPr>
              <w:t>2019</w:t>
            </w:r>
          </w:p>
        </w:tc>
      </w:tr>
      <w:tr>
        <w:trPr>
          <w:trHeight w:val="183"/>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Revenues</w:t>
            </w:r>
          </w:p>
        </w:tc>
        <w:tc>
          <w:tcPr>
            <w:tcW w:w="94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Sales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3,227</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Services, maintenance and rentals</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4,347</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5,595</w:t>
            </w:r>
          </w:p>
        </w:tc>
      </w:tr>
      <w:tr>
        <w:trPr>
          <w:trHeight w:val="189"/>
        </w:trPr>
        <w:tc>
          <w:tcPr>
            <w:tcW w:w="578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color w:val="auto"/>
              </w:rPr>
              <w:t>Financing</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r>
      <w:tr>
        <w:trPr>
          <w:trHeight w:val="183"/>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Revenues</w:t>
            </w:r>
          </w:p>
        </w:tc>
        <w:tc>
          <w:tcPr>
            <w:tcW w:w="940" w:type="dxa"/>
            <w:vAlign w:val="bottom"/>
            <w:tcBorders>
              <w:bottom w:val="single" w:sz="8" w:color="auto"/>
            </w:tcBorders>
            <w:shd w:val="clear" w:color="auto" w:fill="E5E5E5"/>
          </w:tcPr>
          <w:p>
            <w:pPr>
              <w:spacing w:after="0"/>
              <w:rPr>
                <w:sz w:val="15"/>
                <w:szCs w:val="15"/>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1,930</w:t>
            </w:r>
          </w:p>
        </w:tc>
        <w:tc>
          <w:tcPr>
            <w:tcW w:w="120" w:type="dxa"/>
            <w:vAlign w:val="bottom"/>
            <w:shd w:val="clear" w:color="auto" w:fill="E5E5E5"/>
          </w:tcPr>
          <w:p>
            <w:pPr>
              <w:spacing w:after="0"/>
              <w:rPr>
                <w:sz w:val="15"/>
                <w:szCs w:val="15"/>
                <w:color w:val="auto"/>
              </w:rPr>
            </w:pPr>
          </w:p>
        </w:tc>
        <w:tc>
          <w:tcPr>
            <w:tcW w:w="920" w:type="dxa"/>
            <w:vAlign w:val="bottom"/>
            <w:tcBorders>
              <w:bottom w:val="single" w:sz="8" w:color="auto"/>
            </w:tcBorders>
            <w:shd w:val="clear" w:color="auto" w:fill="E5E5E5"/>
          </w:tcPr>
          <w:p>
            <w:pPr>
              <w:spacing w:after="0"/>
              <w:rPr>
                <w:sz w:val="15"/>
                <w:szCs w:val="15"/>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E5E5E5"/>
          </w:tcPr>
          <w:p>
            <w:pPr>
              <w:spacing w:after="0"/>
              <w:rPr>
                <w:sz w:val="15"/>
                <w:szCs w:val="15"/>
                <w:color w:val="auto"/>
              </w:rPr>
            </w:pPr>
          </w:p>
        </w:tc>
        <w:tc>
          <w:tcPr>
            <w:tcW w:w="240" w:type="dxa"/>
            <w:vAlign w:val="bottom"/>
            <w:tcBorders>
              <w:bottom w:val="single" w:sz="8" w:color="auto"/>
            </w:tcBorders>
            <w:shd w:val="clear" w:color="auto" w:fill="E5E5E5"/>
          </w:tcPr>
          <w:p>
            <w:pPr>
              <w:spacing w:after="0"/>
              <w:rPr>
                <w:sz w:val="15"/>
                <w:szCs w:val="15"/>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7,022</w:t>
            </w:r>
          </w:p>
        </w:tc>
        <w:tc>
          <w:tcPr>
            <w:tcW w:w="100" w:type="dxa"/>
            <w:vAlign w:val="bottom"/>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spacing w:after="0"/>
              <w:rPr>
                <w:sz w:val="15"/>
                <w:szCs w:val="15"/>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9,066</w:t>
            </w:r>
          </w:p>
        </w:tc>
      </w:tr>
      <w:tr>
        <w:trPr>
          <w:trHeight w:val="169"/>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 and Expenses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Cost of sales</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2,097</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Cost of services, maintenance and rentals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3,188</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Cost of financing</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131</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Research, development and engineering expenses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Selling, administrative and general expenses</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2,085</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Restructuring and related costs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Amortization of intangible assets</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Transaction and related costs, net</w:t>
            </w:r>
          </w:p>
        </w:tc>
        <w:tc>
          <w:tcPr>
            <w:tcW w:w="9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Other expenses, net</w:t>
            </w:r>
          </w:p>
        </w:tc>
        <w:tc>
          <w:tcPr>
            <w:tcW w:w="94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16"/>
                <w:szCs w:val="16"/>
                <w:color w:val="auto"/>
              </w:rPr>
            </w:pPr>
          </w:p>
        </w:tc>
        <w:tc>
          <w:tcPr>
            <w:tcW w:w="240" w:type="dxa"/>
            <w:vAlign w:val="bottom"/>
            <w:tcBorders>
              <w:bottom w:val="single" w:sz="8" w:color="auto"/>
            </w:tcBorders>
            <w:shd w:val="clear" w:color="auto" w:fill="E5E5E5"/>
          </w:tcPr>
          <w:p>
            <w:pPr>
              <w:spacing w:after="0"/>
              <w:rPr>
                <w:sz w:val="16"/>
                <w:szCs w:val="16"/>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5E5E5"/>
          </w:tcPr>
          <w:p>
            <w:pPr>
              <w:spacing w:after="0"/>
              <w:rPr>
                <w:sz w:val="16"/>
                <w:szCs w:val="16"/>
                <w:color w:val="auto"/>
              </w:rPr>
            </w:pPr>
          </w:p>
        </w:tc>
        <w:tc>
          <w:tcPr>
            <w:tcW w:w="440" w:type="dxa"/>
            <w:vAlign w:val="bottom"/>
            <w:tcBorders>
              <w:bottom w:val="single" w:sz="8" w:color="auto"/>
            </w:tcBorders>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84</w:t>
            </w:r>
          </w:p>
        </w:tc>
      </w:tr>
      <w:tr>
        <w:trPr>
          <w:trHeight w:val="182"/>
        </w:trPr>
        <w:tc>
          <w:tcPr>
            <w:tcW w:w="57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w:t>
            </w: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2,108</w:t>
            </w:r>
          </w:p>
        </w:tc>
        <w:tc>
          <w:tcPr>
            <w:tcW w:w="12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6,770</w:t>
            </w:r>
          </w:p>
        </w:tc>
        <w:tc>
          <w:tcPr>
            <w:tcW w:w="10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8,244</w:t>
            </w:r>
          </w:p>
        </w:tc>
      </w:tr>
      <w:tr>
        <w:trPr>
          <w:trHeight w:val="183"/>
        </w:trPr>
        <w:tc>
          <w:tcPr>
            <w:tcW w:w="5780" w:type="dxa"/>
            <w:vAlign w:val="bottom"/>
            <w:gridSpan w:val="2"/>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8"/>
                <w:szCs w:val="18"/>
                <w:b w:val="1"/>
                <w:bCs w:val="1"/>
                <w:color w:val="auto"/>
                <w:vertAlign w:val="superscript"/>
              </w:rPr>
              <w:t>(1)</w:t>
            </w:r>
          </w:p>
        </w:tc>
        <w:tc>
          <w:tcPr>
            <w:tcW w:w="940" w:type="dxa"/>
            <w:vAlign w:val="bottom"/>
            <w:shd w:val="clear" w:color="auto" w:fill="E5E5E5"/>
          </w:tcPr>
          <w:p>
            <w:pPr>
              <w:spacing w:after="0"/>
              <w:rPr>
                <w:sz w:val="15"/>
                <w:szCs w:val="15"/>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822</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Income tax expense</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Equity in net income of unconsolidated affiliates</w:t>
            </w:r>
          </w:p>
        </w:tc>
        <w:tc>
          <w:tcPr>
            <w:tcW w:w="94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6"/>
                <w:szCs w:val="16"/>
                <w:color w:val="auto"/>
              </w:rPr>
            </w:pPr>
          </w:p>
        </w:tc>
        <w:tc>
          <w:tcPr>
            <w:tcW w:w="240" w:type="dxa"/>
            <w:vAlign w:val="bottom"/>
            <w:tcBorders>
              <w:bottom w:val="single" w:sz="8" w:color="auto"/>
            </w:tcBorders>
            <w:shd w:val="clear" w:color="auto" w:fill="E5E5E5"/>
          </w:tcPr>
          <w:p>
            <w:pPr>
              <w:spacing w:after="0"/>
              <w:rPr>
                <w:sz w:val="16"/>
                <w:szCs w:val="16"/>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6"/>
                <w:szCs w:val="16"/>
                <w:color w:val="auto"/>
              </w:rPr>
            </w:pPr>
          </w:p>
        </w:tc>
        <w:tc>
          <w:tcPr>
            <w:tcW w:w="440" w:type="dxa"/>
            <w:vAlign w:val="bottom"/>
            <w:tcBorders>
              <w:bottom w:val="single" w:sz="8" w:color="auto"/>
            </w:tcBorders>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from Continuing Operations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651</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Income from discontinued operations, net of tax</w:t>
            </w:r>
          </w:p>
        </w:tc>
        <w:tc>
          <w:tcPr>
            <w:tcW w:w="94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710</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9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Less: Income from continuing operations attributable to noncontrolling interests</w:t>
            </w:r>
          </w:p>
        </w:tc>
        <w:tc>
          <w:tcPr>
            <w:tcW w:w="94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Less: Income from discontinued operations attributable to noncontrolling interests</w:t>
            </w:r>
          </w:p>
        </w:tc>
        <w:tc>
          <w:tcPr>
            <w:tcW w:w="9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8"/>
        </w:trPr>
        <w:tc>
          <w:tcPr>
            <w:tcW w:w="57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Income Attributable to Xerox Holdings</w:t>
            </w:r>
          </w:p>
        </w:tc>
        <w:tc>
          <w:tcPr>
            <w:tcW w:w="940" w:type="dxa"/>
            <w:vAlign w:val="bottom"/>
            <w:tcBorders>
              <w:top w:val="single" w:sz="8" w:color="auto"/>
              <w:bottom w:val="single" w:sz="8" w:color="auto"/>
            </w:tcBorders>
            <w:shd w:val="clear" w:color="auto" w:fill="E5E5E5"/>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920" w:type="dxa"/>
            <w:vAlign w:val="bottom"/>
            <w:tcBorders>
              <w:top w:val="single" w:sz="8" w:color="auto"/>
              <w:bottom w:val="single" w:sz="8" w:color="auto"/>
            </w:tcBorders>
            <w:shd w:val="clear" w:color="auto" w:fill="E5E5E5"/>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2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40" w:type="dxa"/>
            <w:vAlign w:val="bottom"/>
            <w:tcBorders>
              <w:top w:val="single" w:sz="8" w:color="auto"/>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1,353</w:t>
            </w:r>
          </w:p>
        </w:tc>
      </w:tr>
      <w:tr>
        <w:trPr>
          <w:trHeight w:val="20"/>
        </w:trPr>
        <w:tc>
          <w:tcPr>
            <w:tcW w:w="5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c>
          <w:tcPr>
            <w:tcW w:w="74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Amounts Attributable to Xerox Holdings:</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Net income from continuing operations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648</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Net income from discontinued operations</w:t>
            </w:r>
          </w:p>
        </w:tc>
        <w:tc>
          <w:tcPr>
            <w:tcW w:w="94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705</w:t>
            </w:r>
          </w:p>
        </w:tc>
      </w:tr>
      <w:tr>
        <w:trPr>
          <w:trHeight w:val="182"/>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Xerox Holdings</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1,353</w:t>
            </w:r>
          </w:p>
        </w:tc>
      </w:tr>
      <w:tr>
        <w:trPr>
          <w:trHeight w:val="20"/>
        </w:trPr>
        <w:tc>
          <w:tcPr>
            <w:tcW w:w="56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Continuing operations</w:t>
            </w:r>
          </w:p>
        </w:tc>
        <w:tc>
          <w:tcPr>
            <w:tcW w:w="940" w:type="dxa"/>
            <w:vAlign w:val="bottom"/>
            <w:shd w:val="clear" w:color="auto" w:fill="E5E5E5"/>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2.86</w:t>
            </w: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Discontinued operations</w:t>
            </w:r>
          </w:p>
        </w:tc>
        <w:tc>
          <w:tcPr>
            <w:tcW w:w="9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08"/>
        </w:trPr>
        <w:tc>
          <w:tcPr>
            <w:tcW w:w="57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Basic Earnings per Share</w:t>
            </w:r>
          </w:p>
        </w:tc>
        <w:tc>
          <w:tcPr>
            <w:tcW w:w="940" w:type="dxa"/>
            <w:vAlign w:val="bottom"/>
            <w:tcBorders>
              <w:top w:val="single" w:sz="8" w:color="auto"/>
              <w:bottom w:val="single" w:sz="8" w:color="auto"/>
            </w:tcBorders>
            <w:shd w:val="clear" w:color="auto" w:fill="E5E5E5"/>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920" w:type="dxa"/>
            <w:vAlign w:val="bottom"/>
            <w:tcBorders>
              <w:top w:val="single" w:sz="8" w:color="auto"/>
              <w:bottom w:val="single" w:sz="8" w:color="auto"/>
            </w:tcBorders>
            <w:shd w:val="clear" w:color="auto" w:fill="E5E5E5"/>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2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40" w:type="dxa"/>
            <w:vAlign w:val="bottom"/>
            <w:tcBorders>
              <w:top w:val="single" w:sz="8" w:color="auto"/>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6.03</w:t>
            </w:r>
          </w:p>
        </w:tc>
      </w:tr>
      <w:tr>
        <w:trPr>
          <w:trHeight w:val="20"/>
        </w:trPr>
        <w:tc>
          <w:tcPr>
            <w:tcW w:w="5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c>
          <w:tcPr>
            <w:tcW w:w="74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9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r>
      <w:tr>
        <w:trPr>
          <w:trHeight w:val="18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Continuing operations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189"/>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Discontinued operations</w:t>
            </w:r>
          </w:p>
        </w:tc>
        <w:tc>
          <w:tcPr>
            <w:tcW w:w="94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3.02</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Diluted Earnings per Share</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___________________________</w:t>
      </w:r>
    </w:p>
    <w:p>
      <w:pPr>
        <w:spacing w:after="0" w:line="8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INCOME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E5E5E5"/>
          </w:tcPr>
          <w:p>
            <w:pPr>
              <w:spacing w:after="0"/>
              <w:rPr>
                <w:sz w:val="15"/>
                <w:szCs w:val="15"/>
                <w:color w:val="auto"/>
              </w:rPr>
            </w:pPr>
          </w:p>
        </w:tc>
        <w:tc>
          <w:tcPr>
            <w:tcW w:w="4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819</w:t>
            </w: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153"/>
        </w:trPr>
        <w:tc>
          <w:tcPr>
            <w:tcW w:w="5240" w:type="dxa"/>
            <w:vAlign w:val="bottom"/>
            <w:gridSpan w:val="2"/>
          </w:tcPr>
          <w:p>
            <w:pPr>
              <w:ind w:left="360"/>
              <w:spacing w:after="0" w:line="153" w:lineRule="exact"/>
              <w:rPr>
                <w:sz w:val="20"/>
                <w:szCs w:val="20"/>
                <w:color w:val="auto"/>
              </w:rPr>
            </w:pPr>
            <w:r>
              <w:rPr>
                <w:rFonts w:ascii="Arial" w:cs="Arial" w:eastAsia="Arial" w:hAnsi="Arial"/>
                <w:sz w:val="14"/>
                <w:szCs w:val="14"/>
                <w:color w:val="auto"/>
              </w:rPr>
              <w:t>Less: Income from continuing operations attributable to noncontrolling</w:t>
            </w:r>
          </w:p>
        </w:tc>
        <w:tc>
          <w:tcPr>
            <w:tcW w:w="3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5240" w:type="dxa"/>
            <w:vAlign w:val="bottom"/>
            <w:gridSpan w:val="2"/>
          </w:tcPr>
          <w:p>
            <w:pPr>
              <w:ind w:left="360"/>
              <w:spacing w:after="0"/>
              <w:rPr>
                <w:sz w:val="20"/>
                <w:szCs w:val="20"/>
                <w:color w:val="auto"/>
              </w:rPr>
            </w:pPr>
            <w:r>
              <w:rPr>
                <w:rFonts w:ascii="Arial" w:cs="Arial" w:eastAsia="Arial" w:hAnsi="Arial"/>
                <w:sz w:val="14"/>
                <w:szCs w:val="14"/>
                <w:color w:val="auto"/>
              </w:rPr>
              <w:t>interests</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E5E5E5"/>
          </w:tcPr>
          <w:p>
            <w:pPr>
              <w:ind w:left="360"/>
              <w:spacing w:after="0" w:line="153" w:lineRule="exact"/>
              <w:rPr>
                <w:sz w:val="20"/>
                <w:szCs w:val="20"/>
                <w:color w:val="auto"/>
              </w:rPr>
            </w:pPr>
            <w:r>
              <w:rPr>
                <w:rFonts w:ascii="Arial" w:cs="Arial" w:eastAsia="Arial" w:hAnsi="Arial"/>
                <w:sz w:val="14"/>
                <w:szCs w:val="14"/>
                <w:color w:val="auto"/>
              </w:rPr>
              <w:t>Less: Income from discontinued operations attributable to noncontrolling</w:t>
            </w:r>
          </w:p>
        </w:tc>
        <w:tc>
          <w:tcPr>
            <w:tcW w:w="320" w:type="dxa"/>
            <w:vAlign w:val="bottom"/>
            <w:shd w:val="clear" w:color="auto" w:fill="E5E5E5"/>
          </w:tcPr>
          <w:p>
            <w:pPr>
              <w:spacing w:after="0"/>
              <w:rPr>
                <w:sz w:val="13"/>
                <w:szCs w:val="13"/>
                <w:color w:val="auto"/>
              </w:rPr>
            </w:pPr>
          </w:p>
        </w:tc>
        <w:tc>
          <w:tcPr>
            <w:tcW w:w="122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2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interests</w:t>
            </w:r>
          </w:p>
        </w:tc>
        <w:tc>
          <w:tcPr>
            <w:tcW w:w="320" w:type="dxa"/>
            <w:vAlign w:val="bottom"/>
            <w:shd w:val="clear" w:color="auto" w:fill="E5E5E5"/>
          </w:tcPr>
          <w:p>
            <w:pPr>
              <w:spacing w:after="0"/>
              <w:rPr>
                <w:sz w:val="14"/>
                <w:szCs w:val="14"/>
                <w:color w:val="auto"/>
              </w:rPr>
            </w:pPr>
          </w:p>
        </w:tc>
        <w:tc>
          <w:tcPr>
            <w:tcW w:w="1220" w:type="dxa"/>
            <w:vAlign w:val="bottom"/>
            <w:gridSpan w:val="2"/>
            <w:vMerge w:val="continue"/>
            <w:shd w:val="clear" w:color="auto" w:fill="E5E5E5"/>
          </w:tcPr>
          <w:p>
            <w:pPr>
              <w:spacing w:after="0"/>
              <w:rPr>
                <w:sz w:val="14"/>
                <w:szCs w:val="14"/>
                <w:color w:val="auto"/>
              </w:rPr>
            </w:pPr>
          </w:p>
        </w:tc>
        <w:tc>
          <w:tcPr>
            <w:tcW w:w="46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200" w:type="dxa"/>
            <w:vAlign w:val="bottom"/>
            <w:gridSpan w:val="2"/>
            <w:vMerge w:val="continue"/>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Net Income Attributable to Xerox Holdings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E5E5E5"/>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Borders>
              <w:bottom w:val="single" w:sz="8" w:color="E5E5E5"/>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E5E5E5"/>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83"/>
        </w:trPr>
        <w:tc>
          <w:tcPr>
            <w:tcW w:w="5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 Net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Translation adjustments, net</w:t>
            </w: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5240" w:type="dxa"/>
            <w:vAlign w:val="bottom"/>
            <w:gridSpan w:val="2"/>
          </w:tcPr>
          <w:p>
            <w:pPr>
              <w:ind w:left="360"/>
              <w:spacing w:after="0"/>
              <w:rPr>
                <w:sz w:val="20"/>
                <w:szCs w:val="20"/>
                <w:color w:val="auto"/>
              </w:rPr>
            </w:pPr>
            <w:r>
              <w:rPr>
                <w:rFonts w:ascii="Arial" w:cs="Arial" w:eastAsia="Arial" w:hAnsi="Arial"/>
                <w:sz w:val="14"/>
                <w:szCs w:val="14"/>
                <w:color w:val="auto"/>
              </w:rPr>
              <w:t>Unrealized (losses) gains, net</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Changes in defined benefit plans, net</w:t>
            </w:r>
          </w:p>
        </w:tc>
        <w:tc>
          <w:tcPr>
            <w:tcW w:w="320" w:type="dxa"/>
            <w:vAlign w:val="bottom"/>
            <w:tcBorders>
              <w:bottom w:val="single" w:sz="8" w:color="auto"/>
            </w:tcBorders>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E5E5E5"/>
          </w:tcPr>
          <w:p>
            <w:pPr>
              <w:spacing w:after="0"/>
              <w:rPr>
                <w:sz w:val="16"/>
                <w:szCs w:val="16"/>
                <w:color w:val="auto"/>
              </w:rPr>
            </w:pPr>
          </w:p>
        </w:tc>
        <w:tc>
          <w:tcPr>
            <w:tcW w:w="460" w:type="dxa"/>
            <w:vAlign w:val="bottom"/>
            <w:tcBorders>
              <w:bottom w:val="single" w:sz="8" w:color="auto"/>
            </w:tcBorders>
            <w:shd w:val="clear" w:color="auto" w:fill="E5E5E5"/>
          </w:tcPr>
          <w:p>
            <w:pPr>
              <w:spacing w:after="0"/>
              <w:rPr>
                <w:sz w:val="16"/>
                <w:szCs w:val="16"/>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E5E5E5"/>
          </w:tcPr>
          <w:p>
            <w:pPr>
              <w:spacing w:after="0"/>
              <w:rPr>
                <w:sz w:val="16"/>
                <w:szCs w:val="16"/>
                <w:color w:val="auto"/>
              </w:rPr>
            </w:pPr>
          </w:p>
        </w:tc>
        <w:tc>
          <w:tcPr>
            <w:tcW w:w="320" w:type="dxa"/>
            <w:vAlign w:val="bottom"/>
            <w:tcBorders>
              <w:bottom w:val="single" w:sz="8" w:color="auto"/>
            </w:tcBorders>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E5E5E5"/>
          </w:tcPr>
          <w:p>
            <w:pPr>
              <w:ind w:left="360"/>
              <w:spacing w:after="0" w:line="153" w:lineRule="exact"/>
              <w:rPr>
                <w:sz w:val="20"/>
                <w:szCs w:val="20"/>
                <w:color w:val="auto"/>
              </w:rPr>
            </w:pPr>
            <w:r>
              <w:rPr>
                <w:rFonts w:ascii="Arial" w:cs="Arial" w:eastAsia="Arial" w:hAnsi="Arial"/>
                <w:sz w:val="14"/>
                <w:szCs w:val="14"/>
                <w:color w:val="auto"/>
              </w:rPr>
              <w:t>Less: Other comprehensive loss, net from continuing operations</w:t>
            </w:r>
          </w:p>
        </w:tc>
        <w:tc>
          <w:tcPr>
            <w:tcW w:w="320" w:type="dxa"/>
            <w:vAlign w:val="bottom"/>
            <w:shd w:val="clear" w:color="auto" w:fill="E5E5E5"/>
          </w:tcPr>
          <w:p>
            <w:pPr>
              <w:spacing w:after="0"/>
              <w:rPr>
                <w:sz w:val="13"/>
                <w:szCs w:val="13"/>
                <w:color w:val="auto"/>
              </w:rPr>
            </w:pPr>
          </w:p>
        </w:tc>
        <w:tc>
          <w:tcPr>
            <w:tcW w:w="122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2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attributable to noncontrolling interests</w:t>
            </w:r>
          </w:p>
        </w:tc>
        <w:tc>
          <w:tcPr>
            <w:tcW w:w="320" w:type="dxa"/>
            <w:vAlign w:val="bottom"/>
            <w:shd w:val="clear" w:color="auto" w:fill="E5E5E5"/>
          </w:tcPr>
          <w:p>
            <w:pPr>
              <w:spacing w:after="0"/>
              <w:rPr>
                <w:sz w:val="14"/>
                <w:szCs w:val="14"/>
                <w:color w:val="auto"/>
              </w:rPr>
            </w:pPr>
          </w:p>
        </w:tc>
        <w:tc>
          <w:tcPr>
            <w:tcW w:w="1220" w:type="dxa"/>
            <w:vAlign w:val="bottom"/>
            <w:gridSpan w:val="2"/>
            <w:vMerge w:val="continue"/>
            <w:shd w:val="clear" w:color="auto" w:fill="E5E5E5"/>
          </w:tcPr>
          <w:p>
            <w:pPr>
              <w:spacing w:after="0"/>
              <w:rPr>
                <w:sz w:val="14"/>
                <w:szCs w:val="14"/>
                <w:color w:val="auto"/>
              </w:rPr>
            </w:pPr>
          </w:p>
        </w:tc>
        <w:tc>
          <w:tcPr>
            <w:tcW w:w="46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200" w:type="dxa"/>
            <w:vAlign w:val="bottom"/>
            <w:gridSpan w:val="2"/>
            <w:vMerge w:val="continue"/>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Other Comprehensive Income, Net Attributable to Xerox Holdings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E5E5E5"/>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E5E5E5"/>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E5E5E5"/>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6"/>
        </w:trPr>
        <w:tc>
          <w:tcPr>
            <w:tcW w:w="5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(Loss),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E5E5E5"/>
          </w:tcPr>
          <w:p>
            <w:pPr>
              <w:ind w:left="360"/>
              <w:spacing w:after="0" w:line="153" w:lineRule="exact"/>
              <w:rPr>
                <w:sz w:val="20"/>
                <w:szCs w:val="20"/>
                <w:color w:val="auto"/>
              </w:rPr>
            </w:pPr>
            <w:r>
              <w:rPr>
                <w:rFonts w:ascii="Arial" w:cs="Arial" w:eastAsia="Arial" w:hAnsi="Arial"/>
                <w:sz w:val="14"/>
                <w:szCs w:val="14"/>
                <w:color w:val="auto"/>
              </w:rPr>
              <w:t>Less: Comprehensive (loss) income, net from continuing operations</w:t>
            </w:r>
          </w:p>
        </w:tc>
        <w:tc>
          <w:tcPr>
            <w:tcW w:w="320" w:type="dxa"/>
            <w:vAlign w:val="bottom"/>
            <w:shd w:val="clear" w:color="auto" w:fill="E5E5E5"/>
          </w:tcPr>
          <w:p>
            <w:pPr>
              <w:spacing w:after="0"/>
              <w:rPr>
                <w:sz w:val="13"/>
                <w:szCs w:val="13"/>
                <w:color w:val="auto"/>
              </w:rPr>
            </w:pPr>
          </w:p>
        </w:tc>
        <w:tc>
          <w:tcPr>
            <w:tcW w:w="122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2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attributable to noncontrolling interests</w:t>
            </w:r>
          </w:p>
        </w:tc>
        <w:tc>
          <w:tcPr>
            <w:tcW w:w="320" w:type="dxa"/>
            <w:vAlign w:val="bottom"/>
            <w:shd w:val="clear" w:color="auto" w:fill="E5E5E5"/>
          </w:tcPr>
          <w:p>
            <w:pPr>
              <w:spacing w:after="0"/>
              <w:rPr>
                <w:sz w:val="14"/>
                <w:szCs w:val="14"/>
                <w:color w:val="auto"/>
              </w:rPr>
            </w:pPr>
          </w:p>
        </w:tc>
        <w:tc>
          <w:tcPr>
            <w:tcW w:w="1220" w:type="dxa"/>
            <w:vAlign w:val="bottom"/>
            <w:gridSpan w:val="2"/>
            <w:vMerge w:val="continue"/>
            <w:shd w:val="clear" w:color="auto" w:fill="E5E5E5"/>
          </w:tcPr>
          <w:p>
            <w:pPr>
              <w:spacing w:after="0"/>
              <w:rPr>
                <w:sz w:val="14"/>
                <w:szCs w:val="14"/>
                <w:color w:val="auto"/>
              </w:rPr>
            </w:pPr>
          </w:p>
        </w:tc>
        <w:tc>
          <w:tcPr>
            <w:tcW w:w="46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200" w:type="dxa"/>
            <w:vAlign w:val="bottom"/>
            <w:gridSpan w:val="2"/>
            <w:vMerge w:val="continue"/>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360"/>
              <w:spacing w:after="0" w:line="153" w:lineRule="exact"/>
              <w:rPr>
                <w:sz w:val="20"/>
                <w:szCs w:val="20"/>
                <w:color w:val="auto"/>
              </w:rPr>
            </w:pPr>
            <w:r>
              <w:rPr>
                <w:rFonts w:ascii="Arial" w:cs="Arial" w:eastAsia="Arial" w:hAnsi="Arial"/>
                <w:sz w:val="14"/>
                <w:szCs w:val="14"/>
                <w:color w:val="auto"/>
              </w:rPr>
              <w:t>Less: Comprehensive income, net from discontinued operations</w:t>
            </w:r>
          </w:p>
        </w:tc>
        <w:tc>
          <w:tcPr>
            <w:tcW w:w="3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5240" w:type="dxa"/>
            <w:vAlign w:val="bottom"/>
            <w:gridSpan w:val="2"/>
          </w:tcPr>
          <w:p>
            <w:pPr>
              <w:ind w:left="360"/>
              <w:spacing w:after="0"/>
              <w:rPr>
                <w:sz w:val="20"/>
                <w:szCs w:val="20"/>
                <w:color w:val="auto"/>
              </w:rPr>
            </w:pPr>
            <w:r>
              <w:rPr>
                <w:rFonts w:ascii="Arial" w:cs="Arial" w:eastAsia="Arial" w:hAnsi="Arial"/>
                <w:sz w:val="14"/>
                <w:szCs w:val="14"/>
                <w:color w:val="auto"/>
              </w:rPr>
              <w:t>attributable to noncontrolling interests</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24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Comprehensive Income, Net Attributable to Xerox Holdings</w:t>
            </w:r>
          </w:p>
        </w:tc>
        <w:tc>
          <w:tcPr>
            <w:tcW w:w="32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460" w:type="dxa"/>
            <w:vAlign w:val="bottom"/>
            <w:tcBorders>
              <w:top w:val="single" w:sz="8" w:color="auto"/>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32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506</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80" w:type="dxa"/>
            <w:vAlign w:val="bottom"/>
            <w:tcBorders>
              <w:top w:val="single" w:sz="8" w:color="auto"/>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20"/>
        </w:trPr>
        <w:tc>
          <w:tcPr>
            <w:tcW w:w="51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share data in thousands)</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2019</w:t>
            </w:r>
          </w:p>
        </w:tc>
      </w:tr>
      <w:tr>
        <w:trPr>
          <w:trHeight w:val="183"/>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E5E5E5"/>
          </w:tcPr>
          <w:p>
            <w:pPr>
              <w:spacing w:after="0"/>
              <w:rPr>
                <w:sz w:val="15"/>
                <w:szCs w:val="15"/>
                <w:color w:val="auto"/>
              </w:rPr>
            </w:pPr>
          </w:p>
        </w:tc>
        <w:tc>
          <w:tcPr>
            <w:tcW w:w="15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560" w:type="dxa"/>
            <w:vAlign w:val="bottom"/>
            <w:shd w:val="clear" w:color="auto" w:fill="E5E5E5"/>
          </w:tcPr>
          <w:p>
            <w:pPr>
              <w:spacing w:after="0"/>
              <w:rPr>
                <w:sz w:val="15"/>
                <w:szCs w:val="15"/>
                <w:color w:val="auto"/>
              </w:rPr>
            </w:pP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2,740</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receivable (net of allowances of $69 and $55, respectively)</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1,236</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Billed portion of finance receivables (net of allowances of $4 and $3, respectively)</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111</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Finance receivables, net</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1,158</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694</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201</w:t>
            </w:r>
          </w:p>
        </w:tc>
      </w:tr>
      <w:tr>
        <w:trPr>
          <w:trHeight w:val="183"/>
        </w:trPr>
        <w:tc>
          <w:tcPr>
            <w:tcW w:w="7640" w:type="dxa"/>
            <w:vAlign w:val="bottom"/>
            <w:gridSpan w:val="2"/>
          </w:tcPr>
          <w:p>
            <w:pPr>
              <w:ind w:left="36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6,140</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Finance receivables due after one year (net of allowances of $129 and $86, respectively)</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1,984</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2,082</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Equipment on operating leases,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364</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Land, buildings and equipment, net</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426</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199</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3,900</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Deferred tax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598</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1,338</w:t>
            </w:r>
          </w:p>
        </w:tc>
      </w:tr>
      <w:tr>
        <w:trPr>
          <w:trHeight w:val="183"/>
        </w:trPr>
        <w:tc>
          <w:tcPr>
            <w:tcW w:w="76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15,047</w:t>
            </w:r>
          </w:p>
        </w:tc>
      </w:tr>
      <w:tr>
        <w:trPr>
          <w:trHeight w:val="20"/>
        </w:trPr>
        <w:tc>
          <w:tcPr>
            <w:tcW w:w="754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6"/>
        </w:trPr>
        <w:tc>
          <w:tcPr>
            <w:tcW w:w="7640" w:type="dxa"/>
            <w:vAlign w:val="bottom"/>
            <w:gridSpan w:val="2"/>
            <w:shd w:val="clear" w:color="auto" w:fill="E5E5E5"/>
          </w:tcPr>
          <w:p>
            <w:pPr>
              <w:ind w:left="2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E5E5E5"/>
          </w:tcPr>
          <w:p>
            <w:pPr>
              <w:spacing w:after="0"/>
              <w:rPr>
                <w:sz w:val="13"/>
                <w:szCs w:val="13"/>
                <w:color w:val="auto"/>
              </w:rPr>
            </w:pPr>
          </w:p>
        </w:tc>
        <w:tc>
          <w:tcPr>
            <w:tcW w:w="15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1560" w:type="dxa"/>
            <w:vAlign w:val="bottom"/>
            <w:shd w:val="clear" w:color="auto" w:fill="E5E5E5"/>
          </w:tcPr>
          <w:p>
            <w:pPr>
              <w:spacing w:after="0"/>
              <w:rPr>
                <w:sz w:val="13"/>
                <w:szCs w:val="13"/>
                <w:color w:val="auto"/>
              </w:rPr>
            </w:pP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1,049</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1,053</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Accrued compensation and benefits costs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349</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984</w:t>
            </w:r>
          </w:p>
        </w:tc>
      </w:tr>
      <w:tr>
        <w:trPr>
          <w:trHeight w:val="183"/>
        </w:trPr>
        <w:tc>
          <w:tcPr>
            <w:tcW w:w="7640" w:type="dxa"/>
            <w:vAlign w:val="bottom"/>
            <w:gridSpan w:val="2"/>
          </w:tcPr>
          <w:p>
            <w:pPr>
              <w:ind w:left="36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3,435</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4,050</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3,233</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Pension and other benefit liabilities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1,707</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Post-retirement medical benefits</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352</w:t>
            </w:r>
          </w:p>
        </w:tc>
      </w:tr>
      <w:tr>
        <w:trPr>
          <w:trHeight w:val="189"/>
        </w:trPr>
        <w:tc>
          <w:tcPr>
            <w:tcW w:w="76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w:t>
            </w:r>
          </w:p>
        </w:tc>
      </w:tr>
      <w:tr>
        <w:trPr>
          <w:trHeight w:val="183"/>
        </w:trPr>
        <w:tc>
          <w:tcPr>
            <w:tcW w:w="7640" w:type="dxa"/>
            <w:vAlign w:val="bottom"/>
            <w:gridSpan w:val="2"/>
            <w:shd w:val="clear" w:color="auto" w:fill="E5E5E5"/>
          </w:tcPr>
          <w:p>
            <w:pPr>
              <w:ind w:left="36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E5E5E5"/>
          </w:tcPr>
          <w:p>
            <w:pPr>
              <w:spacing w:after="0"/>
              <w:rPr>
                <w:sz w:val="15"/>
                <w:szCs w:val="15"/>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8,931</w:t>
            </w:r>
          </w:p>
        </w:tc>
        <w:tc>
          <w:tcPr>
            <w:tcW w:w="100" w:type="dxa"/>
            <w:vAlign w:val="bottom"/>
            <w:shd w:val="clear" w:color="auto" w:fill="E5E5E5"/>
          </w:tcPr>
          <w:p>
            <w:pPr>
              <w:spacing w:after="0"/>
              <w:rPr>
                <w:sz w:val="15"/>
                <w:szCs w:val="15"/>
                <w:color w:val="auto"/>
              </w:rPr>
            </w:pPr>
          </w:p>
        </w:tc>
        <w:tc>
          <w:tcPr>
            <w:tcW w:w="180" w:type="dxa"/>
            <w:vAlign w:val="bottom"/>
            <w:tcBorders>
              <w:bottom w:val="single" w:sz="8" w:color="auto"/>
            </w:tcBorders>
            <w:shd w:val="clear" w:color="auto" w:fill="E5E5E5"/>
          </w:tcPr>
          <w:p>
            <w:pPr>
              <w:spacing w:after="0"/>
              <w:rPr>
                <w:sz w:val="15"/>
                <w:szCs w:val="15"/>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9,239</w:t>
            </w:r>
          </w:p>
        </w:tc>
      </w:tr>
      <w:tr>
        <w:trPr>
          <w:trHeight w:val="196"/>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214</w:t>
            </w:r>
          </w:p>
        </w:tc>
      </w:tr>
      <w:tr>
        <w:trPr>
          <w:trHeight w:val="196"/>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Common stock</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215</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2,782</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Treasury stock, at cost</w:t>
            </w:r>
          </w:p>
        </w:tc>
        <w:tc>
          <w:tcPr>
            <w:tcW w:w="1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6,312</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(3,646)</w:t>
            </w:r>
          </w:p>
        </w:tc>
      </w:tr>
      <w:tr>
        <w:trPr>
          <w:trHeight w:val="183"/>
        </w:trPr>
        <w:tc>
          <w:tcPr>
            <w:tcW w:w="7640" w:type="dxa"/>
            <w:vAlign w:val="bottom"/>
            <w:gridSpan w:val="2"/>
          </w:tcPr>
          <w:p>
            <w:pPr>
              <w:ind w:left="360"/>
              <w:spacing w:after="0"/>
              <w:rPr>
                <w:sz w:val="20"/>
                <w:szCs w:val="20"/>
                <w:color w:val="auto"/>
              </w:rPr>
            </w:pPr>
            <w:r>
              <w:rPr>
                <w:rFonts w:ascii="Arial" w:cs="Arial" w:eastAsia="Arial" w:hAnsi="Arial"/>
                <w:sz w:val="14"/>
                <w:szCs w:val="14"/>
                <w:color w:val="auto"/>
              </w:rPr>
              <w:t>Xerox Holdings shareholders’ equity</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5,587</w:t>
            </w: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w:t>
            </w:r>
          </w:p>
        </w:tc>
      </w:tr>
      <w:tr>
        <w:trPr>
          <w:trHeight w:val="183"/>
        </w:trPr>
        <w:tc>
          <w:tcPr>
            <w:tcW w:w="764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5,596</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5,594</w:t>
            </w:r>
          </w:p>
        </w:tc>
      </w:tr>
      <w:tr>
        <w:trPr>
          <w:trHeight w:val="180"/>
        </w:trPr>
        <w:tc>
          <w:tcPr>
            <w:tcW w:w="7640" w:type="dxa"/>
            <w:vAlign w:val="bottom"/>
            <w:tcBorders>
              <w:bottom w:val="single" w:sz="8" w:color="E5E5E5"/>
            </w:tcBorders>
            <w:gridSpan w:val="2"/>
            <w:shd w:val="clear" w:color="auto" w:fill="E5E5E5"/>
          </w:tcPr>
          <w:p>
            <w:pPr>
              <w:ind w:left="360"/>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E5E5E5"/>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spacing w:after="0" w:line="155" w:lineRule="exact"/>
              <w:rPr>
                <w:sz w:val="20"/>
                <w:szCs w:val="20"/>
                <w:color w:val="auto"/>
              </w:rPr>
            </w:pPr>
            <w:r>
              <w:rPr>
                <w:rFonts w:ascii="Arial" w:cs="Arial" w:eastAsia="Arial" w:hAnsi="Arial"/>
                <w:sz w:val="14"/>
                <w:szCs w:val="14"/>
                <w:color w:val="auto"/>
              </w:rPr>
              <w:t>14,741</w:t>
            </w:r>
          </w:p>
        </w:tc>
        <w:tc>
          <w:tcPr>
            <w:tcW w:w="100" w:type="dxa"/>
            <w:vAlign w:val="bottom"/>
            <w:tcBorders>
              <w:bottom w:val="single" w:sz="8" w:color="E5E5E5"/>
            </w:tcBorders>
            <w:shd w:val="clear" w:color="auto" w:fill="E5E5E5"/>
          </w:tcPr>
          <w:p>
            <w:pPr>
              <w:spacing w:after="0"/>
              <w:rPr>
                <w:sz w:val="15"/>
                <w:szCs w:val="15"/>
                <w:color w:val="auto"/>
              </w:rPr>
            </w:pPr>
          </w:p>
        </w:tc>
        <w:tc>
          <w:tcPr>
            <w:tcW w:w="180" w:type="dxa"/>
            <w:vAlign w:val="bottom"/>
            <w:tcBorders>
              <w:bottom w:val="single" w:sz="8" w:color="auto"/>
            </w:tcBorders>
            <w:shd w:val="clear" w:color="auto" w:fill="E5E5E5"/>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ind w:right="8"/>
              <w:spacing w:after="0" w:line="155" w:lineRule="exact"/>
              <w:rPr>
                <w:sz w:val="20"/>
                <w:szCs w:val="20"/>
                <w:color w:val="auto"/>
              </w:rPr>
            </w:pPr>
            <w:r>
              <w:rPr>
                <w:rFonts w:ascii="Arial" w:cs="Arial" w:eastAsia="Arial" w:hAnsi="Arial"/>
                <w:sz w:val="14"/>
                <w:szCs w:val="14"/>
                <w:color w:val="auto"/>
              </w:rPr>
              <w:t>15,047</w:t>
            </w:r>
          </w:p>
        </w:tc>
      </w:tr>
      <w:tr>
        <w:trPr>
          <w:trHeight w:val="20"/>
        </w:trPr>
        <w:tc>
          <w:tcPr>
            <w:tcW w:w="75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Shares of common stock issued</w:t>
            </w: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198,386</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214,621</w:t>
            </w: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(2,031)</w:t>
            </w:r>
          </w:p>
        </w:tc>
      </w:tr>
      <w:tr>
        <w:trPr>
          <w:trHeight w:val="208"/>
        </w:trPr>
        <w:tc>
          <w:tcPr>
            <w:tcW w:w="764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Shares of Common Stock Outstanding</w:t>
            </w:r>
          </w:p>
        </w:tc>
        <w:tc>
          <w:tcPr>
            <w:tcW w:w="180" w:type="dxa"/>
            <w:vAlign w:val="bottom"/>
            <w:tcBorders>
              <w:top w:val="single" w:sz="8" w:color="auto"/>
              <w:bottom w:val="single" w:sz="8" w:color="auto"/>
            </w:tcBorders>
            <w:shd w:val="clear" w:color="auto" w:fill="E5E5E5"/>
          </w:tcPr>
          <w:p>
            <w:pPr>
              <w:spacing w:after="0"/>
              <w:rPr>
                <w:sz w:val="17"/>
                <w:szCs w:val="17"/>
                <w:color w:val="auto"/>
              </w:rPr>
            </w:pPr>
          </w:p>
        </w:tc>
        <w:tc>
          <w:tcPr>
            <w:tcW w:w="1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198,386</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180" w:type="dxa"/>
            <w:vAlign w:val="bottom"/>
            <w:tcBorders>
              <w:top w:val="single" w:sz="8" w:color="auto"/>
              <w:bottom w:val="single" w:sz="8" w:color="auto"/>
            </w:tcBorders>
            <w:shd w:val="clear" w:color="auto" w:fill="E5E5E5"/>
          </w:tcPr>
          <w:p>
            <w:pPr>
              <w:spacing w:after="0"/>
              <w:rPr>
                <w:sz w:val="17"/>
                <w:szCs w:val="17"/>
                <w:color w:val="auto"/>
              </w:rPr>
            </w:pPr>
          </w:p>
        </w:tc>
        <w:tc>
          <w:tcPr>
            <w:tcW w:w="156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212,590</w:t>
            </w:r>
          </w:p>
        </w:tc>
      </w:tr>
      <w:tr>
        <w:trPr>
          <w:trHeight w:val="20"/>
        </w:trPr>
        <w:tc>
          <w:tcPr>
            <w:tcW w:w="75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6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jc w:val="right"/>
              <w:ind w:right="248"/>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4"/>
                <w:szCs w:val="14"/>
                <w:color w:val="auto"/>
              </w:rPr>
              <w:t>Year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Income from discontinued operations, net of tax</w:t>
            </w:r>
          </w:p>
        </w:tc>
        <w:tc>
          <w:tcPr>
            <w:tcW w:w="9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3"/>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Income from continuing operations</w:t>
            </w: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Provisions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Net gain on sales of businesses and assets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Stock-based compensation</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Restructuring and asset impairment charges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Payments for restructurings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Defined benefit pension cost</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Contributions to defined benefit pension plans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53"/>
        </w:trPr>
        <w:tc>
          <w:tcPr>
            <w:tcW w:w="5740" w:type="dxa"/>
            <w:vAlign w:val="bottom"/>
            <w:gridSpan w:val="2"/>
          </w:tcPr>
          <w:p>
            <w:pPr>
              <w:ind w:left="360"/>
              <w:spacing w:after="0" w:line="153" w:lineRule="exact"/>
              <w:rPr>
                <w:sz w:val="20"/>
                <w:szCs w:val="20"/>
                <w:color w:val="auto"/>
              </w:rPr>
            </w:pPr>
            <w:r>
              <w:rPr>
                <w:rFonts w:ascii="Arial" w:cs="Arial" w:eastAsia="Arial" w:hAnsi="Arial"/>
                <w:sz w:val="14"/>
                <w:szCs w:val="14"/>
                <w:color w:val="auto"/>
              </w:rPr>
              <w:t>Decrease (increase) in accounts receivable and billed portion of finance</w:t>
            </w:r>
          </w:p>
        </w:tc>
        <w:tc>
          <w:tcPr>
            <w:tcW w:w="9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receivables</w:t>
            </w:r>
          </w:p>
        </w:tc>
        <w:tc>
          <w:tcPr>
            <w:tcW w:w="9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Decrease (increase) in inventories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Increase in equipment on operating leases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(Increase) decrease in finance receivables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Decrease (increase) in other current and long-term assets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Decrease in accounts payable</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(Decrease) increase in accrued compensation</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(Decrease) increase in other current and long-term liabilities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Net change in income tax assets and liabilities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Net change in derivative assets and liabilities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color w:val="auto"/>
              </w:rPr>
              <w:t>Other operating, net</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5E5E5"/>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5740" w:type="dxa"/>
            <w:vAlign w:val="bottom"/>
            <w:gridSpan w:val="2"/>
            <w:shd w:val="clear" w:color="auto" w:fill="E5E5E5"/>
          </w:tcPr>
          <w:p>
            <w:pPr>
              <w:ind w:left="68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89"/>
        </w:trPr>
        <w:tc>
          <w:tcPr>
            <w:tcW w:w="5740" w:type="dxa"/>
            <w:vAlign w:val="bottom"/>
            <w:gridSpan w:val="2"/>
          </w:tcPr>
          <w:p>
            <w:pPr>
              <w:ind w:left="68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9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3"/>
        </w:trPr>
        <w:tc>
          <w:tcPr>
            <w:tcW w:w="5740" w:type="dxa"/>
            <w:vAlign w:val="bottom"/>
            <w:tcBorders>
              <w:top w:val="single" w:sz="8" w:color="E5E5E5"/>
            </w:tcBorders>
            <w:gridSpan w:val="2"/>
            <w:shd w:val="clear" w:color="auto" w:fill="E5E5E5"/>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E5E5E5"/>
            </w:tcBorders>
            <w:shd w:val="clear" w:color="auto" w:fill="E5E5E5"/>
          </w:tcPr>
          <w:p>
            <w:pPr>
              <w:spacing w:after="0"/>
              <w:rPr>
                <w:sz w:val="15"/>
                <w:szCs w:val="15"/>
                <w:color w:val="auto"/>
              </w:rPr>
            </w:pP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bottom w:val="single" w:sz="8" w:color="auto"/>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Borders>
              <w:top w:val="single" w:sz="8" w:color="E5E5E5"/>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spacing w:after="0"/>
              <w:rPr>
                <w:sz w:val="15"/>
                <w:szCs w:val="15"/>
                <w:color w:val="auto"/>
              </w:rPr>
            </w:pPr>
          </w:p>
        </w:tc>
        <w:tc>
          <w:tcPr>
            <w:tcW w:w="7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Cost of additions to land, buildings, equipment and software</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Proceeds from sales of businesses and assets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Acquisitions, net of cash acquired</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Other investing, net</w:t>
            </w:r>
          </w:p>
        </w:tc>
        <w:tc>
          <w:tcPr>
            <w:tcW w:w="9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5740" w:type="dxa"/>
            <w:vAlign w:val="bottom"/>
            <w:tcBorders>
              <w:top w:val="single" w:sz="8" w:color="E5E5E5"/>
            </w:tcBorders>
            <w:gridSpan w:val="2"/>
            <w:shd w:val="clear" w:color="auto" w:fill="E5E5E5"/>
          </w:tcPr>
          <w:p>
            <w:pPr>
              <w:ind w:left="680"/>
              <w:spacing w:after="0"/>
              <w:rPr>
                <w:sz w:val="20"/>
                <w:szCs w:val="20"/>
                <w:color w:val="auto"/>
              </w:rPr>
            </w:pPr>
            <w:r>
              <w:rPr>
                <w:rFonts w:ascii="Arial" w:cs="Arial" w:eastAsia="Arial" w:hAnsi="Arial"/>
                <w:sz w:val="14"/>
                <w:szCs w:val="14"/>
                <w:color w:val="auto"/>
              </w:rPr>
              <w:t>Net cash used in investing activities of continuing operations</w:t>
            </w:r>
          </w:p>
        </w:tc>
        <w:tc>
          <w:tcPr>
            <w:tcW w:w="920" w:type="dxa"/>
            <w:vAlign w:val="bottom"/>
            <w:tcBorders>
              <w:top w:val="single" w:sz="8" w:color="auto"/>
            </w:tcBorders>
            <w:shd w:val="clear" w:color="auto" w:fill="E5E5E5"/>
          </w:tcPr>
          <w:p>
            <w:pPr>
              <w:spacing w:after="0"/>
              <w:rPr>
                <w:sz w:val="15"/>
                <w:szCs w:val="15"/>
                <w:color w:val="auto"/>
              </w:rPr>
            </w:pP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E5E5E5"/>
            </w:tcBorders>
            <w:shd w:val="clear" w:color="auto" w:fill="E5E5E5"/>
          </w:tcPr>
          <w:p>
            <w:pPr>
              <w:spacing w:after="0"/>
              <w:rPr>
                <w:sz w:val="15"/>
                <w:szCs w:val="15"/>
                <w:color w:val="auto"/>
              </w:rPr>
            </w:pPr>
          </w:p>
        </w:tc>
        <w:tc>
          <w:tcPr>
            <w:tcW w:w="920" w:type="dxa"/>
            <w:vAlign w:val="bottom"/>
            <w:tcBorders>
              <w:top w:val="single" w:sz="8" w:color="auto"/>
            </w:tcBorders>
            <w:shd w:val="clear" w:color="auto" w:fill="E5E5E5"/>
          </w:tcPr>
          <w:p>
            <w:pPr>
              <w:spacing w:after="0"/>
              <w:rPr>
                <w:sz w:val="15"/>
                <w:szCs w:val="15"/>
                <w:color w:val="auto"/>
              </w:rPr>
            </w:pP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tcBorders>
            <w:shd w:val="clear" w:color="auto" w:fill="E5E5E5"/>
          </w:tcPr>
          <w:p>
            <w:pPr>
              <w:spacing w:after="0"/>
              <w:rPr>
                <w:sz w:val="15"/>
                <w:szCs w:val="15"/>
                <w:color w:val="auto"/>
              </w:rPr>
            </w:pP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top w:val="single" w:sz="8" w:color="E5E5E5"/>
            </w:tcBorders>
            <w:shd w:val="clear" w:color="auto" w:fill="E5E5E5"/>
          </w:tcPr>
          <w:p>
            <w:pPr>
              <w:spacing w:after="0"/>
              <w:rPr>
                <w:sz w:val="15"/>
                <w:szCs w:val="15"/>
                <w:color w:val="auto"/>
              </w:rPr>
            </w:pPr>
          </w:p>
        </w:tc>
        <w:tc>
          <w:tcPr>
            <w:tcW w:w="420" w:type="dxa"/>
            <w:vAlign w:val="bottom"/>
            <w:tcBorders>
              <w:top w:val="single" w:sz="8" w:color="auto"/>
            </w:tcBorders>
            <w:shd w:val="clear" w:color="auto" w:fill="E5E5E5"/>
          </w:tcPr>
          <w:p>
            <w:pPr>
              <w:spacing w:after="0"/>
              <w:rPr>
                <w:sz w:val="15"/>
                <w:szCs w:val="15"/>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5740" w:type="dxa"/>
            <w:vAlign w:val="bottom"/>
            <w:gridSpan w:val="2"/>
          </w:tcPr>
          <w:p>
            <w:pPr>
              <w:ind w:left="68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9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2,233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83"/>
        </w:trPr>
        <w:tc>
          <w:tcPr>
            <w:tcW w:w="5740" w:type="dxa"/>
            <w:vAlign w:val="bottom"/>
            <w:tcBorders>
              <w:top w:val="single" w:sz="8" w:color="E5E5E5"/>
            </w:tcBorders>
            <w:gridSpan w:val="2"/>
            <w:shd w:val="clear" w:color="auto" w:fill="E5E5E5"/>
          </w:tcPr>
          <w:p>
            <w:pPr>
              <w:ind w:left="660"/>
              <w:spacing w:after="0"/>
              <w:rPr>
                <w:sz w:val="20"/>
                <w:szCs w:val="20"/>
                <w:color w:val="auto"/>
              </w:rPr>
            </w:pPr>
            <w:r>
              <w:rPr>
                <w:rFonts w:ascii="Arial" w:cs="Arial" w:eastAsia="Arial" w:hAnsi="Arial"/>
                <w:sz w:val="14"/>
                <w:szCs w:val="14"/>
                <w:color w:val="auto"/>
              </w:rPr>
              <w:t>Net cash (used in) provided by investing activities</w:t>
            </w: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E5E5E5"/>
            </w:tcBorders>
            <w:shd w:val="clear" w:color="auto" w:fill="E5E5E5"/>
          </w:tcPr>
          <w:p>
            <w:pPr>
              <w:spacing w:after="0"/>
              <w:rPr>
                <w:sz w:val="15"/>
                <w:szCs w:val="15"/>
                <w:color w:val="auto"/>
              </w:rPr>
            </w:pP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2,216</w:t>
            </w:r>
          </w:p>
        </w:tc>
        <w:tc>
          <w:tcPr>
            <w:tcW w:w="10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bottom w:val="single" w:sz="8" w:color="auto"/>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top w:val="single" w:sz="8" w:color="E5E5E5"/>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spacing w:after="0"/>
              <w:rPr>
                <w:sz w:val="15"/>
                <w:szCs w:val="15"/>
                <w:color w:val="auto"/>
              </w:rPr>
            </w:pPr>
          </w:p>
        </w:tc>
        <w:tc>
          <w:tcPr>
            <w:tcW w:w="7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Net (payments) proceeds on debt</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Dividends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9"/>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Payments to acquire treasury stock, including fees</w:t>
            </w:r>
          </w:p>
        </w:tc>
        <w:tc>
          <w:tcPr>
            <w:tcW w:w="920" w:type="dxa"/>
            <w:vAlign w:val="bottom"/>
            <w:shd w:val="clear" w:color="auto" w:fill="E5E5E5"/>
          </w:tcPr>
          <w:p>
            <w:pPr>
              <w:spacing w:after="0"/>
              <w:rPr>
                <w:sz w:val="16"/>
                <w:szCs w:val="16"/>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Other financing, net</w:t>
            </w:r>
          </w:p>
        </w:tc>
        <w:tc>
          <w:tcPr>
            <w:tcW w:w="9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3"/>
        </w:trPr>
        <w:tc>
          <w:tcPr>
            <w:tcW w:w="5740" w:type="dxa"/>
            <w:vAlign w:val="bottom"/>
            <w:tcBorders>
              <w:top w:val="single" w:sz="8" w:color="E5E5E5"/>
            </w:tcBorders>
            <w:gridSpan w:val="2"/>
            <w:shd w:val="clear" w:color="auto" w:fill="E5E5E5"/>
          </w:tcPr>
          <w:p>
            <w:pPr>
              <w:ind w:left="660"/>
              <w:spacing w:after="0"/>
              <w:rPr>
                <w:sz w:val="20"/>
                <w:szCs w:val="20"/>
                <w:color w:val="auto"/>
              </w:rPr>
            </w:pPr>
            <w:r>
              <w:rPr>
                <w:rFonts w:ascii="Arial" w:cs="Arial" w:eastAsia="Arial" w:hAnsi="Arial"/>
                <w:sz w:val="14"/>
                <w:szCs w:val="14"/>
                <w:color w:val="auto"/>
              </w:rPr>
              <w:t>Net cash used in financing activities</w:t>
            </w: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Borders>
              <w:top w:val="single" w:sz="8" w:color="E5E5E5"/>
            </w:tcBorders>
            <w:shd w:val="clear" w:color="auto" w:fill="E5E5E5"/>
          </w:tcPr>
          <w:p>
            <w:pPr>
              <w:spacing w:after="0"/>
              <w:rPr>
                <w:sz w:val="15"/>
                <w:szCs w:val="15"/>
                <w:color w:val="auto"/>
              </w:rPr>
            </w:pPr>
          </w:p>
        </w:tc>
        <w:tc>
          <w:tcPr>
            <w:tcW w:w="920" w:type="dxa"/>
            <w:vAlign w:val="bottom"/>
            <w:tcBorders>
              <w:top w:val="single" w:sz="8" w:color="auto"/>
              <w:bottom w:val="single" w:sz="8" w:color="auto"/>
            </w:tcBorders>
            <w:shd w:val="clear" w:color="auto" w:fill="E5E5E5"/>
          </w:tcPr>
          <w:p>
            <w:pPr>
              <w:spacing w:after="0"/>
              <w:rPr>
                <w:sz w:val="15"/>
                <w:szCs w:val="15"/>
                <w:color w:val="auto"/>
              </w:rPr>
            </w:pPr>
          </w:p>
        </w:tc>
        <w:tc>
          <w:tcPr>
            <w:tcW w:w="5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Borders>
              <w:top w:val="single" w:sz="8" w:color="E5E5E5"/>
            </w:tcBorders>
            <w:shd w:val="clear" w:color="auto" w:fill="E5E5E5"/>
          </w:tcPr>
          <w:p>
            <w:pPr>
              <w:spacing w:after="0"/>
              <w:rPr>
                <w:sz w:val="15"/>
                <w:szCs w:val="15"/>
                <w:color w:val="auto"/>
              </w:rPr>
            </w:pPr>
          </w:p>
        </w:tc>
        <w:tc>
          <w:tcPr>
            <w:tcW w:w="760" w:type="dxa"/>
            <w:vAlign w:val="bottom"/>
            <w:tcBorders>
              <w:top w:val="single" w:sz="8" w:color="auto"/>
              <w:bottom w:val="single" w:sz="8" w:color="auto"/>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top w:val="single" w:sz="8" w:color="E5E5E5"/>
            </w:tcBorders>
            <w:shd w:val="clear" w:color="auto" w:fill="E5E5E5"/>
          </w:tcPr>
          <w:p>
            <w:pPr>
              <w:spacing w:after="0"/>
              <w:rPr>
                <w:sz w:val="15"/>
                <w:szCs w:val="15"/>
                <w:color w:val="auto"/>
              </w:rPr>
            </w:pPr>
          </w:p>
        </w:tc>
        <w:tc>
          <w:tcPr>
            <w:tcW w:w="420" w:type="dxa"/>
            <w:vAlign w:val="bottom"/>
            <w:tcBorders>
              <w:top w:val="single" w:sz="8" w:color="auto"/>
              <w:bottom w:val="single" w:sz="8" w:color="auto"/>
            </w:tcBorders>
            <w:shd w:val="clear" w:color="auto" w:fill="E5E5E5"/>
          </w:tcPr>
          <w:p>
            <w:pPr>
              <w:spacing w:after="0"/>
              <w:rPr>
                <w:sz w:val="15"/>
                <w:szCs w:val="15"/>
                <w:color w:val="auto"/>
              </w:rPr>
            </w:pPr>
          </w:p>
        </w:tc>
        <w:tc>
          <w:tcPr>
            <w:tcW w:w="7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E5E5E5"/>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5E5E5"/>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(Decrease) increase in cash, cash equivalents and restricted cash</w:t>
            </w: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979</w:t>
            </w:r>
          </w:p>
        </w:tc>
        <w:tc>
          <w:tcPr>
            <w:tcW w:w="100" w:type="dxa"/>
            <w:vAlign w:val="bottom"/>
            <w:tcBorders>
              <w:bottom w:val="single" w:sz="8" w:color="E5E5E5"/>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2,795</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20" w:type="dxa"/>
            <w:vAlign w:val="bottom"/>
            <w:tcBorders>
              <w:bottom w:val="single" w:sz="8" w:color="auto"/>
            </w:tcBorders>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2,691</w:t>
            </w:r>
          </w:p>
        </w:tc>
        <w:tc>
          <w:tcPr>
            <w:tcW w:w="120" w:type="dxa"/>
            <w:vAlign w:val="bottom"/>
            <w:tcBorders>
              <w:bottom w:val="single" w:sz="8" w:color="E5E5E5"/>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2,795</w:t>
            </w:r>
          </w:p>
        </w:tc>
        <w:tc>
          <w:tcPr>
            <w:tcW w:w="10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96"/>
              </w:rPr>
              <w:t>2,691</w:t>
            </w:r>
          </w:p>
        </w:tc>
        <w:tc>
          <w:tcPr>
            <w:tcW w:w="100" w:type="dxa"/>
            <w:vAlign w:val="bottom"/>
            <w:tcBorders>
              <w:bottom w:val="single" w:sz="8" w:color="E5E5E5"/>
            </w:tcBorders>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2,795</w:t>
            </w:r>
          </w:p>
        </w:tc>
        <w:tc>
          <w:tcPr>
            <w:tcW w:w="0" w:type="dxa"/>
            <w:vAlign w:val="bottom"/>
          </w:tcPr>
          <w:p>
            <w:pPr>
              <w:spacing w:after="0"/>
              <w:rPr>
                <w:sz w:val="1"/>
                <w:szCs w:val="1"/>
                <w:color w:val="auto"/>
              </w:rPr>
            </w:pPr>
          </w:p>
        </w:tc>
      </w:tr>
      <w:tr>
        <w:trPr>
          <w:trHeight w:val="20"/>
        </w:trPr>
        <w:tc>
          <w:tcPr>
            <w:tcW w:w="56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5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19"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DA2031"/>
        </w:rPr>
        <w:t>Impact of COVID-19 on Our Business Operations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response to the COVID-19 pandemic, we have prioritized the health and safety of our employees, customers and partners to support their needs in the current hybrid environment so work can be done flawlessly, migrating between the workplace and the home-office. The pandemic has significantly impacted our sales of equipment and unbundled supplies as businesses hold off or delay purchases; due to their transactional nature, we expect that these sales will continue to fluctuate and gradually improve concurrent with office building reopenings and the roll-out of vaccinations, which is anticipated to allow more of our customers' employees to return to the office. Our bundled services contracts, on average, include a significant variable component based on print volumes, and a minimum fixed charge. The variable charges are impacted by our customers' employees not being in the office using our equipment and services due to lock-downs or capacity restrictions in office buildings; we expect that this contractual relationship will continue to enable us to ramp up and support our customers' needs as businesses resume operations.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strong balance sheet and sufficient liquidity, including access to our undrawn $1.8 billion revolver. We further strengthened our liquidity with the early-redemption of all of our 2021 senior unsecured debt maturities during fourth quarter 2020, with the proceeds from the issuance of new senior unsecured notes and from finance receivables securitizations. With our Project Own It transformation and cost savings, we built a leaner and more flexible cost structure, and have also focused our efforts on incremental actions to prioritize and preserve cash as we manage through the pandemic. These actions include the use of available temporary government assistance measures and furlough programs, and the reduction of discretionary spend such as near-term targeted marketing programs, the use of contract employees, and the temporary suspension of 401(k) matching contributions, as well as lower compensation incentives consistent with lower sales and operating results.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recent resurgence of the virus in several European countries and U.S. regions contributes to the remaining uncertainty around the trajectory, duration and economic impact of the pandemic in the near term, however we expect that measures to control the infection rate and expand economic activity will result in a moderate economic improvement in 2021. We expect to continue our actions to mitigate the effects of the pandemic on our business operations and financial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Government Assistance and Furlough Programs</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response to the COVID-19 pandemic, various governments have enacted temporary measures to provide aid and economic stimulus directly to companies through cash grants and credits or indirectly through payments to temporarily furloughed employees.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in response to the COVID-19 pandemic, the U.S. government enacted the Coronavirus Aid, Relief, and Economic Security Act (the "CARES Act"). In addition to including temporary changes to income and non-income-based tax laws, the CARES Act provides refundable employee retention credits and defers the requirement to remit the employer-paid portion of social security payroll taxes. Similar pay protection programs were enacted in Canada and Europe that primarily provide direct grants to companies to cover the salary and wages of employees (retained or temporarily furloughed). During fourth quarter 2020, we recognized savings of approximately $12 million from these temporary measures in the U.S., Canada and Europe. Through the use of these programs, we have thus far been able to provide an offset to our costs, without further use of cash, while minimizing the financial impact to our employees.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Consistent with prior quarters, there were no material impacts to our income tax expense in the fourth quarter 2020 as a result of the temporary changes included in the CARES Act. In addition, we deferred payment of the employer-paid portion of social security payroll taxes through the end of calendar year 2020 to the extent not reduced by employee retention credits earned during 2020. This deferral ended in 2020 and we expect to pay 50% of the net deferred amount in 2021 and the remaining 50% in 2022 together with amounts normally due for the employer-paid portion of social security payroll taxes in those years.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savings of approximately $12 million were recorded as follows in the Condensed Consolidated Statements of Income: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Three Months Ended</w:t>
            </w:r>
          </w:p>
        </w:tc>
      </w:tr>
      <w:tr>
        <w:trPr>
          <w:trHeight w:val="171"/>
        </w:trPr>
        <w:tc>
          <w:tcPr>
            <w:tcW w:w="9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2020</w:t>
            </w:r>
          </w:p>
        </w:tc>
      </w:tr>
      <w:tr>
        <w:trPr>
          <w:trHeight w:val="183"/>
        </w:trPr>
        <w:tc>
          <w:tcPr>
            <w:tcW w:w="9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Cost of services, maintenance and rentals</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9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Selling, administrative and general expenses</w:t>
            </w: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8"/>
        </w:trPr>
        <w:tc>
          <w:tcPr>
            <w:tcW w:w="93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Total Estimated Savings</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92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7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00"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We continue to monitor government programs and actions being implemented or expected to be implemented to counter the economic impacts of the COVID-19 pandemic. In December 2020, an additional $900 billion stimulus package, the Consolidated Appropriations Act, 2021, was approved in the U.S. extending the refundable employee retention credits into 2021. Other governments are likewise considering new programs or the extension of existing programs.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73"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DA2031"/>
        </w:rPr>
        <w:t>Revenues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0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3"/>
            <w:vMerge w:val="restart"/>
          </w:tcPr>
          <w:p>
            <w:pPr>
              <w:ind w:left="540"/>
              <w:spacing w:after="0"/>
              <w:rPr>
                <w:sz w:val="20"/>
                <w:szCs w:val="20"/>
                <w:color w:val="auto"/>
              </w:rPr>
            </w:pPr>
            <w:r>
              <w:rPr>
                <w:rFonts w:ascii="Arial" w:cs="Arial" w:eastAsia="Arial" w:hAnsi="Arial"/>
                <w:sz w:val="14"/>
                <w:szCs w:val="14"/>
                <w:color w:val="auto"/>
              </w:rPr>
              <w:t>% of Total Revenue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color w:val="auto"/>
              </w:rPr>
              <w:t>2019</w:t>
            </w:r>
          </w:p>
        </w:tc>
        <w:tc>
          <w:tcPr>
            <w:tcW w:w="1200" w:type="dxa"/>
            <w:vAlign w:val="bottom"/>
            <w:gridSpan w:val="2"/>
          </w:tcPr>
          <w:p>
            <w:pPr>
              <w:jc w:val="center"/>
              <w:ind w:left="28"/>
              <w:spacing w:after="0" w:line="13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color w:val="auto"/>
              </w:rPr>
              <w:t>CC % Change</w:t>
            </w:r>
          </w:p>
        </w:tc>
        <w:tc>
          <w:tcPr>
            <w:tcW w:w="100" w:type="dxa"/>
            <w:vAlign w:val="bottom"/>
            <w:vMerge w:val="restart"/>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5E5E5"/>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sales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E5E5E5"/>
          </w:tcPr>
          <w:p>
            <w:pPr>
              <w:spacing w:after="0"/>
              <w:rPr>
                <w:sz w:val="15"/>
                <w:szCs w:val="15"/>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616</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E5E5E5"/>
          </w:tcPr>
          <w:p>
            <w:pPr>
              <w:spacing w:after="0"/>
              <w:rPr>
                <w:sz w:val="15"/>
                <w:szCs w:val="15"/>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15"/>
                <w:szCs w:val="15"/>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25%</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Post sale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1,420</w:t>
            </w:r>
          </w:p>
        </w:tc>
        <w:tc>
          <w:tcPr>
            <w:tcW w:w="10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1,828</w:t>
            </w:r>
          </w:p>
        </w:tc>
        <w:tc>
          <w:tcPr>
            <w:tcW w:w="120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E5E5E5"/>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E5E5E5"/>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75%</w:t>
            </w:r>
          </w:p>
        </w:tc>
        <w:tc>
          <w:tcPr>
            <w:tcW w:w="0" w:type="dxa"/>
            <w:vAlign w:val="bottom"/>
          </w:tcPr>
          <w:p>
            <w:pPr>
              <w:spacing w:after="0"/>
              <w:rPr>
                <w:sz w:val="1"/>
                <w:szCs w:val="1"/>
                <w:color w:val="auto"/>
              </w:rPr>
            </w:pPr>
          </w:p>
        </w:tc>
      </w:tr>
      <w:tr>
        <w:trPr>
          <w:trHeight w:val="208"/>
        </w:trPr>
        <w:tc>
          <w:tcPr>
            <w:tcW w:w="41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1,930</w:t>
            </w:r>
          </w:p>
        </w:tc>
        <w:tc>
          <w:tcPr>
            <w:tcW w:w="100" w:type="dxa"/>
            <w:vAlign w:val="bottom"/>
            <w:tcBorders>
              <w:bottom w:val="single" w:sz="8" w:color="E5E5E5"/>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2,444</w:t>
            </w:r>
          </w:p>
        </w:tc>
        <w:tc>
          <w:tcPr>
            <w:tcW w:w="120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17"/>
                <w:szCs w:val="17"/>
                <w:color w:val="auto"/>
              </w:rPr>
            </w:pPr>
          </w:p>
        </w:tc>
        <w:tc>
          <w:tcPr>
            <w:tcW w:w="11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2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E5E5E5"/>
          </w:tcPr>
          <w:p>
            <w:pPr>
              <w:ind w:left="20"/>
              <w:spacing w:after="0" w:line="149" w:lineRule="exact"/>
              <w:rPr>
                <w:sz w:val="20"/>
                <w:szCs w:val="20"/>
                <w:color w:val="auto"/>
              </w:rPr>
            </w:pPr>
            <w:r>
              <w:rPr>
                <w:rFonts w:ascii="Arial" w:cs="Arial" w:eastAsia="Arial" w:hAnsi="Arial"/>
                <w:sz w:val="14"/>
                <w:szCs w:val="14"/>
                <w:b w:val="1"/>
                <w:bCs w:val="1"/>
                <w:color w:val="auto"/>
              </w:rPr>
              <w:t>Reconciliation to Condensed Consolidated Statements of</w:t>
            </w:r>
          </w:p>
        </w:tc>
        <w:tc>
          <w:tcPr>
            <w:tcW w:w="24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1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1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1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Income:</w:t>
            </w:r>
          </w:p>
        </w:tc>
        <w:tc>
          <w:tcPr>
            <w:tcW w:w="2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ind w:left="20"/>
              <w:spacing w:after="0"/>
              <w:rPr>
                <w:sz w:val="20"/>
                <w:szCs w:val="20"/>
                <w:color w:val="auto"/>
              </w:rPr>
            </w:pPr>
            <w:r>
              <w:rPr>
                <w:rFonts w:ascii="Arial" w:cs="Arial" w:eastAsia="Arial" w:hAnsi="Arial"/>
                <w:sz w:val="14"/>
                <w:szCs w:val="14"/>
                <w:color w:val="auto"/>
              </w:rPr>
              <w:t>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919</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Less: Supplies, paper and other sales</w:t>
            </w:r>
          </w:p>
        </w:tc>
        <w:tc>
          <w:tcPr>
            <w:tcW w:w="240" w:type="dxa"/>
            <w:vAlign w:val="bottom"/>
            <w:tcBorders>
              <w:bottom w:val="single" w:sz="8" w:color="auto"/>
            </w:tcBorders>
            <w:shd w:val="clear" w:color="auto" w:fill="E5E5E5"/>
          </w:tcPr>
          <w:p>
            <w:pPr>
              <w:spacing w:after="0"/>
              <w:rPr>
                <w:sz w:val="16"/>
                <w:szCs w:val="16"/>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E5E5E5"/>
          </w:tcPr>
          <w:p>
            <w:pPr>
              <w:spacing w:after="0"/>
              <w:rPr>
                <w:sz w:val="16"/>
                <w:szCs w:val="16"/>
                <w:color w:val="auto"/>
              </w:rPr>
            </w:pPr>
          </w:p>
        </w:tc>
        <w:tc>
          <w:tcPr>
            <w:tcW w:w="240" w:type="dxa"/>
            <w:vAlign w:val="bottom"/>
            <w:tcBorders>
              <w:bottom w:val="single" w:sz="8" w:color="auto"/>
            </w:tcBorders>
            <w:shd w:val="clear" w:color="auto" w:fill="E5E5E5"/>
          </w:tcPr>
          <w:p>
            <w:pPr>
              <w:spacing w:after="0"/>
              <w:rPr>
                <w:sz w:val="16"/>
                <w:szCs w:val="16"/>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(303)</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 Sales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616</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2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ind w:left="20"/>
              <w:spacing w:after="0"/>
              <w:rPr>
                <w:sz w:val="20"/>
                <w:szCs w:val="20"/>
                <w:color w:val="auto"/>
              </w:rPr>
            </w:pPr>
            <w:r>
              <w:rPr>
                <w:rFonts w:ascii="Arial" w:cs="Arial" w:eastAsia="Arial" w:hAnsi="Arial"/>
                <w:sz w:val="14"/>
                <w:szCs w:val="14"/>
                <w:color w:val="auto"/>
              </w:rPr>
              <w:t>Services, maintenance and rentals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1,465</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Add: Supplies, paper and other sales</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303</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Add: Financing</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20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E5E5E5"/>
            </w:tcBorders>
          </w:tcPr>
          <w:p>
            <w:pPr>
              <w:spacing w:after="0"/>
              <w:rPr>
                <w:sz w:val="16"/>
                <w:szCs w:val="16"/>
                <w:color w:val="auto"/>
              </w:rPr>
            </w:pPr>
          </w:p>
        </w:tc>
        <w:tc>
          <w:tcPr>
            <w:tcW w:w="110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120" w:type="dxa"/>
            <w:vAlign w:val="bottom"/>
            <w:tcBorders>
              <w:bottom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Post Sale Revenue</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1,420</w:t>
            </w:r>
          </w:p>
        </w:tc>
        <w:tc>
          <w:tcPr>
            <w:tcW w:w="100" w:type="dxa"/>
            <w:vAlign w:val="bottom"/>
            <w:tcBorders>
              <w:bottom w:val="single" w:sz="8" w:color="E5E5E5"/>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1,828</w:t>
            </w:r>
          </w:p>
        </w:tc>
        <w:tc>
          <w:tcPr>
            <w:tcW w:w="120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1120" w:type="dxa"/>
            <w:vAlign w:val="bottom"/>
            <w:tcBorders>
              <w:bottom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Americas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1,561</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E5E5E5"/>
          </w:tcPr>
          <w:p>
            <w:pPr>
              <w:spacing w:after="0"/>
              <w:rPr>
                <w:sz w:val="16"/>
                <w:szCs w:val="16"/>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5E5E5"/>
          </w:tcPr>
          <w:p>
            <w:pPr>
              <w:spacing w:after="0"/>
              <w:rPr>
                <w:sz w:val="16"/>
                <w:szCs w:val="16"/>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64%</w:t>
            </w:r>
          </w:p>
        </w:tc>
        <w:tc>
          <w:tcPr>
            <w:tcW w:w="0" w:type="dxa"/>
            <w:vAlign w:val="bottom"/>
          </w:tcPr>
          <w:p>
            <w:pPr>
              <w:spacing w:after="0"/>
              <w:rPr>
                <w:sz w:val="1"/>
                <w:szCs w:val="1"/>
                <w:color w:val="auto"/>
              </w:rPr>
            </w:pPr>
          </w:p>
        </w:tc>
      </w:tr>
      <w:tr>
        <w:trPr>
          <w:trHeight w:val="189"/>
        </w:trPr>
        <w:tc>
          <w:tcPr>
            <w:tcW w:w="4180" w:type="dxa"/>
            <w:vAlign w:val="bottom"/>
            <w:gridSpan w:val="2"/>
          </w:tcPr>
          <w:p>
            <w:pPr>
              <w:ind w:left="20"/>
              <w:spacing w:after="0"/>
              <w:rPr>
                <w:sz w:val="20"/>
                <w:szCs w:val="20"/>
                <w:color w:val="auto"/>
              </w:rPr>
            </w:pPr>
            <w:r>
              <w:rPr>
                <w:rFonts w:ascii="Arial" w:cs="Arial" w:eastAsia="Arial" w:hAnsi="Arial"/>
                <w:sz w:val="14"/>
                <w:szCs w:val="14"/>
                <w:color w:val="auto"/>
              </w:rPr>
              <w:t>EMEA</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756</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31%</w:t>
            </w: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E5E5E5"/>
          </w:tcPr>
          <w:p>
            <w:pPr>
              <w:spacing w:after="0"/>
              <w:rPr>
                <w:sz w:val="16"/>
                <w:szCs w:val="16"/>
                <w:color w:val="auto"/>
              </w:rPr>
            </w:pPr>
          </w:p>
        </w:tc>
        <w:tc>
          <w:tcPr>
            <w:tcW w:w="8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E5E5E5"/>
          </w:tcPr>
          <w:p>
            <w:pPr>
              <w:spacing w:after="0"/>
              <w:rPr>
                <w:sz w:val="16"/>
                <w:szCs w:val="16"/>
                <w:color w:val="auto"/>
              </w:rPr>
            </w:pPr>
          </w:p>
        </w:tc>
        <w:tc>
          <w:tcPr>
            <w:tcW w:w="240" w:type="dxa"/>
            <w:vAlign w:val="bottom"/>
            <w:tcBorders>
              <w:bottom w:val="single" w:sz="8" w:color="auto"/>
            </w:tcBorders>
            <w:shd w:val="clear" w:color="auto" w:fill="E5E5E5"/>
          </w:tcPr>
          <w:p>
            <w:pPr>
              <w:spacing w:after="0"/>
              <w:rPr>
                <w:sz w:val="16"/>
                <w:szCs w:val="16"/>
                <w:color w:val="auto"/>
              </w:rPr>
            </w:pPr>
          </w:p>
        </w:tc>
        <w:tc>
          <w:tcPr>
            <w:tcW w:w="8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127</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6"/>
                <w:szCs w:val="16"/>
                <w:color w:val="auto"/>
              </w:rPr>
            </w:pPr>
          </w:p>
        </w:tc>
        <w:tc>
          <w:tcPr>
            <w:tcW w:w="11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183"/>
        </w:trPr>
        <w:tc>
          <w:tcPr>
            <w:tcW w:w="4180" w:type="dxa"/>
            <w:vAlign w:val="bottom"/>
            <w:gridSpan w:val="2"/>
          </w:tcPr>
          <w:p>
            <w:pPr>
              <w:ind w:left="20"/>
              <w:spacing w:after="0" w:line="182" w:lineRule="exact"/>
              <w:rPr>
                <w:sz w:val="20"/>
                <w:szCs w:val="20"/>
                <w:color w:val="auto"/>
              </w:rPr>
            </w:pPr>
            <w:r>
              <w:rPr>
                <w:rFonts w:ascii="Arial" w:cs="Arial" w:eastAsia="Arial" w:hAnsi="Arial"/>
                <w:sz w:val="14"/>
                <w:szCs w:val="14"/>
                <w:b w:val="1"/>
                <w:bCs w:val="1"/>
                <w:color w:val="auto"/>
              </w:rPr>
              <w:t>Total Revenue</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2,444</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8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1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1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1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ind w:left="20"/>
              <w:spacing w:after="0"/>
              <w:rPr>
                <w:sz w:val="20"/>
                <w:szCs w:val="20"/>
                <w:color w:val="auto"/>
              </w:rPr>
            </w:pPr>
            <w:r>
              <w:rPr>
                <w:rFonts w:ascii="Arial" w:cs="Arial" w:eastAsia="Arial" w:hAnsi="Arial"/>
                <w:sz w:val="14"/>
                <w:szCs w:val="14"/>
                <w:b w:val="1"/>
                <w:bCs w:val="1"/>
                <w:color w:val="auto"/>
              </w:rPr>
              <w:t>Memo:</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Xerox Services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871</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E5E5E5"/>
          </w:tcPr>
          <w:p>
            <w:pPr>
              <w:spacing w:after="0"/>
              <w:rPr>
                <w:sz w:val="16"/>
                <w:szCs w:val="16"/>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5E5E5"/>
          </w:tcPr>
          <w:p>
            <w:pPr>
              <w:spacing w:after="0"/>
              <w:rPr>
                <w:sz w:val="16"/>
                <w:szCs w:val="16"/>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9"/>
          <w:szCs w:val="9"/>
          <w:i w:val="1"/>
          <w:iCs w:val="1"/>
          <w:color w:val="auto"/>
        </w:rPr>
      </w:pPr>
      <w:r>
        <w:rPr>
          <w:rFonts w:ascii="Arial" w:cs="Arial" w:eastAsia="Arial" w:hAnsi="Arial"/>
          <w:sz w:val="14"/>
          <w:szCs w:val="14"/>
          <w:i w:val="1"/>
          <w:iCs w:val="1"/>
          <w:color w:val="auto"/>
        </w:rPr>
        <w:t>Refer to Appendix II for our Geographic Sales Channels and Products and Offerings Definitions.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Fourth quarter 2020 total revenue decreased 21.0% as compared to fourth quarter 2019, including a 1.3-percentage point favorable impact from currency and an approximate 1.5-percentage point favorable impact from 2020 partner dealer acquisitions, partially offset by a 2.5-percentage point unfavorable impact from a one-time OEM license fee of $77 million received in the prior year. See the </w:t>
      </w:r>
      <w:r>
        <w:rPr>
          <w:rFonts w:ascii="Arial" w:cs="Arial" w:eastAsia="Arial" w:hAnsi="Arial"/>
          <w:sz w:val="18"/>
          <w:szCs w:val="18"/>
          <w:b w:val="1"/>
          <w:bCs w:val="1"/>
          <w:color w:val="DA2031"/>
        </w:rPr>
        <w:t>Sales of Ownership</w:t>
      </w:r>
      <w:r>
        <w:rPr>
          <w:rFonts w:ascii="Arial" w:cs="Arial" w:eastAsia="Arial" w:hAnsi="Arial"/>
          <w:sz w:val="18"/>
          <w:szCs w:val="18"/>
          <w:color w:val="auto"/>
        </w:rPr>
        <w:t xml:space="preserve"> </w:t>
      </w:r>
      <w:r>
        <w:rPr>
          <w:rFonts w:ascii="Arial" w:cs="Arial" w:eastAsia="Arial" w:hAnsi="Arial"/>
          <w:sz w:val="18"/>
          <w:szCs w:val="18"/>
          <w:b w:val="1"/>
          <w:bCs w:val="1"/>
          <w:color w:val="DA2031"/>
        </w:rPr>
        <w:t xml:space="preserve">Interests in Fuji Xerox Co., Ltd. and Xerox International Partners </w:t>
      </w:r>
      <w:r>
        <w:rPr>
          <w:rFonts w:ascii="Arial" w:cs="Arial" w:eastAsia="Arial" w:hAnsi="Arial"/>
          <w:sz w:val="18"/>
          <w:szCs w:val="18"/>
          <w:color w:val="000000"/>
        </w:rPr>
        <w:t>section for further details.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significantly impacted our fourth quarter 2020 revenues due to business closures and office building capacity restrictions that slowed our customers' purchasing decisions and caused lower printing volumes on our devices. Earlier in the fourth quarter, our business continued a moderation of the rate of revenue decline, consistent with business reopenings that had started during the third quarter. However, the resurgence of the virus in several European countries and U.S. regions during the fourth quarter halted the recovery in the latter part of the period, and as a result, our rate of revenue decline during the fourth quarter remained virtually unchanged as compared to the third quarter after excluding the one-time OEM license fee received in the prior year described above.</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Geographically, the revenue declines from our EMEA Operations were smaller, primarily as a result of the favorable impact from recent acquisitions in the region and higher installations of mono devices associated with our hybrid workplace initiatives and large government deals, as well as demand for our recently launched PrimeLink light production mono devices. Fourth quarter 2020 total revenue reflected the following:</w:t>
      </w:r>
    </w:p>
    <w:p>
      <w:pPr>
        <w:spacing w:after="0" w:line="128" w:lineRule="exact"/>
        <w:rPr>
          <w:sz w:val="20"/>
          <w:szCs w:val="20"/>
          <w:color w:val="auto"/>
        </w:rPr>
      </w:pPr>
    </w:p>
    <w:p>
      <w:pPr>
        <w:jc w:val="both"/>
        <w:ind w:left="340" w:hanging="332"/>
        <w:spacing w:after="0" w:line="257"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not only with the population of devices in the field, which are affected by installs and removals, but also by the page volumes generated from the usage of such devices and the revenue per printed page. Post sale revenue also includes transactional IT hardware sales and implementation services primarily from our XBS organization. Post sale revenue decreased 22.3% as compared to fourth quarter 2019, including a 1.2-percentage point favorable impact from currency. The COVID-19 pandemic significantly impacted our post sale revenue during the fourth quarter 2020, and the decrease also reflects a 3.4-percentage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00" w:right="339" w:bottom="1440" w:gutter="0" w:footer="0" w:header="0"/>
        </w:sectPr>
      </w:pPr>
    </w:p>
    <w:bookmarkStart w:id="17" w:name="page18"/>
    <w:bookmarkEnd w:id="17"/>
    <w:p>
      <w:pPr>
        <w:ind w:left="340"/>
        <w:spacing w:after="0" w:line="250" w:lineRule="auto"/>
        <w:rPr>
          <w:sz w:val="20"/>
          <w:szCs w:val="20"/>
          <w:color w:val="auto"/>
        </w:rPr>
      </w:pPr>
      <w:r>
        <w:rPr>
          <w:rFonts w:ascii="Arial" w:cs="Arial" w:eastAsia="Arial" w:hAnsi="Arial"/>
          <w:sz w:val="18"/>
          <w:szCs w:val="18"/>
          <w:color w:val="auto"/>
        </w:rPr>
        <w:t>point unfavorable impact from the one-time OEM license fee in the prior year described above. The decline in post sale revenue reflected the following:</w:t>
      </w:r>
    </w:p>
    <w:p>
      <w:pPr>
        <w:spacing w:after="0" w:line="1" w:lineRule="exact"/>
        <w:rPr>
          <w:sz w:val="20"/>
          <w:szCs w:val="20"/>
          <w:color w:val="auto"/>
        </w:rPr>
      </w:pPr>
    </w:p>
    <w:p>
      <w:pPr>
        <w:jc w:val="both"/>
        <w:ind w:left="980" w:hanging="324"/>
        <w:spacing w:after="0" w:line="244" w:lineRule="auto"/>
        <w:tabs>
          <w:tab w:leader="none" w:pos="9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Xerox Services offerings. These revenues decreased 24.8% as compared to fourth quarter 2019, including a 1.3-percentage point favorable impact from currency and an approximate 4.1-percentage point unfavorable impact from the one-time OEM license fee received in the prior year described above. The decline at constant currency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reflected a lower population of devices (which is partially associated with lower installs in prior and current periods), an ongoing competitive price environment, and lower page volumes (including a higher mix of lower average-page-volume products) that were worse than pre-COVID-19 decline trends due to the impact of business closures during the quarter. While these revenues are contractual in nature, on average, our bundled services contracts include a minimum fixed charge and a significant variable component based on print volumes. The rate of decline of these revenues increased slightly during the quarter as compared to the prior quarter, as a second wave of the COVID-19 virus drove new business shutdowns in certain geographical areas in the U.S. and EMEA.</w:t>
      </w:r>
    </w:p>
    <w:p>
      <w:pPr>
        <w:spacing w:after="0" w:line="2" w:lineRule="exact"/>
        <w:rPr>
          <w:rFonts w:ascii="Arial" w:cs="Arial" w:eastAsia="Arial" w:hAnsi="Arial"/>
          <w:sz w:val="18"/>
          <w:szCs w:val="18"/>
          <w:b w:val="1"/>
          <w:bCs w:val="1"/>
          <w:color w:val="auto"/>
        </w:rPr>
      </w:pPr>
    </w:p>
    <w:p>
      <w:pPr>
        <w:jc w:val="both"/>
        <w:ind w:left="980" w:hanging="324"/>
        <w:spacing w:after="0" w:line="250" w:lineRule="auto"/>
        <w:tabs>
          <w:tab w:leader="none" w:pos="9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13.2%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fourth quarter 2019, including a 0.4-percentage point favorable impact from currency and reflected primarily lower supplies revenues associated with lower page volume trends partially offset by higher IT revenues from our XBS channel and from recently acquired IT dealers outside of the U.S. The decrease in supplies was significantly impacted by lower sales through indirect channels, as resellers, in response to the lower demand caused by the pandemic, have reduced their inventory purchases to manage liquidity. We expect that such resellers will maintain low purchase levels and lower inventories until there is a stable recovery in sales activity.</w:t>
      </w:r>
    </w:p>
    <w:p>
      <w:pPr>
        <w:spacing w:after="0" w:line="2" w:lineRule="exact"/>
        <w:rPr>
          <w:rFonts w:ascii="Arial" w:cs="Arial" w:eastAsia="Arial" w:hAnsi="Arial"/>
          <w:sz w:val="18"/>
          <w:szCs w:val="18"/>
          <w:b w:val="1"/>
          <w:bCs w:val="1"/>
          <w:color w:val="auto"/>
        </w:rPr>
      </w:pPr>
    </w:p>
    <w:p>
      <w:pPr>
        <w:jc w:val="both"/>
        <w:ind w:left="980" w:hanging="324"/>
        <w:spacing w:after="0" w:line="256" w:lineRule="auto"/>
        <w:tabs>
          <w:tab w:leader="none" w:pos="99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6.7%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decline in the finance receivables balance due to lower equipment sales in prior periods and included a 2.3-percentage point favorable impact from currency.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4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3"/>
            <w:vMerge w:val="restart"/>
          </w:tcPr>
          <w:p>
            <w:pPr>
              <w:ind w:left="40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color w:val="auto"/>
              </w:rPr>
              <w:t>December 31,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1"/>
                <w:szCs w:val="11"/>
                <w:color w:val="auto"/>
              </w:rPr>
            </w:pPr>
          </w:p>
        </w:tc>
        <w:tc>
          <w:tcPr>
            <w:tcW w:w="1160" w:type="dxa"/>
            <w:vAlign w:val="bottom"/>
            <w:gridSpan w:val="2"/>
          </w:tcPr>
          <w:p>
            <w:pPr>
              <w:jc w:val="center"/>
              <w:ind w:left="48"/>
              <w:spacing w:after="0" w:line="13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color w:val="auto"/>
              </w:rPr>
              <w:t>CC % Change</w:t>
            </w:r>
          </w:p>
        </w:tc>
        <w:tc>
          <w:tcPr>
            <w:tcW w:w="100" w:type="dxa"/>
            <w:vAlign w:val="bottom"/>
            <w:vMerge w:val="restart"/>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5E5E5"/>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Entry</w:t>
            </w:r>
          </w:p>
        </w:tc>
        <w:tc>
          <w:tcPr>
            <w:tcW w:w="700" w:type="dxa"/>
            <w:vAlign w:val="bottom"/>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E5E5E5"/>
          </w:tcPr>
          <w:p>
            <w:pPr>
              <w:spacing w:after="0"/>
              <w:rPr>
                <w:sz w:val="15"/>
                <w:szCs w:val="15"/>
                <w:color w:val="auto"/>
              </w:rPr>
            </w:pPr>
          </w:p>
        </w:tc>
        <w:tc>
          <w:tcPr>
            <w:tcW w:w="72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63</w:t>
            </w:r>
          </w:p>
        </w:tc>
        <w:tc>
          <w:tcPr>
            <w:tcW w:w="116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Mid-range</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408</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High-end</w:t>
            </w:r>
          </w:p>
        </w:tc>
        <w:tc>
          <w:tcPr>
            <w:tcW w:w="700" w:type="dxa"/>
            <w:vAlign w:val="bottom"/>
            <w:shd w:val="clear" w:color="auto" w:fill="E5E5E5"/>
          </w:tcPr>
          <w:p>
            <w:pPr>
              <w:spacing w:after="0"/>
              <w:rPr>
                <w:sz w:val="16"/>
                <w:szCs w:val="16"/>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139</w:t>
            </w:r>
          </w:p>
        </w:tc>
        <w:tc>
          <w:tcPr>
            <w:tcW w:w="116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160" w:type="dxa"/>
            <w:vAlign w:val="bottom"/>
            <w:tcBorders>
              <w:bottom w:val="single" w:sz="8" w:color="E5E5E5"/>
            </w:tcBorders>
            <w:gridSpan w:val="2"/>
          </w:tcPr>
          <w:p>
            <w:pPr>
              <w:jc w:val="center"/>
              <w:ind w:left="48"/>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43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Equipment Sales</w:t>
            </w:r>
          </w:p>
        </w:tc>
        <w:tc>
          <w:tcPr>
            <w:tcW w:w="700" w:type="dxa"/>
            <w:vAlign w:val="bottom"/>
            <w:tcBorders>
              <w:bottom w:val="single" w:sz="8" w:color="auto"/>
            </w:tcBorders>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E5E5E5"/>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616</w:t>
            </w:r>
          </w:p>
        </w:tc>
        <w:tc>
          <w:tcPr>
            <w:tcW w:w="116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00" w:type="dxa"/>
            <w:vAlign w:val="bottom"/>
            <w:tcBorders>
              <w:top w:val="single" w:sz="8" w:color="E5E5E5"/>
              <w:bottom w:val="single" w:sz="8" w:color="auto"/>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20" w:type="dxa"/>
            <w:vAlign w:val="bottom"/>
            <w:tcBorders>
              <w:top w:val="single" w:sz="8" w:color="E5E5E5"/>
              <w:bottom w:val="single" w:sz="8" w:color="auto"/>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230" w:lineRule="exact"/>
        <w:rPr>
          <w:sz w:val="20"/>
          <w:szCs w:val="20"/>
          <w:color w:val="auto"/>
        </w:rPr>
      </w:pPr>
    </w:p>
    <w:p>
      <w:pPr>
        <w:jc w:val="both"/>
        <w:ind w:left="340" w:hanging="332"/>
        <w:spacing w:after="0" w:line="255" w:lineRule="auto"/>
        <w:tabs>
          <w:tab w:leader="none" w:pos="33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Equipment sales revenue </w:t>
      </w:r>
      <w:r>
        <w:rPr>
          <w:rFonts w:ascii="Arial" w:cs="Arial" w:eastAsia="Arial" w:hAnsi="Arial"/>
          <w:sz w:val="17"/>
          <w:szCs w:val="17"/>
          <w:color w:val="auto"/>
        </w:rPr>
        <w:t>decreased 17.2% as compared to fourth quarter 2019, including a 1.6-percentage point favorable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from currency as well as the impact of price declines of approximately 5%. The COVID-19 pandemic significantly impacted our equipment sales revenue during the fourth quarter 2020 as a result of business closures and office building capacity restrictions that slowed our customers' purchasing decisions. In addition, our mix of revenues from lower-end and black-and-white devices has increased as a result of hybrid workplace trends associated with the COVID-19 pandemic. The decline at constant currency</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reflected the following:</w:t>
      </w:r>
    </w:p>
    <w:p>
      <w:pPr>
        <w:spacing w:after="0" w:line="2" w:lineRule="exact"/>
        <w:rPr>
          <w:rFonts w:ascii="Arial" w:cs="Arial" w:eastAsia="Arial" w:hAnsi="Arial"/>
          <w:sz w:val="17"/>
          <w:szCs w:val="17"/>
          <w:b w:val="1"/>
          <w:bCs w:val="1"/>
          <w:color w:val="auto"/>
        </w:rPr>
      </w:pPr>
    </w:p>
    <w:p>
      <w:pPr>
        <w:jc w:val="both"/>
        <w:ind w:left="980" w:hanging="324"/>
        <w:spacing w:after="0" w:line="250"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decrease was driven primarily by lower sales of color devices and product constraints with our black and white</w:t>
      </w:r>
      <w:r>
        <w:rPr>
          <w:rFonts w:ascii="Arial" w:cs="Arial" w:eastAsia="Arial" w:hAnsi="Arial"/>
          <w:sz w:val="18"/>
          <w:szCs w:val="18"/>
          <w:b w:val="1"/>
          <w:bCs w:val="1"/>
          <w:color w:val="auto"/>
        </w:rPr>
        <w:t xml:space="preserve"> </w:t>
      </w:r>
      <w:r>
        <w:rPr>
          <w:rFonts w:ascii="Arial" w:cs="Arial" w:eastAsia="Arial" w:hAnsi="Arial"/>
          <w:sz w:val="18"/>
          <w:szCs w:val="18"/>
          <w:color w:val="auto"/>
        </w:rPr>
        <w:t>devices as a result of high demand for lower-end printers and MFPs (primarily of black-and-white devices) in part associated with hybrid-workplace trends and promotions, partially offset by higher sales of mono personal printers and MFPs in our developing regions in EMEA and Latin America.</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decrease was driven primarily by the COVID-19 pandemic and related office closures, which slowed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group of products due to their prevalence in office-team settings. School closures in the U.S. also impacted sales of our PrimeLink light production mono devices. Higher sales to government accounts as well as demand for our new-generation of ConnectKey multi-function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92" w:right="33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color w:val="auto"/>
        </w:rPr>
        <w:t>devices and successful demand campaigns in EMEA for our recently launched PrimeLink mono devices provided a partial offset.</w:t>
      </w:r>
    </w:p>
    <w:p>
      <w:pPr>
        <w:spacing w:after="0" w:line="9" w:lineRule="exact"/>
        <w:rPr>
          <w:sz w:val="20"/>
          <w:szCs w:val="20"/>
          <w:color w:val="auto"/>
        </w:rPr>
      </w:pPr>
    </w:p>
    <w:p>
      <w:pPr>
        <w:jc w:val="both"/>
        <w:ind w:left="980" w:hanging="324"/>
        <w:spacing w:after="0" w:line="253" w:lineRule="auto"/>
        <w:tabs>
          <w:tab w:leader="none" w:pos="1003"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High-end - </w:t>
      </w:r>
      <w:r>
        <w:rPr>
          <w:rFonts w:ascii="Arial" w:cs="Arial" w:eastAsia="Arial" w:hAnsi="Arial"/>
          <w:sz w:val="18"/>
          <w:szCs w:val="18"/>
          <w:color w:val="auto"/>
        </w:rPr>
        <w:t>The decrease reflected primarily lower installs of our Iridesse, iGen and Versant entry-production color presses,</w:t>
      </w:r>
      <w:r>
        <w:rPr>
          <w:rFonts w:ascii="Arial" w:cs="Arial" w:eastAsia="Arial" w:hAnsi="Arial"/>
          <w:sz w:val="18"/>
          <w:szCs w:val="18"/>
          <w:b w:val="1"/>
          <w:bCs w:val="1"/>
          <w:color w:val="auto"/>
        </w:rPr>
        <w:t xml:space="preserve"> </w:t>
      </w:r>
      <w:r>
        <w:rPr>
          <w:rFonts w:ascii="Arial" w:cs="Arial" w:eastAsia="Arial" w:hAnsi="Arial"/>
          <w:sz w:val="18"/>
          <w:szCs w:val="18"/>
          <w:color w:val="auto"/>
        </w:rPr>
        <w:t>partially offset by higher demand for our larger Baltoro cut-sheet inkjet press and higher sales in the U.S. of our continuous-feed color systems, as well as higher installs of our Nuvera mono production presses in North America as a result of cyclical account refreshes. The decrease in our equipment sales revenue from production color systems was greater for sales of our Iridesse and Versant systems in the SMB segment, where production printing applications depend on business reopenings.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Installs reflect new placement of devices only (i.e., measure does not take into account removal of devices which may occur as a result of contract renewals or cancellations).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 and non-Xerox branded products installed by our XBS sales unit.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Detail by product group (see </w:t>
      </w:r>
      <w:r>
        <w:rPr>
          <w:rFonts w:ascii="Arial" w:cs="Arial" w:eastAsia="Arial" w:hAnsi="Arial"/>
          <w:sz w:val="18"/>
          <w:szCs w:val="18"/>
          <w:b w:val="1"/>
          <w:bCs w:val="1"/>
          <w:color w:val="DA2031"/>
        </w:rPr>
        <w:t>Appendix II</w:t>
      </w:r>
      <w:r>
        <w:rPr>
          <w:rFonts w:ascii="Arial" w:cs="Arial" w:eastAsia="Arial" w:hAnsi="Arial"/>
          <w:sz w:val="18"/>
          <w:szCs w:val="18"/>
          <w:color w:val="auto"/>
        </w:rPr>
        <w:t>) is shown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p>
    <w:p>
      <w:pPr>
        <w:spacing w:after="0" w:line="27" w:lineRule="exact"/>
        <w:rPr>
          <w:sz w:val="20"/>
          <w:szCs w:val="20"/>
          <w:color w:val="auto"/>
        </w:rPr>
      </w:pPr>
    </w:p>
    <w:p>
      <w:pPr>
        <w:ind w:left="340" w:right="2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 decrease in color multifunction devices reflecting lower installs of ConnectKey devices through our indirect channels in the U.S. and in EMEA.</w:t>
      </w:r>
    </w:p>
    <w:p>
      <w:pPr>
        <w:jc w:val="both"/>
        <w:ind w:left="340" w:hanging="332"/>
        <w:spacing w:after="0" w:line="256"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28% increase in black-and-white multifunction devices reflecting higher activity primarily from indirect channels in the U.S and from developing regions in EMEA. The increase is primarily driven by higher sales of low-end devices associated with large order government deals from Eurasia and work-from-home sales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3"/>
          <w:szCs w:val="23"/>
          <w:i w:val="1"/>
          <w:iCs w:val="1"/>
          <w:color w:val="auto"/>
          <w:vertAlign w:val="superscript"/>
        </w:rPr>
        <w:t>3</w:t>
      </w: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decrease in mid-range color installs primarily reflecting lower installs of multifunction color devices partially offset by strong demand for our new-generation of ConnectKey multi-function devices.</w:t>
      </w:r>
    </w:p>
    <w:p>
      <w:pPr>
        <w:ind w:left="340" w:hanging="332"/>
        <w:spacing w:after="0" w:line="261"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 decrease in mid-range black-and-white installs reflecting in part global market trends partially offset by strong demand for our recently launched PrimeLink light-production devices and our new-generation of ConnectKey multi-function devices.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3"/>
          <w:szCs w:val="23"/>
          <w:i w:val="1"/>
          <w:iCs w:val="1"/>
          <w:color w:val="auto"/>
          <w:vertAlign w:val="superscript"/>
        </w:rPr>
        <w:t>3</w:t>
      </w:r>
    </w:p>
    <w:p>
      <w:pPr>
        <w:jc w:val="both"/>
        <w:ind w:left="340" w:right="2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 decrease in high-end color installs reflecting primarily lower installs of our lower-end Versant devices and of our Iridesse and iGen productions systems, partially offset by higher installs of our Baltoro cut-sheet inkjet press and higher installs in the U.S. of our continuous-feed color systems .</w:t>
      </w:r>
    </w:p>
    <w:p>
      <w:pPr>
        <w:spacing w:after="0" w:line="1"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6% decrease in high-end black-and-white systems reflecting lower installs of our Nuvera devices in EMEA, partially offset by higher activity related to cyclical account refreshes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5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jc w:val="both"/>
        <w:ind w:left="340" w:hanging="332"/>
        <w:spacing w:after="0" w:line="221" w:lineRule="auto"/>
        <w:tabs>
          <w:tab w:leader="none" w:pos="333"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During fourth quarter 2020, we revised the measurement of Total Installs to include installations of Xerox and non-Xerox branded devices directly by our XBS business Unit. Previously, Total Installs were based on intercompany transfers of devices to XBS and was limited to Xerox-branded devices only. Although the overall impact from the change was not material, we believe the new measurement basis provides a stronger connection between equipment sale revenues and installations. See APPENDIX II, Equipment Installs - Measurement Methodology Update, for the revision of prior quarters in 2020 based on the new methodology.</w:t>
      </w:r>
    </w:p>
    <w:p>
      <w:pPr>
        <w:spacing w:after="0" w:line="2" w:lineRule="exact"/>
        <w:rPr>
          <w:rFonts w:ascii="Arial" w:cs="Arial" w:eastAsia="Arial" w:hAnsi="Arial"/>
          <w:sz w:val="19"/>
          <w:szCs w:val="19"/>
          <w:i w:val="1"/>
          <w:iCs w:val="1"/>
          <w:color w:val="auto"/>
          <w:vertAlign w:val="superscript"/>
        </w:rPr>
      </w:pPr>
    </w:p>
    <w:p>
      <w:pPr>
        <w:ind w:left="340" w:right="20" w:hanging="332"/>
        <w:spacing w:after="0" w:line="211" w:lineRule="auto"/>
        <w:tabs>
          <w:tab w:leader="none" w:pos="333"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decreased 20%, and High-end color systems decreased 27%.</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0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5"/>
          <w:szCs w:val="25"/>
          <w:b w:val="1"/>
          <w:bCs w:val="1"/>
          <w:color w:val="DA2031"/>
        </w:rPr>
        <w:t>Costs, Expenses and Other Income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68"/>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auto"/>
              </w:rPr>
              <w:t>December 31,</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B/(W)</w:t>
            </w:r>
          </w:p>
        </w:tc>
        <w:tc>
          <w:tcPr>
            <w:tcW w:w="340" w:type="dxa"/>
            <w:vAlign w:val="bottom"/>
            <w:tcBorders>
              <w:bottom w:val="single" w:sz="8" w:color="auto"/>
            </w:tcBorders>
          </w:tcPr>
          <w:p>
            <w:pPr>
              <w:spacing w:after="0"/>
              <w:rPr>
                <w:sz w:val="15"/>
                <w:szCs w:val="15"/>
                <w:color w:val="auto"/>
              </w:rPr>
            </w:pPr>
          </w:p>
        </w:tc>
      </w:tr>
      <w:tr>
        <w:trPr>
          <w:trHeight w:val="183"/>
        </w:trPr>
        <w:tc>
          <w:tcPr>
            <w:tcW w:w="6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(317)</w:t>
            </w:r>
          </w:p>
        </w:tc>
        <w:tc>
          <w:tcPr>
            <w:tcW w:w="340" w:type="dxa"/>
            <w:vAlign w:val="bottom"/>
            <w:shd w:val="clear" w:color="auto" w:fill="E5E5E5"/>
          </w:tcPr>
          <w:p>
            <w:pPr>
              <w:spacing w:after="0"/>
              <w:rPr>
                <w:sz w:val="15"/>
                <w:szCs w:val="15"/>
                <w:color w:val="auto"/>
              </w:rPr>
            </w:pP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RD&amp;E</w:t>
            </w:r>
          </w:p>
        </w:tc>
        <w:tc>
          <w:tcPr>
            <w:tcW w:w="2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6"/>
                <w:szCs w:val="16"/>
                <w:color w:val="auto"/>
              </w:rPr>
            </w:pPr>
          </w:p>
        </w:tc>
      </w:tr>
      <w:tr>
        <w:trPr>
          <w:trHeight w:val="189"/>
        </w:trPr>
        <w:tc>
          <w:tcPr>
            <w:tcW w:w="6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SAG</w:t>
            </w: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72</w:t>
            </w:r>
          </w:p>
        </w:tc>
        <w:tc>
          <w:tcPr>
            <w:tcW w:w="340" w:type="dxa"/>
            <w:vAlign w:val="bottom"/>
            <w:shd w:val="clear" w:color="auto" w:fill="E5E5E5"/>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89"/>
        </w:trPr>
        <w:tc>
          <w:tcPr>
            <w:tcW w:w="6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Gross Margin</w:t>
            </w: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28.9 %</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32.0 %</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(3.1)</w:t>
            </w:r>
          </w:p>
        </w:tc>
        <w:tc>
          <w:tcPr>
            <w:tcW w:w="340" w:type="dxa"/>
            <w:vAlign w:val="bottom"/>
            <w:shd w:val="clear" w:color="auto" w:fill="E5E5E5"/>
          </w:tcPr>
          <w:p>
            <w:pPr>
              <w:ind w:left="100"/>
              <w:spacing w:after="0"/>
              <w:rPr>
                <w:sz w:val="20"/>
                <w:szCs w:val="20"/>
                <w:color w:val="auto"/>
              </w:rPr>
            </w:pPr>
            <w:r>
              <w:rPr>
                <w:rFonts w:ascii="Arial" w:cs="Arial" w:eastAsia="Arial" w:hAnsi="Arial"/>
                <w:sz w:val="14"/>
                <w:szCs w:val="14"/>
                <w:color w:val="auto"/>
                <w:w w:val="97"/>
              </w:rPr>
              <w:t>pts.</w:t>
            </w: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Post sale Gross Margin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340" w:type="dxa"/>
            <w:vAlign w:val="bottom"/>
          </w:tcPr>
          <w:p>
            <w:pPr>
              <w:ind w:left="100"/>
              <w:spacing w:after="0"/>
              <w:rPr>
                <w:sz w:val="20"/>
                <w:szCs w:val="20"/>
                <w:color w:val="auto"/>
              </w:rPr>
            </w:pPr>
            <w:r>
              <w:rPr>
                <w:rFonts w:ascii="Arial" w:cs="Arial" w:eastAsia="Arial" w:hAnsi="Arial"/>
                <w:sz w:val="14"/>
                <w:szCs w:val="14"/>
                <w:color w:val="auto"/>
                <w:w w:val="97"/>
              </w:rPr>
              <w:t>pts.</w:t>
            </w:r>
          </w:p>
        </w:tc>
      </w:tr>
      <w:tr>
        <w:trPr>
          <w:trHeight w:val="189"/>
        </w:trPr>
        <w:tc>
          <w:tcPr>
            <w:tcW w:w="6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Total Gross Margin</w:t>
            </w: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36.2 %</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41.6 %</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(5.4)</w:t>
            </w:r>
          </w:p>
        </w:tc>
        <w:tc>
          <w:tcPr>
            <w:tcW w:w="340" w:type="dxa"/>
            <w:vAlign w:val="bottom"/>
            <w:shd w:val="clear" w:color="auto" w:fill="E5E5E5"/>
          </w:tcPr>
          <w:p>
            <w:pPr>
              <w:ind w:left="100"/>
              <w:spacing w:after="0"/>
              <w:rPr>
                <w:sz w:val="20"/>
                <w:szCs w:val="20"/>
                <w:color w:val="auto"/>
              </w:rPr>
            </w:pPr>
            <w:r>
              <w:rPr>
                <w:rFonts w:ascii="Arial" w:cs="Arial" w:eastAsia="Arial" w:hAnsi="Arial"/>
                <w:sz w:val="14"/>
                <w:szCs w:val="14"/>
                <w:color w:val="auto"/>
                <w:w w:val="97"/>
              </w:rPr>
              <w:t>pts.</w:t>
            </w: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RD&amp;E as a % of Revenue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40" w:type="dxa"/>
            <w:vAlign w:val="bottom"/>
          </w:tcPr>
          <w:p>
            <w:pPr>
              <w:ind w:left="100"/>
              <w:spacing w:after="0"/>
              <w:rPr>
                <w:sz w:val="20"/>
                <w:szCs w:val="20"/>
                <w:color w:val="auto"/>
              </w:rPr>
            </w:pPr>
            <w:r>
              <w:rPr>
                <w:rFonts w:ascii="Arial" w:cs="Arial" w:eastAsia="Arial" w:hAnsi="Arial"/>
                <w:sz w:val="14"/>
                <w:szCs w:val="14"/>
                <w:color w:val="auto"/>
                <w:w w:val="97"/>
              </w:rPr>
              <w:t>pts.</w:t>
            </w:r>
          </w:p>
        </w:tc>
      </w:tr>
      <w:tr>
        <w:trPr>
          <w:trHeight w:val="189"/>
        </w:trPr>
        <w:tc>
          <w:tcPr>
            <w:tcW w:w="6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SAG as a % of Revenue</w:t>
            </w: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22.8 %</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20.9 %</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w:t>
            </w:r>
          </w:p>
        </w:tc>
        <w:tc>
          <w:tcPr>
            <w:tcW w:w="340" w:type="dxa"/>
            <w:vAlign w:val="bottom"/>
            <w:shd w:val="clear" w:color="auto" w:fill="E5E5E5"/>
          </w:tcPr>
          <w:p>
            <w:pPr>
              <w:ind w:left="100"/>
              <w:spacing w:after="0"/>
              <w:rPr>
                <w:sz w:val="20"/>
                <w:szCs w:val="20"/>
                <w:color w:val="auto"/>
              </w:rPr>
            </w:pPr>
            <w:r>
              <w:rPr>
                <w:rFonts w:ascii="Arial" w:cs="Arial" w:eastAsia="Arial" w:hAnsi="Arial"/>
                <w:sz w:val="14"/>
                <w:szCs w:val="14"/>
                <w:color w:val="auto"/>
                <w:w w:val="97"/>
              </w:rPr>
              <w:t>pts.</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89"/>
        </w:trPr>
        <w:tc>
          <w:tcPr>
            <w:tcW w:w="6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Pre-tax Income</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(233)</w:t>
            </w:r>
          </w:p>
        </w:tc>
        <w:tc>
          <w:tcPr>
            <w:tcW w:w="340" w:type="dxa"/>
            <w:vAlign w:val="bottom"/>
            <w:shd w:val="clear" w:color="auto" w:fill="E5E5E5"/>
          </w:tcPr>
          <w:p>
            <w:pPr>
              <w:spacing w:after="0"/>
              <w:rPr>
                <w:sz w:val="16"/>
                <w:szCs w:val="16"/>
                <w:color w:val="auto"/>
              </w:rPr>
            </w:pP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Pre-tax Income Margin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340" w:type="dxa"/>
            <w:vAlign w:val="bottom"/>
          </w:tcPr>
          <w:p>
            <w:pPr>
              <w:ind w:left="100"/>
              <w:spacing w:after="0"/>
              <w:rPr>
                <w:sz w:val="20"/>
                <w:szCs w:val="20"/>
                <w:color w:val="auto"/>
              </w:rPr>
            </w:pPr>
            <w:r>
              <w:rPr>
                <w:rFonts w:ascii="Arial" w:cs="Arial" w:eastAsia="Arial" w:hAnsi="Arial"/>
                <w:sz w:val="14"/>
                <w:szCs w:val="14"/>
                <w:color w:val="auto"/>
                <w:w w:val="97"/>
              </w:rPr>
              <w:t>pts.</w:t>
            </w:r>
          </w:p>
        </w:tc>
      </w:tr>
      <w:tr>
        <w:trPr>
          <w:trHeight w:val="216"/>
        </w:trPr>
        <w:tc>
          <w:tcPr>
            <w:tcW w:w="59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r>
      <w:tr>
        <w:trPr>
          <w:trHeight w:val="189"/>
        </w:trPr>
        <w:tc>
          <w:tcPr>
            <w:tcW w:w="60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340" w:type="dxa"/>
            <w:vAlign w:val="bottom"/>
          </w:tcPr>
          <w:p>
            <w:pPr>
              <w:spacing w:after="0"/>
              <w:rPr>
                <w:sz w:val="16"/>
                <w:szCs w:val="16"/>
                <w:color w:val="auto"/>
              </w:rPr>
            </w:pPr>
          </w:p>
        </w:tc>
      </w:tr>
      <w:tr>
        <w:trPr>
          <w:trHeight w:val="189"/>
        </w:trPr>
        <w:tc>
          <w:tcPr>
            <w:tcW w:w="606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Operating Margin</w:t>
            </w:r>
          </w:p>
        </w:tc>
        <w:tc>
          <w:tcPr>
            <w:tcW w:w="28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16.8 %</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(7.3)</w:t>
            </w:r>
          </w:p>
        </w:tc>
        <w:tc>
          <w:tcPr>
            <w:tcW w:w="340" w:type="dxa"/>
            <w:vAlign w:val="bottom"/>
            <w:shd w:val="clear" w:color="auto" w:fill="E5E5E5"/>
          </w:tcPr>
          <w:p>
            <w:pPr>
              <w:ind w:left="100"/>
              <w:spacing w:after="0"/>
              <w:rPr>
                <w:sz w:val="20"/>
                <w:szCs w:val="20"/>
                <w:color w:val="auto"/>
              </w:rPr>
            </w:pPr>
            <w:r>
              <w:rPr>
                <w:rFonts w:ascii="Arial" w:cs="Arial" w:eastAsia="Arial" w:hAnsi="Arial"/>
                <w:sz w:val="14"/>
                <w:szCs w:val="14"/>
                <w:color w:val="auto"/>
                <w:w w:val="97"/>
              </w:rPr>
              <w:t>pts.</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See the Non-GAAP Financial Measures section for an explanation of the non-GAAP financial measure.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Fourth quarter 2020 pre-tax income margin of 5.3% decreased by 8.4-percentage points as compared to fourth quarter 2019. The decrease primarily reflected the impact of lower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margin (see below) of 7.3-percentage points as well as higher Amortization of intangible assets and Other expenses, net, partially offset by lower Restructuring and related costs and Transaction and related costs, net.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jc w:val="both"/>
        <w:spacing w:after="0" w:line="227" w:lineRule="auto"/>
        <w:rPr>
          <w:sz w:val="20"/>
          <w:szCs w:val="20"/>
          <w:color w:val="auto"/>
        </w:rPr>
      </w:pPr>
      <w:r>
        <w:rPr>
          <w:rFonts w:ascii="Arial" w:cs="Arial" w:eastAsia="Arial" w:hAnsi="Arial"/>
          <w:sz w:val="18"/>
          <w:szCs w:val="18"/>
          <w:color w:val="auto"/>
        </w:rPr>
        <w:t>Fourth quarter 2020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margin of 9.5% decreased by 7.3-percentage points as compared to fourth quarter 2019 reflecting the impact of lower revenues, primarily due to the significant effect of the COVID-19 pandemic on our business, partially offset by cost and expense reductions associated with our Project Own It transformation actions as well as additional savings from various cost reduction actions to mitigate the impact of the pandemic. These actions include approximately $12 million from temporary government assistance measures and furlough programs (see the </w:t>
      </w:r>
      <w:r>
        <w:rPr>
          <w:rFonts w:ascii="Arial" w:cs="Arial" w:eastAsia="Arial" w:hAnsi="Arial"/>
          <w:sz w:val="18"/>
          <w:szCs w:val="18"/>
          <w:b w:val="1"/>
          <w:bCs w:val="1"/>
          <w:color w:val="DA2031"/>
        </w:rPr>
        <w:t>Government Assistance and Furlough Programs</w:t>
      </w:r>
      <w:r>
        <w:rPr>
          <w:rFonts w:ascii="Arial" w:cs="Arial" w:eastAsia="Arial" w:hAnsi="Arial"/>
          <w:sz w:val="18"/>
          <w:szCs w:val="18"/>
          <w:color w:val="auto"/>
        </w:rPr>
        <w:t xml:space="preserve"> section for further details) and other reductions in discretionary spend such as near term targeted marketing programs, the use of contract employees and the temporary suspension of 401(k) matching contributions for the year 2020, as well as lower compensation incentives consistent with lower sales and operating results. The decrease was also affected by an approximate 2.7-percentage point unfavorable impact from the one-time OEM license fee received in the prior year described above.</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Refer to the Operating Income / Margin reconciliation table in the “Non-GAAP Financial Measures” section.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Fourth quarter 2020 gross margin of 36.2% decreased by 5.4-percentage points as compared to fourth quarter 2019, reflecting the impact of lower revenues, (including from our higher margin post sale stream) primarily as a result of the significant effect of the COVID-19 pandemic due to business closures, as well as price promotion programs. The decrease was also affected by an approximate 1.9-percentage point unfavorable impact from the one-time OEM license fee received in the prior year described above. These headwinds were partially offset by the cost savings from our Project Own It transformation actions as well as the additional cost reduction actions to mitigate the impact of the pandemic, including savings of approximately $8 million from temporary government assistance measures and furlough programs and other reductions in discretionary spend such as the use of contract employees and the temporary suspension of 401(k) matching contributions.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00"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Fourth quarter 2020 equipment gross margin of 28.9% decreased by 3.1-percentage points as compared to fourth quarter 2019, reflecting lower revenues (primarily as a result of COVID-19 related business closures) and an unfavorable mix of growth in low-end and mono devices as well as the adverse impact of price promotion programs partially offset by the benefit of cost reductions from Project Own It and a 1.5-percentage point favorable impact from the net impact of lower tariff costs and higher transaction currency.</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Fourth quarter 2020 post sale gross margin of 38.8% decreased by 6.0-percentage points as compared to fourth quarter 2019, reflecting the impact of lower revenues (primarily as a result of COVID-19 related business closures impacting page volumes) and price erosion on contract renewals, partially offset by productivity and cost savings and restructuring savings associated with Project Own It transformation actions, as well as savings from our additional cost reduction actions to mitigate the impact of the pandemic. These actions include approximately $8 million of savings from temporary government assistance measures and furlough programs and other reductions in discretionary spend such as the use of contract employees and the temporary suspension of 401(k) matching contributions. The decrease was also affected by an approximate 2.4-percentage point unfavorable impact from the one-time OEM license fee received in the prior year described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Fourth quarter 2020 RD&amp;E as a percentage of revenue of 3.9% increased by 0.1-percentage points as compared to fourth quarter 2019, due to revenue declines partially offset by the benefit of cost reductions.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RD&amp;E of $75 million decreased $18 million as compared to fourth quarter 2019 reflecting savings from Project Own It simplification and rationalization in core technology, and other temporary cost actions, as well as a favorable impact from the timing of investments, partially offset by higher spend in our innovation areas.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SAG as a percentage of revenue of 22.8% increased by 1.9-percentage points as compared to fourth quarter 2019, primarily due the impact of lower revenues, partially offset by the benefits from cost savings and restructuring associated with our Project Own It transformation actions, and savings from additional cost reduction actions to mitigate the impact of the pandemic. These actions include approximately $4 million from temporary government assistance measures and furlough programs, and other reductions in discretionary spend such as near term targeted marketing programs, the use of contract employees and the temporary suspension of 401(k) matching contributions, as well as lower compensation incentives consistent with lower sales and operating results.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SAG of $440 million decreased by $72 million as compared to fourth quarter 2019, reflecting cost savings and restructuring savings associated with our Project Own It transformation actions and from additional cost reduction actions to mitigate the impact of the pandemic, as described above, partially offset by expenses from recent acquisitions, an increase in bad debt expenses and an approximate $5 million impact from translation currency.</w:t>
      </w:r>
    </w:p>
    <w:p>
      <w:pPr>
        <w:spacing w:after="0" w:line="4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first quarter 2020, our bad debt provision was $61 million higher than the prior year period, primarily reflecting the expected impact on our customer base and related outstanding receivables portfolio as a result of the economic disruption caused by the COVID-19 pandemic. Bad debt expense increased by $5 million in fourth quarter 2020 as compared to fourth quarter 2019 primarily related to trade receivables. Overall, write-offs and the current bad debt reserves for our trade and finance receivables portfolios are in line with our projections and consistent with future expectations regarding the impacts from the COVID-19 pandemic. We continue to monitor developments regarding the pandemic, including business closures and mitigating government support actions, and, as a result, our reserve estimates may need to be updated in future periods. Bad debt expense of approximately 2.7 percent of total gross receivables on a trailing-twelve-month basis reflects the significant increase in first quarter 2020 which remained higher than the 2019 trend of less than one percent.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121"/>
        </w:rPr>
        <w:t xml:space="preserve">We incurred restructuring and related costs of $29 million for the </w:t>
      </w:r>
      <w:r>
        <w:rPr>
          <w:rFonts w:ascii="Arial" w:cs="Arial" w:eastAsia="Arial" w:hAnsi="Arial"/>
          <w:sz w:val="18"/>
          <w:szCs w:val="18"/>
          <w:color w:val="000000"/>
        </w:rPr>
        <w:t>fourth</w:t>
      </w:r>
      <w:r>
        <w:rPr>
          <w:rFonts w:ascii="Arial" w:cs="Arial" w:eastAsia="Arial" w:hAnsi="Arial"/>
          <w:sz w:val="18"/>
          <w:szCs w:val="18"/>
          <w:color w:val="212121"/>
        </w:rPr>
        <w:t xml:space="preserve"> quarter </w:t>
      </w:r>
      <w:r>
        <w:rPr>
          <w:rFonts w:ascii="Arial" w:cs="Arial" w:eastAsia="Arial" w:hAnsi="Arial"/>
          <w:sz w:val="18"/>
          <w:szCs w:val="18"/>
          <w:color w:val="000000"/>
        </w:rPr>
        <w:t>2020</w:t>
      </w:r>
      <w:r>
        <w:rPr>
          <w:rFonts w:ascii="Arial" w:cs="Arial" w:eastAsia="Arial" w:hAnsi="Arial"/>
          <w:sz w:val="18"/>
          <w:szCs w:val="18"/>
          <w:color w:val="212121"/>
        </w:rPr>
        <w:t xml:space="preserve"> as compared to $53 million for </w:t>
      </w:r>
      <w:r>
        <w:rPr>
          <w:rFonts w:ascii="Arial" w:cs="Arial" w:eastAsia="Arial" w:hAnsi="Arial"/>
          <w:sz w:val="18"/>
          <w:szCs w:val="18"/>
          <w:color w:val="000000"/>
        </w:rPr>
        <w:t>fourth</w:t>
      </w:r>
      <w:r>
        <w:rPr>
          <w:rFonts w:ascii="Arial" w:cs="Arial" w:eastAsia="Arial" w:hAnsi="Arial"/>
          <w:sz w:val="18"/>
          <w:szCs w:val="18"/>
          <w:color w:val="212121"/>
        </w:rPr>
        <w:t xml:space="preserve"> quarter 2019. These costs were primarily related to the implementation of initiatives under our business transformation projects including Project Own It. The following is a breakdown of those costs: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38"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8"/>
              <w:spacing w:after="0"/>
              <w:rPr>
                <w:sz w:val="20"/>
                <w:szCs w:val="20"/>
                <w:color w:val="auto"/>
              </w:rPr>
            </w:pPr>
            <w:r>
              <w:rPr>
                <w:rFonts w:ascii="Arial" w:cs="Arial" w:eastAsia="Arial" w:hAnsi="Arial"/>
                <w:sz w:val="14"/>
                <w:szCs w:val="14"/>
                <w:color w:val="auto"/>
              </w:rPr>
              <w:t>Three Months Ended</w:t>
            </w:r>
          </w:p>
        </w:tc>
        <w:tc>
          <w:tcPr>
            <w:tcW w:w="1160" w:type="dxa"/>
            <w:vAlign w:val="bottom"/>
          </w:tcPr>
          <w:p>
            <w:pPr>
              <w:spacing w:after="0"/>
              <w:rPr>
                <w:sz w:val="14"/>
                <w:szCs w:val="14"/>
                <w:color w:val="auto"/>
              </w:rPr>
            </w:pPr>
          </w:p>
        </w:tc>
      </w:tr>
      <w:tr>
        <w:trPr>
          <w:trHeight w:val="171"/>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color w:val="auto"/>
              </w:rPr>
              <w:t>December 31,</w:t>
            </w:r>
          </w:p>
        </w:tc>
        <w:tc>
          <w:tcPr>
            <w:tcW w:w="1160" w:type="dxa"/>
            <w:vAlign w:val="bottom"/>
            <w:tcBorders>
              <w:bottom w:val="single" w:sz="8" w:color="auto"/>
            </w:tcBorders>
          </w:tcPr>
          <w:p>
            <w:pPr>
              <w:spacing w:after="0"/>
              <w:rPr>
                <w:sz w:val="14"/>
                <w:szCs w:val="14"/>
                <w:color w:val="auto"/>
              </w:rPr>
            </w:pPr>
          </w:p>
        </w:tc>
      </w:tr>
      <w:tr>
        <w:trPr>
          <w:trHeight w:val="18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2019</w:t>
            </w:r>
          </w:p>
        </w:tc>
      </w:tr>
      <w:tr>
        <w:trPr>
          <w:trHeight w:val="183"/>
        </w:trPr>
        <w:tc>
          <w:tcPr>
            <w:tcW w:w="7420" w:type="dxa"/>
            <w:vAlign w:val="bottom"/>
            <w:gridSpan w:val="2"/>
          </w:tcPr>
          <w:p>
            <w:pPr>
              <w:ind w:left="20"/>
              <w:spacing w:after="0" w:line="182" w:lineRule="exact"/>
              <w:rPr>
                <w:sz w:val="20"/>
                <w:szCs w:val="20"/>
                <w:color w:val="auto"/>
              </w:rPr>
            </w:pPr>
            <w:r>
              <w:rPr>
                <w:rFonts w:ascii="Arial" w:cs="Arial" w:eastAsia="Arial" w:hAnsi="Arial"/>
                <w:sz w:val="14"/>
                <w:szCs w:val="14"/>
                <w:color w:val="auto"/>
              </w:rPr>
              <w:t xml:space="preserve">Restructuring Severance </w:t>
            </w:r>
            <w:r>
              <w:rPr>
                <w:rFonts w:ascii="Arial" w:cs="Arial" w:eastAsia="Arial" w:hAnsi="Arial"/>
                <w:sz w:val="18"/>
                <w:szCs w:val="18"/>
                <w:color w:val="auto"/>
                <w:vertAlign w:val="superscript"/>
              </w:rPr>
              <w:t>(1)</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89"/>
        </w:trPr>
        <w:tc>
          <w:tcPr>
            <w:tcW w:w="742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 xml:space="preserve">Asset Impairments </w:t>
            </w:r>
            <w:r>
              <w:rPr>
                <w:rFonts w:ascii="Arial" w:cs="Arial" w:eastAsia="Arial" w:hAnsi="Arial"/>
                <w:sz w:val="18"/>
                <w:szCs w:val="18"/>
                <w:color w:val="auto"/>
                <w:vertAlign w:val="superscript"/>
              </w:rPr>
              <w:t>(2)</w:t>
            </w:r>
          </w:p>
        </w:tc>
        <w:tc>
          <w:tcPr>
            <w:tcW w:w="440" w:type="dxa"/>
            <w:vAlign w:val="bottom"/>
            <w:shd w:val="clear" w:color="auto" w:fill="E5E5E5"/>
          </w:tcPr>
          <w:p>
            <w:pPr>
              <w:spacing w:after="0"/>
              <w:rPr>
                <w:sz w:val="16"/>
                <w:szCs w:val="16"/>
                <w:color w:val="auto"/>
              </w:rPr>
            </w:pPr>
          </w:p>
        </w:tc>
        <w:tc>
          <w:tcPr>
            <w:tcW w:w="15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74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Other contractual termination costs </w:t>
            </w:r>
            <w:r>
              <w:rPr>
                <w:rFonts w:ascii="Arial" w:cs="Arial" w:eastAsia="Arial" w:hAnsi="Arial"/>
                <w:sz w:val="18"/>
                <w:szCs w:val="18"/>
                <w:color w:val="auto"/>
                <w:vertAlign w:val="superscript"/>
              </w:rPr>
              <w:t>(3)</w:t>
            </w: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42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 xml:space="preserve">Net reversals </w:t>
            </w:r>
            <w:r>
              <w:rPr>
                <w:rFonts w:ascii="Arial" w:cs="Arial" w:eastAsia="Arial" w:hAnsi="Arial"/>
                <w:sz w:val="18"/>
                <w:szCs w:val="18"/>
                <w:color w:val="auto"/>
                <w:vertAlign w:val="superscript"/>
              </w:rPr>
              <w:t>(4)</w:t>
            </w:r>
          </w:p>
        </w:tc>
        <w:tc>
          <w:tcPr>
            <w:tcW w:w="440" w:type="dxa"/>
            <w:vAlign w:val="bottom"/>
            <w:tcBorders>
              <w:bottom w:val="single" w:sz="8" w:color="auto"/>
            </w:tcBorders>
            <w:shd w:val="clear" w:color="auto" w:fill="E5E5E5"/>
          </w:tcPr>
          <w:p>
            <w:pPr>
              <w:spacing w:after="0"/>
              <w:rPr>
                <w:sz w:val="16"/>
                <w:szCs w:val="16"/>
                <w:color w:val="auto"/>
              </w:rPr>
            </w:pP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6"/>
                <w:szCs w:val="16"/>
                <w:color w:val="auto"/>
              </w:rPr>
            </w:pPr>
          </w:p>
        </w:tc>
        <w:tc>
          <w:tcPr>
            <w:tcW w:w="660" w:type="dxa"/>
            <w:vAlign w:val="bottom"/>
            <w:tcBorders>
              <w:bottom w:val="single" w:sz="8" w:color="auto"/>
            </w:tcBorders>
            <w:shd w:val="clear" w:color="auto" w:fill="E5E5E5"/>
          </w:tcPr>
          <w:p>
            <w:pPr>
              <w:spacing w:after="0"/>
              <w:rPr>
                <w:sz w:val="16"/>
                <w:szCs w:val="16"/>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7420" w:type="dxa"/>
            <w:vAlign w:val="bottom"/>
            <w:gridSpan w:val="2"/>
          </w:tcPr>
          <w:p>
            <w:pPr>
              <w:ind w:left="20"/>
              <w:spacing w:after="0"/>
              <w:rPr>
                <w:sz w:val="20"/>
                <w:szCs w:val="20"/>
                <w:color w:val="auto"/>
              </w:rPr>
            </w:pPr>
            <w:r>
              <w:rPr>
                <w:rFonts w:ascii="Arial" w:cs="Arial" w:eastAsia="Arial" w:hAnsi="Arial"/>
                <w:sz w:val="14"/>
                <w:szCs w:val="14"/>
                <w:color w:val="auto"/>
              </w:rPr>
              <w:t>Restructuring and asset impairment costs</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742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 xml:space="preserve">Retention related severance/bonuses </w:t>
            </w:r>
            <w:r>
              <w:rPr>
                <w:rFonts w:ascii="Arial" w:cs="Arial" w:eastAsia="Arial" w:hAnsi="Arial"/>
                <w:sz w:val="18"/>
                <w:szCs w:val="18"/>
                <w:color w:val="auto"/>
                <w:vertAlign w:val="superscript"/>
              </w:rPr>
              <w:t>(5)</w:t>
            </w:r>
          </w:p>
        </w:tc>
        <w:tc>
          <w:tcPr>
            <w:tcW w:w="440" w:type="dxa"/>
            <w:vAlign w:val="bottom"/>
            <w:shd w:val="clear" w:color="auto" w:fill="E5E5E5"/>
          </w:tcPr>
          <w:p>
            <w:pPr>
              <w:spacing w:after="0"/>
              <w:rPr>
                <w:sz w:val="16"/>
                <w:szCs w:val="16"/>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74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Contractual severance costs </w:t>
            </w:r>
            <w:r>
              <w:rPr>
                <w:rFonts w:ascii="Arial" w:cs="Arial" w:eastAsia="Arial" w:hAnsi="Arial"/>
                <w:sz w:val="18"/>
                <w:szCs w:val="18"/>
                <w:color w:val="auto"/>
                <w:vertAlign w:val="superscript"/>
              </w:rPr>
              <w:t>(6)</w:t>
            </w: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742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 xml:space="preserve">Consulting and other costs </w:t>
            </w:r>
            <w:r>
              <w:rPr>
                <w:rFonts w:ascii="Arial" w:cs="Arial" w:eastAsia="Arial" w:hAnsi="Arial"/>
                <w:sz w:val="18"/>
                <w:szCs w:val="18"/>
                <w:color w:val="auto"/>
                <w:vertAlign w:val="superscript"/>
              </w:rPr>
              <w:t>(7)</w:t>
            </w:r>
          </w:p>
        </w:tc>
        <w:tc>
          <w:tcPr>
            <w:tcW w:w="440" w:type="dxa"/>
            <w:vAlign w:val="bottom"/>
            <w:shd w:val="clear" w:color="auto" w:fill="E5E5E5"/>
          </w:tcPr>
          <w:p>
            <w:pPr>
              <w:spacing w:after="0"/>
              <w:rPr>
                <w:sz w:val="16"/>
                <w:szCs w:val="16"/>
                <w:color w:val="auto"/>
              </w:rPr>
            </w:pPr>
          </w:p>
        </w:tc>
        <w:tc>
          <w:tcPr>
            <w:tcW w:w="15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1"/>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9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Reflects headcount reductions of approximately 750 and 550 employees worldwide in fourth quarter of 2020 and 2019, respectively.</w:t>
      </w:r>
    </w:p>
    <w:p>
      <w:pPr>
        <w:spacing w:after="0" w:line="15" w:lineRule="exact"/>
        <w:rPr>
          <w:rFonts w:ascii="Arial" w:cs="Arial" w:eastAsia="Arial" w:hAnsi="Arial"/>
          <w:sz w:val="9"/>
          <w:szCs w:val="9"/>
          <w:i w:val="1"/>
          <w:iCs w:val="1"/>
          <w:color w:val="auto"/>
        </w:rPr>
      </w:pPr>
    </w:p>
    <w:p>
      <w:pPr>
        <w:ind w:left="340" w:right="20" w:hanging="332"/>
        <w:spacing w:after="0" w:line="241" w:lineRule="auto"/>
        <w:tabs>
          <w:tab w:leader="none" w:pos="333"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Primarily related to the exit and abandonment of leased and owned facilities. The charge for the fourth quarter 2019 includes the accelerated write-off of $3 million for leased right-of-use assets and $10 million for owned assets upon exit from the facilities, net of any potential sublease income and other recoveries.</w:t>
      </w:r>
    </w:p>
    <w:p>
      <w:pPr>
        <w:ind w:left="320" w:hanging="312"/>
        <w:spacing w:after="0"/>
        <w:tabs>
          <w:tab w:leader="none" w:pos="32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Primarily includes additional costs incurred upon the exit from our facilities including decommissioning costs and associated contractual termination costs.</w:t>
      </w:r>
    </w:p>
    <w:p>
      <w:pPr>
        <w:spacing w:after="0" w:line="1" w:lineRule="exact"/>
        <w:rPr>
          <w:rFonts w:ascii="Arial" w:cs="Arial" w:eastAsia="Arial" w:hAnsi="Arial"/>
          <w:sz w:val="9"/>
          <w:szCs w:val="9"/>
          <w:i w:val="1"/>
          <w:iCs w:val="1"/>
          <w:color w:val="auto"/>
        </w:rPr>
      </w:pPr>
    </w:p>
    <w:p>
      <w:pPr>
        <w:ind w:left="320" w:hanging="312"/>
        <w:spacing w:after="0"/>
        <w:tabs>
          <w:tab w:leader="none" w:pos="32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Reflects net reversals for changes in estimated reserves from prior period initiatives.</w:t>
      </w:r>
    </w:p>
    <w:p>
      <w:pPr>
        <w:spacing w:after="0" w:line="1" w:lineRule="exact"/>
        <w:rPr>
          <w:rFonts w:ascii="Arial" w:cs="Arial" w:eastAsia="Arial" w:hAnsi="Arial"/>
          <w:sz w:val="9"/>
          <w:szCs w:val="9"/>
          <w:i w:val="1"/>
          <w:iCs w:val="1"/>
          <w:color w:val="auto"/>
        </w:rPr>
      </w:pPr>
    </w:p>
    <w:p>
      <w:pPr>
        <w:ind w:left="320" w:hanging="312"/>
        <w:spacing w:after="0"/>
        <w:tabs>
          <w:tab w:leader="none" w:pos="32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Includes retention related severance and bonuses for employees expected to continue working beyond their minimum notification period before termination.</w:t>
      </w:r>
    </w:p>
    <w:p>
      <w:pPr>
        <w:spacing w:after="0" w:line="1" w:lineRule="exact"/>
        <w:rPr>
          <w:rFonts w:ascii="Arial" w:cs="Arial" w:eastAsia="Arial" w:hAnsi="Arial"/>
          <w:sz w:val="9"/>
          <w:szCs w:val="9"/>
          <w:i w:val="1"/>
          <w:iCs w:val="1"/>
          <w:color w:val="auto"/>
        </w:rPr>
      </w:pPr>
    </w:p>
    <w:p>
      <w:pPr>
        <w:jc w:val="both"/>
        <w:ind w:left="340" w:right="20" w:hanging="332"/>
        <w:spacing w:after="0" w:line="241" w:lineRule="auto"/>
        <w:tabs>
          <w:tab w:leader="none" w:pos="333"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Amounts primarily reflect estimated severance and other related costs we were contractually required to pay in connection with employees transferred as part of the shared service arrangement entered into with HCL Technologies in the first quarter 2019. The credit in the fourth quarter 2020 reflects the refund of amounts paid to HCL due to changes in employees transferred.</w:t>
      </w:r>
    </w:p>
    <w:p>
      <w:pPr>
        <w:spacing w:after="0" w:line="1" w:lineRule="exact"/>
        <w:rPr>
          <w:rFonts w:ascii="Arial" w:cs="Arial" w:eastAsia="Arial" w:hAnsi="Arial"/>
          <w:sz w:val="9"/>
          <w:szCs w:val="9"/>
          <w:i w:val="1"/>
          <w:iCs w:val="1"/>
          <w:color w:val="auto"/>
        </w:rPr>
      </w:pPr>
    </w:p>
    <w:p>
      <w:pPr>
        <w:ind w:left="340" w:hanging="332"/>
        <w:spacing w:after="0" w:line="258" w:lineRule="auto"/>
        <w:tabs>
          <w:tab w:leader="none" w:pos="333"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Represents professional support services associated with our restructuring initiatives. The credit in the fourth quarter 2019 reflects adjustments of prior period estimated accruals for services.</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Fourth quarter 2020 actions impacted several functional areas, with approximately 55% focused on gross margin improvements and approximately 45% focused on SAG reductions.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Fourth quarter 2019 actions impacted several functional areas, with approximately 47% focused on gross margin improvements, approximately 47% focused on SAG reductions and the remainder focused on RD&amp;E optimization.</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restructuring and related costs reserve balance as of December 31, 2020 for all programs was $101 million, which is expected to be paid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Transaction and related costs, net primarily reflect costs from third party providers for professional services associated with certain strategic M&amp;A projects. There were no Transaction and related costs, net incurred during fourth quarter 2020 as compared to $4 million incurred during fourth quarter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Fourth quarter 2020 Amortization of intangible assets of $22 million increased by $12 million compared to fourth quarter 2019 primarily due to the accelerated write-off of certain XBS tradenames as part of our continued efforts to realign and consolidate this business unit as part of Project Own It, as well as the impact from 2020 partner dealer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Worldwide employment was approximately 24,700 as of December 31, 2020 and decreased by approximately 2,300 from December 31, 2019. The reduction resulted from net attrition (attrition net of gross hires), of which a large portion is not expected to be back filled, as well as the impact of organizational changes.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44"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DA2031"/>
        </w:rPr>
        <w:t>Other Expenses, Net</w:t>
      </w:r>
    </w:p>
    <w:p>
      <w:pPr>
        <w:spacing w:after="0" w:line="141" w:lineRule="exact"/>
        <w:rPr>
          <w:sz w:val="20"/>
          <w:szCs w:val="20"/>
          <w:color w:val="auto"/>
        </w:rPr>
      </w:pPr>
    </w:p>
    <w:p>
      <w:pPr>
        <w:ind w:left="88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December 31,</w:t>
            </w:r>
          </w:p>
        </w:tc>
        <w:tc>
          <w:tcPr>
            <w:tcW w:w="1120" w:type="dxa"/>
            <w:vAlign w:val="bottom"/>
            <w:tcBorders>
              <w:bottom w:val="single" w:sz="8" w:color="auto"/>
            </w:tcBorders>
          </w:tcPr>
          <w:p>
            <w:pPr>
              <w:spacing w:after="0"/>
              <w:rPr>
                <w:sz w:val="14"/>
                <w:szCs w:val="14"/>
                <w:color w:val="auto"/>
              </w:rPr>
            </w:pPr>
          </w:p>
        </w:tc>
      </w:tr>
      <w:tr>
        <w:trPr>
          <w:trHeight w:val="18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183"/>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Non-financing interest expense</w:t>
            </w: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Non-service retirement-related costs</w:t>
            </w:r>
          </w:p>
        </w:tc>
        <w:tc>
          <w:tcPr>
            <w:tcW w:w="38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Gains on sales of businesses and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Currency (gains) losses, net</w:t>
            </w:r>
          </w:p>
        </w:tc>
        <w:tc>
          <w:tcPr>
            <w:tcW w:w="38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Loss on early extinguishment of debt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Contract termination costs - IT services</w:t>
            </w:r>
          </w:p>
        </w:tc>
        <w:tc>
          <w:tcPr>
            <w:tcW w:w="38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Tax Indemnification from Conduent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All other expenses, net</w:t>
            </w:r>
          </w:p>
        </w:tc>
        <w:tc>
          <w:tcPr>
            <w:tcW w:w="380" w:type="dxa"/>
            <w:vAlign w:val="bottom"/>
            <w:tcBorders>
              <w:bottom w:val="single" w:sz="8" w:color="auto"/>
            </w:tcBorders>
            <w:shd w:val="clear" w:color="auto" w:fill="E5E5E5"/>
          </w:tcPr>
          <w:p>
            <w:pPr>
              <w:spacing w:after="0"/>
              <w:rPr>
                <w:sz w:val="16"/>
                <w:szCs w:val="16"/>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6"/>
                <w:szCs w:val="16"/>
                <w:color w:val="auto"/>
              </w:rPr>
            </w:pPr>
          </w:p>
        </w:tc>
        <w:tc>
          <w:tcPr>
            <w:tcW w:w="520" w:type="dxa"/>
            <w:vAlign w:val="bottom"/>
            <w:tcBorders>
              <w:bottom w:val="single" w:sz="8" w:color="auto"/>
            </w:tcBorders>
            <w:shd w:val="clear" w:color="auto" w:fill="E5E5E5"/>
          </w:tcPr>
          <w:p>
            <w:pPr>
              <w:spacing w:after="0"/>
              <w:rPr>
                <w:sz w:val="16"/>
                <w:szCs w:val="16"/>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78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expenses, net</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1"/>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Fourth quarter 2020 non-financing interest expense of $25 million was $1 million higher than fourth quarter 2019. When combined with financing interest expense (Cost of financing), total interest expense was flat as compared to fourth quarter 2019 primarily reflecting a higher average debt balance partially offset by lower interest rates.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2020 interest income was $5 million lower than fourth quarter 2019, primarily due to lower interest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Fourth quarter 2020 non-service retirement-related costs were $6 million lower than fourth quarter 2019, primarily driven by lower losses from pension settlements in the U.S. and lower discount rates.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early extinguishment of debt</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During fourth quarter 2020 we recorded a $26 million loss associated with the early extinguishment of $1,062 million of the Senior Notes due May 2021. The net loss included the payment of a redemption premium of $24 million as well as the write-off of unamortized debt issuance costs and other debt carrying value adjustments. See </w:t>
      </w:r>
      <w:r>
        <w:rPr>
          <w:rFonts w:ascii="Arial" w:cs="Arial" w:eastAsia="Arial" w:hAnsi="Arial"/>
          <w:sz w:val="18"/>
          <w:szCs w:val="18"/>
          <w:b w:val="1"/>
          <w:bCs w:val="1"/>
          <w:color w:val="DA2031"/>
        </w:rPr>
        <w:t>Debt Activity</w:t>
      </w:r>
      <w:r>
        <w:rPr>
          <w:rFonts w:ascii="Arial" w:cs="Arial" w:eastAsia="Arial" w:hAnsi="Arial"/>
          <w:sz w:val="18"/>
          <w:szCs w:val="18"/>
          <w:color w:val="auto"/>
        </w:rPr>
        <w:t xml:space="preserve"> section for additional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termination costs - IT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Contract termination costs - IT services was a $4 million credit in fourth quarter 2019 reflecting an adjustment to a</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$43 million penalty recorded in fourth quarter 2018, associated with the termination of an IT services arrangement. There were no contract termination charges during fourth quarter 2020.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indemnification from Conduent</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Represents indemnification payment expected to be received from Conduent as part of the settlement of a pre-separation unrecognized tax position related to Conduent when part of our consolidated return. The equal and offsetting charge to this receipt is recorded in Income Tax expense, as part of our obligation to pay the taxing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Income Taxes</w:t>
      </w:r>
    </w:p>
    <w:p>
      <w:pPr>
        <w:spacing w:after="0" w:line="2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Fourth quarter 2020 effective tax rate was 27.2%.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fourth quarter 2020 effective tax rate was 29.8%. This rate was higher than the U.S. federal statutory tax rate of 21% primarily due to state taxes and the geographical mix of earnings which includes non-deductible items on lower pre-tax income.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9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Fourth quarter 2019 effective tax rate was 21.7%.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fourth quarter 2019 effective tax rate was 25.0%. These rates were higher than the U.S. federal statutory tax rate of 21% primarily due to state taxes and the geographical mix of earnings.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73" w:right="339" w:bottom="1440" w:gutter="0" w:footer="0" w:header="0"/>
        </w:sectPr>
      </w:pPr>
    </w:p>
    <w:bookmarkStart w:id="23" w:name="page24"/>
    <w:bookmarkEnd w:id="23"/>
    <w:p>
      <w:pPr>
        <w:ind w:right="20"/>
        <w:spacing w:after="0" w:line="261"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6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Refer to the Effective Tax Rate reconciliation table in the "Non-GAAP Financial Measures" section.</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Net Income from Continuing Operations</w:t>
      </w:r>
    </w:p>
    <w:p>
      <w:pPr>
        <w:spacing w:after="0" w:line="3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Fourth quarter 2020 net income from continuing operations attributable to Xerox Holdings was $77 million, or $0.36 per diluted share.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net income from continuing operations attributable to Xerox Holdings was $122 million, or $0.58 per diluted share. Fourth quarter 2020 adjustments to net income from continuing operations included Restructuring and related costs, Amortization of intangible assets and Non-service retirement-related costs as well as Other discrete, unusual or infrequent items, which included a loss on the early extinguishment of debt (</w:t>
      </w:r>
      <w:r>
        <w:rPr>
          <w:rFonts w:ascii="Arial" w:cs="Arial" w:eastAsia="Arial" w:hAnsi="Arial"/>
          <w:sz w:val="18"/>
          <w:szCs w:val="18"/>
          <w:b w:val="1"/>
          <w:bCs w:val="1"/>
          <w:color w:val="DA2031"/>
        </w:rPr>
        <w:t>see Non-GAAP Financial Measures</w:t>
      </w:r>
      <w:r>
        <w:rPr>
          <w:rFonts w:ascii="Arial" w:cs="Arial" w:eastAsia="Arial" w:hAnsi="Arial"/>
          <w:sz w:val="18"/>
          <w:szCs w:val="18"/>
          <w:color w:val="auto"/>
        </w:rPr>
        <w:t>).</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Fourth quarter 2019 net income from continuing operations attributable to Xerox Holdings was $266 million, or $1.17 per diluted share.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net income from continuing operations attributable to Xerox Holdings was $300 million, or $1.33 per diluted share. Fourth quarter 2019 adjustments to net income from continuing operations included Restructuring and related costs, Amortization of intangible assets, Transaction and related costs, net and Non-service retirement-related costs as well as Other discrete, unusual or infrequent items (</w:t>
      </w:r>
      <w:r>
        <w:rPr>
          <w:rFonts w:ascii="Arial" w:cs="Arial" w:eastAsia="Arial" w:hAnsi="Arial"/>
          <w:sz w:val="18"/>
          <w:szCs w:val="18"/>
          <w:b w:val="1"/>
          <w:bCs w:val="1"/>
          <w:color w:val="DA2031"/>
        </w:rPr>
        <w:t>see Non-GAAP Financial Measures</w:t>
      </w:r>
      <w:r>
        <w:rPr>
          <w:rFonts w:ascii="Arial" w:cs="Arial" w:eastAsia="Arial" w:hAnsi="Arial"/>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09" w:lineRule="exact"/>
        <w:rPr>
          <w:sz w:val="20"/>
          <w:szCs w:val="20"/>
          <w:color w:val="auto"/>
        </w:rPr>
      </w:pPr>
    </w:p>
    <w:p>
      <w:pPr>
        <w:ind w:left="340" w:right="20" w:hanging="332"/>
        <w:spacing w:after="0"/>
        <w:tabs>
          <w:tab w:leader="none" w:pos="397" w:val="left"/>
        </w:tabs>
        <w:numPr>
          <w:ilvl w:val="0"/>
          <w:numId w:val="2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Refer to the "Non-GAAP Financial Measures" section for the calculation of adjusted EPS. The calculations of basic and diluted earnings per share are included in Appendix I.</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Discontinued Operations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2019, Xerox Holdings completed a series of transactions to restructure its relationship with FUJIFILM Holdings Corporation (“FH”), including the sale of its indirect 25% equity interest in Fuji Xerox Co., Ltd. ("FX") for approximately $2.2 billion as well as the sale of its indirect 51% partnership interest in Xerox International Partners ("XIP") for approximately $23 million (collectively the “Sales”). As a result of the Sales and the related strategic shift in our business, the historical financial results of our equity method investment in FX and our XIP business (which was consolidated) for the periods prior to the Sales are reflected as a discontinued operation and as such, their impact is excluded from continuing operations for all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our Discontinued operations is as follows: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Three Months Ended December 31,</w:t>
            </w:r>
          </w:p>
        </w:tc>
      </w:tr>
      <w:tr>
        <w:trPr>
          <w:trHeight w:val="18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2019</w:t>
            </w:r>
          </w:p>
        </w:tc>
      </w:tr>
      <w:tr>
        <w:trPr>
          <w:trHeight w:val="203"/>
        </w:trPr>
        <w:tc>
          <w:tcPr>
            <w:tcW w:w="73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Revenue</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5E5E5"/>
          </w:tcPr>
          <w:p>
            <w:pPr>
              <w:ind w:left="1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2"/>
        </w:trPr>
        <w:tc>
          <w:tcPr>
            <w:tcW w:w="7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89"/>
        </w:trPr>
        <w:tc>
          <w:tcPr>
            <w:tcW w:w="738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Income from operations</w:t>
            </w:r>
            <w:r>
              <w:rPr>
                <w:rFonts w:ascii="Arial" w:cs="Arial" w:eastAsia="Arial" w:hAnsi="Arial"/>
                <w:sz w:val="18"/>
                <w:szCs w:val="18"/>
                <w:color w:val="auto"/>
                <w:vertAlign w:val="superscript"/>
              </w:rPr>
              <w:t>(1)</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5E5E5"/>
          </w:tcPr>
          <w:p>
            <w:pPr>
              <w:ind w:left="1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7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Gain on disposal</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w:t>
            </w:r>
          </w:p>
        </w:tc>
      </w:tr>
      <w:tr>
        <w:trPr>
          <w:trHeight w:val="183"/>
        </w:trPr>
        <w:tc>
          <w:tcPr>
            <w:tcW w:w="7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before income taxes</w:t>
            </w:r>
          </w:p>
        </w:tc>
        <w:tc>
          <w:tcPr>
            <w:tcW w:w="440" w:type="dxa"/>
            <w:vAlign w:val="bottom"/>
            <w:shd w:val="clear" w:color="auto" w:fill="E5E5E5"/>
          </w:tcPr>
          <w:p>
            <w:pPr>
              <w:spacing w:after="0"/>
              <w:rPr>
                <w:sz w:val="15"/>
                <w:szCs w:val="15"/>
                <w:color w:val="auto"/>
              </w:rPr>
            </w:pPr>
          </w:p>
        </w:tc>
        <w:tc>
          <w:tcPr>
            <w:tcW w:w="1520" w:type="dxa"/>
            <w:vAlign w:val="bottom"/>
            <w:gridSpan w:val="2"/>
            <w:shd w:val="clear" w:color="auto" w:fill="E5E5E5"/>
          </w:tcPr>
          <w:p>
            <w:pPr>
              <w:ind w:left="1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646</w:t>
            </w:r>
          </w:p>
        </w:tc>
      </w:tr>
      <w:tr>
        <w:trPr>
          <w:trHeight w:val="189"/>
        </w:trPr>
        <w:tc>
          <w:tcPr>
            <w:tcW w:w="7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Income tax expense</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183"/>
        </w:trPr>
        <w:tc>
          <w:tcPr>
            <w:tcW w:w="7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from discontinued operations, net of tax</w:t>
            </w:r>
          </w:p>
        </w:tc>
        <w:tc>
          <w:tcPr>
            <w:tcW w:w="440" w:type="dxa"/>
            <w:vAlign w:val="bottom"/>
            <w:shd w:val="clear" w:color="auto" w:fill="E5E5E5"/>
          </w:tcPr>
          <w:p>
            <w:pPr>
              <w:spacing w:after="0"/>
              <w:rPr>
                <w:sz w:val="15"/>
                <w:szCs w:val="15"/>
                <w:color w:val="auto"/>
              </w:rPr>
            </w:pPr>
          </w:p>
        </w:tc>
        <w:tc>
          <w:tcPr>
            <w:tcW w:w="1520" w:type="dxa"/>
            <w:vAlign w:val="bottom"/>
            <w:gridSpan w:val="2"/>
            <w:shd w:val="clear" w:color="auto" w:fill="E5E5E5"/>
          </w:tcPr>
          <w:p>
            <w:pPr>
              <w:ind w:left="1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5"/>
                <w:szCs w:val="15"/>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553</w:t>
            </w:r>
          </w:p>
        </w:tc>
      </w:tr>
      <w:tr>
        <w:trPr>
          <w:trHeight w:val="189"/>
        </w:trPr>
        <w:tc>
          <w:tcPr>
            <w:tcW w:w="7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Less: Income from discontinued operations attributable to noncontrolling interests, net of tax</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73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Income from discontinued operations, attributable to Xerox Holdings, net of tax</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5E5E5"/>
          </w:tcPr>
          <w:p>
            <w:pPr>
              <w:ind w:left="1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552</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w:t>
      </w:r>
    </w:p>
    <w:p>
      <w:pPr>
        <w:spacing w:after="0" w:line="10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Includes equity income from FX of $15 million for the three months ended December 31,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38" w:right="33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DA2031"/>
        </w:rPr>
        <w:t>Capital Resources and Liquidity</w:t>
      </w:r>
    </w:p>
    <w:p>
      <w:pPr>
        <w:spacing w:after="0" w:line="20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fourth quarter financial results were significantly impacted by COVID-19 related business closures and office building capacity restrictions that slowed our customers' purchasing decisions and caused lower printing volumes on our devices. However, we believe we have sufficient liquidity to manage the business through the economic disruption caused by this pandemic:</w:t>
      </w:r>
    </w:p>
    <w:p>
      <w:pPr>
        <w:spacing w:after="0" w:line="94" w:lineRule="exact"/>
        <w:rPr>
          <w:sz w:val="20"/>
          <w:szCs w:val="20"/>
          <w:color w:val="auto"/>
        </w:rPr>
      </w:pPr>
    </w:p>
    <w:p>
      <w:pPr>
        <w:ind w:left="340" w:hanging="332"/>
        <w:spacing w:after="0" w:line="261"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our business is contractually based and our bundled services contracts, on average, include not only a variable component linked to print volumes, but also a fixed minimum, which provides us with a continuing stream of operating cash flow.</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As of December 31, 2020, total cash, cash equivalents and restricted cash were $2,691 million and, apart from restricted cash of $66 million, was readily accessible for use. In fourth quarter 2020, we completed the early redemption of our $1.1 billion Senior Notes due May 2021 (see </w:t>
      </w:r>
      <w:r>
        <w:rPr>
          <w:rFonts w:ascii="Arial" w:cs="Arial" w:eastAsia="Arial" w:hAnsi="Arial"/>
          <w:sz w:val="18"/>
          <w:szCs w:val="18"/>
          <w:b w:val="1"/>
          <w:bCs w:val="1"/>
          <w:color w:val="DA2031"/>
        </w:rPr>
        <w:t>Debt Activity</w:t>
      </w:r>
      <w:r>
        <w:rPr>
          <w:rFonts w:ascii="Arial" w:cs="Arial" w:eastAsia="Arial" w:hAnsi="Arial"/>
          <w:sz w:val="18"/>
          <w:szCs w:val="18"/>
          <w:color w:val="auto"/>
        </w:rPr>
        <w:t xml:space="preserve"> section for additional information).</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access to an undrawn $1.8 billion Credit Facility that matures in August 2022. In connection with the issuance of our $1.5 billion of new Senior Notes in August 2020, we amended the Credit Facility debt covenants to consider our level of cash on hand as part of our principal debt balance.</w:t>
      </w:r>
    </w:p>
    <w:p>
      <w:pPr>
        <w:spacing w:after="0" w:line="93"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utilized a combination of capital markets financing and securitization to refinance all 2020 and 2021 debt maturities, significantly reducing our near-term debt commitments and improving our long-term liquidity.</w:t>
      </w:r>
    </w:p>
    <w:p>
      <w:pPr>
        <w:spacing w:after="0" w:line="89"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focused our efforts on incremental actions to prioritize and preserve cash as we manage through the pandemic. These actions include the use of available temporary government assistance measures and furlough programs and the reduction of discretionary spend such as near term targeted marketing programs, the use of contract employees, and the temporary suspension of 401(k) matching contributions, as well as lower compensation incentives consistent with lower sales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18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DBDBDB"/>
          </w:tcPr>
          <w:p>
            <w:pPr>
              <w:spacing w:after="0"/>
              <w:rPr>
                <w:sz w:val="15"/>
                <w:szCs w:val="15"/>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(163)</w:t>
            </w:r>
          </w:p>
        </w:tc>
      </w:tr>
      <w:tr>
        <w:trPr>
          <w:trHeight w:val="189"/>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top w:val="single" w:sz="8" w:color="auto"/>
              <w:bottom w:val="single" w:sz="8" w:color="auto"/>
            </w:tcBorders>
            <w:shd w:val="clear" w:color="auto" w:fill="DBDBDB"/>
          </w:tcPr>
          <w:p>
            <w:pPr>
              <w:spacing w:after="0"/>
              <w:rPr>
                <w:sz w:val="15"/>
                <w:szCs w:val="15"/>
                <w:color w:val="auto"/>
              </w:rPr>
            </w:pP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DBDBDB"/>
            </w:tcBorders>
            <w:shd w:val="clear" w:color="auto" w:fill="DBDBDB"/>
          </w:tcPr>
          <w:p>
            <w:pPr>
              <w:spacing w:after="0"/>
              <w:rPr>
                <w:sz w:val="15"/>
                <w:szCs w:val="15"/>
                <w:color w:val="auto"/>
              </w:rPr>
            </w:pPr>
          </w:p>
        </w:tc>
        <w:tc>
          <w:tcPr>
            <w:tcW w:w="480" w:type="dxa"/>
            <w:vAlign w:val="bottom"/>
            <w:tcBorders>
              <w:top w:val="single" w:sz="8" w:color="auto"/>
              <w:bottom w:val="single" w:sz="8" w:color="auto"/>
            </w:tcBorders>
            <w:shd w:val="clear" w:color="auto" w:fill="DBDBDB"/>
          </w:tcPr>
          <w:p>
            <w:pPr>
              <w:spacing w:after="0"/>
              <w:rPr>
                <w:sz w:val="15"/>
                <w:szCs w:val="15"/>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top w:val="single" w:sz="8" w:color="DBDBDB"/>
            </w:tcBorders>
            <w:shd w:val="clear" w:color="auto" w:fill="DBDBDB"/>
          </w:tcPr>
          <w:p>
            <w:pPr>
              <w:spacing w:after="0"/>
              <w:rPr>
                <w:sz w:val="15"/>
                <w:szCs w:val="15"/>
                <w:color w:val="auto"/>
              </w:rPr>
            </w:pPr>
          </w:p>
        </w:tc>
        <w:tc>
          <w:tcPr>
            <w:tcW w:w="240" w:type="dxa"/>
            <w:vAlign w:val="bottom"/>
            <w:tcBorders>
              <w:top w:val="single" w:sz="8" w:color="auto"/>
              <w:bottom w:val="single" w:sz="8" w:color="auto"/>
            </w:tcBorders>
            <w:shd w:val="clear" w:color="auto" w:fill="DBDBDB"/>
          </w:tcPr>
          <w:p>
            <w:pPr>
              <w:spacing w:after="0"/>
              <w:rPr>
                <w:sz w:val="15"/>
                <w:szCs w:val="15"/>
                <w:color w:val="auto"/>
              </w:rPr>
            </w:pP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(203)</w:t>
            </w:r>
          </w:p>
        </w:tc>
      </w:tr>
      <w:tr>
        <w:trPr>
          <w:trHeight w:val="19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Net cash used in investing activities of continuing operations</w:t>
            </w:r>
          </w:p>
        </w:tc>
        <w:tc>
          <w:tcPr>
            <w:tcW w:w="34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(2,233)</w:t>
            </w:r>
          </w:p>
        </w:tc>
      </w:tr>
      <w:tr>
        <w:trPr>
          <w:trHeight w:val="18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340" w:type="dxa"/>
            <w:vAlign w:val="bottom"/>
            <w:tcBorders>
              <w:top w:val="single" w:sz="8" w:color="auto"/>
              <w:bottom w:val="single" w:sz="8" w:color="auto"/>
            </w:tcBorders>
            <w:shd w:val="clear" w:color="auto" w:fill="DBDBDB"/>
          </w:tcPr>
          <w:p>
            <w:pPr>
              <w:spacing w:after="0"/>
              <w:rPr>
                <w:sz w:val="15"/>
                <w:szCs w:val="15"/>
                <w:color w:val="auto"/>
              </w:rPr>
            </w:pP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DBDBDB"/>
            </w:tcBorders>
            <w:shd w:val="clear" w:color="auto" w:fill="DBDBDB"/>
          </w:tcPr>
          <w:p>
            <w:pPr>
              <w:spacing w:after="0"/>
              <w:rPr>
                <w:sz w:val="15"/>
                <w:szCs w:val="15"/>
                <w:color w:val="auto"/>
              </w:rPr>
            </w:pPr>
          </w:p>
        </w:tc>
        <w:tc>
          <w:tcPr>
            <w:tcW w:w="480" w:type="dxa"/>
            <w:vAlign w:val="bottom"/>
            <w:tcBorders>
              <w:top w:val="single" w:sz="8" w:color="auto"/>
              <w:bottom w:val="single" w:sz="8" w:color="auto"/>
            </w:tcBorders>
            <w:shd w:val="clear" w:color="auto" w:fill="DBDBDB"/>
          </w:tcPr>
          <w:p>
            <w:pPr>
              <w:spacing w:after="0"/>
              <w:rPr>
                <w:sz w:val="15"/>
                <w:szCs w:val="15"/>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Borders>
              <w:top w:val="single" w:sz="8" w:color="DBDBDB"/>
            </w:tcBorders>
            <w:shd w:val="clear" w:color="auto" w:fill="DBDBDB"/>
          </w:tcPr>
          <w:p>
            <w:pPr>
              <w:spacing w:after="0"/>
              <w:rPr>
                <w:sz w:val="15"/>
                <w:szCs w:val="15"/>
                <w:color w:val="auto"/>
              </w:rPr>
            </w:pPr>
          </w:p>
        </w:tc>
        <w:tc>
          <w:tcPr>
            <w:tcW w:w="240" w:type="dxa"/>
            <w:vAlign w:val="bottom"/>
            <w:tcBorders>
              <w:top w:val="single" w:sz="8" w:color="auto"/>
              <w:bottom w:val="single" w:sz="8" w:color="auto"/>
            </w:tcBorders>
            <w:shd w:val="clear" w:color="auto" w:fill="DBDBDB"/>
          </w:tcPr>
          <w:p>
            <w:pPr>
              <w:spacing w:after="0"/>
              <w:rPr>
                <w:sz w:val="15"/>
                <w:szCs w:val="15"/>
                <w:color w:val="auto"/>
              </w:rPr>
            </w:pP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(2,239)</w:t>
            </w:r>
          </w:p>
        </w:tc>
      </w:tr>
      <w:tr>
        <w:trPr>
          <w:trHeight w:val="19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r>
      <w:tr>
        <w:trPr>
          <w:trHeight w:val="216"/>
        </w:trPr>
        <w:tc>
          <w:tcPr>
            <w:tcW w:w="650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8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(Decrease) increase in cash, cash equivalents and restricted cash</w:t>
            </w:r>
          </w:p>
        </w:tc>
        <w:tc>
          <w:tcPr>
            <w:tcW w:w="3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(2,422)</w:t>
            </w:r>
          </w:p>
        </w:tc>
      </w:tr>
      <w:tr>
        <w:trPr>
          <w:trHeight w:val="183"/>
        </w:trPr>
        <w:tc>
          <w:tcPr>
            <w:tcW w:w="660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w:t>
            </w:r>
          </w:p>
        </w:tc>
        <w:tc>
          <w:tcPr>
            <w:tcW w:w="120" w:type="dxa"/>
            <w:vAlign w:val="bottom"/>
            <w:tcBorders>
              <w:bottom w:val="single" w:sz="8" w:color="E5E5E5"/>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r>
      <w:tr>
        <w:trPr>
          <w:trHeight w:val="208"/>
        </w:trPr>
        <w:tc>
          <w:tcPr>
            <w:tcW w:w="66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2,691</w:t>
            </w:r>
          </w:p>
        </w:tc>
        <w:tc>
          <w:tcPr>
            <w:tcW w:w="12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Borders>
              <w:bottom w:val="single" w:sz="8" w:color="E5E5E5"/>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65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24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Net cash provided by operating activities of continuing operations was $235 million in fourth quarter 2020. The $163 million decrease in operating cash from fourth quarter 2019 was primarily due to the following:</w:t>
      </w:r>
    </w:p>
    <w:p>
      <w:pPr>
        <w:spacing w:after="0" w:line="33" w:lineRule="exact"/>
        <w:rPr>
          <w:sz w:val="20"/>
          <w:szCs w:val="20"/>
          <w:color w:val="auto"/>
        </w:rPr>
      </w:pPr>
    </w:p>
    <w:p>
      <w:pPr>
        <w:ind w:left="660" w:hanging="328"/>
        <w:spacing w:after="0" w:line="218"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$242 million decrease in pre-tax income before depreciation and amortization, restructuring and related costs, defined benefit pension costs and loss on early extinguishment of debt.</w:t>
      </w:r>
    </w:p>
    <w:p>
      <w:pPr>
        <w:ind w:left="660" w:right="2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$45 million decrease from accrued compensation primarily related to lower compensation costs as well as the payment of the 2020 management bonus in the fourth quarter as opposed to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00" w:right="339" w:bottom="1440" w:gutter="0" w:footer="0" w:header="0"/>
        </w:sectPr>
      </w:pPr>
    </w:p>
    <w:bookmarkStart w:id="25" w:name="page26"/>
    <w:bookmarkEnd w:id="25"/>
    <w:p>
      <w:pPr>
        <w:ind w:left="660" w:hanging="328"/>
        <w:spacing w:after="0" w:line="218"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$31 million decrease from lower accounts payable primarily due to decreased spending and the year-over-year timing of supplier and vendor payments.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$87 million increase from accounts receivable primarily due to improved timing of collections and lower revenues.</w:t>
      </w:r>
    </w:p>
    <w:p>
      <w:pPr>
        <w:spacing w:after="0" w:line="9" w:lineRule="exact"/>
        <w:rPr>
          <w:rFonts w:ascii="Arial" w:cs="Arial" w:eastAsia="Arial" w:hAnsi="Arial"/>
          <w:sz w:val="18"/>
          <w:szCs w:val="18"/>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$62 million increase from lower levels of inventory reflecting a significant reduction in surplus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Net cash used in investing activities of continuing operations was $23 million in fourth quarter 2020. The $6 million change from fourth quarter 2019 was primarily due to an acquisition of $9 million compared to no acquisitions in the prior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$840 million in fourth quarter 2020. The $11 million decrease in the use of cash from fourth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was primarily due to the following:</w:t>
      </w: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$82 million decrease due to lower share repurchases.</w:t>
      </w:r>
    </w:p>
    <w:p>
      <w:pPr>
        <w:spacing w:after="0" w:line="26" w:lineRule="exact"/>
        <w:rPr>
          <w:rFonts w:ascii="Arial" w:cs="Arial" w:eastAsia="Arial" w:hAnsi="Arial"/>
          <w:sz w:val="22"/>
          <w:szCs w:val="22"/>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$85 million increase from net debt activity. 2020 reflects payments of $1,086 million on Senior Notes, which includes an early redemption premium of $24 million, $51 million on a secured financing arrangement and $3 million of deferred debt issuance costs offset by proceeds of $500 million on a second secured financing arrangement. 2019 reflects payments of $554 million on Senior Notes.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Cash, Cash Equivalents and Restricted Cash</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183"/>
        </w:trPr>
        <w:tc>
          <w:tcPr>
            <w:tcW w:w="75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2,740</w:t>
            </w:r>
          </w:p>
        </w:tc>
      </w:tr>
      <w:tr>
        <w:trPr>
          <w:trHeight w:val="189"/>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752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Litigation deposits in Brazil</w:t>
            </w:r>
          </w:p>
        </w:tc>
        <w:tc>
          <w:tcPr>
            <w:tcW w:w="180" w:type="dxa"/>
            <w:vAlign w:val="bottom"/>
            <w:shd w:val="clear" w:color="auto" w:fill="E5E5E5"/>
          </w:tcPr>
          <w:p>
            <w:pPr>
              <w:spacing w:after="0"/>
              <w:rPr>
                <w:sz w:val="16"/>
                <w:szCs w:val="16"/>
                <w:color w:val="auto"/>
              </w:rPr>
            </w:pP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55</w:t>
            </w:r>
          </w:p>
        </w:tc>
      </w:tr>
      <w:tr>
        <w:trPr>
          <w:trHeight w:val="189"/>
        </w:trPr>
        <w:tc>
          <w:tcPr>
            <w:tcW w:w="7520" w:type="dxa"/>
            <w:vAlign w:val="bottom"/>
            <w:gridSpan w:val="2"/>
          </w:tcPr>
          <w:p>
            <w:pPr>
              <w:ind w:left="180"/>
              <w:spacing w:after="0" w:line="189" w:lineRule="exact"/>
              <w:rPr>
                <w:sz w:val="20"/>
                <w:szCs w:val="20"/>
                <w:color w:val="auto"/>
              </w:rPr>
            </w:pPr>
            <w:r>
              <w:rPr>
                <w:rFonts w:ascii="Arial" w:cs="Arial" w:eastAsia="Arial" w:hAnsi="Arial"/>
                <w:sz w:val="14"/>
                <w:szCs w:val="14"/>
                <w:color w:val="auto"/>
              </w:rPr>
              <w:t xml:space="preserve">Escrow and cash collections related to secured finance receivables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52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Other restricted cash</w:t>
            </w:r>
          </w:p>
        </w:tc>
        <w:tc>
          <w:tcPr>
            <w:tcW w:w="180" w:type="dxa"/>
            <w:vAlign w:val="bottom"/>
            <w:tcBorders>
              <w:bottom w:val="single" w:sz="8" w:color="auto"/>
            </w:tcBorders>
            <w:shd w:val="clear" w:color="auto" w:fill="E5E5E5"/>
          </w:tcPr>
          <w:p>
            <w:pPr>
              <w:spacing w:after="0"/>
              <w:rPr>
                <w:sz w:val="16"/>
                <w:szCs w:val="16"/>
                <w:color w:val="auto"/>
              </w:rPr>
            </w:pP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7520" w:type="dxa"/>
            <w:vAlign w:val="bottom"/>
            <w:tcBorders>
              <w:bottom w:val="single" w:sz="8" w:color="E5E5E5"/>
            </w:tcBorders>
            <w:gridSpan w:val="2"/>
          </w:tcPr>
          <w:p>
            <w:pPr>
              <w:ind w:left="180"/>
              <w:spacing w:after="0"/>
              <w:rPr>
                <w:sz w:val="20"/>
                <w:szCs w:val="20"/>
                <w:color w:val="auto"/>
              </w:rPr>
            </w:pPr>
            <w:r>
              <w:rPr>
                <w:rFonts w:ascii="Arial" w:cs="Arial" w:eastAsia="Arial" w:hAnsi="Arial"/>
                <w:sz w:val="14"/>
                <w:szCs w:val="14"/>
                <w:color w:val="auto"/>
              </w:rPr>
              <w:t>Total Restricted cash</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r>
      <w:tr>
        <w:trPr>
          <w:trHeight w:val="208"/>
        </w:trPr>
        <w:tc>
          <w:tcPr>
            <w:tcW w:w="75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2,691</w:t>
            </w:r>
          </w:p>
        </w:tc>
        <w:tc>
          <w:tcPr>
            <w:tcW w:w="10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2,795</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76"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collections on finance receivables pledged for secured borrowings that will be remitted to lenders in following month.</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183"/>
        </w:trPr>
        <w:tc>
          <w:tcPr>
            <w:tcW w:w="75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5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r>
      <w:tr>
        <w:trPr>
          <w:trHeight w:val="208"/>
        </w:trPr>
        <w:tc>
          <w:tcPr>
            <w:tcW w:w="75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55</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Operating Leases</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operating leases for real estate and vehicles in our domestic and international operations and for certain equipment in our domestic operations. Additionally, we have identified embedded operating leases within certain supply chain contracts for warehouses, primarily within our domestic operations. Our leases have remaining terms of up to twelve years and a variety of renewal and/or termination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57" w:right="339" w:bottom="1440" w:gutter="0" w:footer="0" w:header="0"/>
        </w:sectPr>
      </w:pPr>
    </w:p>
    <w:bookmarkStart w:id="26" w:name="page27"/>
    <w:bookmarkEnd w:id="26"/>
    <w:p>
      <w:pPr>
        <w:spacing w:after="0" w:line="261" w:lineRule="auto"/>
        <w:rPr>
          <w:sz w:val="20"/>
          <w:szCs w:val="20"/>
          <w:color w:val="auto"/>
        </w:rPr>
      </w:pPr>
      <w:r>
        <w:rPr>
          <w:rFonts w:ascii="Arial" w:cs="Arial" w:eastAsia="Arial" w:hAnsi="Arial"/>
          <w:sz w:val="18"/>
          <w:szCs w:val="18"/>
          <w:color w:val="auto"/>
        </w:rPr>
        <w:t>Operating leases right-of-use (ROU) assets, net and operating lease liabilities were reported in the Condensed Consolidated Balance Sheets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08"/>
        </w:trPr>
        <w:tc>
          <w:tcPr>
            <w:tcW w:w="75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319</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9"/>
        </w:trPr>
        <w:tc>
          <w:tcPr>
            <w:tcW w:w="75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87</w:t>
            </w:r>
          </w:p>
        </w:tc>
      </w:tr>
      <w:tr>
        <w:trPr>
          <w:trHeight w:val="189"/>
        </w:trPr>
        <w:tc>
          <w:tcPr>
            <w:tcW w:w="75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r>
      <w:tr>
        <w:trPr>
          <w:trHeight w:val="208"/>
        </w:trPr>
        <w:tc>
          <w:tcPr>
            <w:tcW w:w="75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347</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2019</w:t>
            </w:r>
          </w:p>
        </w:tc>
      </w:tr>
      <w:tr>
        <w:trPr>
          <w:trHeight w:val="183"/>
        </w:trPr>
        <w:tc>
          <w:tcPr>
            <w:tcW w:w="7380" w:type="dxa"/>
            <w:vAlign w:val="bottom"/>
            <w:gridSpan w:val="2"/>
            <w:shd w:val="clear" w:color="auto" w:fill="E5E5E5"/>
          </w:tcPr>
          <w:p>
            <w:pPr>
              <w:ind w:left="20"/>
              <w:spacing w:after="0" w:line="182" w:lineRule="exact"/>
              <w:rPr>
                <w:sz w:val="20"/>
                <w:szCs w:val="20"/>
                <w:color w:val="auto"/>
              </w:rPr>
            </w:pPr>
            <w:r>
              <w:rPr>
                <w:rFonts w:ascii="Arial" w:cs="Arial" w:eastAsia="Arial" w:hAnsi="Arial"/>
                <w:sz w:val="14"/>
                <w:szCs w:val="14"/>
                <w:color w:val="auto"/>
              </w:rPr>
              <w:t>Principal debt balance</w:t>
            </w:r>
            <w:r>
              <w:rPr>
                <w:rFonts w:ascii="Arial" w:cs="Arial" w:eastAsia="Arial" w:hAnsi="Arial"/>
                <w:sz w:val="18"/>
                <w:szCs w:val="18"/>
                <w:color w:val="auto"/>
                <w:vertAlign w:val="superscript"/>
              </w:rPr>
              <w:t>(1)</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4,467</w:t>
            </w: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4,313</w:t>
            </w:r>
          </w:p>
        </w:tc>
      </w:tr>
      <w:tr>
        <w:trPr>
          <w:trHeight w:val="189"/>
        </w:trPr>
        <w:tc>
          <w:tcPr>
            <w:tcW w:w="7380" w:type="dxa"/>
            <w:vAlign w:val="bottom"/>
            <w:gridSpan w:val="2"/>
          </w:tcPr>
          <w:p>
            <w:pPr>
              <w:ind w:left="20"/>
              <w:spacing w:after="0"/>
              <w:rPr>
                <w:sz w:val="20"/>
                <w:szCs w:val="20"/>
                <w:color w:val="auto"/>
              </w:rPr>
            </w:pPr>
            <w:r>
              <w:rPr>
                <w:rFonts w:ascii="Arial" w:cs="Arial" w:eastAsia="Arial" w:hAnsi="Arial"/>
                <w:sz w:val="14"/>
                <w:szCs w:val="14"/>
                <w:color w:val="auto"/>
              </w:rPr>
              <w:t>Net unamortized discount (premium)</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7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Debt issuance costs</w:t>
            </w:r>
          </w:p>
        </w:tc>
        <w:tc>
          <w:tcPr>
            <w:tcW w:w="200" w:type="dxa"/>
            <w:vAlign w:val="bottom"/>
            <w:shd w:val="clear" w:color="auto" w:fill="E5E5E5"/>
          </w:tcPr>
          <w:p>
            <w:pPr>
              <w:spacing w:after="0"/>
              <w:rPr>
                <w:sz w:val="16"/>
                <w:szCs w:val="16"/>
                <w:color w:val="auto"/>
              </w:rPr>
            </w:pPr>
          </w:p>
        </w:tc>
        <w:tc>
          <w:tcPr>
            <w:tcW w:w="1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73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Fair value adjustments</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73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 terminated swaps</w:t>
            </w:r>
          </w:p>
        </w:tc>
        <w:tc>
          <w:tcPr>
            <w:tcW w:w="200" w:type="dxa"/>
            <w:vAlign w:val="bottom"/>
            <w:shd w:val="clear" w:color="auto" w:fill="E5E5E5"/>
          </w:tcPr>
          <w:p>
            <w:pPr>
              <w:spacing w:after="0"/>
              <w:rPr>
                <w:sz w:val="16"/>
                <w:szCs w:val="16"/>
                <w:color w:val="auto"/>
              </w:rPr>
            </w:pPr>
          </w:p>
        </w:tc>
        <w:tc>
          <w:tcPr>
            <w:tcW w:w="1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w:t>
            </w:r>
          </w:p>
        </w:tc>
      </w:tr>
      <w:tr>
        <w:trPr>
          <w:trHeight w:val="189"/>
        </w:trPr>
        <w:tc>
          <w:tcPr>
            <w:tcW w:w="7380" w:type="dxa"/>
            <w:vAlign w:val="bottom"/>
            <w:gridSpan w:val="2"/>
          </w:tcPr>
          <w:p>
            <w:pPr>
              <w:ind w:left="340"/>
              <w:spacing w:after="0"/>
              <w:rPr>
                <w:sz w:val="20"/>
                <w:szCs w:val="20"/>
                <w:color w:val="auto"/>
              </w:rPr>
            </w:pPr>
            <w:r>
              <w:rPr>
                <w:rFonts w:ascii="Arial" w:cs="Arial" w:eastAsia="Arial" w:hAnsi="Arial"/>
                <w:sz w:val="14"/>
                <w:szCs w:val="14"/>
                <w:color w:val="auto"/>
              </w:rPr>
              <w:t>- current swaps</w:t>
            </w:r>
          </w:p>
        </w:tc>
        <w:tc>
          <w:tcPr>
            <w:tcW w:w="2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8"/>
        </w:trPr>
        <w:tc>
          <w:tcPr>
            <w:tcW w:w="73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Debt</w:t>
            </w:r>
          </w:p>
        </w:tc>
        <w:tc>
          <w:tcPr>
            <w:tcW w:w="2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4,444</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2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4,282</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80" w:type="dxa"/>
            <w:vAlign w:val="bottom"/>
            <w:tcBorders>
              <w:top w:val="single" w:sz="8" w:color="E5E5E5"/>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32"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9"/>
          <w:szCs w:val="9"/>
          <w:i w:val="1"/>
          <w:iCs w:val="1"/>
          <w:color w:val="auto"/>
        </w:rPr>
      </w:pPr>
      <w:r>
        <w:rPr>
          <w:rFonts w:ascii="Arial" w:cs="Arial" w:eastAsia="Arial" w:hAnsi="Arial"/>
          <w:sz w:val="14"/>
          <w:szCs w:val="14"/>
          <w:i w:val="1"/>
          <w:iCs w:val="1"/>
          <w:color w:val="auto"/>
        </w:rPr>
        <w:t>There were no Notes Payable as of December 31, 2020 and December 31, 2019.</w:t>
      </w:r>
    </w:p>
    <w:p>
      <w:pPr>
        <w:spacing w:after="0" w:line="15" w:lineRule="exact"/>
        <w:rPr>
          <w:rFonts w:ascii="Arial" w:cs="Arial" w:eastAsia="Arial" w:hAnsi="Arial"/>
          <w:sz w:val="9"/>
          <w:szCs w:val="9"/>
          <w:i w:val="1"/>
          <w:iCs w:val="1"/>
          <w:color w:val="auto"/>
        </w:rPr>
      </w:pPr>
    </w:p>
    <w:p>
      <w:pPr>
        <w:jc w:val="both"/>
        <w:ind w:left="340" w:hanging="332"/>
        <w:spacing w:after="0" w:line="249" w:lineRule="auto"/>
        <w:tabs>
          <w:tab w:leader="none" w:pos="333" w:val="left"/>
        </w:tabs>
        <w:numPr>
          <w:ilvl w:val="0"/>
          <w:numId w:val="27"/>
        </w:numPr>
        <w:rPr>
          <w:rFonts w:ascii="Arial" w:cs="Arial" w:eastAsia="Arial" w:hAnsi="Arial"/>
          <w:sz w:val="9"/>
          <w:szCs w:val="9"/>
          <w:i w:val="1"/>
          <w:iCs w:val="1"/>
          <w:color w:val="auto"/>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Debt Activity</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2020, we redeemed $750 million of the $1,062 million of 4.50% Senior Notes due May 2021, for $769 million in cash consideration, which included a redemption premium of $19 million. The early redemption resulted in a net loss of $18 million (which includes the write -off of debt carrying value adjustments). This early extinguishment was funded by the $1,500 million Senior Notes issued in August 2020. In December 2020, we redeemed the remaining principal of the $1,062 million of 4.50% Senior Notes due May 2021 of $312 million, for $317 million in cash consideration, which included a redemption premium of $5 million. The early redemption resulted in a net loss of $8 million (which includes the write-off of debt carrying value adjustments). This early extinguishment was funded by a $500 million secured borrowing arrangement entered into in December 2020 (see below). Accordingly, as a result of the above debt activity, an aggregate net loss from early extinguishment of $26 million was recorded in the fourth quarter 2020.</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2020, we entered into a secured loan agreement with a financial institution where we sold $610 million of U.S. based finance receivables to a Special Purpose Entity (SPE). The purchase by the SPE was funded through an amortizing secured loan to the SPE from the financial institution of $500 million. The debt has a variable interest rate based on the financial institution's cost of funds plus a spread (current rate of 1.76% at December 31, 2020) and an expected life of approximately 2.5 years with half projected to be repaid within the first year based on collections of the underlying portfolio of receivables.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30"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DA2031"/>
        </w:rPr>
        <w:t>Finance Assets and Related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2019</w:t>
            </w:r>
          </w:p>
        </w:tc>
      </w:tr>
      <w:tr>
        <w:trPr>
          <w:trHeight w:val="183"/>
        </w:trPr>
        <w:tc>
          <w:tcPr>
            <w:tcW w:w="7380" w:type="dxa"/>
            <w:vAlign w:val="bottom"/>
            <w:gridSpan w:val="2"/>
            <w:shd w:val="clear" w:color="auto" w:fill="E5E5E5"/>
          </w:tcPr>
          <w:p>
            <w:pPr>
              <w:ind w:left="20"/>
              <w:spacing w:after="0" w:line="182" w:lineRule="exact"/>
              <w:rPr>
                <w:sz w:val="20"/>
                <w:szCs w:val="20"/>
                <w:color w:val="auto"/>
              </w:rPr>
            </w:pPr>
            <w:r>
              <w:rPr>
                <w:rFonts w:ascii="Arial" w:cs="Arial" w:eastAsia="Arial" w:hAnsi="Arial"/>
                <w:sz w:val="14"/>
                <w:szCs w:val="14"/>
                <w:color w:val="auto"/>
              </w:rPr>
              <w:t>Total finance receivables, net</w:t>
            </w:r>
            <w:r>
              <w:rPr>
                <w:rFonts w:ascii="Arial" w:cs="Arial" w:eastAsia="Arial" w:hAnsi="Arial"/>
                <w:sz w:val="18"/>
                <w:szCs w:val="18"/>
                <w:color w:val="auto"/>
                <w:vertAlign w:val="superscript"/>
              </w:rPr>
              <w:t>(1)</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3,165</w:t>
            </w: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3,351</w:t>
            </w:r>
          </w:p>
        </w:tc>
      </w:tr>
      <w:tr>
        <w:trPr>
          <w:trHeight w:val="189"/>
        </w:trPr>
        <w:tc>
          <w:tcPr>
            <w:tcW w:w="7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Equipment on operating leases, net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w:t>
            </w:r>
          </w:p>
        </w:tc>
      </w:tr>
      <w:tr>
        <w:trPr>
          <w:trHeight w:val="208"/>
        </w:trPr>
        <w:tc>
          <w:tcPr>
            <w:tcW w:w="7380" w:type="dxa"/>
            <w:vAlign w:val="bottom"/>
            <w:tcBorders>
              <w:bottom w:val="single" w:sz="8" w:color="E5E5E5"/>
            </w:tcBorders>
            <w:gridSpan w:val="2"/>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8"/>
                <w:szCs w:val="18"/>
                <w:b w:val="1"/>
                <w:bCs w:val="1"/>
                <w:color w:val="auto"/>
                <w:vertAlign w:val="superscript"/>
              </w:rPr>
              <w:t>(2)</w:t>
            </w:r>
          </w:p>
        </w:tc>
        <w:tc>
          <w:tcPr>
            <w:tcW w:w="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3,461</w:t>
            </w:r>
          </w:p>
        </w:tc>
        <w:tc>
          <w:tcPr>
            <w:tcW w:w="10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3,715</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80" w:type="dxa"/>
            <w:vAlign w:val="bottom"/>
            <w:tcBorders>
              <w:top w:val="single" w:sz="8" w:color="E5E5E5"/>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____________________________</w:t>
      </w:r>
    </w:p>
    <w:p>
      <w:pPr>
        <w:spacing w:after="0" w:line="121" w:lineRule="exact"/>
        <w:rPr>
          <w:sz w:val="20"/>
          <w:szCs w:val="20"/>
          <w:color w:val="auto"/>
        </w:rPr>
      </w:pPr>
    </w:p>
    <w:p>
      <w:pPr>
        <w:ind w:left="340" w:hanging="332"/>
        <w:spacing w:after="0" w:line="251" w:lineRule="auto"/>
        <w:tabs>
          <w:tab w:leader="none" w:pos="333"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spacing w:after="0" w:line="1" w:lineRule="exact"/>
        <w:rPr>
          <w:rFonts w:ascii="Arial" w:cs="Arial" w:eastAsia="Arial" w:hAnsi="Arial"/>
          <w:sz w:val="9"/>
          <w:szCs w:val="9"/>
          <w:i w:val="1"/>
          <w:iCs w:val="1"/>
          <w:color w:val="auto"/>
        </w:rPr>
      </w:pPr>
    </w:p>
    <w:p>
      <w:pPr>
        <w:ind w:left="320" w:hanging="312"/>
        <w:spacing w:after="0"/>
        <w:tabs>
          <w:tab w:leader="none" w:pos="320" w:val="left"/>
        </w:tabs>
        <w:numPr>
          <w:ilvl w:val="0"/>
          <w:numId w:val="28"/>
        </w:numPr>
        <w:rPr>
          <w:rFonts w:ascii="Arial" w:cs="Arial" w:eastAsia="Arial" w:hAnsi="Arial"/>
          <w:sz w:val="9"/>
          <w:szCs w:val="9"/>
          <w:i w:val="1"/>
          <w:iCs w:val="1"/>
          <w:color w:val="auto"/>
        </w:rPr>
      </w:pPr>
      <w:r>
        <w:rPr>
          <w:rFonts w:ascii="Arial" w:cs="Arial" w:eastAsia="Arial" w:hAnsi="Arial"/>
          <w:sz w:val="14"/>
          <w:szCs w:val="14"/>
          <w:i w:val="1"/>
          <w:iCs w:val="1"/>
          <w:color w:val="auto"/>
        </w:rPr>
        <w:t>The change from December 31, 2019 includes an increase of $96 million due to currency.</w:t>
      </w:r>
    </w:p>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2020</w:t>
            </w:r>
          </w:p>
        </w:tc>
        <w:tc>
          <w:tcPr>
            <w:tcW w:w="10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2019</w:t>
            </w:r>
          </w:p>
        </w:tc>
      </w:tr>
      <w:tr>
        <w:trPr>
          <w:trHeight w:val="183"/>
        </w:trPr>
        <w:tc>
          <w:tcPr>
            <w:tcW w:w="7380" w:type="dxa"/>
            <w:vAlign w:val="bottom"/>
            <w:gridSpan w:val="2"/>
            <w:shd w:val="clear" w:color="auto" w:fill="E5E5E5"/>
          </w:tcPr>
          <w:p>
            <w:pPr>
              <w:ind w:left="20"/>
              <w:spacing w:after="0" w:line="182" w:lineRule="exact"/>
              <w:rPr>
                <w:sz w:val="20"/>
                <w:szCs w:val="20"/>
                <w:color w:val="auto"/>
              </w:rPr>
            </w:pPr>
            <w:r>
              <w:rPr>
                <w:rFonts w:ascii="Arial" w:cs="Arial" w:eastAsia="Arial" w:hAnsi="Arial"/>
                <w:sz w:val="14"/>
                <w:szCs w:val="14"/>
                <w:color w:val="auto"/>
              </w:rPr>
              <w:t>Finance receivables debt</w:t>
            </w:r>
            <w:r>
              <w:rPr>
                <w:rFonts w:ascii="Arial" w:cs="Arial" w:eastAsia="Arial" w:hAnsi="Arial"/>
                <w:sz w:val="18"/>
                <w:szCs w:val="18"/>
                <w:color w:val="auto"/>
                <w:vertAlign w:val="superscript"/>
              </w:rPr>
              <w:t>(1)</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2,932</w:t>
            </w:r>
          </w:p>
        </w:tc>
      </w:tr>
      <w:tr>
        <w:trPr>
          <w:trHeight w:val="189"/>
        </w:trPr>
        <w:tc>
          <w:tcPr>
            <w:tcW w:w="7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Equipment on operating leases debt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w:t>
            </w:r>
          </w:p>
        </w:tc>
      </w:tr>
      <w:tr>
        <w:trPr>
          <w:trHeight w:val="183"/>
        </w:trPr>
        <w:tc>
          <w:tcPr>
            <w:tcW w:w="73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Financing debt</w:t>
            </w:r>
          </w:p>
        </w:tc>
        <w:tc>
          <w:tcPr>
            <w:tcW w:w="200" w:type="dxa"/>
            <w:vAlign w:val="bottom"/>
            <w:shd w:val="clear" w:color="auto" w:fill="E5E5E5"/>
          </w:tcPr>
          <w:p>
            <w:pPr>
              <w:spacing w:after="0"/>
              <w:rPr>
                <w:sz w:val="15"/>
                <w:szCs w:val="15"/>
                <w:color w:val="auto"/>
              </w:rPr>
            </w:pPr>
          </w:p>
        </w:tc>
        <w:tc>
          <w:tcPr>
            <w:tcW w:w="1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3,028</w:t>
            </w: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3,251</w:t>
            </w:r>
          </w:p>
        </w:tc>
      </w:tr>
      <w:tr>
        <w:trPr>
          <w:trHeight w:val="189"/>
        </w:trPr>
        <w:tc>
          <w:tcPr>
            <w:tcW w:w="73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Core debt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1,031</w:t>
            </w:r>
          </w:p>
        </w:tc>
      </w:tr>
      <w:tr>
        <w:trPr>
          <w:trHeight w:val="208"/>
        </w:trPr>
        <w:tc>
          <w:tcPr>
            <w:tcW w:w="73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Debt</w:t>
            </w:r>
          </w:p>
        </w:tc>
        <w:tc>
          <w:tcPr>
            <w:tcW w:w="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4,444</w:t>
            </w:r>
          </w:p>
        </w:tc>
        <w:tc>
          <w:tcPr>
            <w:tcW w:w="10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4,282</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80" w:type="dxa"/>
            <w:vAlign w:val="bottom"/>
            <w:tcBorders>
              <w:top w:val="single" w:sz="8" w:color="E5E5E5"/>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65"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sold are generally short-term trade receivables with payment due dates of less than 60 days.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10"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Three Months Ended</w:t>
      </w:r>
    </w:p>
    <w:p>
      <w:pPr>
        <w:ind w:left="9380"/>
        <w:spacing w:after="0"/>
        <w:rPr>
          <w:sz w:val="20"/>
          <w:szCs w:val="20"/>
          <w:color w:val="auto"/>
        </w:rPr>
      </w:pPr>
      <w:r>
        <w:rPr>
          <w:rFonts w:ascii="Arial" w:cs="Arial" w:eastAsia="Arial" w:hAnsi="Arial"/>
          <w:sz w:val="14"/>
          <w:szCs w:val="14"/>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E5E5E5"/>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r>
      <w:tr>
        <w:trPr>
          <w:trHeight w:val="183"/>
        </w:trPr>
        <w:tc>
          <w:tcPr>
            <w:tcW w:w="84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9"/>
                <w:szCs w:val="9"/>
                <w:color w:val="auto"/>
              </w:rPr>
              <w:t>(1)</w:t>
            </w: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5E5E5"/>
          </w:tcPr>
          <w:p>
            <w:pPr>
              <w:spacing w:after="0"/>
              <w:rPr>
                <w:sz w:val="15"/>
                <w:szCs w:val="15"/>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128</w:t>
            </w:r>
          </w:p>
        </w:tc>
      </w:tr>
      <w:tr>
        <w:trPr>
          <w:trHeight w:val="190"/>
        </w:trPr>
        <w:tc>
          <w:tcPr>
            <w:tcW w:w="8460" w:type="dxa"/>
            <w:vAlign w:val="bottom"/>
            <w:gridSpan w:val="2"/>
          </w:tcPr>
          <w:p>
            <w:pPr>
              <w:ind w:left="20"/>
              <w:spacing w:after="0"/>
              <w:rPr>
                <w:sz w:val="20"/>
                <w:szCs w:val="20"/>
                <w:color w:val="auto"/>
              </w:rPr>
            </w:pPr>
            <w:r>
              <w:rPr>
                <w:rFonts w:ascii="Arial" w:cs="Arial" w:eastAsia="Arial" w:hAnsi="Arial"/>
                <w:sz w:val="14"/>
                <w:szCs w:val="14"/>
                <w:color w:val="auto"/>
              </w:rPr>
              <w:t>Estimated increase to operating cash flows</w:t>
            </w:r>
            <w:r>
              <w:rPr>
                <w:rFonts w:ascii="Arial" w:cs="Arial" w:eastAsia="Arial" w:hAnsi="Arial"/>
                <w:sz w:val="9"/>
                <w:szCs w:val="9"/>
                <w:color w:val="auto"/>
              </w:rPr>
              <w:t>(2)</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67</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7" w:lineRule="exact"/>
        <w:rPr>
          <w:sz w:val="20"/>
          <w:szCs w:val="20"/>
          <w:color w:val="auto"/>
        </w:rPr>
      </w:pPr>
    </w:p>
    <w:p>
      <w:pPr>
        <w:jc w:val="both"/>
        <w:ind w:left="340" w:hanging="332"/>
        <w:spacing w:after="0" w:line="226" w:lineRule="auto"/>
        <w:tabs>
          <w:tab w:leader="none" w:pos="333" w:val="left"/>
        </w:tabs>
        <w:numPr>
          <w:ilvl w:val="0"/>
          <w:numId w:val="3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Loss on sales were not material. 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 w:lineRule="exact"/>
        <w:rPr>
          <w:rFonts w:ascii="Arial" w:cs="Arial" w:eastAsia="Arial" w:hAnsi="Arial"/>
          <w:sz w:val="19"/>
          <w:szCs w:val="19"/>
          <w:i w:val="1"/>
          <w:iCs w:val="1"/>
          <w:color w:val="auto"/>
          <w:vertAlign w:val="superscript"/>
        </w:rPr>
      </w:pPr>
    </w:p>
    <w:p>
      <w:pPr>
        <w:ind w:left="340" w:right="20" w:hanging="332"/>
        <w:spacing w:after="0" w:line="211" w:lineRule="auto"/>
        <w:tabs>
          <w:tab w:leader="none" w:pos="333" w:val="left"/>
        </w:tabs>
        <w:numPr>
          <w:ilvl w:val="0"/>
          <w:numId w:val="3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difference between current and prior period receivable sales adjusted for the effects of the deferred proceeds, collections prior to the end of the quarter and currency.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11" w:right="33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color w:val="DA2031"/>
        </w:rPr>
        <w:t>Shared Services Arrangement with HCL Technologies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2019, as part of Project Own It, Xerox entered into a shared services arrangement with HCL Technologies ("HCL") pursuant to which we transitioned certain global administrative and support functions, including, among others, selected information technology and finance functions (excluding accounting), from Xerox to HCL. This transition was expected to be completed during 2020, however, as a result of delays caused by the COVID-19 pandemic, the transition is now expected to extend into 2021. HCL is expected to make certain ongoing investments in software, tools and other technology to consolidate, optimize and automate the transferred functions with the goal of providing improved service levels and significant cost savings. The shared services arrangement with HCL includes a remaining aggregate spending commitment of approximately $1 billion over the next 5 years. However, we can terminate the arrangement at any time at our discretion, subject to payment of termination fees that decline over the term, or for cause.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fourth quarter 2020, we incurred net charges of approximately $46 million associated with this arrangement. The cost has been allocated to the various functional expense lines in the Condensed Consolidated Statements of Income based on an assessment of the nature and amount of the costs incurred for the various transferred functions prior to their transfer to HCL.</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Sales of Ownership Interests in Fuji Xerox Co., Ltd. and Xerox International Partners</w:t>
      </w:r>
    </w:p>
    <w:p>
      <w:pPr>
        <w:spacing w:after="0" w:line="10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November 2019, Xerox Holdings completed a series of transactions to restructure its relationship with FUJIFILM Holdings Corporation (“FH”), including the sale of its indirect 25% equity interest in Fuji Xerox ("FX") for approximately $2.2 billion as well as the sale of its indirect 51% partnership interest in Xerox International Partners (XIP) for approximately $23 million (collectively the “Sales”).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Sales and the related strategic shift in our business, the historical financial results of our equity method investment in FX and our XIP business, which was fully consolidated, are reflected as a discontinued operation for the periods prior to the Sales, and their impact is excluded from continuing operations for all periods presented.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transactions with FH also included an OEM license agreement by and between FX and Xerox, granting FX the right to use specific Xerox Intellectual Property (IP) in providing certain named original equipment manufacturers (OEM’s) with products (such as printer engines) in exchange for an upfront license fee of $77 million. The license fee was recorded within other revenues in fourth quarter 2019.</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b w:val="1"/>
          <w:bCs w:val="1"/>
          <w:color w:val="DA2031"/>
        </w:rPr>
        <w:t>Discontinued Operations</w:t>
      </w:r>
      <w:r>
        <w:rPr>
          <w:rFonts w:ascii="Arial" w:cs="Arial" w:eastAsia="Arial" w:hAnsi="Arial"/>
          <w:sz w:val="18"/>
          <w:szCs w:val="18"/>
          <w:color w:val="auto"/>
        </w:rPr>
        <w:t xml:space="preserve"> section for additional information. The $77 million ($58 million after-tax) OEM license had the following impact on our financial results for the Three Months Ended and for the Year Ended December 31, 2020 and 2019,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ind w:left="2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Year Ended</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(in millions, except per share amounts)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color w:val="auto"/>
              </w:rPr>
              <w:t>December 31,</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December 31,</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Financial Results from Continuing</w:t>
            </w: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2"/>
                <w:szCs w:val="12"/>
                <w:color w:val="auto"/>
              </w:rPr>
            </w:pPr>
          </w:p>
        </w:tc>
        <w:tc>
          <w:tcPr>
            <w:tcW w:w="116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OEM License</w:t>
            </w:r>
          </w:p>
        </w:tc>
        <w:tc>
          <w:tcPr>
            <w:tcW w:w="172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rPr>
              <w:t>As Reported Excluding</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OEM License</w:t>
            </w:r>
          </w:p>
        </w:tc>
        <w:tc>
          <w:tcPr>
            <w:tcW w:w="160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As Reported Excluding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Operations</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color w:val="auto"/>
              </w:rPr>
              <w:t>Impact</w:t>
            </w:r>
          </w:p>
        </w:tc>
        <w:tc>
          <w:tcPr>
            <w:tcW w:w="12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rPr>
              <w:t>OEM License Impact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Impact</w:t>
            </w:r>
          </w:p>
        </w:tc>
        <w:tc>
          <w:tcPr>
            <w:tcW w:w="12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OEM License Impact</w:t>
            </w: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240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04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104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20" w:type="dxa"/>
            <w:vAlign w:val="bottom"/>
            <w:tcBorders>
              <w:top w:val="single" w:sz="8" w:color="auto"/>
            </w:tcBorders>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150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020" w:type="dxa"/>
            <w:vAlign w:val="bottom"/>
            <w:tcBorders>
              <w:top w:val="single" w:sz="8" w:color="auto"/>
            </w:tcBorders>
            <w:shd w:val="clear" w:color="auto" w:fill="E5E5E5"/>
          </w:tcPr>
          <w:p>
            <w:pPr>
              <w:spacing w:after="0"/>
              <w:rPr>
                <w:sz w:val="17"/>
                <w:szCs w:val="17"/>
                <w:color w:val="auto"/>
              </w:rPr>
            </w:pPr>
          </w:p>
        </w:tc>
        <w:tc>
          <w:tcPr>
            <w:tcW w:w="120" w:type="dxa"/>
            <w:vAlign w:val="bottom"/>
            <w:tcBorders>
              <w:top w:val="single" w:sz="8" w:color="E5E5E5"/>
            </w:tcBorders>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1020" w:type="dxa"/>
            <w:vAlign w:val="bottom"/>
            <w:tcBorders>
              <w:top w:val="single" w:sz="8" w:color="auto"/>
            </w:tcBorders>
            <w:shd w:val="clear" w:color="auto" w:fill="E5E5E5"/>
          </w:tcPr>
          <w:p>
            <w:pPr>
              <w:spacing w:after="0"/>
              <w:rPr>
                <w:sz w:val="17"/>
                <w:szCs w:val="17"/>
                <w:color w:val="auto"/>
              </w:rPr>
            </w:pPr>
          </w:p>
        </w:tc>
        <w:tc>
          <w:tcPr>
            <w:tcW w:w="120" w:type="dxa"/>
            <w:vAlign w:val="bottom"/>
            <w:tcBorders>
              <w:top w:val="single" w:sz="8" w:color="E5E5E5"/>
            </w:tcBorders>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spacing w:after="0"/>
              <w:rPr>
                <w:sz w:val="17"/>
                <w:szCs w:val="17"/>
                <w:color w:val="auto"/>
              </w:rPr>
            </w:pPr>
          </w:p>
        </w:tc>
        <w:tc>
          <w:tcPr>
            <w:tcW w:w="1480" w:type="dxa"/>
            <w:vAlign w:val="bottom"/>
            <w:tcBorders>
              <w:top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E5E5E5"/>
          </w:tcPr>
          <w:p>
            <w:pPr>
              <w:spacing w:after="0"/>
              <w:rPr>
                <w:sz w:val="16"/>
                <w:szCs w:val="16"/>
                <w:color w:val="auto"/>
              </w:rPr>
            </w:pPr>
          </w:p>
        </w:tc>
        <w:tc>
          <w:tcPr>
            <w:tcW w:w="282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gridSpan w:val="3"/>
          </w:tcPr>
          <w:p>
            <w:pPr>
              <w:spacing w:after="0" w:line="189" w:lineRule="exact"/>
              <w:rPr>
                <w:sz w:val="20"/>
                <w:szCs w:val="20"/>
                <w:color w:val="auto"/>
              </w:rPr>
            </w:pPr>
            <w:r>
              <w:rPr>
                <w:rFonts w:ascii="Arial" w:cs="Arial" w:eastAsia="Arial" w:hAnsi="Arial"/>
                <w:sz w:val="14"/>
                <w:szCs w:val="14"/>
                <w:color w:val="auto"/>
              </w:rPr>
              <w:t>Revenue - CC</w:t>
            </w:r>
            <w:r>
              <w:rPr>
                <w:rFonts w:ascii="Arial" w:cs="Arial" w:eastAsia="Arial" w:hAnsi="Arial"/>
                <w:sz w:val="18"/>
                <w:szCs w:val="18"/>
                <w:color w:val="auto"/>
                <w:vertAlign w:val="superscript"/>
              </w:rPr>
              <w:t>(1)</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4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E5E5E5"/>
          </w:tcPr>
          <w:p>
            <w:pPr>
              <w:spacing w:after="0"/>
              <w:rPr>
                <w:sz w:val="16"/>
                <w:szCs w:val="16"/>
                <w:color w:val="auto"/>
              </w:rPr>
            </w:pPr>
          </w:p>
        </w:tc>
        <w:tc>
          <w:tcPr>
            <w:tcW w:w="282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Gross Margin</w:t>
            </w:r>
          </w:p>
        </w:tc>
        <w:tc>
          <w:tcPr>
            <w:tcW w:w="1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41.6 %</w:t>
            </w: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39.7 %</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40.3 %</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gridSpan w:val="3"/>
          </w:tcPr>
          <w:p>
            <w:pPr>
              <w:spacing w:after="0" w:line="189" w:lineRule="exact"/>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Operating Margin</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89"/>
        </w:trPr>
        <w:tc>
          <w:tcPr>
            <w:tcW w:w="20" w:type="dxa"/>
            <w:vAlign w:val="bottom"/>
            <w:shd w:val="clear" w:color="auto" w:fill="E5E5E5"/>
          </w:tcPr>
          <w:p>
            <w:pPr>
              <w:spacing w:after="0"/>
              <w:rPr>
                <w:sz w:val="16"/>
                <w:szCs w:val="16"/>
                <w:color w:val="auto"/>
              </w:rPr>
            </w:pPr>
          </w:p>
        </w:tc>
        <w:tc>
          <w:tcPr>
            <w:tcW w:w="282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EPS - GAAP</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0.92</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gridSpan w:val="3"/>
          </w:tcPr>
          <w:p>
            <w:pPr>
              <w:spacing w:after="0" w:line="189" w:lineRule="exact"/>
              <w:rPr>
                <w:sz w:val="20"/>
                <w:szCs w:val="20"/>
                <w:color w:val="auto"/>
              </w:rPr>
            </w:pPr>
            <w:r>
              <w:rPr>
                <w:rFonts w:ascii="Arial" w:cs="Arial" w:eastAsia="Arial" w:hAnsi="Arial"/>
                <w:sz w:val="14"/>
                <w:szCs w:val="14"/>
                <w:color w:val="auto"/>
              </w:rPr>
              <w:t>EPS - Adjusted</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9"/>
        </w:trPr>
        <w:tc>
          <w:tcPr>
            <w:tcW w:w="20" w:type="dxa"/>
            <w:vAlign w:val="bottom"/>
            <w:shd w:val="clear" w:color="auto" w:fill="E5E5E5"/>
          </w:tcPr>
          <w:p>
            <w:pPr>
              <w:spacing w:after="0"/>
              <w:rPr>
                <w:sz w:val="16"/>
                <w:szCs w:val="16"/>
                <w:color w:val="auto"/>
              </w:rPr>
            </w:pPr>
          </w:p>
        </w:tc>
        <w:tc>
          <w:tcPr>
            <w:tcW w:w="2820" w:type="dxa"/>
            <w:vAlign w:val="bottom"/>
            <w:gridSpan w:val="3"/>
            <w:shd w:val="clear" w:color="auto" w:fill="E5E5E5"/>
          </w:tcPr>
          <w:p>
            <w:pPr>
              <w:spacing w:after="0" w:line="189" w:lineRule="exact"/>
              <w:rPr>
                <w:sz w:val="20"/>
                <w:szCs w:val="20"/>
                <w:color w:val="auto"/>
              </w:rPr>
            </w:pPr>
            <w:r>
              <w:rPr>
                <w:rFonts w:ascii="Arial" w:cs="Arial" w:eastAsia="Arial" w:hAnsi="Arial"/>
                <w:sz w:val="14"/>
                <w:szCs w:val="14"/>
                <w:color w:val="auto"/>
              </w:rPr>
              <w:t xml:space="preserve">Operating Cash Flow </w:t>
            </w:r>
            <w:r>
              <w:rPr>
                <w:rFonts w:ascii="Arial" w:cs="Arial" w:eastAsia="Arial" w:hAnsi="Arial"/>
                <w:sz w:val="18"/>
                <w:szCs w:val="18"/>
                <w:color w:val="auto"/>
                <w:vertAlign w:val="superscript"/>
              </w:rPr>
              <w:t>(2)</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1,244</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5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Adjusted measures and Constant Currency (CC): see the Non-GAAP Financial Measures section for an explanation of the non-GAAP financial measures.</w:t>
      </w:r>
    </w:p>
    <w:p>
      <w:pPr>
        <w:ind w:left="320" w:hanging="312"/>
        <w:spacing w:after="0" w:line="189" w:lineRule="auto"/>
        <w:tabs>
          <w:tab w:leader="none" w:pos="320"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Free Cash Flow likewise impacted by $58 million from OEM license.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87" w:right="339" w:bottom="1440" w:gutter="0" w:footer="0" w:header="0"/>
        </w:sectPr>
      </w:pPr>
    </w:p>
    <w:bookmarkStart w:id="29" w:name="page30"/>
    <w:bookmarkEnd w:id="29"/>
    <w:p>
      <w:pPr>
        <w:spacing w:after="0"/>
        <w:rPr>
          <w:sz w:val="20"/>
          <w:szCs w:val="20"/>
          <w:color w:val="auto"/>
        </w:rPr>
      </w:pPr>
      <w:r>
        <w:rPr>
          <w:rFonts w:ascii="Arial" w:cs="Arial" w:eastAsia="Arial" w:hAnsi="Arial"/>
          <w:sz w:val="25"/>
          <w:szCs w:val="25"/>
          <w:b w:val="1"/>
          <w:bCs w:val="1"/>
          <w:color w:val="DA2031"/>
        </w:rPr>
        <w:t>Forward-Looking Statements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00" w:right="33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DA2031"/>
        </w:rPr>
        <w:t>Non-GAAP Financial Measures</w:t>
      </w: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A reconciliation of these non-GAAP financial measures to the most directly comparable financial measures calculated and presented in accordance with GAAP are set forth below as well as in the fourth quarter 2020 presentation slides available at </w:t>
      </w:r>
      <w:r>
        <w:rPr>
          <w:rFonts w:ascii="Arial" w:cs="Arial" w:eastAsia="Arial" w:hAnsi="Arial"/>
          <w:sz w:val="18"/>
          <w:szCs w:val="18"/>
          <w:u w:val="single" w:color="auto"/>
          <w:color w:val="auto"/>
        </w:rPr>
        <w:t>www.xerox.com/investor</w:t>
      </w:r>
      <w:r>
        <w:rPr>
          <w:rFonts w:ascii="Arial" w:cs="Arial" w:eastAsia="Arial" w:hAnsi="Arial"/>
          <w:sz w:val="18"/>
          <w:szCs w:val="18"/>
          <w:color w:val="auto"/>
        </w:rPr>
        <w: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99" w:lineRule="exact"/>
        <w:rPr>
          <w:sz w:val="20"/>
          <w:szCs w:val="20"/>
          <w:color w:val="auto"/>
        </w:rPr>
      </w:pPr>
    </w:p>
    <w:p>
      <w:pPr>
        <w:jc w:val="both"/>
        <w:ind w:left="340" w:hanging="332"/>
        <w:spacing w:after="0" w:line="25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83" w:lineRule="exact"/>
        <w:rPr>
          <w:rFonts w:ascii="Arial" w:cs="Arial" w:eastAsia="Arial" w:hAnsi="Arial"/>
          <w:sz w:val="18"/>
          <w:szCs w:val="18"/>
          <w:color w:val="auto"/>
        </w:rPr>
      </w:pPr>
    </w:p>
    <w:p>
      <w:pPr>
        <w:jc w:val="both"/>
        <w:ind w:left="34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71" w:lineRule="exact"/>
        <w:rPr>
          <w:rFonts w:ascii="Arial" w:cs="Arial" w:eastAsia="Arial" w:hAnsi="Arial"/>
          <w:sz w:val="18"/>
          <w:szCs w:val="18"/>
          <w:color w:val="auto"/>
        </w:rPr>
      </w:pPr>
    </w:p>
    <w:p>
      <w:pPr>
        <w:jc w:val="both"/>
        <w:ind w:left="340" w:hanging="332"/>
        <w:spacing w:after="0" w:line="258"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costs and expenses primarily associated with certain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M&amp;A projects. These costs are primarily for third-party legal, accounting, consulting and other similar type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 are excluding these expenses from our Adjusted Earnings Measures in order to evaluate our performance on a comparable basis.</w:t>
      </w:r>
    </w:p>
    <w:p>
      <w:pPr>
        <w:spacing w:after="0" w:line="75"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Non-service retirement-related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Our defined benefit pension and retiree health costs include several elements impacted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62" w:right="339" w:bottom="1440" w:gutter="0" w:footer="0" w:header="0"/>
        </w:sectPr>
      </w:pPr>
    </w:p>
    <w:bookmarkStart w:id="31" w:name="page32"/>
    <w:bookmarkEnd w:id="31"/>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t>
      </w:r>
      <w:r>
        <w:rPr>
          <w:rFonts w:ascii="Arial" w:cs="Arial" w:eastAsia="Arial" w:hAnsi="Arial"/>
          <w:sz w:val="18"/>
          <w:szCs w:val="18"/>
          <w:color w:val="auto"/>
        </w:rPr>
        <w:t>We excluded the following items given their discrete, unusual or infrequent nature and their</w:t>
      </w:r>
    </w:p>
    <w:p>
      <w:pPr>
        <w:spacing w:after="0" w:line="27" w:lineRule="exact"/>
        <w:rPr>
          <w:rFonts w:ascii="Arial" w:cs="Arial" w:eastAsia="Arial" w:hAnsi="Arial"/>
          <w:sz w:val="18"/>
          <w:szCs w:val="18"/>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impact on our results for the period: Contract termination costs - IT services, Loss on early extinguishment of debt, and Impacts associated with the Tax Cuts and Jobs Act (the "Tax Act") enacted in December 2017.</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9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Net Income and EPS reconciliation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2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28"/>
              <w:spacing w:after="0"/>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per share amounts)</w:t>
            </w:r>
          </w:p>
        </w:tc>
        <w:tc>
          <w:tcPr>
            <w:tcW w:w="100" w:type="dxa"/>
            <w:vAlign w:val="bottom"/>
            <w:tcBorders>
              <w:bottom w:val="single" w:sz="8" w:color="E5E5E5"/>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E5E5E5"/>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E5E5E5"/>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E5E5E5"/>
            </w:tcBorders>
          </w:tcPr>
          <w:p>
            <w:pPr>
              <w:spacing w:after="0"/>
              <w:rPr>
                <w:sz w:val="15"/>
                <w:szCs w:val="15"/>
                <w:color w:val="auto"/>
              </w:rPr>
            </w:pPr>
          </w:p>
        </w:tc>
        <w:tc>
          <w:tcPr>
            <w:tcW w:w="9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Net Income</w:t>
            </w:r>
          </w:p>
        </w:tc>
        <w:tc>
          <w:tcPr>
            <w:tcW w:w="8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3300" w:type="dxa"/>
            <w:vAlign w:val="bottom"/>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266</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192</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0.84</w:t>
            </w:r>
          </w:p>
        </w:tc>
        <w:tc>
          <w:tcPr>
            <w:tcW w:w="10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648</w:t>
            </w:r>
          </w:p>
        </w:tc>
        <w:tc>
          <w:tcPr>
            <w:tcW w:w="30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w:t>
            </w:r>
          </w:p>
        </w:tc>
        <w:tc>
          <w:tcPr>
            <w:tcW w:w="36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Transaction and related costs, net</w:t>
            </w:r>
          </w:p>
        </w:tc>
        <w:tc>
          <w:tcPr>
            <w:tcW w:w="36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Non-service retirement-related costs</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Loss on early extinguishment of debt</w:t>
            </w:r>
          </w:p>
        </w:tc>
        <w:tc>
          <w:tcPr>
            <w:tcW w:w="36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Contract termination costs - IT services</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Income tax on adjustments</w:t>
            </w:r>
            <w:r>
              <w:rPr>
                <w:rFonts w:ascii="Arial" w:cs="Arial" w:eastAsia="Arial" w:hAnsi="Arial"/>
                <w:sz w:val="18"/>
                <w:szCs w:val="18"/>
                <w:color w:val="auto"/>
                <w:vertAlign w:val="superscript"/>
              </w:rPr>
              <w:t>(2)</w:t>
            </w:r>
          </w:p>
        </w:tc>
        <w:tc>
          <w:tcPr>
            <w:tcW w:w="36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Tax Act</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E5E5E5"/>
            </w:tcBorders>
          </w:tcPr>
          <w:p>
            <w:pPr>
              <w:spacing w:after="0"/>
              <w:rPr>
                <w:sz w:val="16"/>
                <w:szCs w:val="16"/>
                <w:color w:val="auto"/>
              </w:rPr>
            </w:pPr>
          </w:p>
        </w:tc>
        <w:tc>
          <w:tcPr>
            <w:tcW w:w="7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E5E5E5"/>
            </w:tcBorders>
          </w:tcPr>
          <w:p>
            <w:pPr>
              <w:spacing w:after="0"/>
              <w:rPr>
                <w:sz w:val="16"/>
                <w:szCs w:val="16"/>
                <w:color w:val="auto"/>
              </w:rPr>
            </w:pPr>
          </w:p>
        </w:tc>
        <w:tc>
          <w:tcPr>
            <w:tcW w:w="68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5E5"/>
            </w:tcBorders>
          </w:tcPr>
          <w:p>
            <w:pPr>
              <w:spacing w:after="0"/>
              <w:rPr>
                <w:sz w:val="16"/>
                <w:szCs w:val="16"/>
                <w:color w:val="auto"/>
              </w:rPr>
            </w:pPr>
          </w:p>
        </w:tc>
        <w:tc>
          <w:tcPr>
            <w:tcW w:w="200" w:type="dxa"/>
            <w:vAlign w:val="bottom"/>
            <w:tcBorders>
              <w:bottom w:val="single" w:sz="8" w:color="E5E5E5"/>
            </w:tcBorders>
          </w:tcPr>
          <w:p>
            <w:pPr>
              <w:spacing w:after="0"/>
              <w:rPr>
                <w:sz w:val="16"/>
                <w:szCs w:val="16"/>
                <w:color w:val="auto"/>
              </w:rPr>
            </w:pPr>
          </w:p>
        </w:tc>
        <w:tc>
          <w:tcPr>
            <w:tcW w:w="68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680" w:type="dxa"/>
            <w:vAlign w:val="bottom"/>
            <w:tcBorders>
              <w:bottom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122</w:t>
            </w:r>
          </w:p>
        </w:tc>
        <w:tc>
          <w:tcPr>
            <w:tcW w:w="280" w:type="dxa"/>
            <w:vAlign w:val="bottom"/>
            <w:tcBorders>
              <w:bottom w:val="single" w:sz="8" w:color="E5E5E5"/>
            </w:tcBorders>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Borders>
              <w:bottom w:val="single" w:sz="8" w:color="E5E5E5"/>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E5E5E5"/>
            </w:tcBorders>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313</w:t>
            </w:r>
          </w:p>
        </w:tc>
        <w:tc>
          <w:tcPr>
            <w:tcW w:w="32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E5E5E5"/>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828</w:t>
            </w:r>
          </w:p>
        </w:tc>
        <w:tc>
          <w:tcPr>
            <w:tcW w:w="30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
        </w:trPr>
        <w:tc>
          <w:tcPr>
            <w:tcW w:w="3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7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00" w:type="dxa"/>
            <w:vAlign w:val="bottom"/>
            <w:tcBorders>
              <w:top w:val="single" w:sz="8" w:color="E5E5E5"/>
              <w:bottom w:val="single" w:sz="8" w:color="auto"/>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00" w:type="dxa"/>
            <w:vAlign w:val="bottom"/>
            <w:tcBorders>
              <w:top w:val="single" w:sz="8" w:color="E5E5E5"/>
              <w:bottom w:val="single" w:sz="8" w:color="auto"/>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tcBorders>
          </w:tcPr>
          <w:p>
            <w:pPr>
              <w:spacing w:after="0" w:line="20" w:lineRule="exact"/>
              <w:rPr>
                <w:sz w:val="1"/>
                <w:szCs w:val="1"/>
                <w:color w:val="auto"/>
              </w:rPr>
            </w:pPr>
          </w:p>
        </w:tc>
        <w:tc>
          <w:tcPr>
            <w:tcW w:w="68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E5E5E5"/>
          </w:tcPr>
          <w:p>
            <w:pPr>
              <w:ind w:left="20"/>
              <w:spacing w:after="0" w:line="149" w:lineRule="exact"/>
              <w:rPr>
                <w:sz w:val="20"/>
                <w:szCs w:val="20"/>
                <w:color w:val="auto"/>
              </w:rPr>
            </w:pPr>
            <w:r>
              <w:rPr>
                <w:rFonts w:ascii="Arial" w:cs="Arial" w:eastAsia="Arial" w:hAnsi="Arial"/>
                <w:sz w:val="14"/>
                <w:szCs w:val="14"/>
                <w:color w:val="auto"/>
              </w:rPr>
              <w:t>Dividends on preferred stock used in adjusted EPS</w:t>
            </w:r>
          </w:p>
        </w:tc>
        <w:tc>
          <w:tcPr>
            <w:tcW w:w="36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30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32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3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2"/>
            <w:shd w:val="clear" w:color="auto" w:fill="E5E5E5"/>
          </w:tcPr>
          <w:p>
            <w:pPr>
              <w:ind w:left="20"/>
              <w:spacing w:after="0" w:line="176" w:lineRule="exact"/>
              <w:rPr>
                <w:sz w:val="20"/>
                <w:szCs w:val="20"/>
                <w:color w:val="auto"/>
              </w:rPr>
            </w:pPr>
            <w:r>
              <w:rPr>
                <w:rFonts w:ascii="Arial" w:cs="Arial" w:eastAsia="Arial" w:hAnsi="Arial"/>
                <w:sz w:val="14"/>
                <w:szCs w:val="14"/>
                <w:color w:val="auto"/>
              </w:rPr>
              <w:t>calculation</w:t>
            </w:r>
            <w:r>
              <w:rPr>
                <w:rFonts w:ascii="Arial" w:cs="Arial" w:eastAsia="Arial" w:hAnsi="Arial"/>
                <w:sz w:val="18"/>
                <w:szCs w:val="18"/>
                <w:color w:val="auto"/>
                <w:vertAlign w:val="superscript"/>
              </w:rPr>
              <w:t>(3)</w:t>
            </w:r>
          </w:p>
        </w:tc>
        <w:tc>
          <w:tcPr>
            <w:tcW w:w="3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280" w:type="dxa"/>
            <w:vAlign w:val="bottom"/>
            <w:gridSpan w:val="2"/>
            <w:vMerge w:val="continue"/>
            <w:shd w:val="clear" w:color="auto" w:fill="E5E5E5"/>
          </w:tcPr>
          <w:p>
            <w:pPr>
              <w:spacing w:after="0"/>
              <w:rPr>
                <w:sz w:val="15"/>
                <w:szCs w:val="15"/>
                <w:color w:val="auto"/>
              </w:rPr>
            </w:pPr>
          </w:p>
        </w:tc>
        <w:tc>
          <w:tcPr>
            <w:tcW w:w="820" w:type="dxa"/>
            <w:vAlign w:val="bottom"/>
            <w:gridSpan w:val="2"/>
            <w:vMerge w:val="continue"/>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300" w:type="dxa"/>
            <w:vAlign w:val="bottom"/>
            <w:gridSpan w:val="2"/>
            <w:vMerge w:val="continue"/>
            <w:shd w:val="clear" w:color="auto" w:fill="E5E5E5"/>
          </w:tcPr>
          <w:p>
            <w:pPr>
              <w:spacing w:after="0"/>
              <w:rPr>
                <w:sz w:val="15"/>
                <w:szCs w:val="15"/>
                <w:color w:val="auto"/>
              </w:rPr>
            </w:pPr>
          </w:p>
        </w:tc>
        <w:tc>
          <w:tcPr>
            <w:tcW w:w="780" w:type="dxa"/>
            <w:vAlign w:val="bottom"/>
            <w:gridSpan w:val="2"/>
            <w:vMerge w:val="continue"/>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320" w:type="dxa"/>
            <w:vAlign w:val="bottom"/>
            <w:gridSpan w:val="2"/>
            <w:vMerge w:val="continue"/>
            <w:shd w:val="clear" w:color="auto" w:fill="E5E5E5"/>
          </w:tcPr>
          <w:p>
            <w:pPr>
              <w:spacing w:after="0"/>
              <w:rPr>
                <w:sz w:val="15"/>
                <w:szCs w:val="15"/>
                <w:color w:val="auto"/>
              </w:rPr>
            </w:pPr>
          </w:p>
        </w:tc>
        <w:tc>
          <w:tcPr>
            <w:tcW w:w="680" w:type="dxa"/>
            <w:vAlign w:val="bottom"/>
            <w:vMerge w:val="continue"/>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300" w:type="dxa"/>
            <w:vAlign w:val="bottom"/>
            <w:gridSpan w:val="2"/>
            <w:vMerge w:val="continue"/>
            <w:shd w:val="clear" w:color="auto" w:fill="E5E5E5"/>
          </w:tcPr>
          <w:p>
            <w:pPr>
              <w:spacing w:after="0"/>
              <w:rPr>
                <w:sz w:val="15"/>
                <w:szCs w:val="15"/>
                <w:color w:val="auto"/>
              </w:rPr>
            </w:pPr>
          </w:p>
        </w:tc>
        <w:tc>
          <w:tcPr>
            <w:tcW w:w="680" w:type="dxa"/>
            <w:vAlign w:val="bottom"/>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8"/>
                <w:szCs w:val="18"/>
                <w:color w:val="auto"/>
                <w:vertAlign w:val="superscript"/>
              </w:rPr>
              <w:t>(3)</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8"/>
                <w:szCs w:val="18"/>
                <w:color w:val="auto"/>
                <w:vertAlign w:val="superscript"/>
              </w:rPr>
              <w:t>(4)</w:t>
            </w:r>
          </w:p>
        </w:tc>
        <w:tc>
          <w:tcPr>
            <w:tcW w:w="3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7"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and EPS from continuing operations attributable to Xerox Holdings.</w:t>
      </w:r>
    </w:p>
    <w:p>
      <w:pPr>
        <w:spacing w:after="0" w:line="15" w:lineRule="exact"/>
        <w:rPr>
          <w:rFonts w:ascii="Arial" w:cs="Arial" w:eastAsia="Arial" w:hAnsi="Arial"/>
          <w:sz w:val="9"/>
          <w:szCs w:val="9"/>
          <w:i w:val="1"/>
          <w:iCs w:val="1"/>
          <w:color w:val="auto"/>
        </w:rPr>
      </w:pPr>
    </w:p>
    <w:p>
      <w:pPr>
        <w:ind w:left="320" w:hanging="312"/>
        <w:spacing w:after="0"/>
        <w:tabs>
          <w:tab w:leader="none" w:pos="320"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Refer to Effective Tax Rate reconciliation.</w:t>
      </w:r>
    </w:p>
    <w:p>
      <w:pPr>
        <w:spacing w:after="0" w:line="1" w:lineRule="exact"/>
        <w:rPr>
          <w:rFonts w:ascii="Arial" w:cs="Arial" w:eastAsia="Arial" w:hAnsi="Arial"/>
          <w:sz w:val="9"/>
          <w:szCs w:val="9"/>
          <w:i w:val="1"/>
          <w:iCs w:val="1"/>
          <w:color w:val="auto"/>
        </w:rPr>
      </w:pPr>
    </w:p>
    <w:p>
      <w:pPr>
        <w:jc w:val="both"/>
        <w:ind w:left="340" w:hanging="332"/>
        <w:spacing w:after="0" w:line="241" w:lineRule="auto"/>
        <w:tabs>
          <w:tab w:leader="none" w:pos="333"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Average shares for the calculation of adjusted diluted EPS for the three months ended December 31, 2020, and for three months ended and year ended 2019, includes 7 million shares associated with our Series A convertible preferred stock and therefore earnings excludes the preferred stock dividend. Average shares for the calculation of adjusted diluted EPS for the year ended December 31, 2020 excludes 7 million shares associated with our Series A convertible preferred stock and therefore earnings includes the preferred stock dividend.</w:t>
      </w:r>
    </w:p>
    <w:p>
      <w:pPr>
        <w:spacing w:after="0" w:line="1" w:lineRule="exact"/>
        <w:rPr>
          <w:rFonts w:ascii="Arial" w:cs="Arial" w:eastAsia="Arial" w:hAnsi="Arial"/>
          <w:sz w:val="9"/>
          <w:szCs w:val="9"/>
          <w:i w:val="1"/>
          <w:iCs w:val="1"/>
          <w:color w:val="auto"/>
        </w:rPr>
      </w:pPr>
    </w:p>
    <w:p>
      <w:pPr>
        <w:ind w:left="340" w:hanging="332"/>
        <w:spacing w:after="0" w:line="258" w:lineRule="auto"/>
        <w:tabs>
          <w:tab w:leader="none" w:pos="333"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Represents common shares outstanding at December 31, 2020 plus potential dilutive common shares as used for the calculation of adjusted diluted EPS for the three months ended December 31, 2020 which includes shares associated with our Series A convertible preferred stock.</w:t>
      </w:r>
    </w:p>
    <w:p>
      <w:pPr>
        <w:spacing w:after="0" w:line="330"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Three Months Ended</w:t>
      </w:r>
    </w:p>
    <w:p>
      <w:pPr>
        <w:ind w:left="9400"/>
        <w:spacing w:after="0"/>
        <w:rPr>
          <w:sz w:val="20"/>
          <w:szCs w:val="20"/>
          <w:color w:val="auto"/>
        </w:rPr>
      </w:pPr>
      <w:r>
        <w:rPr>
          <w:rFonts w:ascii="Arial" w:cs="Arial" w:eastAsia="Arial" w:hAnsi="Arial"/>
          <w:sz w:val="14"/>
          <w:szCs w:val="14"/>
          <w:color w:val="auto"/>
        </w:rPr>
        <w:t>September 30,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per share amounts)</w:t>
            </w:r>
          </w:p>
        </w:tc>
        <w:tc>
          <w:tcPr>
            <w:tcW w:w="100" w:type="dxa"/>
            <w:vAlign w:val="bottom"/>
            <w:tcBorders>
              <w:bottom w:val="single" w:sz="8" w:color="E5E5E5"/>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bottom w:val="single" w:sz="8" w:color="E5E5E5"/>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EPS</w:t>
            </w:r>
          </w:p>
        </w:tc>
      </w:tr>
      <w:tr>
        <w:trPr>
          <w:trHeight w:val="183"/>
        </w:trPr>
        <w:tc>
          <w:tcPr>
            <w:tcW w:w="8760" w:type="dxa"/>
            <w:vAlign w:val="bottom"/>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0.41</w:t>
            </w:r>
          </w:p>
        </w:tc>
      </w:tr>
      <w:tr>
        <w:trPr>
          <w:trHeight w:val="189"/>
        </w:trPr>
        <w:tc>
          <w:tcPr>
            <w:tcW w:w="88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w:t>
            </w: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189"/>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Transaction and related costs, net</w:t>
            </w: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189"/>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Non-service retirement-related costs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tax on adjustments</w:t>
            </w:r>
          </w:p>
        </w:tc>
        <w:tc>
          <w:tcPr>
            <w:tcW w:w="16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183"/>
        </w:trPr>
        <w:tc>
          <w:tcPr>
            <w:tcW w:w="88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0.48</w:t>
            </w:r>
          </w:p>
        </w:tc>
      </w:tr>
      <w:tr>
        <w:trPr>
          <w:trHeight w:val="20"/>
        </w:trPr>
        <w:tc>
          <w:tcPr>
            <w:tcW w:w="87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E5E5E5"/>
            </w:tcBorders>
          </w:tcPr>
          <w:p>
            <w:pPr>
              <w:spacing w:after="0" w:line="20" w:lineRule="exact"/>
              <w:rPr>
                <w:sz w:val="1"/>
                <w:szCs w:val="1"/>
                <w:color w:val="auto"/>
              </w:rPr>
            </w:pPr>
          </w:p>
        </w:tc>
        <w:tc>
          <w:tcPr>
            <w:tcW w:w="880" w:type="dxa"/>
            <w:vAlign w:val="bottom"/>
            <w:tcBorders>
              <w:bottom w:val="single" w:sz="8" w:color="E5E5E5"/>
            </w:tcBorders>
          </w:tcPr>
          <w:p>
            <w:pPr>
              <w:spacing w:after="0" w:line="20" w:lineRule="exact"/>
              <w:rPr>
                <w:sz w:val="1"/>
                <w:szCs w:val="1"/>
                <w:color w:val="auto"/>
              </w:rPr>
            </w:pPr>
          </w:p>
        </w:tc>
      </w:tr>
      <w:tr>
        <w:trPr>
          <w:trHeight w:val="183"/>
        </w:trPr>
        <w:tc>
          <w:tcPr>
            <w:tcW w:w="87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r>
      <w:tr>
        <w:trPr>
          <w:trHeight w:val="189"/>
        </w:trPr>
        <w:tc>
          <w:tcPr>
            <w:tcW w:w="8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8"/>
                <w:szCs w:val="18"/>
                <w:color w:val="auto"/>
                <w:vertAlign w:val="superscript"/>
              </w:rPr>
              <w:t>(2)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8860" w:type="dxa"/>
            <w:vAlign w:val="bottom"/>
            <w:gridSpan w:val="2"/>
            <w:shd w:val="clear" w:color="auto" w:fill="E5E5E5"/>
          </w:tcPr>
          <w:p>
            <w:pPr>
              <w:ind w:left="20"/>
              <w:spacing w:after="0" w:line="189" w:lineRule="exact"/>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8"/>
                <w:szCs w:val="18"/>
                <w:color w:val="auto"/>
                <w:vertAlign w:val="superscript"/>
              </w:rPr>
              <w:t>(2)</w:t>
            </w: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213</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5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income and EPS from continuing operations attributable to Xerox Holdings.</w:t>
      </w:r>
    </w:p>
    <w:p>
      <w:pPr>
        <w:ind w:left="340" w:hanging="332"/>
        <w:spacing w:after="0" w:line="211" w:lineRule="auto"/>
        <w:tabs>
          <w:tab w:leader="none" w:pos="333" w:val="left"/>
        </w:tabs>
        <w:numPr>
          <w:ilvl w:val="0"/>
          <w:numId w:val="3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Average shares for the calculation of adjusted diluted EPS exclude 7 million shares associated with our Series A convertible preferred stock and therefore earnings include the preferred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9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gridSpan w:val="7"/>
          </w:tcPr>
          <w:p>
            <w:pPr>
              <w:jc w:val="center"/>
              <w:ind w:right="1240"/>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gridSpan w:val="6"/>
          </w:tcPr>
          <w:p>
            <w:pPr>
              <w:jc w:val="center"/>
              <w:ind w:right="106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color w:val="auto"/>
              </w:rPr>
              <w:t>December 31, 2020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color w:val="auto"/>
              </w:rPr>
              <w:t>December 31, 2019</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color w:val="auto"/>
              </w:rPr>
              <w:t>Income Tax</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w w:val="99"/>
              </w:rPr>
              <w:t>Effective Tax Rate</w:t>
            </w:r>
          </w:p>
        </w:tc>
        <w:tc>
          <w:tcPr>
            <w:tcW w:w="120" w:type="dxa"/>
            <w:vAlign w:val="bottom"/>
            <w:vMerge w:val="restart"/>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280"/>
              <w:spacing w:after="0" w:line="147" w:lineRule="exact"/>
              <w:rPr>
                <w:sz w:val="20"/>
                <w:szCs w:val="20"/>
                <w:color w:val="auto"/>
              </w:rPr>
            </w:pPr>
            <w:r>
              <w:rPr>
                <w:rFonts w:ascii="Arial" w:cs="Arial" w:eastAsia="Arial" w:hAnsi="Arial"/>
                <w:sz w:val="14"/>
                <w:szCs w:val="14"/>
                <w:color w:val="auto"/>
              </w:rPr>
              <w:t>Income Tax</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w w:val="99"/>
              </w:rPr>
              <w:t>Effective Tax Rate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E5E5E5"/>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E5E5E5"/>
            </w:tcBorders>
            <w:vMerge w:val="continue"/>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E5E5E5"/>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103</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27.2 %</w:t>
            </w:r>
          </w:p>
        </w:tc>
        <w:tc>
          <w:tcPr>
            <w:tcW w:w="120" w:type="dxa"/>
            <w:vAlign w:val="bottom"/>
            <w:shd w:val="clear" w:color="auto" w:fill="E5E5E5"/>
          </w:tcPr>
          <w:p>
            <w:pPr>
              <w:spacing w:after="0"/>
              <w:rPr>
                <w:sz w:val="15"/>
                <w:szCs w:val="15"/>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336</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21.7 %</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Non-GAAP Adjustments</w:t>
            </w:r>
            <w:r>
              <w:rPr>
                <w:rFonts w:ascii="Arial" w:cs="Arial" w:eastAsia="Arial" w:hAnsi="Arial"/>
                <w:sz w:val="18"/>
                <w:szCs w:val="18"/>
                <w:color w:val="auto"/>
                <w:vertAlign w:val="superscript"/>
              </w:rPr>
              <w:t>(2)</w:t>
            </w:r>
          </w:p>
        </w:tc>
        <w:tc>
          <w:tcPr>
            <w:tcW w:w="4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Tax Act</w:t>
            </w:r>
          </w:p>
        </w:tc>
        <w:tc>
          <w:tcPr>
            <w:tcW w:w="440" w:type="dxa"/>
            <w:vAlign w:val="bottom"/>
            <w:tcBorders>
              <w:bottom w:val="single" w:sz="8" w:color="auto"/>
            </w:tcBorders>
            <w:shd w:val="clear" w:color="auto" w:fill="E5E5E5"/>
          </w:tcPr>
          <w:p>
            <w:pPr>
              <w:spacing w:after="0"/>
              <w:rPr>
                <w:sz w:val="16"/>
                <w:szCs w:val="16"/>
                <w:color w:val="auto"/>
              </w:rPr>
            </w:pP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14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16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line="182"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(3)</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29.8 %</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color w:val="auto"/>
              </w:rPr>
              <w:t>Year Ended</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rPr>
              <w:t>Year Ended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color w:val="auto"/>
              </w:rPr>
              <w:t>December 31, 2020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color w:val="auto"/>
              </w:rPr>
              <w:t>December 31, 2019</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color w:val="auto"/>
              </w:rPr>
              <w:t>Income Tax</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w w:val="99"/>
              </w:rPr>
              <w:t>Effective Tax Rate</w:t>
            </w:r>
          </w:p>
        </w:tc>
        <w:tc>
          <w:tcPr>
            <w:tcW w:w="120" w:type="dxa"/>
            <w:vAlign w:val="bottom"/>
            <w:vMerge w:val="restart"/>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280"/>
              <w:spacing w:after="0" w:line="147" w:lineRule="exact"/>
              <w:rPr>
                <w:sz w:val="20"/>
                <w:szCs w:val="20"/>
                <w:color w:val="auto"/>
              </w:rPr>
            </w:pPr>
            <w:r>
              <w:rPr>
                <w:rFonts w:ascii="Arial" w:cs="Arial" w:eastAsia="Arial" w:hAnsi="Arial"/>
                <w:sz w:val="14"/>
                <w:szCs w:val="14"/>
                <w:color w:val="auto"/>
              </w:rPr>
              <w:t>Income Tax</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w w:val="99"/>
              </w:rPr>
              <w:t>Effective Tax Rate</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E5E5E5"/>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E5E5E5"/>
            </w:tcBorders>
            <w:vMerge w:val="continue"/>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E5E5E5"/>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9"/>
                <w:szCs w:val="9"/>
                <w:b w:val="1"/>
                <w:bCs w:val="1"/>
                <w:color w:val="auto"/>
              </w:rPr>
              <w:t>(1)</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252</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25.4 %</w:t>
            </w:r>
          </w:p>
        </w:tc>
        <w:tc>
          <w:tcPr>
            <w:tcW w:w="120" w:type="dxa"/>
            <w:vAlign w:val="bottom"/>
            <w:shd w:val="clear" w:color="auto" w:fill="E5E5E5"/>
          </w:tcPr>
          <w:p>
            <w:pPr>
              <w:spacing w:after="0"/>
              <w:rPr>
                <w:sz w:val="15"/>
                <w:szCs w:val="15"/>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822</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9"/>
                <w:szCs w:val="9"/>
                <w:color w:val="auto"/>
              </w:rPr>
              <w:t>(2)</w:t>
            </w:r>
          </w:p>
        </w:tc>
        <w:tc>
          <w:tcPr>
            <w:tcW w:w="4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Tax Act</w:t>
            </w:r>
          </w:p>
        </w:tc>
        <w:tc>
          <w:tcPr>
            <w:tcW w:w="440" w:type="dxa"/>
            <w:vAlign w:val="bottom"/>
            <w:tcBorders>
              <w:bottom w:val="single" w:sz="8" w:color="auto"/>
            </w:tcBorders>
            <w:shd w:val="clear" w:color="auto" w:fill="E5E5E5"/>
          </w:tcPr>
          <w:p>
            <w:pPr>
              <w:spacing w:after="0"/>
              <w:rPr>
                <w:sz w:val="16"/>
                <w:szCs w:val="16"/>
                <w:color w:val="auto"/>
              </w:rPr>
            </w:pP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14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16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26.3 %</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1,114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26.1 %</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97"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9"/>
          <w:szCs w:val="9"/>
          <w:i w:val="1"/>
          <w:iCs w:val="1"/>
          <w:color w:val="auto"/>
        </w:rPr>
      </w:pPr>
      <w:r>
        <w:rPr>
          <w:rFonts w:ascii="Arial" w:cs="Arial" w:eastAsia="Arial" w:hAnsi="Arial"/>
          <w:sz w:val="14"/>
          <w:szCs w:val="14"/>
          <w:i w:val="1"/>
          <w:iCs w:val="1"/>
          <w:color w:val="auto"/>
        </w:rPr>
        <w:t>Pre-tax income and income tax expense from continuing operations.</w:t>
      </w:r>
    </w:p>
    <w:p>
      <w:pPr>
        <w:spacing w:after="0" w:line="15" w:lineRule="exact"/>
        <w:rPr>
          <w:rFonts w:ascii="Arial" w:cs="Arial" w:eastAsia="Arial" w:hAnsi="Arial"/>
          <w:sz w:val="9"/>
          <w:szCs w:val="9"/>
          <w:i w:val="1"/>
          <w:iCs w:val="1"/>
          <w:color w:val="auto"/>
        </w:rPr>
      </w:pPr>
    </w:p>
    <w:p>
      <w:pPr>
        <w:ind w:left="160" w:hanging="152"/>
        <w:spacing w:after="0"/>
        <w:tabs>
          <w:tab w:leader="none" w:pos="160" w:val="left"/>
        </w:tabs>
        <w:numPr>
          <w:ilvl w:val="0"/>
          <w:numId w:val="37"/>
        </w:numPr>
        <w:rPr>
          <w:rFonts w:ascii="Arial" w:cs="Arial" w:eastAsia="Arial" w:hAnsi="Arial"/>
          <w:sz w:val="9"/>
          <w:szCs w:val="9"/>
          <w:i w:val="1"/>
          <w:iCs w:val="1"/>
          <w:color w:val="auto"/>
        </w:rPr>
      </w:pPr>
      <w:r>
        <w:rPr>
          <w:rFonts w:ascii="Arial" w:cs="Arial" w:eastAsia="Arial" w:hAnsi="Arial"/>
          <w:sz w:val="14"/>
          <w:szCs w:val="14"/>
          <w:i w:val="1"/>
          <w:iCs w:val="1"/>
          <w:color w:val="auto"/>
        </w:rPr>
        <w:t>Refer to Net Income and EPS reconciliation for details.</w:t>
      </w:r>
    </w:p>
    <w:p>
      <w:pPr>
        <w:spacing w:after="0" w:line="1" w:lineRule="exact"/>
        <w:rPr>
          <w:rFonts w:ascii="Arial" w:cs="Arial" w:eastAsia="Arial" w:hAnsi="Arial"/>
          <w:sz w:val="9"/>
          <w:szCs w:val="9"/>
          <w:i w:val="1"/>
          <w:iCs w:val="1"/>
          <w:color w:val="auto"/>
        </w:rPr>
      </w:pPr>
    </w:p>
    <w:p>
      <w:pPr>
        <w:ind w:right="2340" w:firstLine="8"/>
        <w:spacing w:after="0" w:line="258" w:lineRule="auto"/>
        <w:tabs>
          <w:tab w:leader="none" w:pos="140" w:val="left"/>
        </w:tabs>
        <w:numPr>
          <w:ilvl w:val="0"/>
          <w:numId w:val="37"/>
        </w:numPr>
        <w:rPr>
          <w:rFonts w:ascii="Arial" w:cs="Arial" w:eastAsia="Arial" w:hAnsi="Arial"/>
          <w:sz w:val="9"/>
          <w:szCs w:val="9"/>
          <w:i w:val="1"/>
          <w:iCs w:val="1"/>
          <w:color w:val="auto"/>
        </w:rPr>
      </w:pPr>
      <w:r>
        <w:rPr>
          <w:rFonts w:ascii="Arial" w:cs="Arial" w:eastAsia="Arial" w:hAnsi="Arial"/>
          <w:sz w:val="14"/>
          <w:szCs w:val="14"/>
          <w:i w:val="1"/>
          <w:iCs w:val="1"/>
          <w:color w:val="auto"/>
        </w:rPr>
        <w:t>The tax impact on Adjusted Pre-Tax Income from continuing operations is calculated under the same accounting principles applied to the Reported Pre-Tax Income under ASC 740, which employs an annual effective tax rate method to the results.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color w:val="auto"/>
              </w:rPr>
              <w:t>December 31, 2020</w:t>
            </w: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color w:val="auto"/>
              </w:rPr>
              <w:t>December 31, 2019</w:t>
            </w:r>
          </w:p>
        </w:tc>
        <w:tc>
          <w:tcPr>
            <w:tcW w:w="1000" w:type="dxa"/>
            <w:vAlign w:val="bottom"/>
            <w:tcBorders>
              <w:bottom w:val="single" w:sz="8" w:color="auto"/>
            </w:tcBorders>
          </w:tcPr>
          <w:p>
            <w:pPr>
              <w:spacing w:after="0"/>
              <w:rPr>
                <w:sz w:val="14"/>
                <w:szCs w:val="14"/>
                <w:color w:val="auto"/>
              </w:rPr>
            </w:pPr>
          </w:p>
        </w:tc>
      </w:tr>
      <w:tr>
        <w:trPr>
          <w:trHeight w:val="183"/>
        </w:trPr>
        <w:tc>
          <w:tcPr>
            <w:tcW w:w="3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Profit</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Margin</w:t>
            </w:r>
          </w:p>
        </w:tc>
        <w:tc>
          <w:tcPr>
            <w:tcW w:w="100" w:type="dxa"/>
            <w:vAlign w:val="bottom"/>
            <w:tcBorders>
              <w:bottom w:val="single" w:sz="8" w:color="E5E5E5"/>
            </w:tcBorders>
            <w:gridSpan w:val="2"/>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Margin</w:t>
            </w:r>
          </w:p>
        </w:tc>
      </w:tr>
      <w:tr>
        <w:trPr>
          <w:trHeight w:val="183"/>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9"/>
                <w:szCs w:val="9"/>
                <w:b w:val="1"/>
                <w:bCs w:val="1"/>
                <w:color w:val="auto"/>
              </w:rPr>
              <w:t>(1)</w:t>
            </w: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103</w:t>
            </w:r>
          </w:p>
        </w:tc>
        <w:tc>
          <w:tcPr>
            <w:tcW w:w="20" w:type="dxa"/>
            <w:vAlign w:val="bottom"/>
            <w:shd w:val="clear" w:color="auto" w:fill="E5E5E5"/>
          </w:tcPr>
          <w:p>
            <w:pPr>
              <w:spacing w:after="0"/>
              <w:rPr>
                <w:sz w:val="15"/>
                <w:szCs w:val="15"/>
                <w:color w:val="auto"/>
              </w:rPr>
            </w:pP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1,930</w:t>
            </w: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5.3 %</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336</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13.7 %</w:t>
            </w:r>
          </w:p>
        </w:tc>
      </w:tr>
      <w:tr>
        <w:trPr>
          <w:trHeight w:val="189"/>
        </w:trPr>
        <w:tc>
          <w:tcPr>
            <w:tcW w:w="3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w:t>
            </w:r>
          </w:p>
        </w:tc>
        <w:tc>
          <w:tcPr>
            <w:tcW w:w="760" w:type="dxa"/>
            <w:vAlign w:val="bottom"/>
            <w:shd w:val="clear" w:color="auto" w:fill="E5E5E5"/>
          </w:tcPr>
          <w:p>
            <w:pPr>
              <w:spacing w:after="0"/>
              <w:rPr>
                <w:sz w:val="16"/>
                <w:szCs w:val="16"/>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r>
      <w:tr>
        <w:trPr>
          <w:trHeight w:val="189"/>
        </w:trPr>
        <w:tc>
          <w:tcPr>
            <w:tcW w:w="3780" w:type="dxa"/>
            <w:vAlign w:val="bottom"/>
            <w:gridSpan w:val="3"/>
          </w:tcPr>
          <w:p>
            <w:pPr>
              <w:ind w:left="20"/>
              <w:spacing w:after="0"/>
              <w:rPr>
                <w:sz w:val="20"/>
                <w:szCs w:val="20"/>
                <w:color w:val="auto"/>
              </w:rPr>
            </w:pPr>
            <w:r>
              <w:rPr>
                <w:rFonts w:ascii="Arial" w:cs="Arial" w:eastAsia="Arial" w:hAnsi="Arial"/>
                <w:sz w:val="14"/>
                <w:szCs w:val="14"/>
                <w:color w:val="auto"/>
              </w:rPr>
              <w:t>Amortization of intangible assets</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Transaction and related costs, net</w:t>
            </w:r>
          </w:p>
        </w:tc>
        <w:tc>
          <w:tcPr>
            <w:tcW w:w="76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r>
      <w:tr>
        <w:trPr>
          <w:trHeight w:val="189"/>
        </w:trPr>
        <w:tc>
          <w:tcPr>
            <w:tcW w:w="3780" w:type="dxa"/>
            <w:vAlign w:val="bottom"/>
            <w:tcBorders>
              <w:bottom w:val="single" w:sz="8" w:color="E5E5E5"/>
            </w:tcBorders>
            <w:gridSpan w:val="3"/>
          </w:tcPr>
          <w:p>
            <w:pPr>
              <w:ind w:left="20"/>
              <w:spacing w:after="0"/>
              <w:rPr>
                <w:sz w:val="20"/>
                <w:szCs w:val="20"/>
                <w:color w:val="auto"/>
              </w:rPr>
            </w:pPr>
            <w:r>
              <w:rPr>
                <w:rFonts w:ascii="Arial" w:cs="Arial" w:eastAsia="Arial" w:hAnsi="Arial"/>
                <w:sz w:val="14"/>
                <w:szCs w:val="14"/>
                <w:color w:val="auto"/>
              </w:rPr>
              <w:t>Other expenses, net</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10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1000" w:type="dxa"/>
            <w:vAlign w:val="bottom"/>
            <w:tcBorders>
              <w:bottom w:val="single" w:sz="8" w:color="E5E5E5"/>
            </w:tcBorders>
          </w:tcPr>
          <w:p>
            <w:pPr>
              <w:spacing w:after="0"/>
              <w:rPr>
                <w:sz w:val="16"/>
                <w:szCs w:val="16"/>
                <w:color w:val="auto"/>
              </w:rPr>
            </w:pPr>
          </w:p>
        </w:tc>
      </w:tr>
      <w:tr>
        <w:trPr>
          <w:trHeight w:val="203"/>
        </w:trPr>
        <w:tc>
          <w:tcPr>
            <w:tcW w:w="3780" w:type="dxa"/>
            <w:vAlign w:val="bottom"/>
            <w:tcBorders>
              <w:bottom w:val="single" w:sz="8" w:color="E5E5E5"/>
            </w:tcBorders>
            <w:gridSpan w:val="3"/>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p>
        </w:tc>
        <w:tc>
          <w:tcPr>
            <w:tcW w:w="76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184</w:t>
            </w:r>
          </w:p>
        </w:tc>
        <w:tc>
          <w:tcPr>
            <w:tcW w:w="20" w:type="dxa"/>
            <w:vAlign w:val="bottom"/>
            <w:tcBorders>
              <w:bottom w:val="single" w:sz="8" w:color="auto"/>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1,930</w:t>
            </w:r>
          </w:p>
        </w:tc>
        <w:tc>
          <w:tcPr>
            <w:tcW w:w="20" w:type="dxa"/>
            <w:vAlign w:val="bottom"/>
            <w:tcBorders>
              <w:bottom w:val="single" w:sz="8" w:color="auto"/>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220" w:type="dxa"/>
            <w:vAlign w:val="bottom"/>
            <w:tcBorders>
              <w:bottom w:val="single" w:sz="8" w:color="E5E5E5"/>
            </w:tcBorders>
            <w:shd w:val="clear" w:color="auto" w:fill="E5E5E5"/>
          </w:tcPr>
          <w:p>
            <w:pPr>
              <w:spacing w:after="0"/>
              <w:rPr>
                <w:sz w:val="17"/>
                <w:szCs w:val="17"/>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9.5 %</w:t>
            </w:r>
          </w:p>
        </w:tc>
        <w:tc>
          <w:tcPr>
            <w:tcW w:w="20" w:type="dxa"/>
            <w:vAlign w:val="bottom"/>
            <w:tcBorders>
              <w:bottom w:val="single" w:sz="8" w:color="E5E5E5"/>
            </w:tcBorders>
            <w:shd w:val="clear" w:color="auto" w:fill="E5E5E5"/>
          </w:tcPr>
          <w:p>
            <w:pPr>
              <w:spacing w:after="0"/>
              <w:rPr>
                <w:sz w:val="17"/>
                <w:szCs w:val="17"/>
                <w:color w:val="auto"/>
              </w:rPr>
            </w:pPr>
          </w:p>
        </w:tc>
        <w:tc>
          <w:tcPr>
            <w:tcW w:w="80" w:type="dxa"/>
            <w:vAlign w:val="bottom"/>
            <w:tcBorders>
              <w:bottom w:val="single" w:sz="8" w:color="E5E5E5"/>
            </w:tcBorders>
            <w:shd w:val="clear" w:color="auto" w:fill="E5E5E5"/>
          </w:tcPr>
          <w:p>
            <w:pPr>
              <w:spacing w:after="0"/>
              <w:rPr>
                <w:sz w:val="17"/>
                <w:szCs w:val="17"/>
                <w:color w:val="auto"/>
              </w:rPr>
            </w:pPr>
          </w:p>
        </w:tc>
        <w:tc>
          <w:tcPr>
            <w:tcW w:w="20" w:type="dxa"/>
            <w:vAlign w:val="bottom"/>
            <w:tcBorders>
              <w:bottom w:val="single" w:sz="8" w:color="E5E5E5"/>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2,444</w:t>
            </w:r>
          </w:p>
        </w:tc>
        <w:tc>
          <w:tcPr>
            <w:tcW w:w="120" w:type="dxa"/>
            <w:vAlign w:val="bottom"/>
            <w:tcBorders>
              <w:bottom w:val="single" w:sz="8" w:color="E5E5E5"/>
            </w:tcBorders>
            <w:shd w:val="clear" w:color="auto" w:fill="E5E5E5"/>
          </w:tcPr>
          <w:p>
            <w:pPr>
              <w:spacing w:after="0"/>
              <w:rPr>
                <w:sz w:val="17"/>
                <w:szCs w:val="17"/>
                <w:color w:val="auto"/>
              </w:rPr>
            </w:pPr>
          </w:p>
        </w:tc>
        <w:tc>
          <w:tcPr>
            <w:tcW w:w="220" w:type="dxa"/>
            <w:vAlign w:val="bottom"/>
            <w:tcBorders>
              <w:bottom w:val="single" w:sz="8" w:color="E5E5E5"/>
            </w:tcBorders>
            <w:shd w:val="clear" w:color="auto" w:fill="E5E5E5"/>
          </w:tcPr>
          <w:p>
            <w:pPr>
              <w:spacing w:after="0"/>
              <w:rPr>
                <w:sz w:val="17"/>
                <w:szCs w:val="17"/>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16.8 %</w:t>
            </w: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21"/>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4"/>
          </w:tcPr>
          <w:p>
            <w:pPr>
              <w:jc w:val="center"/>
              <w:ind w:right="400"/>
              <w:spacing w:after="0"/>
              <w:rPr>
                <w:sz w:val="20"/>
                <w:szCs w:val="20"/>
                <w:color w:val="auto"/>
              </w:rPr>
            </w:pPr>
            <w:r>
              <w:rPr>
                <w:rFonts w:ascii="Arial" w:cs="Arial" w:eastAsia="Arial" w:hAnsi="Arial"/>
                <w:sz w:val="14"/>
                <w:szCs w:val="14"/>
                <w:color w:val="auto"/>
              </w:rPr>
              <w:t>Year Ended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color w:val="auto"/>
              </w:rPr>
              <w:t>Year Ended</w:t>
            </w:r>
          </w:p>
        </w:tc>
        <w:tc>
          <w:tcPr>
            <w:tcW w:w="1000" w:type="dxa"/>
            <w:vAlign w:val="bottom"/>
          </w:tcPr>
          <w:p>
            <w:pPr>
              <w:spacing w:after="0"/>
              <w:rPr>
                <w:sz w:val="24"/>
                <w:szCs w:val="24"/>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color w:val="auto"/>
              </w:rPr>
              <w:t>December 31, 2020</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color w:val="auto"/>
              </w:rPr>
              <w:t>December 31, 2019</w:t>
            </w:r>
          </w:p>
        </w:tc>
        <w:tc>
          <w:tcPr>
            <w:tcW w:w="1000" w:type="dxa"/>
            <w:vAlign w:val="bottom"/>
            <w:tcBorders>
              <w:bottom w:val="single" w:sz="8" w:color="auto"/>
            </w:tcBorders>
          </w:tcPr>
          <w:p>
            <w:pPr>
              <w:spacing w:after="0"/>
              <w:rPr>
                <w:sz w:val="14"/>
                <w:szCs w:val="14"/>
                <w:color w:val="auto"/>
              </w:rPr>
            </w:pPr>
          </w:p>
        </w:tc>
      </w:tr>
      <w:tr>
        <w:trPr>
          <w:trHeight w:val="18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gridSpan w:val="2"/>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Profit</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Margin</w:t>
            </w:r>
          </w:p>
        </w:tc>
        <w:tc>
          <w:tcPr>
            <w:tcW w:w="100" w:type="dxa"/>
            <w:vAlign w:val="bottom"/>
            <w:tcBorders>
              <w:bottom w:val="single" w:sz="8" w:color="E5E5E5"/>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Margin</w:t>
            </w:r>
          </w:p>
        </w:tc>
      </w:tr>
      <w:tr>
        <w:trPr>
          <w:trHeight w:val="182"/>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9"/>
                <w:szCs w:val="9"/>
                <w:b w:val="1"/>
                <w:bCs w:val="1"/>
                <w:color w:val="auto"/>
              </w:rPr>
              <w:t>(1)</w:t>
            </w: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252</w:t>
            </w:r>
          </w:p>
        </w:tc>
        <w:tc>
          <w:tcPr>
            <w:tcW w:w="20" w:type="dxa"/>
            <w:vAlign w:val="bottom"/>
            <w:shd w:val="clear" w:color="auto" w:fill="E5E5E5"/>
          </w:tcPr>
          <w:p>
            <w:pPr>
              <w:spacing w:after="0"/>
              <w:rPr>
                <w:sz w:val="15"/>
                <w:szCs w:val="15"/>
                <w:color w:val="auto"/>
              </w:rPr>
            </w:pP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7,022</w:t>
            </w:r>
          </w:p>
        </w:tc>
        <w:tc>
          <w:tcPr>
            <w:tcW w:w="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3.6 %</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822</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9,066</w:t>
            </w:r>
          </w:p>
        </w:tc>
        <w:tc>
          <w:tcPr>
            <w:tcW w:w="1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9.1 %</w:t>
            </w:r>
          </w:p>
        </w:tc>
      </w:tr>
      <w:tr>
        <w:trPr>
          <w:trHeight w:val="189"/>
        </w:trPr>
        <w:tc>
          <w:tcPr>
            <w:tcW w:w="3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w:t>
            </w:r>
          </w:p>
        </w:tc>
        <w:tc>
          <w:tcPr>
            <w:tcW w:w="760" w:type="dxa"/>
            <w:vAlign w:val="bottom"/>
            <w:shd w:val="clear" w:color="auto" w:fill="E5E5E5"/>
          </w:tcPr>
          <w:p>
            <w:pPr>
              <w:spacing w:after="0"/>
              <w:rPr>
                <w:sz w:val="16"/>
                <w:szCs w:val="16"/>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93</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r>
      <w:tr>
        <w:trPr>
          <w:trHeight w:val="189"/>
        </w:trPr>
        <w:tc>
          <w:tcPr>
            <w:tcW w:w="3780" w:type="dxa"/>
            <w:vAlign w:val="bottom"/>
            <w:gridSpan w:val="3"/>
          </w:tcPr>
          <w:p>
            <w:pPr>
              <w:ind w:left="20"/>
              <w:spacing w:after="0"/>
              <w:rPr>
                <w:sz w:val="20"/>
                <w:szCs w:val="20"/>
                <w:color w:val="auto"/>
              </w:rPr>
            </w:pPr>
            <w:r>
              <w:rPr>
                <w:rFonts w:ascii="Arial" w:cs="Arial" w:eastAsia="Arial" w:hAnsi="Arial"/>
                <w:sz w:val="14"/>
                <w:szCs w:val="14"/>
                <w:color w:val="auto"/>
              </w:rPr>
              <w:t>Amortization of intangible assets</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color w:val="auto"/>
              </w:rPr>
              <w:t>Transaction and related costs, net</w:t>
            </w:r>
          </w:p>
        </w:tc>
        <w:tc>
          <w:tcPr>
            <w:tcW w:w="760" w:type="dxa"/>
            <w:vAlign w:val="bottom"/>
            <w:shd w:val="clear" w:color="auto" w:fill="E5E5E5"/>
          </w:tcPr>
          <w:p>
            <w:pPr>
              <w:spacing w:after="0"/>
              <w:rPr>
                <w:sz w:val="16"/>
                <w:szCs w:val="16"/>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r>
      <w:tr>
        <w:trPr>
          <w:trHeight w:val="189"/>
        </w:trPr>
        <w:tc>
          <w:tcPr>
            <w:tcW w:w="3780" w:type="dxa"/>
            <w:vAlign w:val="bottom"/>
            <w:tcBorders>
              <w:bottom w:val="single" w:sz="8" w:color="E5E5E5"/>
            </w:tcBorders>
            <w:gridSpan w:val="3"/>
          </w:tcPr>
          <w:p>
            <w:pPr>
              <w:ind w:left="20"/>
              <w:spacing w:after="0"/>
              <w:rPr>
                <w:sz w:val="20"/>
                <w:szCs w:val="20"/>
                <w:color w:val="auto"/>
              </w:rPr>
            </w:pPr>
            <w:r>
              <w:rPr>
                <w:rFonts w:ascii="Arial" w:cs="Arial" w:eastAsia="Arial" w:hAnsi="Arial"/>
                <w:sz w:val="14"/>
                <w:szCs w:val="14"/>
                <w:color w:val="auto"/>
              </w:rPr>
              <w:t>Other expenses, net</w:t>
            </w: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10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1000" w:type="dxa"/>
            <w:vAlign w:val="bottom"/>
            <w:tcBorders>
              <w:bottom w:val="single" w:sz="8" w:color="E5E5E5"/>
            </w:tcBorders>
          </w:tcPr>
          <w:p>
            <w:pPr>
              <w:spacing w:after="0"/>
              <w:rPr>
                <w:sz w:val="16"/>
                <w:szCs w:val="16"/>
                <w:color w:val="auto"/>
              </w:rPr>
            </w:pPr>
          </w:p>
        </w:tc>
      </w:tr>
      <w:tr>
        <w:trPr>
          <w:trHeight w:val="203"/>
        </w:trPr>
        <w:tc>
          <w:tcPr>
            <w:tcW w:w="3780" w:type="dxa"/>
            <w:vAlign w:val="bottom"/>
            <w:gridSpan w:val="3"/>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464</w:t>
            </w:r>
          </w:p>
        </w:tc>
        <w:tc>
          <w:tcPr>
            <w:tcW w:w="20" w:type="dxa"/>
            <w:vAlign w:val="bottom"/>
            <w:shd w:val="clear" w:color="auto" w:fill="E5E5E5"/>
          </w:tcPr>
          <w:p>
            <w:pPr>
              <w:spacing w:after="0"/>
              <w:rPr>
                <w:sz w:val="17"/>
                <w:szCs w:val="17"/>
                <w:color w:val="auto"/>
              </w:rPr>
            </w:pP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7,022</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6.6 %</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1,192</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9,066</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13.1 %</w:t>
            </w:r>
          </w:p>
        </w:tc>
      </w:tr>
      <w:tr>
        <w:trPr>
          <w:trHeight w:val="20"/>
        </w:trPr>
        <w:tc>
          <w:tcPr>
            <w:tcW w:w="3660" w:type="dxa"/>
            <w:vAlign w:val="bottom"/>
            <w:tcBorders>
              <w:top w:val="single" w:sz="8" w:color="E5E5E5"/>
            </w:tcBorders>
          </w:tcPr>
          <w:p>
            <w:pPr>
              <w:spacing w:after="0" w:line="20" w:lineRule="exact"/>
              <w:rPr>
                <w:sz w:val="1"/>
                <w:szCs w:val="1"/>
                <w:color w:val="auto"/>
              </w:rPr>
            </w:pPr>
          </w:p>
        </w:tc>
        <w:tc>
          <w:tcPr>
            <w:tcW w:w="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tcBorders>
          </w:tcPr>
          <w:p>
            <w:pPr>
              <w:spacing w:after="0" w:line="20" w:lineRule="exact"/>
              <w:rPr>
                <w:sz w:val="1"/>
                <w:szCs w:val="1"/>
                <w:color w:val="auto"/>
              </w:rPr>
            </w:pPr>
          </w:p>
        </w:tc>
        <w:tc>
          <w:tcPr>
            <w:tcW w:w="1000" w:type="dxa"/>
            <w:vAlign w:val="bottom"/>
            <w:tcBorders>
              <w:top w:val="single" w:sz="8" w:color="E5E5E5"/>
            </w:tcBorders>
          </w:tcPr>
          <w:p>
            <w:pPr>
              <w:spacing w:after="0" w:line="20" w:lineRule="exact"/>
              <w:rPr>
                <w:sz w:val="1"/>
                <w:szCs w:val="1"/>
                <w:color w:val="auto"/>
              </w:rPr>
            </w:pPr>
          </w:p>
        </w:tc>
        <w:tc>
          <w:tcPr>
            <w:tcW w:w="2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tcBorders>
          </w:tcPr>
          <w:p>
            <w:pPr>
              <w:spacing w:after="0" w:line="20" w:lineRule="exact"/>
              <w:rPr>
                <w:sz w:val="1"/>
                <w:szCs w:val="1"/>
                <w:color w:val="auto"/>
              </w:rPr>
            </w:pPr>
          </w:p>
        </w:tc>
        <w:tc>
          <w:tcPr>
            <w:tcW w:w="1000" w:type="dxa"/>
            <w:vAlign w:val="bottom"/>
            <w:tcBorders>
              <w:top w:val="single" w:sz="8" w:color="E5E5E5"/>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9"/>
          <w:szCs w:val="9"/>
          <w:i w:val="1"/>
          <w:iCs w:val="1"/>
          <w:color w:val="auto"/>
        </w:rPr>
      </w:pPr>
      <w:r>
        <w:rPr>
          <w:rFonts w:ascii="Arial" w:cs="Arial" w:eastAsia="Arial" w:hAnsi="Arial"/>
          <w:sz w:val="14"/>
          <w:szCs w:val="14"/>
          <w:i w:val="1"/>
          <w:iCs w:val="1"/>
          <w:color w:val="auto"/>
        </w:rPr>
        <w:t>Pre-tax Income and revenue from continuing operations.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890" w:right="399" w:bottom="1440" w:gutter="0" w:footer="0" w:header="0"/>
        </w:sectPr>
      </w:pPr>
    </w:p>
    <w:bookmarkStart w:id="34" w:name="page35"/>
    <w:bookmarkEnd w:id="34"/>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right"/>
              <w:ind w:right="180"/>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color w:val="auto"/>
              </w:rPr>
              <w:t>September 30, 2020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Profit</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183"/>
        </w:trPr>
        <w:tc>
          <w:tcPr>
            <w:tcW w:w="7420" w:type="dxa"/>
            <w:vAlign w:val="bottom"/>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00" w:type="dxa"/>
            <w:vAlign w:val="bottom"/>
            <w:shd w:val="clear" w:color="auto" w:fill="E5E5E5"/>
          </w:tcPr>
          <w:p>
            <w:pPr>
              <w:spacing w:after="0"/>
              <w:rPr>
                <w:sz w:val="15"/>
                <w:szCs w:val="15"/>
                <w:color w:val="auto"/>
              </w:rPr>
            </w:pPr>
          </w:p>
        </w:tc>
        <w:tc>
          <w:tcPr>
            <w:tcW w:w="780" w:type="dxa"/>
            <w:vAlign w:val="bottom"/>
            <w:shd w:val="clear" w:color="auto" w:fill="E5E5E5"/>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119</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89"/>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w:t>
            </w:r>
          </w:p>
        </w:tc>
        <w:tc>
          <w:tcPr>
            <w:tcW w:w="780" w:type="dxa"/>
            <w:vAlign w:val="bottom"/>
            <w:shd w:val="clear" w:color="auto" w:fill="E5E5E5"/>
          </w:tcPr>
          <w:p>
            <w:pPr>
              <w:spacing w:after="0"/>
              <w:rPr>
                <w:sz w:val="16"/>
                <w:szCs w:val="16"/>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Transaction and related costs, net</w:t>
            </w:r>
          </w:p>
        </w:tc>
        <w:tc>
          <w:tcPr>
            <w:tcW w:w="780" w:type="dxa"/>
            <w:vAlign w:val="bottom"/>
            <w:shd w:val="clear" w:color="auto" w:fill="E5E5E5"/>
          </w:tcPr>
          <w:p>
            <w:pPr>
              <w:spacing w:after="0"/>
              <w:rPr>
                <w:sz w:val="16"/>
                <w:szCs w:val="16"/>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expenses, net</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1020" w:type="dxa"/>
            <w:vAlign w:val="bottom"/>
            <w:tcBorders>
              <w:bottom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p>
        </w:tc>
        <w:tc>
          <w:tcPr>
            <w:tcW w:w="780" w:type="dxa"/>
            <w:vAlign w:val="bottom"/>
            <w:shd w:val="clear" w:color="auto" w:fill="E5E5E5"/>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20"/>
        </w:trPr>
        <w:tc>
          <w:tcPr>
            <w:tcW w:w="742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1"/>
                <w:szCs w:val="11"/>
                <w:color w:val="auto"/>
              </w:rPr>
              <w:t>___________________________</w:t>
            </w:r>
          </w:p>
        </w:tc>
        <w:tc>
          <w:tcPr>
            <w:tcW w:w="100" w:type="dxa"/>
            <w:vAlign w:val="bottom"/>
            <w:tcBorders>
              <w:top w:val="single" w:sz="8" w:color="E5E5E5"/>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tcBorders>
          </w:tcPr>
          <w:p>
            <w:pPr>
              <w:spacing w:after="0" w:line="20" w:lineRule="exact"/>
              <w:rPr>
                <w:sz w:val="1"/>
                <w:szCs w:val="1"/>
                <w:color w:val="auto"/>
              </w:rPr>
            </w:pPr>
          </w:p>
        </w:tc>
        <w:tc>
          <w:tcPr>
            <w:tcW w:w="10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4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9"/>
        </w:trPr>
        <w:tc>
          <w:tcPr>
            <w:tcW w:w="7520" w:type="dxa"/>
            <w:vAlign w:val="bottom"/>
            <w:gridSpan w:val="2"/>
          </w:tcPr>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Pre-tax Income and revenue from continuing operations.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 reconciliation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Year Ended</w:t>
            </w:r>
          </w:p>
        </w:tc>
        <w:tc>
          <w:tcPr>
            <w:tcW w:w="90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w:t>
            </w:r>
          </w:p>
        </w:tc>
        <w:tc>
          <w:tcPr>
            <w:tcW w:w="900" w:type="dxa"/>
            <w:vAlign w:val="bottom"/>
            <w:tcBorders>
              <w:bottom w:val="single" w:sz="8" w:color="auto"/>
            </w:tcBorders>
          </w:tcPr>
          <w:p>
            <w:pPr>
              <w:spacing w:after="0"/>
              <w:rPr>
                <w:sz w:val="14"/>
                <w:szCs w:val="14"/>
                <w:color w:val="auto"/>
              </w:rPr>
            </w:pP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3"/>
                <w:szCs w:val="13"/>
                <w:color w:val="auto"/>
              </w:rPr>
              <w:t>(in millions)</w:t>
            </w:r>
          </w:p>
        </w:tc>
        <w:tc>
          <w:tcPr>
            <w:tcW w:w="300" w:type="dxa"/>
            <w:vAlign w:val="bottom"/>
          </w:tcPr>
          <w:p>
            <w:pPr>
              <w:spacing w:after="0"/>
              <w:rPr>
                <w:sz w:val="15"/>
                <w:szCs w:val="15"/>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color w:val="auto"/>
              </w:rPr>
              <w:t>2019</w:t>
            </w:r>
          </w:p>
        </w:tc>
      </w:tr>
      <w:tr>
        <w:trPr>
          <w:trHeight w:val="183"/>
        </w:trPr>
        <w:tc>
          <w:tcPr>
            <w:tcW w:w="5440" w:type="dxa"/>
            <w:vAlign w:val="bottom"/>
            <w:tcBorders>
              <w:top w:val="single" w:sz="8" w:color="auto"/>
            </w:tcBorders>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00" w:type="dxa"/>
            <w:vAlign w:val="bottom"/>
            <w:tcBorders>
              <w:top w:val="single" w:sz="8" w:color="E5E5E5"/>
            </w:tcBorders>
            <w:shd w:val="clear" w:color="auto" w:fill="E5E5E5"/>
          </w:tcPr>
          <w:p>
            <w:pPr>
              <w:spacing w:after="0"/>
              <w:rPr>
                <w:sz w:val="15"/>
                <w:szCs w:val="15"/>
                <w:color w:val="auto"/>
              </w:rPr>
            </w:pPr>
          </w:p>
        </w:tc>
        <w:tc>
          <w:tcPr>
            <w:tcW w:w="300" w:type="dxa"/>
            <w:vAlign w:val="bottom"/>
            <w:tcBorders>
              <w:top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Borders>
              <w:top w:val="single" w:sz="8" w:color="E5E5E5"/>
            </w:tcBorders>
            <w:shd w:val="clear" w:color="auto" w:fill="E5E5E5"/>
          </w:tcPr>
          <w:p>
            <w:pPr>
              <w:spacing w:after="0"/>
              <w:rPr>
                <w:sz w:val="15"/>
                <w:szCs w:val="15"/>
                <w:color w:val="auto"/>
              </w:rPr>
            </w:pPr>
          </w:p>
        </w:tc>
        <w:tc>
          <w:tcPr>
            <w:tcW w:w="460" w:type="dxa"/>
            <w:vAlign w:val="bottom"/>
            <w:tcBorders>
              <w:top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398</w:t>
            </w:r>
          </w:p>
        </w:tc>
        <w:tc>
          <w:tcPr>
            <w:tcW w:w="80" w:type="dxa"/>
            <w:vAlign w:val="bottom"/>
            <w:tcBorders>
              <w:top w:val="single" w:sz="8" w:color="E5E5E5"/>
            </w:tcBorders>
            <w:shd w:val="clear" w:color="auto" w:fill="E5E5E5"/>
          </w:tcPr>
          <w:p>
            <w:pPr>
              <w:spacing w:after="0"/>
              <w:rPr>
                <w:sz w:val="15"/>
                <w:szCs w:val="15"/>
                <w:color w:val="auto"/>
              </w:rPr>
            </w:pPr>
          </w:p>
        </w:tc>
        <w:tc>
          <w:tcPr>
            <w:tcW w:w="320" w:type="dxa"/>
            <w:vAlign w:val="bottom"/>
            <w:tcBorders>
              <w:top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gridSpan w:val="3"/>
            <w:shd w:val="clear" w:color="auto" w:fill="E5E5E5"/>
          </w:tcPr>
          <w:p>
            <w:pPr>
              <w:jc w:val="right"/>
              <w:ind w:right="8"/>
              <w:spacing w:after="0"/>
              <w:rPr>
                <w:sz w:val="20"/>
                <w:szCs w:val="20"/>
                <w:color w:val="auto"/>
              </w:rPr>
            </w:pPr>
            <w:r>
              <w:rPr>
                <w:rFonts w:ascii="Arial" w:cs="Arial" w:eastAsia="Arial" w:hAnsi="Arial"/>
                <w:sz w:val="14"/>
                <w:szCs w:val="14"/>
                <w:color w:val="auto"/>
              </w:rPr>
              <w:t>548</w:t>
            </w:r>
          </w:p>
        </w:tc>
        <w:tc>
          <w:tcPr>
            <w:tcW w:w="80" w:type="dxa"/>
            <w:vAlign w:val="bottom"/>
            <w:tcBorders>
              <w:top w:val="single" w:sz="8" w:color="E5E5E5"/>
            </w:tcBorders>
            <w:shd w:val="clear" w:color="auto" w:fill="E5E5E5"/>
          </w:tcPr>
          <w:p>
            <w:pPr>
              <w:spacing w:after="0"/>
              <w:rPr>
                <w:sz w:val="15"/>
                <w:szCs w:val="15"/>
                <w:color w:val="auto"/>
              </w:rPr>
            </w:pPr>
          </w:p>
        </w:tc>
        <w:tc>
          <w:tcPr>
            <w:tcW w:w="460" w:type="dxa"/>
            <w:vAlign w:val="bottom"/>
            <w:tcBorders>
              <w:top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1,244</w:t>
            </w:r>
          </w:p>
        </w:tc>
      </w:tr>
      <w:tr>
        <w:trPr>
          <w:trHeight w:val="189"/>
        </w:trPr>
        <w:tc>
          <w:tcPr>
            <w:tcW w:w="55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Less: capital expenditures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5E5E5"/>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E5E5E5"/>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8"/>
        </w:trPr>
        <w:tc>
          <w:tcPr>
            <w:tcW w:w="5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Free Cash Flow</w:t>
            </w:r>
          </w:p>
        </w:tc>
        <w:tc>
          <w:tcPr>
            <w:tcW w:w="30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E5E5E5"/>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381</w:t>
            </w:r>
          </w:p>
        </w:tc>
        <w:tc>
          <w:tcPr>
            <w:tcW w:w="80" w:type="dxa"/>
            <w:vAlign w:val="bottom"/>
            <w:tcBorders>
              <w:bottom w:val="single" w:sz="8" w:color="E5E5E5"/>
            </w:tcBorders>
            <w:shd w:val="clear" w:color="auto" w:fill="E5E5E5"/>
          </w:tcPr>
          <w:p>
            <w:pPr>
              <w:spacing w:after="0"/>
              <w:rPr>
                <w:sz w:val="17"/>
                <w:szCs w:val="17"/>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3"/>
            <w:shd w:val="clear" w:color="auto" w:fill="E5E5E5"/>
          </w:tcPr>
          <w:p>
            <w:pPr>
              <w:jc w:val="right"/>
              <w:ind w:right="8"/>
              <w:spacing w:after="0"/>
              <w:rPr>
                <w:sz w:val="20"/>
                <w:szCs w:val="20"/>
                <w:color w:val="auto"/>
              </w:rPr>
            </w:pPr>
            <w:r>
              <w:rPr>
                <w:rFonts w:ascii="Arial" w:cs="Arial" w:eastAsia="Arial" w:hAnsi="Arial"/>
                <w:sz w:val="14"/>
                <w:szCs w:val="14"/>
                <w:color w:val="auto"/>
              </w:rPr>
              <w:t>474</w:t>
            </w:r>
          </w:p>
        </w:tc>
        <w:tc>
          <w:tcPr>
            <w:tcW w:w="80" w:type="dxa"/>
            <w:vAlign w:val="bottom"/>
            <w:tcBorders>
              <w:bottom w:val="single" w:sz="8" w:color="E5E5E5"/>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1,179</w:t>
            </w:r>
          </w:p>
        </w:tc>
      </w:tr>
      <w:tr>
        <w:trPr>
          <w:trHeight w:val="20"/>
        </w:trPr>
        <w:tc>
          <w:tcPr>
            <w:tcW w:w="54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5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360" w:type="dxa"/>
            <w:vAlign w:val="bottom"/>
            <w:tcBorders>
              <w:top w:val="single" w:sz="8" w:color="E5E5E5"/>
              <w:bottom w:val="single" w:sz="8" w:color="auto"/>
            </w:tcBorders>
            <w:gridSpan w:val="2"/>
          </w:tcPr>
          <w:p>
            <w:pPr>
              <w:spacing w:after="0" w:line="20" w:lineRule="exact"/>
              <w:rPr>
                <w:sz w:val="1"/>
                <w:szCs w:val="1"/>
                <w:color w:val="auto"/>
              </w:rPr>
            </w:pPr>
          </w:p>
        </w:tc>
      </w:tr>
      <w:tr>
        <w:trPr>
          <w:trHeight w:val="627"/>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right"/>
              <w:ind w:right="168"/>
              <w:spacing w:after="0"/>
              <w:rPr>
                <w:sz w:val="20"/>
                <w:szCs w:val="20"/>
                <w:color w:val="auto"/>
              </w:rPr>
            </w:pPr>
            <w:r>
              <w:rPr>
                <w:rFonts w:ascii="Arial" w:cs="Arial" w:eastAsia="Arial" w:hAnsi="Arial"/>
                <w:sz w:val="14"/>
                <w:szCs w:val="14"/>
                <w:color w:val="auto"/>
              </w:rPr>
              <w:t>Three Months Ended</w:t>
            </w:r>
          </w:p>
        </w:tc>
      </w:tr>
      <w:tr>
        <w:trPr>
          <w:trHeight w:val="171"/>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 millions)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18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color w:val="auto"/>
              </w:rPr>
              <w:t>September 30, 2020</w:t>
            </w:r>
          </w:p>
        </w:tc>
      </w:tr>
      <w:tr>
        <w:trPr>
          <w:trHeight w:val="183"/>
        </w:trPr>
        <w:tc>
          <w:tcPr>
            <w:tcW w:w="5540" w:type="dxa"/>
            <w:vAlign w:val="bottom"/>
            <w:gridSpan w:val="2"/>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3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40" w:type="dxa"/>
            <w:vAlign w:val="bottom"/>
            <w:gridSpan w:val="3"/>
            <w:shd w:val="clear" w:color="auto" w:fill="E5E5E5"/>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106</w:t>
            </w:r>
          </w:p>
        </w:tc>
      </w:tr>
      <w:tr>
        <w:trPr>
          <w:trHeight w:val="189"/>
        </w:trPr>
        <w:tc>
          <w:tcPr>
            <w:tcW w:w="55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Less: capital expenditures</w:t>
            </w:r>
          </w:p>
        </w:tc>
        <w:tc>
          <w:tcPr>
            <w:tcW w:w="300" w:type="dxa"/>
            <w:vAlign w:val="bottom"/>
            <w:tcBorders>
              <w:bottom w:val="single" w:sz="8" w:color="E5E5E5"/>
            </w:tcBorders>
          </w:tcPr>
          <w:p>
            <w:pPr>
              <w:spacing w:after="0"/>
              <w:rPr>
                <w:sz w:val="16"/>
                <w:szCs w:val="16"/>
                <w:color w:val="auto"/>
              </w:rPr>
            </w:pPr>
          </w:p>
        </w:tc>
        <w:tc>
          <w:tcPr>
            <w:tcW w:w="106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460" w:type="dxa"/>
            <w:vAlign w:val="bottom"/>
            <w:tcBorders>
              <w:bottom w:val="single" w:sz="8" w:color="E5E5E5"/>
            </w:tcBorders>
          </w:tcPr>
          <w:p>
            <w:pPr>
              <w:spacing w:after="0"/>
              <w:rPr>
                <w:sz w:val="16"/>
                <w:szCs w:val="16"/>
                <w:color w:val="auto"/>
              </w:rPr>
            </w:pPr>
          </w:p>
        </w:tc>
        <w:tc>
          <w:tcPr>
            <w:tcW w:w="90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320" w:type="dxa"/>
            <w:vAlign w:val="bottom"/>
            <w:tcBorders>
              <w:bottom w:val="single" w:sz="8" w:color="E5E5E5"/>
            </w:tcBorders>
          </w:tcPr>
          <w:p>
            <w:pPr>
              <w:spacing w:after="0"/>
              <w:rPr>
                <w:sz w:val="16"/>
                <w:szCs w:val="16"/>
                <w:color w:val="auto"/>
              </w:rPr>
            </w:pPr>
          </w:p>
        </w:tc>
        <w:tc>
          <w:tcPr>
            <w:tcW w:w="58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55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Free Cash Flow</w:t>
            </w:r>
          </w:p>
        </w:tc>
        <w:tc>
          <w:tcPr>
            <w:tcW w:w="3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gridSpan w:val="3"/>
            <w:shd w:val="clear" w:color="auto" w:fill="E5E5E5"/>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54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tcBorders>
          </w:tcPr>
          <w:p>
            <w:pPr>
              <w:spacing w:after="0" w:line="20" w:lineRule="exact"/>
              <w:rPr>
                <w:sz w:val="1"/>
                <w:szCs w:val="1"/>
                <w:color w:val="auto"/>
              </w:rPr>
            </w:pPr>
          </w:p>
        </w:tc>
        <w:tc>
          <w:tcPr>
            <w:tcW w:w="5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cash provided by operating activities of continuing operations.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gridSpan w:val="2"/>
          </w:tcPr>
          <w:p>
            <w:pPr>
              <w:ind w:left="20"/>
              <w:spacing w:after="0"/>
              <w:rPr>
                <w:sz w:val="20"/>
                <w:szCs w:val="20"/>
                <w:color w:val="auto"/>
              </w:rPr>
            </w:pPr>
            <w:r>
              <w:rPr>
                <w:rFonts w:ascii="Arial" w:cs="Arial" w:eastAsia="Arial" w:hAnsi="Arial"/>
                <w:sz w:val="13"/>
                <w:szCs w:val="13"/>
                <w:color w:val="auto"/>
              </w:rPr>
              <w:t>(in millions)</w:t>
            </w:r>
          </w:p>
        </w:tc>
        <w:tc>
          <w:tcPr>
            <w:tcW w:w="1800" w:type="dxa"/>
            <w:vAlign w:val="bottom"/>
          </w:tcPr>
          <w:p>
            <w:pPr>
              <w:ind w:left="640"/>
              <w:spacing w:after="0"/>
              <w:rPr>
                <w:sz w:val="20"/>
                <w:szCs w:val="20"/>
                <w:color w:val="auto"/>
              </w:rPr>
            </w:pPr>
            <w:r>
              <w:rPr>
                <w:rFonts w:ascii="Arial" w:cs="Arial" w:eastAsia="Arial" w:hAnsi="Arial"/>
                <w:sz w:val="14"/>
                <w:szCs w:val="14"/>
                <w:color w:val="auto"/>
              </w:rPr>
              <w:t>FY 2021</w:t>
            </w:r>
          </w:p>
        </w:tc>
      </w:tr>
      <w:tr>
        <w:trPr>
          <w:trHeight w:val="183"/>
        </w:trPr>
        <w:tc>
          <w:tcPr>
            <w:tcW w:w="9340" w:type="dxa"/>
            <w:vAlign w:val="bottom"/>
            <w:tcBorders>
              <w:top w:val="single" w:sz="8" w:color="auto"/>
            </w:tcBorders>
            <w:shd w:val="clear" w:color="auto" w:fill="E5E5E5"/>
          </w:tcPr>
          <w:p>
            <w:pPr>
              <w:ind w:left="20"/>
              <w:spacing w:after="0" w:line="182" w:lineRule="exact"/>
              <w:rPr>
                <w:sz w:val="20"/>
                <w:szCs w:val="20"/>
                <w:color w:val="auto"/>
              </w:rPr>
            </w:pPr>
            <w:r>
              <w:rPr>
                <w:rFonts w:ascii="Arial" w:cs="Arial" w:eastAsia="Arial" w:hAnsi="Arial"/>
                <w:sz w:val="14"/>
                <w:szCs w:val="14"/>
                <w:b w:val="1"/>
                <w:bCs w:val="1"/>
                <w:color w:val="auto"/>
              </w:rPr>
              <w:t xml:space="preserve">Operating Cash Flow </w:t>
            </w:r>
            <w:r>
              <w:rPr>
                <w:rFonts w:ascii="Arial" w:cs="Arial" w:eastAsia="Arial" w:hAnsi="Arial"/>
                <w:sz w:val="18"/>
                <w:szCs w:val="18"/>
                <w:b w:val="1"/>
                <w:bCs w:val="1"/>
                <w:color w:val="auto"/>
                <w:vertAlign w:val="superscript"/>
              </w:rPr>
              <w:t>(1)</w:t>
            </w:r>
          </w:p>
        </w:tc>
        <w:tc>
          <w:tcPr>
            <w:tcW w:w="100" w:type="dxa"/>
            <w:vAlign w:val="bottom"/>
            <w:tcBorders>
              <w:top w:val="single" w:sz="8" w:color="E5E5E5"/>
            </w:tcBorders>
            <w:shd w:val="clear" w:color="auto" w:fill="E5E5E5"/>
          </w:tcPr>
          <w:p>
            <w:pPr>
              <w:spacing w:after="0"/>
              <w:rPr>
                <w:sz w:val="15"/>
                <w:szCs w:val="15"/>
                <w:color w:val="auto"/>
              </w:rPr>
            </w:pPr>
          </w:p>
        </w:tc>
        <w:tc>
          <w:tcPr>
            <w:tcW w:w="1800" w:type="dxa"/>
            <w:vAlign w:val="bottom"/>
            <w:tcBorders>
              <w:top w:val="single" w:sz="8" w:color="auto"/>
            </w:tcBorders>
            <w:shd w:val="clear" w:color="auto" w:fill="E5E5E5"/>
          </w:tcPr>
          <w:p>
            <w:pPr>
              <w:ind w:left="940"/>
              <w:spacing w:after="0"/>
              <w:rPr>
                <w:sz w:val="20"/>
                <w:szCs w:val="20"/>
                <w:color w:val="auto"/>
              </w:rPr>
            </w:pPr>
            <w:r>
              <w:rPr>
                <w:rFonts w:ascii="Arial" w:cs="Arial" w:eastAsia="Arial" w:hAnsi="Arial"/>
                <w:sz w:val="14"/>
                <w:szCs w:val="14"/>
                <w:color w:val="auto"/>
              </w:rPr>
              <w:t>At least $600</w:t>
            </w:r>
          </w:p>
        </w:tc>
      </w:tr>
      <w:tr>
        <w:trPr>
          <w:trHeight w:val="189"/>
        </w:trPr>
        <w:tc>
          <w:tcPr>
            <w:tcW w:w="9440" w:type="dxa"/>
            <w:vAlign w:val="bottom"/>
            <w:gridSpan w:val="2"/>
          </w:tcPr>
          <w:p>
            <w:pPr>
              <w:ind w:left="20"/>
              <w:spacing w:after="0"/>
              <w:rPr>
                <w:sz w:val="20"/>
                <w:szCs w:val="20"/>
                <w:color w:val="auto"/>
              </w:rPr>
            </w:pPr>
            <w:r>
              <w:rPr>
                <w:rFonts w:ascii="Arial" w:cs="Arial" w:eastAsia="Arial" w:hAnsi="Arial"/>
                <w:sz w:val="14"/>
                <w:szCs w:val="14"/>
                <w:color w:val="auto"/>
              </w:rPr>
              <w:t>Less: Capital expenditures</w:t>
            </w:r>
          </w:p>
        </w:tc>
        <w:tc>
          <w:tcPr>
            <w:tcW w:w="18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94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Free Cash Flow</w:t>
            </w:r>
          </w:p>
        </w:tc>
        <w:tc>
          <w:tcPr>
            <w:tcW w:w="1800" w:type="dxa"/>
            <w:vAlign w:val="bottom"/>
            <w:shd w:val="clear" w:color="auto" w:fill="E5E5E5"/>
          </w:tcPr>
          <w:p>
            <w:pPr>
              <w:ind w:left="940"/>
              <w:spacing w:after="0"/>
              <w:rPr>
                <w:sz w:val="20"/>
                <w:szCs w:val="20"/>
                <w:color w:val="auto"/>
              </w:rPr>
            </w:pPr>
            <w:r>
              <w:rPr>
                <w:rFonts w:ascii="Arial" w:cs="Arial" w:eastAsia="Arial" w:hAnsi="Arial"/>
                <w:sz w:val="14"/>
                <w:szCs w:val="14"/>
                <w:color w:val="auto"/>
              </w:rPr>
              <w:t>At least $500</w:t>
            </w:r>
          </w:p>
        </w:tc>
      </w:tr>
      <w:tr>
        <w:trPr>
          <w:trHeight w:val="288"/>
        </w:trPr>
        <w:tc>
          <w:tcPr>
            <w:tcW w:w="93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62"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cash provided by operating activities of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25"/>
          <w:szCs w:val="25"/>
          <w:b w:val="1"/>
          <w:bCs w:val="1"/>
          <w:color w:val="DA2031"/>
        </w:rPr>
        <w:t>APPENDIX I</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Xerox Holdings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Earnings per Common Share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ind w:right="88"/>
              <w:spacing w:after="0"/>
              <w:rPr>
                <w:sz w:val="20"/>
                <w:szCs w:val="20"/>
                <w:color w:val="auto"/>
              </w:rPr>
            </w:pPr>
            <w:r>
              <w:rPr>
                <w:rFonts w:ascii="Arial" w:cs="Arial" w:eastAsia="Arial" w:hAnsi="Arial"/>
                <w:sz w:val="14"/>
                <w:szCs w:val="14"/>
                <w:color w:val="auto"/>
              </w:rPr>
              <w:t>Year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Arial" w:cs="Arial" w:eastAsia="Arial" w:hAnsi="Arial"/>
                <w:sz w:val="13"/>
                <w:szCs w:val="13"/>
                <w:color w:val="auto"/>
              </w:rPr>
              <w:t>(in millions, except per-share data, shares in thousands)</w:t>
            </w:r>
          </w:p>
        </w:tc>
        <w:tc>
          <w:tcPr>
            <w:tcW w:w="320" w:type="dxa"/>
            <w:vAlign w:val="bottom"/>
          </w:tcPr>
          <w:p>
            <w:pPr>
              <w:spacing w:after="0"/>
              <w:rPr>
                <w:sz w:val="14"/>
                <w:szCs w:val="14"/>
                <w:color w:val="auto"/>
              </w:rPr>
            </w:pPr>
          </w:p>
        </w:tc>
        <w:tc>
          <w:tcPr>
            <w:tcW w:w="1680" w:type="dxa"/>
            <w:vAlign w:val="bottom"/>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tcBorders>
              <w:top w:val="single" w:sz="8" w:color="auto"/>
              <w:bottom w:val="single" w:sz="8" w:color="E5E5E5"/>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bottom w:val="single" w:sz="8" w:color="E5E5E5"/>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E5E5E5"/>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2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 attributable to Xerox Holdings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dividends on preferred stock</w:t>
            </w:r>
          </w:p>
        </w:tc>
        <w:tc>
          <w:tcPr>
            <w:tcW w:w="320" w:type="dxa"/>
            <w:vAlign w:val="bottom"/>
            <w:tcBorders>
              <w:bottom w:val="single" w:sz="8" w:color="auto"/>
            </w:tcBorders>
            <w:shd w:val="clear" w:color="auto" w:fill="E5E5E5"/>
          </w:tcPr>
          <w:p>
            <w:pPr>
              <w:spacing w:after="0"/>
              <w:rPr>
                <w:sz w:val="16"/>
                <w:szCs w:val="16"/>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16"/>
                <w:szCs w:val="16"/>
                <w:color w:val="auto"/>
              </w:rPr>
            </w:pPr>
          </w:p>
        </w:tc>
        <w:tc>
          <w:tcPr>
            <w:tcW w:w="320" w:type="dxa"/>
            <w:vAlign w:val="bottom"/>
            <w:tcBorders>
              <w:bottom w:val="single" w:sz="8" w:color="auto"/>
            </w:tcBorders>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3"/>
        </w:trPr>
        <w:tc>
          <w:tcPr>
            <w:tcW w:w="52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Adjusted net income from continuing operations available to common</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71"/>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shareholders</w:t>
            </w: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from discontinued operations attributable to Xerox Holdings, net of tax</w:t>
            </w: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Adjusted net income available to common shareholders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200,278</w:t>
            </w:r>
          </w:p>
        </w:tc>
        <w:tc>
          <w:tcPr>
            <w:tcW w:w="1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215,499</w:t>
            </w:r>
          </w:p>
        </w:tc>
        <w:tc>
          <w:tcPr>
            <w:tcW w:w="1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208,983</w:t>
            </w: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221,969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Discontinued operations</w:t>
            </w: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Net Income from continuing operations attributable to Xerox Holdings</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Accrued dividends on preferred stock</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5240" w:type="dxa"/>
            <w:vAlign w:val="bottom"/>
            <w:tcBorders>
              <w:top w:val="single" w:sz="8" w:color="E5E5E5"/>
            </w:tcBorders>
            <w:gridSpan w:val="2"/>
            <w:shd w:val="clear" w:color="auto" w:fill="E5E5E5"/>
          </w:tcPr>
          <w:p>
            <w:pPr>
              <w:ind w:left="20"/>
              <w:spacing w:after="0" w:line="133" w:lineRule="exact"/>
              <w:rPr>
                <w:sz w:val="20"/>
                <w:szCs w:val="20"/>
                <w:color w:val="auto"/>
              </w:rPr>
            </w:pPr>
            <w:r>
              <w:rPr>
                <w:rFonts w:ascii="Arial" w:cs="Arial" w:eastAsia="Arial" w:hAnsi="Arial"/>
                <w:sz w:val="14"/>
                <w:szCs w:val="14"/>
                <w:color w:val="auto"/>
              </w:rPr>
              <w:t>Adjusted net income from continuing operations available to common</w:t>
            </w:r>
          </w:p>
        </w:tc>
        <w:tc>
          <w:tcPr>
            <w:tcW w:w="320" w:type="dxa"/>
            <w:vAlign w:val="bottom"/>
            <w:tcBorders>
              <w:top w:val="single" w:sz="8" w:color="auto"/>
            </w:tcBorders>
            <w:shd w:val="clear" w:color="auto" w:fill="E5E5E5"/>
          </w:tcPr>
          <w:p>
            <w:pPr>
              <w:spacing w:after="0"/>
              <w:rPr>
                <w:sz w:val="11"/>
                <w:szCs w:val="11"/>
                <w:color w:val="auto"/>
              </w:rPr>
            </w:pPr>
          </w:p>
        </w:tc>
        <w:tc>
          <w:tcPr>
            <w:tcW w:w="10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top w:val="single" w:sz="8" w:color="E5E5E5"/>
            </w:tcBorders>
            <w:shd w:val="clear" w:color="auto" w:fill="E5E5E5"/>
          </w:tcPr>
          <w:p>
            <w:pPr>
              <w:spacing w:after="0"/>
              <w:rPr>
                <w:sz w:val="11"/>
                <w:szCs w:val="11"/>
                <w:color w:val="auto"/>
              </w:rPr>
            </w:pPr>
          </w:p>
        </w:tc>
        <w:tc>
          <w:tcPr>
            <w:tcW w:w="480" w:type="dxa"/>
            <w:vAlign w:val="bottom"/>
            <w:tcBorders>
              <w:top w:val="single" w:sz="8" w:color="auto"/>
            </w:tcBorders>
            <w:shd w:val="clear" w:color="auto" w:fill="E5E5E5"/>
          </w:tcPr>
          <w:p>
            <w:pPr>
              <w:spacing w:after="0"/>
              <w:rPr>
                <w:sz w:val="11"/>
                <w:szCs w:val="11"/>
                <w:color w:val="auto"/>
              </w:rPr>
            </w:pPr>
          </w:p>
        </w:tc>
        <w:tc>
          <w:tcPr>
            <w:tcW w:w="940" w:type="dxa"/>
            <w:vAlign w:val="bottom"/>
            <w:tcBorders>
              <w:top w:val="single" w:sz="8" w:color="auto"/>
            </w:tcBorders>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Borders>
              <w:top w:val="single" w:sz="8" w:color="E5E5E5"/>
            </w:tcBorders>
            <w:shd w:val="clear" w:color="auto" w:fill="E5E5E5"/>
          </w:tcPr>
          <w:p>
            <w:pPr>
              <w:spacing w:after="0"/>
              <w:rPr>
                <w:sz w:val="11"/>
                <w:szCs w:val="11"/>
                <w:color w:val="auto"/>
              </w:rPr>
            </w:pPr>
          </w:p>
        </w:tc>
        <w:tc>
          <w:tcPr>
            <w:tcW w:w="320" w:type="dxa"/>
            <w:vAlign w:val="bottom"/>
            <w:tcBorders>
              <w:top w:val="single" w:sz="8" w:color="auto"/>
            </w:tcBorders>
            <w:shd w:val="clear" w:color="auto" w:fill="E5E5E5"/>
          </w:tcPr>
          <w:p>
            <w:pPr>
              <w:spacing w:after="0"/>
              <w:rPr>
                <w:sz w:val="11"/>
                <w:szCs w:val="11"/>
                <w:color w:val="auto"/>
              </w:rPr>
            </w:pPr>
          </w:p>
        </w:tc>
        <w:tc>
          <w:tcPr>
            <w:tcW w:w="11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E5E5E5"/>
            </w:tcBorders>
            <w:shd w:val="clear" w:color="auto" w:fill="E5E5E5"/>
          </w:tcPr>
          <w:p>
            <w:pPr>
              <w:spacing w:after="0"/>
              <w:rPr>
                <w:sz w:val="11"/>
                <w:szCs w:val="11"/>
                <w:color w:val="auto"/>
              </w:rPr>
            </w:pPr>
          </w:p>
        </w:tc>
        <w:tc>
          <w:tcPr>
            <w:tcW w:w="480" w:type="dxa"/>
            <w:vAlign w:val="bottom"/>
            <w:tcBorders>
              <w:top w:val="single" w:sz="8" w:color="auto"/>
            </w:tcBorders>
            <w:shd w:val="clear" w:color="auto" w:fill="E5E5E5"/>
          </w:tcPr>
          <w:p>
            <w:pPr>
              <w:spacing w:after="0"/>
              <w:rPr>
                <w:sz w:val="11"/>
                <w:szCs w:val="11"/>
                <w:color w:val="auto"/>
              </w:rPr>
            </w:pPr>
          </w:p>
        </w:tc>
        <w:tc>
          <w:tcPr>
            <w:tcW w:w="96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shareholders</w:t>
            </w:r>
          </w:p>
        </w:tc>
        <w:tc>
          <w:tcPr>
            <w:tcW w:w="320" w:type="dxa"/>
            <w:vAlign w:val="bottom"/>
            <w:shd w:val="clear" w:color="auto" w:fill="E5E5E5"/>
          </w:tcPr>
          <w:p>
            <w:pPr>
              <w:spacing w:after="0"/>
              <w:rPr>
                <w:sz w:val="14"/>
                <w:szCs w:val="14"/>
                <w:color w:val="auto"/>
              </w:rPr>
            </w:pPr>
          </w:p>
        </w:tc>
        <w:tc>
          <w:tcPr>
            <w:tcW w:w="1080" w:type="dxa"/>
            <w:vAlign w:val="bottom"/>
            <w:vMerge w:val="continue"/>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40" w:type="dxa"/>
            <w:vAlign w:val="bottom"/>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00" w:type="dxa"/>
            <w:vAlign w:val="bottom"/>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Income from discontinued operations attributable to Xerox Holdings, net of tax</w:t>
            </w: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08"/>
        </w:trPr>
        <w:tc>
          <w:tcPr>
            <w:tcW w:w="524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Adjusted net income available to common shareholders</w:t>
            </w:r>
          </w:p>
        </w:tc>
        <w:tc>
          <w:tcPr>
            <w:tcW w:w="32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480" w:type="dxa"/>
            <w:vAlign w:val="bottom"/>
            <w:tcBorders>
              <w:top w:val="single" w:sz="8" w:color="auto"/>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818</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32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80" w:type="dxa"/>
            <w:vAlign w:val="bottom"/>
            <w:tcBorders>
              <w:top w:val="single" w:sz="8" w:color="auto"/>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200,278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215,499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208,983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221,969</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Common shares issuable with respect to:</w:t>
            </w:r>
          </w:p>
        </w:tc>
        <w:tc>
          <w:tcPr>
            <w:tcW w:w="3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Stock Options</w:t>
            </w: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Restricted stock and performance shares</w:t>
            </w:r>
          </w:p>
        </w:tc>
        <w:tc>
          <w:tcPr>
            <w:tcW w:w="320" w:type="dxa"/>
            <w:vAlign w:val="bottom"/>
            <w:shd w:val="clear" w:color="auto" w:fill="E5E5E5"/>
          </w:tcPr>
          <w:p>
            <w:pPr>
              <w:spacing w:after="0"/>
              <w:rPr>
                <w:sz w:val="16"/>
                <w:szCs w:val="16"/>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1,956</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4,326</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2,439</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4,403</w:t>
            </w:r>
          </w:p>
        </w:tc>
        <w:tc>
          <w:tcPr>
            <w:tcW w:w="0" w:type="dxa"/>
            <w:vAlign w:val="bottom"/>
          </w:tcPr>
          <w:p>
            <w:pPr>
              <w:spacing w:after="0"/>
              <w:rPr>
                <w:sz w:val="1"/>
                <w:szCs w:val="1"/>
                <w:color w:val="auto"/>
              </w:rPr>
            </w:pPr>
          </w:p>
        </w:tc>
      </w:tr>
      <w:tr>
        <w:trPr>
          <w:trHeight w:val="189"/>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Convertible preferred stock</w:t>
            </w: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08"/>
        </w:trPr>
        <w:tc>
          <w:tcPr>
            <w:tcW w:w="524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Adjusted weighted average common shares outstanding</w:t>
            </w:r>
          </w:p>
        </w:tc>
        <w:tc>
          <w:tcPr>
            <w:tcW w:w="320" w:type="dxa"/>
            <w:vAlign w:val="bottom"/>
            <w:tcBorders>
              <w:top w:val="single" w:sz="8" w:color="auto"/>
              <w:bottom w:val="single" w:sz="8" w:color="auto"/>
            </w:tcBorders>
            <w:shd w:val="clear" w:color="auto" w:fill="E5E5E5"/>
          </w:tcPr>
          <w:p>
            <w:pPr>
              <w:spacing w:after="0"/>
              <w:rPr>
                <w:sz w:val="17"/>
                <w:szCs w:val="17"/>
                <w:color w:val="auto"/>
              </w:rPr>
            </w:pPr>
          </w:p>
        </w:tc>
        <w:tc>
          <w:tcPr>
            <w:tcW w:w="10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202,234</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480" w:type="dxa"/>
            <w:vAlign w:val="bottom"/>
            <w:tcBorders>
              <w:top w:val="single" w:sz="8" w:color="auto"/>
              <w:bottom w:val="single" w:sz="8" w:color="auto"/>
            </w:tcBorders>
            <w:shd w:val="clear" w:color="auto" w:fill="E5E5E5"/>
          </w:tcPr>
          <w:p>
            <w:pPr>
              <w:spacing w:after="0"/>
              <w:rPr>
                <w:sz w:val="17"/>
                <w:szCs w:val="17"/>
                <w:color w:val="auto"/>
              </w:rPr>
            </w:pPr>
          </w:p>
        </w:tc>
        <w:tc>
          <w:tcPr>
            <w:tcW w:w="94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226,678</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320" w:type="dxa"/>
            <w:vAlign w:val="bottom"/>
            <w:tcBorders>
              <w:top w:val="single" w:sz="8" w:color="auto"/>
              <w:bottom w:val="single" w:sz="8" w:color="auto"/>
            </w:tcBorders>
            <w:shd w:val="clear" w:color="auto" w:fill="E5E5E5"/>
          </w:tcPr>
          <w:p>
            <w:pPr>
              <w:spacing w:after="0"/>
              <w:rPr>
                <w:sz w:val="17"/>
                <w:szCs w:val="17"/>
                <w:color w:val="auto"/>
              </w:rPr>
            </w:pPr>
          </w:p>
        </w:tc>
        <w:tc>
          <w:tcPr>
            <w:tcW w:w="1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211,437</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80" w:type="dxa"/>
            <w:vAlign w:val="bottom"/>
            <w:tcBorders>
              <w:top w:val="single" w:sz="8" w:color="auto"/>
              <w:bottom w:val="single" w:sz="8" w:color="auto"/>
            </w:tcBorders>
            <w:shd w:val="clear" w:color="auto" w:fill="E5E5E5"/>
          </w:tcPr>
          <w:p>
            <w:pPr>
              <w:spacing w:after="0"/>
              <w:rPr>
                <w:sz w:val="17"/>
                <w:szCs w:val="17"/>
                <w:color w:val="auto"/>
              </w:rPr>
            </w:pPr>
          </w:p>
        </w:tc>
        <w:tc>
          <w:tcPr>
            <w:tcW w:w="9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233,169</w:t>
            </w:r>
          </w:p>
        </w:tc>
        <w:tc>
          <w:tcPr>
            <w:tcW w:w="0" w:type="dxa"/>
            <w:vAlign w:val="bottom"/>
          </w:tcPr>
          <w:p>
            <w:pPr>
              <w:spacing w:after="0"/>
              <w:rPr>
                <w:sz w:val="1"/>
                <w:szCs w:val="1"/>
                <w:color w:val="auto"/>
              </w:rPr>
            </w:pP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Discontinued operations</w:t>
            </w: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340"/>
        <w:spacing w:after="0" w:line="227"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 options</w:t>
            </w:r>
          </w:p>
        </w:tc>
        <w:tc>
          <w:tcPr>
            <w:tcW w:w="500" w:type="dxa"/>
            <w:vAlign w:val="bottom"/>
            <w:shd w:val="clear" w:color="auto" w:fill="E5E5E5"/>
          </w:tcPr>
          <w:p>
            <w:pPr>
              <w:spacing w:after="0"/>
              <w:rPr>
                <w:sz w:val="14"/>
                <w:szCs w:val="14"/>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799</w:t>
            </w:r>
          </w:p>
        </w:tc>
        <w:tc>
          <w:tcPr>
            <w:tcW w:w="1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805</w:t>
            </w: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3,657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1,272</w:t>
            </w:r>
          </w:p>
        </w:tc>
      </w:tr>
      <w:tr>
        <w:trPr>
          <w:trHeight w:val="189"/>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Convertible preferred stock</w:t>
            </w:r>
          </w:p>
        </w:tc>
        <w:tc>
          <w:tcPr>
            <w:tcW w:w="50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240" w:type="dxa"/>
            <w:vAlign w:val="bottom"/>
          </w:tcPr>
          <w:p>
            <w:pPr>
              <w:ind w:left="20"/>
              <w:spacing w:after="0"/>
              <w:rPr>
                <w:sz w:val="20"/>
                <w:szCs w:val="20"/>
                <w:color w:val="auto"/>
              </w:rPr>
            </w:pPr>
            <w:r>
              <w:rPr>
                <w:rFonts w:ascii="Arial" w:cs="Arial" w:eastAsia="Arial" w:hAnsi="Arial"/>
                <w:sz w:val="14"/>
                <w:szCs w:val="14"/>
                <w:color w:val="auto"/>
              </w:rPr>
              <w:t>Total Anti-Dilutive Securities</w:t>
            </w:r>
          </w:p>
        </w:tc>
        <w:tc>
          <w:tcPr>
            <w:tcW w:w="5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11,198</w:t>
            </w:r>
          </w:p>
        </w:tc>
        <w:tc>
          <w:tcPr>
            <w:tcW w:w="12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10,699</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2,077</w:t>
            </w:r>
          </w:p>
        </w:tc>
      </w:tr>
      <w:tr>
        <w:trPr>
          <w:trHeight w:val="20"/>
        </w:trPr>
        <w:tc>
          <w:tcPr>
            <w:tcW w:w="524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Dividends per Common Share</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00" w:right="339" w:bottom="1440" w:gutter="0" w:footer="0" w:header="0"/>
        </w:sectPr>
      </w:pPr>
    </w:p>
    <w:bookmarkStart w:id="36" w:name="page37"/>
    <w:bookmarkEnd w:id="36"/>
    <w:p>
      <w:pPr>
        <w:spacing w:after="0"/>
        <w:rPr>
          <w:sz w:val="20"/>
          <w:szCs w:val="20"/>
          <w:color w:val="auto"/>
        </w:rPr>
      </w:pPr>
      <w:r>
        <w:rPr>
          <w:rFonts w:ascii="Arial" w:cs="Arial" w:eastAsia="Arial" w:hAnsi="Arial"/>
          <w:sz w:val="25"/>
          <w:szCs w:val="25"/>
          <w:b w:val="1"/>
          <w:bCs w:val="1"/>
          <w:color w:val="DA2031"/>
        </w:rPr>
        <w:t>APPENDIX II</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Xerox Holdings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Geographic Sales Channels and Products and Offerings Definitions</w:t>
      </w:r>
    </w:p>
    <w:p>
      <w:pPr>
        <w:spacing w:after="0" w:line="23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9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Americas, which includes our sales channels in the U.S. and Canada, as well as Mexico, and Central and South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EMEA, which includes our sales channels in Europe, the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primarily includes sales to and royalties from Fuji Xerox, and our licensing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jc w:val="both"/>
        <w:ind w:left="660" w:hanging="328"/>
        <w:spacing w:after="0" w:line="25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Xerox Services, includes solutions and services that span from managing print to automating processes to managing content. Our primary offerings are Intelligent Workplace Services (IWS), as well as Digital and Cloud Print Services (including centralized print services) and Communication and Marketing Solutions.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Equipment Installs - Measurement Methodology Update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fourth quarter 2020, we updated our equipment installation measurement methodology to reflect the following: (i) activity from our XBS sales unit based on the timing of installations, whereas prior to this methodology update XBS activity was based on units shipped to the XBS sales unit, and (ii) installations of non-Xerox branded devices by our XBS sales unit. Note: Entry installations exclude OEM sales; Mid-range and High-end color installations exclude Fuji Xerox digital front-end sales.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2020 Installs % Change YOY</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As Reported</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Updated Methodology</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Q1</w:t>
            </w:r>
          </w:p>
        </w:tc>
        <w:tc>
          <w:tcPr>
            <w:tcW w:w="12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Q2</w:t>
            </w:r>
          </w:p>
        </w:tc>
        <w:tc>
          <w:tcPr>
            <w:tcW w:w="120" w:type="dxa"/>
            <w:vAlign w:val="bottom"/>
            <w:tcBorders>
              <w:bottom w:val="single" w:sz="8" w:color="E5E5E5"/>
            </w:tcBorders>
          </w:tcPr>
          <w:p>
            <w:pPr>
              <w:spacing w:after="0"/>
              <w:rPr>
                <w:sz w:val="15"/>
                <w:szCs w:val="15"/>
                <w:color w:val="auto"/>
              </w:rPr>
            </w:pPr>
          </w:p>
        </w:tc>
        <w:tc>
          <w:tcPr>
            <w:tcW w:w="6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Q3</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Q1</w:t>
            </w:r>
          </w:p>
        </w:tc>
        <w:tc>
          <w:tcPr>
            <w:tcW w:w="100" w:type="dxa"/>
            <w:vAlign w:val="bottom"/>
            <w:tcBorders>
              <w:bottom w:val="single" w:sz="8" w:color="E5E5E5"/>
            </w:tcBorders>
          </w:tcPr>
          <w:p>
            <w:pPr>
              <w:spacing w:after="0"/>
              <w:rPr>
                <w:sz w:val="15"/>
                <w:szCs w:val="15"/>
                <w:color w:val="auto"/>
              </w:rPr>
            </w:pPr>
          </w:p>
        </w:tc>
        <w:tc>
          <w:tcPr>
            <w:tcW w:w="6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6"/>
              </w:rPr>
              <w:t>Q2</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Q3</w:t>
            </w: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6"/>
              </w:rPr>
              <w:t>Q4</w:t>
            </w:r>
          </w:p>
        </w:tc>
        <w:tc>
          <w:tcPr>
            <w:tcW w:w="80" w:type="dxa"/>
            <w:vAlign w:val="bottom"/>
            <w:tcBorders>
              <w:bottom w:val="single" w:sz="8" w:color="E5E5E5"/>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FY</w:t>
            </w:r>
          </w:p>
        </w:tc>
      </w:tr>
      <w:tr>
        <w:trPr>
          <w:trHeight w:val="163"/>
        </w:trPr>
        <w:tc>
          <w:tcPr>
            <w:tcW w:w="20" w:type="dxa"/>
            <w:vAlign w:val="bottom"/>
            <w:shd w:val="clear" w:color="auto" w:fill="E5E5E5"/>
          </w:tcPr>
          <w:p>
            <w:pPr>
              <w:spacing w:after="0"/>
              <w:rPr>
                <w:sz w:val="14"/>
                <w:szCs w:val="14"/>
                <w:color w:val="auto"/>
              </w:rPr>
            </w:pPr>
          </w:p>
        </w:tc>
        <w:tc>
          <w:tcPr>
            <w:tcW w:w="3440" w:type="dxa"/>
            <w:vAlign w:val="bottom"/>
            <w:gridSpan w:val="5"/>
            <w:shd w:val="clear" w:color="auto" w:fill="E5E5E5"/>
          </w:tcPr>
          <w:p>
            <w:pPr>
              <w:spacing w:after="0" w:line="155" w:lineRule="exact"/>
              <w:rPr>
                <w:sz w:val="20"/>
                <w:szCs w:val="20"/>
                <w:color w:val="auto"/>
              </w:rPr>
            </w:pPr>
            <w:r>
              <w:rPr>
                <w:rFonts w:ascii="Arial" w:cs="Arial" w:eastAsia="Arial" w:hAnsi="Arial"/>
                <w:sz w:val="14"/>
                <w:szCs w:val="14"/>
                <w:b w:val="1"/>
                <w:bCs w:val="1"/>
                <w:color w:val="auto"/>
              </w:rPr>
              <w:t>Entry A4 MFPs</w:t>
            </w:r>
          </w:p>
        </w:tc>
        <w:tc>
          <w:tcPr>
            <w:tcW w:w="9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r>
      <w:tr>
        <w:trPr>
          <w:trHeight w:val="189"/>
        </w:trPr>
        <w:tc>
          <w:tcPr>
            <w:tcW w:w="20" w:type="dxa"/>
            <w:vAlign w:val="bottom"/>
            <w:tcBorders>
              <w:top w:val="single" w:sz="8" w:color="E5E5E5"/>
            </w:tcBorders>
          </w:tcPr>
          <w:p>
            <w:pPr>
              <w:spacing w:after="0"/>
              <w:rPr>
                <w:sz w:val="16"/>
                <w:szCs w:val="16"/>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Color</w:t>
            </w:r>
          </w:p>
        </w:tc>
        <w:tc>
          <w:tcPr>
            <w:tcW w:w="2420" w:type="dxa"/>
            <w:vAlign w:val="bottom"/>
            <w:tcBorders>
              <w:top w:val="single" w:sz="8" w:color="E5E5E5"/>
            </w:tcBorders>
            <w:gridSpan w:val="2"/>
          </w:tcPr>
          <w:p>
            <w:pPr>
              <w:spacing w:after="0"/>
              <w:rPr>
                <w:sz w:val="16"/>
                <w:szCs w:val="16"/>
                <w:color w:val="auto"/>
              </w:rPr>
            </w:pPr>
          </w:p>
        </w:tc>
        <w:tc>
          <w:tcPr>
            <w:tcW w:w="96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E5E5E5"/>
            </w:tcBorders>
          </w:tcPr>
          <w:p>
            <w:pPr>
              <w:spacing w:after="0"/>
              <w:rPr>
                <w:sz w:val="16"/>
                <w:szCs w:val="16"/>
                <w:color w:val="auto"/>
              </w:rPr>
            </w:pPr>
          </w:p>
        </w:tc>
        <w:tc>
          <w:tcPr>
            <w:tcW w:w="96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E5E5E5"/>
            </w:tcBorders>
          </w:tcPr>
          <w:p>
            <w:pPr>
              <w:spacing w:after="0"/>
              <w:rPr>
                <w:sz w:val="16"/>
                <w:szCs w:val="16"/>
                <w:color w:val="auto"/>
              </w:rPr>
            </w:pPr>
          </w:p>
        </w:tc>
        <w:tc>
          <w:tcPr>
            <w:tcW w:w="680" w:type="dxa"/>
            <w:vAlign w:val="bottom"/>
            <w:tcBorders>
              <w:top w:val="single" w:sz="8" w:color="E5E5E5"/>
            </w:tcBorders>
          </w:tcPr>
          <w:p>
            <w:pPr>
              <w:jc w:val="center"/>
              <w:ind w:left="68"/>
              <w:spacing w:after="0"/>
              <w:rPr>
                <w:sz w:val="20"/>
                <w:szCs w:val="20"/>
                <w:color w:val="auto"/>
              </w:rPr>
            </w:pPr>
            <w:r>
              <w:rPr>
                <w:rFonts w:ascii="Arial" w:cs="Arial" w:eastAsia="Arial" w:hAnsi="Arial"/>
                <w:sz w:val="14"/>
                <w:szCs w:val="14"/>
                <w:color w:val="auto"/>
              </w:rPr>
              <w:t>(9)%</w:t>
            </w:r>
          </w:p>
        </w:tc>
        <w:tc>
          <w:tcPr>
            <w:tcW w:w="1120" w:type="dxa"/>
            <w:vAlign w:val="bottom"/>
            <w:tcBorders>
              <w:top w:val="single" w:sz="8" w:color="E5E5E5"/>
            </w:tcBorders>
            <w:gridSpan w:val="3"/>
          </w:tcPr>
          <w:p>
            <w:pPr>
              <w:jc w:val="center"/>
              <w:ind w:left="188"/>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E5E5E5"/>
            </w:tcBorders>
          </w:tcPr>
          <w:p>
            <w:pPr>
              <w:spacing w:after="0"/>
              <w:rPr>
                <w:sz w:val="16"/>
                <w:szCs w:val="16"/>
                <w:color w:val="auto"/>
              </w:rPr>
            </w:pPr>
          </w:p>
        </w:tc>
        <w:tc>
          <w:tcPr>
            <w:tcW w:w="660" w:type="dxa"/>
            <w:vAlign w:val="bottom"/>
            <w:tcBorders>
              <w:top w:val="single" w:sz="8" w:color="E5E5E5"/>
            </w:tcBorders>
          </w:tcPr>
          <w:p>
            <w:pPr>
              <w:jc w:val="center"/>
              <w:ind w:left="128"/>
              <w:spacing w:after="0"/>
              <w:rPr>
                <w:sz w:val="20"/>
                <w:szCs w:val="20"/>
                <w:color w:val="auto"/>
              </w:rPr>
            </w:pPr>
            <w:r>
              <w:rPr>
                <w:rFonts w:ascii="Arial" w:cs="Arial" w:eastAsia="Arial" w:hAnsi="Arial"/>
                <w:sz w:val="14"/>
                <w:szCs w:val="14"/>
                <w:color w:val="auto"/>
              </w:rPr>
              <w:t>(33)%</w:t>
            </w:r>
          </w:p>
        </w:tc>
        <w:tc>
          <w:tcPr>
            <w:tcW w:w="1160" w:type="dxa"/>
            <w:vAlign w:val="bottom"/>
            <w:tcBorders>
              <w:top w:val="single" w:sz="8" w:color="E5E5E5"/>
            </w:tcBorders>
            <w:gridSpan w:val="3"/>
          </w:tcPr>
          <w:p>
            <w:pPr>
              <w:jc w:val="center"/>
              <w:ind w:left="228"/>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E5E5E5"/>
            </w:tcBorders>
          </w:tcPr>
          <w:p>
            <w:pPr>
              <w:spacing w:after="0"/>
              <w:rPr>
                <w:sz w:val="16"/>
                <w:szCs w:val="16"/>
                <w:color w:val="auto"/>
              </w:rPr>
            </w:pPr>
          </w:p>
        </w:tc>
        <w:tc>
          <w:tcPr>
            <w:tcW w:w="200" w:type="dxa"/>
            <w:vAlign w:val="bottom"/>
            <w:tcBorders>
              <w:top w:val="single" w:sz="8" w:color="E5E5E5"/>
            </w:tcBorders>
          </w:tcPr>
          <w:p>
            <w:pPr>
              <w:spacing w:after="0"/>
              <w:rPr>
                <w:sz w:val="16"/>
                <w:szCs w:val="16"/>
                <w:color w:val="auto"/>
              </w:rPr>
            </w:pPr>
          </w:p>
        </w:tc>
        <w:tc>
          <w:tcPr>
            <w:tcW w:w="660" w:type="dxa"/>
            <w:vAlign w:val="bottom"/>
            <w:tcBorders>
              <w:top w:val="single" w:sz="8" w:color="E5E5E5"/>
            </w:tcBorders>
          </w:tcPr>
          <w:p>
            <w:pPr>
              <w:jc w:val="center"/>
              <w:ind w:right="128"/>
              <w:spacing w:after="0"/>
              <w:rPr>
                <w:sz w:val="20"/>
                <w:szCs w:val="20"/>
                <w:color w:val="auto"/>
              </w:rPr>
            </w:pPr>
            <w:r>
              <w:rPr>
                <w:rFonts w:ascii="Arial" w:cs="Arial" w:eastAsia="Arial" w:hAnsi="Arial"/>
                <w:sz w:val="14"/>
                <w:szCs w:val="14"/>
                <w:color w:val="auto"/>
              </w:rPr>
              <w:t>(22)%</w:t>
            </w:r>
          </w:p>
        </w:tc>
        <w:tc>
          <w:tcPr>
            <w:tcW w:w="80" w:type="dxa"/>
            <w:vAlign w:val="bottom"/>
            <w:tcBorders>
              <w:top w:val="single" w:sz="8" w:color="E5E5E5"/>
            </w:tcBorders>
          </w:tcPr>
          <w:p>
            <w:pPr>
              <w:spacing w:after="0"/>
              <w:rPr>
                <w:sz w:val="16"/>
                <w:szCs w:val="16"/>
                <w:color w:val="auto"/>
              </w:rPr>
            </w:pPr>
          </w:p>
        </w:tc>
        <w:tc>
          <w:tcPr>
            <w:tcW w:w="860" w:type="dxa"/>
            <w:vAlign w:val="bottom"/>
            <w:tcBorders>
              <w:top w:val="single" w:sz="8" w:color="E5E5E5"/>
            </w:tcBorders>
          </w:tcPr>
          <w:p>
            <w:pPr>
              <w:jc w:val="right"/>
              <w:ind w:right="168"/>
              <w:spacing w:after="0"/>
              <w:rPr>
                <w:sz w:val="20"/>
                <w:szCs w:val="20"/>
                <w:color w:val="auto"/>
              </w:rPr>
            </w:pPr>
            <w:r>
              <w:rPr>
                <w:rFonts w:ascii="Arial" w:cs="Arial" w:eastAsia="Arial" w:hAnsi="Arial"/>
                <w:sz w:val="14"/>
                <w:szCs w:val="14"/>
                <w:color w:val="auto"/>
              </w:rPr>
              <w:t>(21)%</w:t>
            </w:r>
          </w:p>
        </w:tc>
      </w:tr>
      <w:tr>
        <w:trPr>
          <w:trHeight w:val="189"/>
        </w:trPr>
        <w:tc>
          <w:tcPr>
            <w:tcW w:w="20" w:type="dxa"/>
            <w:vAlign w:val="bottom"/>
            <w:shd w:val="clear" w:color="auto" w:fill="E5E5E5"/>
          </w:tcPr>
          <w:p>
            <w:pPr>
              <w:spacing w:after="0"/>
              <w:rPr>
                <w:sz w:val="16"/>
                <w:szCs w:val="16"/>
                <w:color w:val="auto"/>
              </w:rPr>
            </w:pPr>
          </w:p>
        </w:tc>
        <w:tc>
          <w:tcPr>
            <w:tcW w:w="3440" w:type="dxa"/>
            <w:vAlign w:val="bottom"/>
            <w:gridSpan w:val="5"/>
            <w:shd w:val="clear" w:color="auto" w:fill="E5E5E5"/>
          </w:tcPr>
          <w:p>
            <w:pPr>
              <w:spacing w:after="0"/>
              <w:rPr>
                <w:sz w:val="20"/>
                <w:szCs w:val="20"/>
                <w:color w:val="auto"/>
              </w:rPr>
            </w:pPr>
            <w:r>
              <w:rPr>
                <w:rFonts w:ascii="Arial" w:cs="Arial" w:eastAsia="Arial" w:hAnsi="Arial"/>
                <w:sz w:val="14"/>
                <w:szCs w:val="14"/>
                <w:b w:val="1"/>
                <w:bCs w:val="1"/>
                <w:color w:val="auto"/>
              </w:rPr>
              <w:t>B&amp;W</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jc w:val="center"/>
              <w:ind w:left="88"/>
              <w:spacing w:after="0"/>
              <w:rPr>
                <w:sz w:val="20"/>
                <w:szCs w:val="20"/>
                <w:color w:val="auto"/>
              </w:rPr>
            </w:pPr>
            <w:r>
              <w:rPr>
                <w:rFonts w:ascii="Arial" w:cs="Arial" w:eastAsia="Arial" w:hAnsi="Arial"/>
                <w:sz w:val="14"/>
                <w:szCs w:val="14"/>
                <w:color w:val="auto"/>
                <w:w w:val="99"/>
              </w:rPr>
              <w:t>52%</w:t>
            </w:r>
          </w:p>
        </w:tc>
        <w:tc>
          <w:tcPr>
            <w:tcW w:w="1120" w:type="dxa"/>
            <w:vAlign w:val="bottom"/>
            <w:gridSpan w:val="3"/>
            <w:shd w:val="clear" w:color="auto" w:fill="E5E5E5"/>
          </w:tcPr>
          <w:p>
            <w:pPr>
              <w:jc w:val="center"/>
              <w:ind w:left="208"/>
              <w:spacing w:after="0"/>
              <w:rPr>
                <w:sz w:val="20"/>
                <w:szCs w:val="20"/>
                <w:color w:val="auto"/>
              </w:rPr>
            </w:pPr>
            <w:r>
              <w:rPr>
                <w:rFonts w:ascii="Arial" w:cs="Arial" w:eastAsia="Arial" w:hAnsi="Arial"/>
                <w:sz w:val="14"/>
                <w:szCs w:val="14"/>
                <w:color w:val="auto"/>
                <w:w w:val="98"/>
              </w:rPr>
              <w:t>3%</w:t>
            </w:r>
          </w:p>
        </w:tc>
        <w:tc>
          <w:tcPr>
            <w:tcW w:w="100" w:type="dxa"/>
            <w:vAlign w:val="bottom"/>
            <w:shd w:val="clear" w:color="auto" w:fill="E5E5E5"/>
          </w:tcPr>
          <w:p>
            <w:pPr>
              <w:spacing w:after="0"/>
              <w:rPr>
                <w:sz w:val="16"/>
                <w:szCs w:val="16"/>
                <w:color w:val="auto"/>
              </w:rPr>
            </w:pPr>
          </w:p>
        </w:tc>
        <w:tc>
          <w:tcPr>
            <w:tcW w:w="660" w:type="dxa"/>
            <w:vAlign w:val="bottom"/>
            <w:shd w:val="clear" w:color="auto" w:fill="E5E5E5"/>
          </w:tcPr>
          <w:p>
            <w:pPr>
              <w:jc w:val="center"/>
              <w:ind w:left="128"/>
              <w:spacing w:after="0"/>
              <w:rPr>
                <w:sz w:val="20"/>
                <w:szCs w:val="20"/>
                <w:color w:val="auto"/>
              </w:rPr>
            </w:pPr>
            <w:r>
              <w:rPr>
                <w:rFonts w:ascii="Arial" w:cs="Arial" w:eastAsia="Arial" w:hAnsi="Arial"/>
                <w:sz w:val="14"/>
                <w:szCs w:val="14"/>
                <w:color w:val="auto"/>
              </w:rPr>
              <w:t>(8)%</w:t>
            </w:r>
          </w:p>
        </w:tc>
        <w:tc>
          <w:tcPr>
            <w:tcW w:w="1160" w:type="dxa"/>
            <w:vAlign w:val="bottom"/>
            <w:gridSpan w:val="3"/>
            <w:shd w:val="clear" w:color="auto" w:fill="E5E5E5"/>
          </w:tcPr>
          <w:p>
            <w:pPr>
              <w:jc w:val="center"/>
              <w:ind w:left="2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center"/>
              <w:ind w:right="128"/>
              <w:spacing w:after="0"/>
              <w:rPr>
                <w:sz w:val="20"/>
                <w:szCs w:val="20"/>
                <w:color w:val="auto"/>
              </w:rPr>
            </w:pPr>
            <w:r>
              <w:rPr>
                <w:rFonts w:ascii="Arial" w:cs="Arial" w:eastAsia="Arial" w:hAnsi="Arial"/>
                <w:sz w:val="14"/>
                <w:szCs w:val="14"/>
                <w:color w:val="auto"/>
              </w:rPr>
              <w:t>28%</w:t>
            </w:r>
          </w:p>
        </w:tc>
        <w:tc>
          <w:tcPr>
            <w:tcW w:w="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20%</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9"/>
        </w:trPr>
        <w:tc>
          <w:tcPr>
            <w:tcW w:w="20" w:type="dxa"/>
            <w:vAlign w:val="bottom"/>
            <w:tcBorders>
              <w:bottom w:val="single" w:sz="8" w:color="E5E5E5"/>
            </w:tcBorders>
            <w:shd w:val="clear" w:color="auto" w:fill="E5E5E5"/>
          </w:tcPr>
          <w:p>
            <w:pPr>
              <w:spacing w:after="0"/>
              <w:rPr>
                <w:sz w:val="14"/>
                <w:szCs w:val="14"/>
                <w:color w:val="auto"/>
              </w:rPr>
            </w:pPr>
          </w:p>
        </w:tc>
        <w:tc>
          <w:tcPr>
            <w:tcW w:w="7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Mid-range</w:t>
            </w:r>
          </w:p>
        </w:tc>
        <w:tc>
          <w:tcPr>
            <w:tcW w:w="2740" w:type="dxa"/>
            <w:vAlign w:val="bottom"/>
            <w:tcBorders>
              <w:bottom w:val="single" w:sz="8" w:color="E5E5E5"/>
            </w:tcBorders>
            <w:gridSpan w:val="3"/>
            <w:shd w:val="clear" w:color="auto" w:fill="E5E5E5"/>
          </w:tcPr>
          <w:p>
            <w:pPr>
              <w:spacing w:after="0"/>
              <w:rPr>
                <w:sz w:val="14"/>
                <w:szCs w:val="14"/>
                <w:color w:val="auto"/>
              </w:rPr>
            </w:pPr>
          </w:p>
        </w:tc>
        <w:tc>
          <w:tcPr>
            <w:tcW w:w="960" w:type="dxa"/>
            <w:vAlign w:val="bottom"/>
            <w:tcBorders>
              <w:bottom w:val="single" w:sz="8" w:color="E5E5E5"/>
            </w:tcBorders>
            <w:shd w:val="clear" w:color="auto" w:fill="E5E5E5"/>
          </w:tcPr>
          <w:p>
            <w:pPr>
              <w:spacing w:after="0"/>
              <w:rPr>
                <w:sz w:val="14"/>
                <w:szCs w:val="14"/>
                <w:color w:val="auto"/>
              </w:rPr>
            </w:pPr>
          </w:p>
        </w:tc>
        <w:tc>
          <w:tcPr>
            <w:tcW w:w="120" w:type="dxa"/>
            <w:vAlign w:val="bottom"/>
            <w:tcBorders>
              <w:bottom w:val="single" w:sz="8" w:color="E5E5E5"/>
            </w:tcBorders>
            <w:shd w:val="clear" w:color="auto" w:fill="E5E5E5"/>
          </w:tcPr>
          <w:p>
            <w:pPr>
              <w:spacing w:after="0"/>
              <w:rPr>
                <w:sz w:val="14"/>
                <w:szCs w:val="14"/>
                <w:color w:val="auto"/>
              </w:rPr>
            </w:pPr>
          </w:p>
        </w:tc>
        <w:tc>
          <w:tcPr>
            <w:tcW w:w="960" w:type="dxa"/>
            <w:vAlign w:val="bottom"/>
            <w:tcBorders>
              <w:bottom w:val="single" w:sz="8" w:color="E5E5E5"/>
            </w:tcBorders>
            <w:shd w:val="clear" w:color="auto" w:fill="E5E5E5"/>
          </w:tcPr>
          <w:p>
            <w:pPr>
              <w:spacing w:after="0"/>
              <w:rPr>
                <w:sz w:val="14"/>
                <w:szCs w:val="14"/>
                <w:color w:val="auto"/>
              </w:rPr>
            </w:pPr>
          </w:p>
        </w:tc>
        <w:tc>
          <w:tcPr>
            <w:tcW w:w="120" w:type="dxa"/>
            <w:vAlign w:val="bottom"/>
            <w:tcBorders>
              <w:bottom w:val="single" w:sz="8" w:color="E5E5E5"/>
            </w:tcBorders>
            <w:shd w:val="clear" w:color="auto" w:fill="E5E5E5"/>
          </w:tcPr>
          <w:p>
            <w:pPr>
              <w:spacing w:after="0"/>
              <w:rPr>
                <w:sz w:val="14"/>
                <w:szCs w:val="14"/>
                <w:color w:val="auto"/>
              </w:rPr>
            </w:pPr>
          </w:p>
        </w:tc>
        <w:tc>
          <w:tcPr>
            <w:tcW w:w="680" w:type="dxa"/>
            <w:vAlign w:val="bottom"/>
            <w:tcBorders>
              <w:bottom w:val="single" w:sz="8" w:color="E5E5E5"/>
            </w:tcBorders>
            <w:shd w:val="clear" w:color="auto" w:fill="E5E5E5"/>
          </w:tcPr>
          <w:p>
            <w:pPr>
              <w:spacing w:after="0"/>
              <w:rPr>
                <w:sz w:val="14"/>
                <w:szCs w:val="14"/>
                <w:color w:val="auto"/>
              </w:rPr>
            </w:pPr>
          </w:p>
        </w:tc>
        <w:tc>
          <w:tcPr>
            <w:tcW w:w="16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86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660" w:type="dxa"/>
            <w:vAlign w:val="bottom"/>
            <w:tcBorders>
              <w:bottom w:val="single" w:sz="8" w:color="E5E5E5"/>
            </w:tcBorders>
            <w:shd w:val="clear" w:color="auto" w:fill="E5E5E5"/>
          </w:tcPr>
          <w:p>
            <w:pPr>
              <w:spacing w:after="0"/>
              <w:rPr>
                <w:sz w:val="14"/>
                <w:szCs w:val="14"/>
                <w:color w:val="auto"/>
              </w:rPr>
            </w:pPr>
          </w:p>
        </w:tc>
        <w:tc>
          <w:tcPr>
            <w:tcW w:w="20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86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200" w:type="dxa"/>
            <w:vAlign w:val="bottom"/>
            <w:tcBorders>
              <w:bottom w:val="single" w:sz="8" w:color="E5E5E5"/>
            </w:tcBorders>
            <w:shd w:val="clear" w:color="auto" w:fill="E5E5E5"/>
          </w:tcPr>
          <w:p>
            <w:pPr>
              <w:spacing w:after="0"/>
              <w:rPr>
                <w:sz w:val="14"/>
                <w:szCs w:val="14"/>
                <w:color w:val="auto"/>
              </w:rPr>
            </w:pPr>
          </w:p>
        </w:tc>
        <w:tc>
          <w:tcPr>
            <w:tcW w:w="660" w:type="dxa"/>
            <w:vAlign w:val="bottom"/>
            <w:tcBorders>
              <w:bottom w:val="single" w:sz="8" w:color="E5E5E5"/>
            </w:tcBorders>
            <w:shd w:val="clear" w:color="auto" w:fill="E5E5E5"/>
          </w:tcPr>
          <w:p>
            <w:pPr>
              <w:spacing w:after="0"/>
              <w:rPr>
                <w:sz w:val="14"/>
                <w:szCs w:val="14"/>
                <w:color w:val="auto"/>
              </w:rPr>
            </w:pPr>
          </w:p>
        </w:tc>
        <w:tc>
          <w:tcPr>
            <w:tcW w:w="80" w:type="dxa"/>
            <w:vAlign w:val="bottom"/>
            <w:tcBorders>
              <w:bottom w:val="single" w:sz="8" w:color="E5E5E5"/>
            </w:tcBorders>
            <w:shd w:val="clear" w:color="auto" w:fill="E5E5E5"/>
          </w:tcPr>
          <w:p>
            <w:pPr>
              <w:spacing w:after="0"/>
              <w:rPr>
                <w:sz w:val="14"/>
                <w:szCs w:val="14"/>
                <w:color w:val="auto"/>
              </w:rPr>
            </w:pPr>
          </w:p>
        </w:tc>
        <w:tc>
          <w:tcPr>
            <w:tcW w:w="860" w:type="dxa"/>
            <w:vAlign w:val="bottom"/>
            <w:tcBorders>
              <w:bottom w:val="single" w:sz="8" w:color="E5E5E5"/>
            </w:tcBorders>
            <w:shd w:val="clear" w:color="auto" w:fill="E5E5E5"/>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440" w:type="dxa"/>
            <w:vAlign w:val="bottom"/>
            <w:gridSpan w:val="5"/>
          </w:tcPr>
          <w:p>
            <w:pPr>
              <w:spacing w:after="0"/>
              <w:rPr>
                <w:sz w:val="20"/>
                <w:szCs w:val="20"/>
                <w:color w:val="auto"/>
              </w:rPr>
            </w:pPr>
            <w:r>
              <w:rPr>
                <w:rFonts w:ascii="Arial" w:cs="Arial" w:eastAsia="Arial" w:hAnsi="Arial"/>
                <w:sz w:val="14"/>
                <w:szCs w:val="14"/>
                <w:b w:val="1"/>
                <w:bCs w:val="1"/>
                <w:color w:val="auto"/>
              </w:rPr>
              <w:t>Color</w:t>
            </w: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680" w:type="dxa"/>
            <w:vAlign w:val="bottom"/>
          </w:tcPr>
          <w:p>
            <w:pPr>
              <w:jc w:val="center"/>
              <w:ind w:left="68"/>
              <w:spacing w:after="0"/>
              <w:rPr>
                <w:sz w:val="20"/>
                <w:szCs w:val="20"/>
                <w:color w:val="auto"/>
              </w:rPr>
            </w:pPr>
            <w:r>
              <w:rPr>
                <w:rFonts w:ascii="Arial" w:cs="Arial" w:eastAsia="Arial" w:hAnsi="Arial"/>
                <w:sz w:val="14"/>
                <w:szCs w:val="14"/>
                <w:color w:val="auto"/>
              </w:rPr>
              <w:t>(21)%</w:t>
            </w:r>
          </w:p>
        </w:tc>
        <w:tc>
          <w:tcPr>
            <w:tcW w:w="1120" w:type="dxa"/>
            <w:vAlign w:val="bottom"/>
            <w:gridSpan w:val="3"/>
          </w:tcPr>
          <w:p>
            <w:pPr>
              <w:jc w:val="center"/>
              <w:ind w:left="1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660" w:type="dxa"/>
            <w:vAlign w:val="bottom"/>
          </w:tcPr>
          <w:p>
            <w:pPr>
              <w:jc w:val="center"/>
              <w:ind w:left="128"/>
              <w:spacing w:after="0"/>
              <w:rPr>
                <w:sz w:val="20"/>
                <w:szCs w:val="20"/>
                <w:color w:val="auto"/>
              </w:rPr>
            </w:pPr>
            <w:r>
              <w:rPr>
                <w:rFonts w:ascii="Arial" w:cs="Arial" w:eastAsia="Arial" w:hAnsi="Arial"/>
                <w:sz w:val="14"/>
                <w:szCs w:val="14"/>
                <w:color w:val="auto"/>
              </w:rPr>
              <w:t>(42)%</w:t>
            </w:r>
          </w:p>
        </w:tc>
        <w:tc>
          <w:tcPr>
            <w:tcW w:w="1160" w:type="dxa"/>
            <w:vAlign w:val="bottom"/>
            <w:gridSpan w:val="3"/>
          </w:tcPr>
          <w:p>
            <w:pPr>
              <w:jc w:val="center"/>
              <w:ind w:left="2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center"/>
              <w:ind w:right="12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(26)%</w:t>
            </w:r>
          </w:p>
        </w:tc>
      </w:tr>
      <w:tr>
        <w:trPr>
          <w:trHeight w:val="189"/>
        </w:trPr>
        <w:tc>
          <w:tcPr>
            <w:tcW w:w="20" w:type="dxa"/>
            <w:vAlign w:val="bottom"/>
            <w:shd w:val="clear" w:color="auto" w:fill="E5E5E5"/>
          </w:tcPr>
          <w:p>
            <w:pPr>
              <w:spacing w:after="0"/>
              <w:rPr>
                <w:sz w:val="16"/>
                <w:szCs w:val="16"/>
                <w:color w:val="auto"/>
              </w:rPr>
            </w:pPr>
          </w:p>
        </w:tc>
        <w:tc>
          <w:tcPr>
            <w:tcW w:w="3440" w:type="dxa"/>
            <w:vAlign w:val="bottom"/>
            <w:gridSpan w:val="5"/>
            <w:shd w:val="clear" w:color="auto" w:fill="E5E5E5"/>
          </w:tcPr>
          <w:p>
            <w:pPr>
              <w:spacing w:after="0"/>
              <w:rPr>
                <w:sz w:val="20"/>
                <w:szCs w:val="20"/>
                <w:color w:val="auto"/>
              </w:rPr>
            </w:pPr>
            <w:r>
              <w:rPr>
                <w:rFonts w:ascii="Arial" w:cs="Arial" w:eastAsia="Arial" w:hAnsi="Arial"/>
                <w:sz w:val="14"/>
                <w:szCs w:val="14"/>
                <w:b w:val="1"/>
                <w:bCs w:val="1"/>
                <w:color w:val="auto"/>
              </w:rPr>
              <w:t>B&amp;W</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jc w:val="center"/>
              <w:ind w:left="68"/>
              <w:spacing w:after="0"/>
              <w:rPr>
                <w:sz w:val="20"/>
                <w:szCs w:val="20"/>
                <w:color w:val="auto"/>
              </w:rPr>
            </w:pPr>
            <w:r>
              <w:rPr>
                <w:rFonts w:ascii="Arial" w:cs="Arial" w:eastAsia="Arial" w:hAnsi="Arial"/>
                <w:sz w:val="14"/>
                <w:szCs w:val="14"/>
                <w:color w:val="auto"/>
              </w:rPr>
              <w:t>(19)%</w:t>
            </w:r>
          </w:p>
        </w:tc>
        <w:tc>
          <w:tcPr>
            <w:tcW w:w="1120" w:type="dxa"/>
            <w:vAlign w:val="bottom"/>
            <w:gridSpan w:val="3"/>
            <w:shd w:val="clear" w:color="auto" w:fill="E5E5E5"/>
          </w:tcPr>
          <w:p>
            <w:pPr>
              <w:jc w:val="center"/>
              <w:ind w:left="1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16"/>
                <w:szCs w:val="16"/>
                <w:color w:val="auto"/>
              </w:rPr>
            </w:pPr>
          </w:p>
        </w:tc>
        <w:tc>
          <w:tcPr>
            <w:tcW w:w="660" w:type="dxa"/>
            <w:vAlign w:val="bottom"/>
            <w:shd w:val="clear" w:color="auto" w:fill="E5E5E5"/>
          </w:tcPr>
          <w:p>
            <w:pPr>
              <w:jc w:val="center"/>
              <w:ind w:left="128"/>
              <w:spacing w:after="0"/>
              <w:rPr>
                <w:sz w:val="20"/>
                <w:szCs w:val="20"/>
                <w:color w:val="auto"/>
              </w:rPr>
            </w:pPr>
            <w:r>
              <w:rPr>
                <w:rFonts w:ascii="Arial" w:cs="Arial" w:eastAsia="Arial" w:hAnsi="Arial"/>
                <w:sz w:val="14"/>
                <w:szCs w:val="14"/>
                <w:color w:val="auto"/>
              </w:rPr>
              <w:t>(35)%</w:t>
            </w:r>
          </w:p>
        </w:tc>
        <w:tc>
          <w:tcPr>
            <w:tcW w:w="1160" w:type="dxa"/>
            <w:vAlign w:val="bottom"/>
            <w:gridSpan w:val="3"/>
            <w:shd w:val="clear" w:color="auto" w:fill="E5E5E5"/>
          </w:tcPr>
          <w:p>
            <w:pPr>
              <w:jc w:val="center"/>
              <w:ind w:left="2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center"/>
              <w:ind w:right="12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(22)%</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9"/>
        </w:trPr>
        <w:tc>
          <w:tcPr>
            <w:tcW w:w="20" w:type="dxa"/>
            <w:vAlign w:val="bottom"/>
            <w:shd w:val="clear" w:color="auto" w:fill="E5E5E5"/>
          </w:tcPr>
          <w:p>
            <w:pPr>
              <w:spacing w:after="0"/>
              <w:rPr>
                <w:sz w:val="14"/>
                <w:szCs w:val="14"/>
                <w:color w:val="auto"/>
              </w:rPr>
            </w:pPr>
          </w:p>
        </w:tc>
        <w:tc>
          <w:tcPr>
            <w:tcW w:w="3440" w:type="dxa"/>
            <w:vAlign w:val="bottom"/>
            <w:gridSpan w:val="5"/>
            <w:shd w:val="clear" w:color="auto" w:fill="E5E5E5"/>
          </w:tcPr>
          <w:p>
            <w:pPr>
              <w:spacing w:after="0"/>
              <w:rPr>
                <w:sz w:val="20"/>
                <w:szCs w:val="20"/>
                <w:color w:val="auto"/>
              </w:rPr>
            </w:pPr>
            <w:r>
              <w:rPr>
                <w:rFonts w:ascii="Arial" w:cs="Arial" w:eastAsia="Arial" w:hAnsi="Arial"/>
                <w:sz w:val="14"/>
                <w:szCs w:val="14"/>
                <w:b w:val="1"/>
                <w:bCs w:val="1"/>
                <w:color w:val="auto"/>
              </w:rPr>
              <w:t>High-end</w:t>
            </w:r>
          </w:p>
        </w:tc>
        <w:tc>
          <w:tcPr>
            <w:tcW w:w="9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r>
      <w:tr>
        <w:trPr>
          <w:trHeight w:val="189"/>
        </w:trPr>
        <w:tc>
          <w:tcPr>
            <w:tcW w:w="20" w:type="dxa"/>
            <w:vAlign w:val="bottom"/>
            <w:tcBorders>
              <w:top w:val="single" w:sz="8" w:color="E5E5E5"/>
            </w:tcBorders>
          </w:tcPr>
          <w:p>
            <w:pPr>
              <w:spacing w:after="0"/>
              <w:rPr>
                <w:sz w:val="16"/>
                <w:szCs w:val="16"/>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Color</w:t>
            </w:r>
          </w:p>
        </w:tc>
        <w:tc>
          <w:tcPr>
            <w:tcW w:w="2820" w:type="dxa"/>
            <w:vAlign w:val="bottom"/>
            <w:tcBorders>
              <w:top w:val="single" w:sz="8" w:color="E5E5E5"/>
            </w:tcBorders>
            <w:gridSpan w:val="4"/>
          </w:tcPr>
          <w:p>
            <w:pPr>
              <w:spacing w:after="0"/>
              <w:rPr>
                <w:sz w:val="16"/>
                <w:szCs w:val="16"/>
                <w:color w:val="auto"/>
              </w:rPr>
            </w:pPr>
          </w:p>
        </w:tc>
        <w:tc>
          <w:tcPr>
            <w:tcW w:w="96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E5E5E5"/>
            </w:tcBorders>
          </w:tcPr>
          <w:p>
            <w:pPr>
              <w:spacing w:after="0"/>
              <w:rPr>
                <w:sz w:val="16"/>
                <w:szCs w:val="16"/>
                <w:color w:val="auto"/>
              </w:rPr>
            </w:pPr>
          </w:p>
        </w:tc>
        <w:tc>
          <w:tcPr>
            <w:tcW w:w="96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E5E5E5"/>
            </w:tcBorders>
          </w:tcPr>
          <w:p>
            <w:pPr>
              <w:spacing w:after="0"/>
              <w:rPr>
                <w:sz w:val="16"/>
                <w:szCs w:val="16"/>
                <w:color w:val="auto"/>
              </w:rPr>
            </w:pPr>
          </w:p>
        </w:tc>
        <w:tc>
          <w:tcPr>
            <w:tcW w:w="680" w:type="dxa"/>
            <w:vAlign w:val="bottom"/>
            <w:tcBorders>
              <w:top w:val="single" w:sz="8" w:color="E5E5E5"/>
            </w:tcBorders>
          </w:tcPr>
          <w:p>
            <w:pPr>
              <w:jc w:val="center"/>
              <w:ind w:left="68"/>
              <w:spacing w:after="0"/>
              <w:rPr>
                <w:sz w:val="20"/>
                <w:szCs w:val="20"/>
                <w:color w:val="auto"/>
              </w:rPr>
            </w:pPr>
            <w:r>
              <w:rPr>
                <w:rFonts w:ascii="Arial" w:cs="Arial" w:eastAsia="Arial" w:hAnsi="Arial"/>
                <w:sz w:val="14"/>
                <w:szCs w:val="14"/>
                <w:color w:val="auto"/>
              </w:rPr>
              <w:t>(38)%</w:t>
            </w:r>
          </w:p>
        </w:tc>
        <w:tc>
          <w:tcPr>
            <w:tcW w:w="1120" w:type="dxa"/>
            <w:vAlign w:val="bottom"/>
            <w:tcBorders>
              <w:top w:val="single" w:sz="8" w:color="E5E5E5"/>
            </w:tcBorders>
            <w:gridSpan w:val="3"/>
          </w:tcPr>
          <w:p>
            <w:pPr>
              <w:jc w:val="center"/>
              <w:ind w:left="188"/>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E5E5E5"/>
            </w:tcBorders>
          </w:tcPr>
          <w:p>
            <w:pPr>
              <w:spacing w:after="0"/>
              <w:rPr>
                <w:sz w:val="16"/>
                <w:szCs w:val="16"/>
                <w:color w:val="auto"/>
              </w:rPr>
            </w:pPr>
          </w:p>
        </w:tc>
        <w:tc>
          <w:tcPr>
            <w:tcW w:w="660" w:type="dxa"/>
            <w:vAlign w:val="bottom"/>
            <w:tcBorders>
              <w:top w:val="single" w:sz="8" w:color="E5E5E5"/>
            </w:tcBorders>
          </w:tcPr>
          <w:p>
            <w:pPr>
              <w:jc w:val="center"/>
              <w:ind w:left="128"/>
              <w:spacing w:after="0"/>
              <w:rPr>
                <w:sz w:val="20"/>
                <w:szCs w:val="20"/>
                <w:color w:val="auto"/>
              </w:rPr>
            </w:pPr>
            <w:r>
              <w:rPr>
                <w:rFonts w:ascii="Arial" w:cs="Arial" w:eastAsia="Arial" w:hAnsi="Arial"/>
                <w:sz w:val="14"/>
                <w:szCs w:val="14"/>
                <w:color w:val="auto"/>
              </w:rPr>
              <w:t>(55)%</w:t>
            </w:r>
          </w:p>
        </w:tc>
        <w:tc>
          <w:tcPr>
            <w:tcW w:w="1160" w:type="dxa"/>
            <w:vAlign w:val="bottom"/>
            <w:tcBorders>
              <w:top w:val="single" w:sz="8" w:color="E5E5E5"/>
            </w:tcBorders>
            <w:gridSpan w:val="3"/>
          </w:tcPr>
          <w:p>
            <w:pPr>
              <w:jc w:val="center"/>
              <w:ind w:left="228"/>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E5E5E5"/>
            </w:tcBorders>
          </w:tcPr>
          <w:p>
            <w:pPr>
              <w:spacing w:after="0"/>
              <w:rPr>
                <w:sz w:val="16"/>
                <w:szCs w:val="16"/>
                <w:color w:val="auto"/>
              </w:rPr>
            </w:pPr>
          </w:p>
        </w:tc>
        <w:tc>
          <w:tcPr>
            <w:tcW w:w="200" w:type="dxa"/>
            <w:vAlign w:val="bottom"/>
            <w:tcBorders>
              <w:top w:val="single" w:sz="8" w:color="E5E5E5"/>
            </w:tcBorders>
          </w:tcPr>
          <w:p>
            <w:pPr>
              <w:spacing w:after="0"/>
              <w:rPr>
                <w:sz w:val="16"/>
                <w:szCs w:val="16"/>
                <w:color w:val="auto"/>
              </w:rPr>
            </w:pPr>
          </w:p>
        </w:tc>
        <w:tc>
          <w:tcPr>
            <w:tcW w:w="660" w:type="dxa"/>
            <w:vAlign w:val="bottom"/>
            <w:tcBorders>
              <w:top w:val="single" w:sz="8" w:color="E5E5E5"/>
            </w:tcBorders>
          </w:tcPr>
          <w:p>
            <w:pPr>
              <w:jc w:val="center"/>
              <w:ind w:right="128"/>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E5E5E5"/>
            </w:tcBorders>
          </w:tcPr>
          <w:p>
            <w:pPr>
              <w:spacing w:after="0"/>
              <w:rPr>
                <w:sz w:val="16"/>
                <w:szCs w:val="16"/>
                <w:color w:val="auto"/>
              </w:rPr>
            </w:pPr>
          </w:p>
        </w:tc>
        <w:tc>
          <w:tcPr>
            <w:tcW w:w="860" w:type="dxa"/>
            <w:vAlign w:val="bottom"/>
            <w:tcBorders>
              <w:top w:val="single" w:sz="8" w:color="E5E5E5"/>
            </w:tcBorders>
          </w:tcPr>
          <w:p>
            <w:pPr>
              <w:jc w:val="right"/>
              <w:ind w:right="168"/>
              <w:spacing w:after="0"/>
              <w:rPr>
                <w:sz w:val="20"/>
                <w:szCs w:val="20"/>
                <w:color w:val="auto"/>
              </w:rPr>
            </w:pPr>
            <w:r>
              <w:rPr>
                <w:rFonts w:ascii="Arial" w:cs="Arial" w:eastAsia="Arial" w:hAnsi="Arial"/>
                <w:sz w:val="14"/>
                <w:szCs w:val="14"/>
                <w:color w:val="auto"/>
              </w:rPr>
              <w:t>(42)%</w:t>
            </w:r>
          </w:p>
        </w:tc>
      </w:tr>
      <w:tr>
        <w:trPr>
          <w:trHeight w:val="189"/>
        </w:trPr>
        <w:tc>
          <w:tcPr>
            <w:tcW w:w="20" w:type="dxa"/>
            <w:vAlign w:val="bottom"/>
            <w:shd w:val="clear" w:color="auto" w:fill="E5E5E5"/>
          </w:tcPr>
          <w:p>
            <w:pPr>
              <w:spacing w:after="0"/>
              <w:rPr>
                <w:sz w:val="16"/>
                <w:szCs w:val="16"/>
                <w:color w:val="auto"/>
              </w:rPr>
            </w:pPr>
          </w:p>
        </w:tc>
        <w:tc>
          <w:tcPr>
            <w:tcW w:w="3440" w:type="dxa"/>
            <w:vAlign w:val="bottom"/>
            <w:gridSpan w:val="5"/>
            <w:shd w:val="clear" w:color="auto" w:fill="E5E5E5"/>
          </w:tcPr>
          <w:p>
            <w:pPr>
              <w:spacing w:after="0"/>
              <w:rPr>
                <w:sz w:val="20"/>
                <w:szCs w:val="20"/>
                <w:color w:val="auto"/>
              </w:rPr>
            </w:pPr>
            <w:r>
              <w:rPr>
                <w:rFonts w:ascii="Arial" w:cs="Arial" w:eastAsia="Arial" w:hAnsi="Arial"/>
                <w:sz w:val="14"/>
                <w:szCs w:val="14"/>
                <w:b w:val="1"/>
                <w:bCs w:val="1"/>
                <w:color w:val="auto"/>
              </w:rPr>
              <w:t>B&amp;W</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E5E5E5"/>
          </w:tcPr>
          <w:p>
            <w:pPr>
              <w:spacing w:after="0"/>
              <w:rPr>
                <w:sz w:val="16"/>
                <w:szCs w:val="16"/>
                <w:color w:val="auto"/>
              </w:rPr>
            </w:pPr>
          </w:p>
        </w:tc>
        <w:tc>
          <w:tcPr>
            <w:tcW w:w="680" w:type="dxa"/>
            <w:vAlign w:val="bottom"/>
            <w:shd w:val="clear" w:color="auto" w:fill="E5E5E5"/>
          </w:tcPr>
          <w:p>
            <w:pPr>
              <w:jc w:val="center"/>
              <w:ind w:left="68"/>
              <w:spacing w:after="0"/>
              <w:rPr>
                <w:sz w:val="20"/>
                <w:szCs w:val="20"/>
                <w:color w:val="auto"/>
              </w:rPr>
            </w:pPr>
            <w:r>
              <w:rPr>
                <w:rFonts w:ascii="Arial" w:cs="Arial" w:eastAsia="Arial" w:hAnsi="Arial"/>
                <w:sz w:val="14"/>
                <w:szCs w:val="14"/>
                <w:color w:val="auto"/>
              </w:rPr>
              <w:t>(13)%</w:t>
            </w:r>
          </w:p>
        </w:tc>
        <w:tc>
          <w:tcPr>
            <w:tcW w:w="1120" w:type="dxa"/>
            <w:vAlign w:val="bottom"/>
            <w:gridSpan w:val="3"/>
            <w:shd w:val="clear" w:color="auto" w:fill="E5E5E5"/>
          </w:tcPr>
          <w:p>
            <w:pPr>
              <w:jc w:val="center"/>
              <w:ind w:left="1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E5E5"/>
          </w:tcPr>
          <w:p>
            <w:pPr>
              <w:spacing w:after="0"/>
              <w:rPr>
                <w:sz w:val="16"/>
                <w:szCs w:val="16"/>
                <w:color w:val="auto"/>
              </w:rPr>
            </w:pPr>
          </w:p>
        </w:tc>
        <w:tc>
          <w:tcPr>
            <w:tcW w:w="660" w:type="dxa"/>
            <w:vAlign w:val="bottom"/>
            <w:shd w:val="clear" w:color="auto" w:fill="E5E5E5"/>
          </w:tcPr>
          <w:p>
            <w:pPr>
              <w:jc w:val="center"/>
              <w:ind w:left="128"/>
              <w:spacing w:after="0"/>
              <w:rPr>
                <w:sz w:val="20"/>
                <w:szCs w:val="20"/>
                <w:color w:val="auto"/>
              </w:rPr>
            </w:pPr>
            <w:r>
              <w:rPr>
                <w:rFonts w:ascii="Arial" w:cs="Arial" w:eastAsia="Arial" w:hAnsi="Arial"/>
                <w:sz w:val="14"/>
                <w:szCs w:val="14"/>
                <w:color w:val="auto"/>
              </w:rPr>
              <w:t>(2)%</w:t>
            </w:r>
          </w:p>
        </w:tc>
        <w:tc>
          <w:tcPr>
            <w:tcW w:w="1160" w:type="dxa"/>
            <w:vAlign w:val="bottom"/>
            <w:gridSpan w:val="3"/>
            <w:shd w:val="clear" w:color="auto" w:fill="E5E5E5"/>
          </w:tcPr>
          <w:p>
            <w:pPr>
              <w:jc w:val="center"/>
              <w:ind w:left="2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center"/>
              <w:ind w:right="128"/>
              <w:spacing w:after="0"/>
              <w:rPr>
                <w:sz w:val="20"/>
                <w:szCs w:val="20"/>
                <w:color w:val="auto"/>
              </w:rPr>
            </w:pPr>
            <w:r>
              <w:rPr>
                <w:rFonts w:ascii="Arial" w:cs="Arial" w:eastAsia="Arial" w:hAnsi="Arial"/>
                <w:sz w:val="14"/>
                <w:szCs w:val="14"/>
                <w:color w:val="auto"/>
              </w:rPr>
              <w:t>(6)%</w:t>
            </w:r>
          </w:p>
        </w:tc>
        <w:tc>
          <w:tcPr>
            <w:tcW w:w="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240"/>
      </w:cols>
      <w:pgMar w:left="320" w:top="10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lvl w:ilvl="1">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2021-01-26T05:47:56Z</dcterms:created>
  <dcterms:modified xsi:type="dcterms:W3CDTF">2021-01-26T05:47:56Z</dcterms:modified>
</cp:coreProperties>
</file>