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919"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00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ICAHN CARL C</w:t>
              </w:r>
            </w:hyperlink>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gridSpan w:val="2"/>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Xerox Holdings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XRX</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000" w:type="dxa"/>
            <w:vAlign w:val="bottom"/>
            <w:gridSpan w:val="2"/>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6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C/O ICAHN ASSOCIATES HOLDINGS LLC</w:t>
            </w:r>
          </w:p>
        </w:tc>
        <w:tc>
          <w:tcPr>
            <w:tcW w:w="3900" w:type="dxa"/>
            <w:vAlign w:val="bottom"/>
            <w:gridSpan w:val="3"/>
          </w:tcPr>
          <w:p>
            <w:pPr>
              <w:ind w:left="160"/>
              <w:spacing w:after="0"/>
              <w:rPr>
                <w:sz w:val="20"/>
                <w:szCs w:val="20"/>
                <w:color w:val="auto"/>
              </w:rPr>
            </w:pPr>
            <w:r>
              <w:rPr>
                <w:rFonts w:ascii="Arial" w:cs="Arial" w:eastAsia="Arial" w:hAnsi="Arial"/>
                <w:sz w:val="17"/>
                <w:szCs w:val="17"/>
                <w:color w:val="0000FF"/>
              </w:rPr>
              <w:t>08/17/2020</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16690 COLLINS AVENUE - PH-1</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7" w:lineRule="exact"/>
        <w:rPr>
          <w:sz w:val="20"/>
          <w:szCs w:val="20"/>
          <w:color w:val="auto"/>
        </w:rPr>
      </w:pPr>
    </w:p>
    <w:p>
      <w:pPr>
        <w:sectPr>
          <w:pgSz w:w="11900" w:h="16919" w:orient="portrait"/>
          <w:cols w:equalWidth="0" w:num="2">
            <w:col w:w="7660" w:space="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800" w:type="dxa"/>
            <w:vAlign w:val="bottom"/>
            <w:gridSpan w:val="12"/>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800" w:type="dxa"/>
            <w:vAlign w:val="bottom"/>
            <w:gridSpan w:val="12"/>
            <w:vMerge w:val="continue"/>
          </w:tcPr>
          <w:p>
            <w:pPr>
              <w:spacing w:after="0"/>
              <w:rPr>
                <w:sz w:val="5"/>
                <w:szCs w:val="5"/>
                <w:color w:val="auto"/>
              </w:rPr>
            </w:pPr>
          </w:p>
        </w:tc>
        <w:tc>
          <w:tcPr>
            <w:tcW w:w="35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2860" w:type="dxa"/>
            <w:vAlign w:val="bottom"/>
            <w:gridSpan w:val="7"/>
            <w:vMerge w:val="restart"/>
          </w:tcPr>
          <w:p>
            <w:pPr>
              <w:ind w:left="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3"/>
            <w:vMerge w:val="restart"/>
          </w:tcPr>
          <w:p>
            <w:pPr>
              <w:spacing w:after="0" w:line="307" w:lineRule="exact"/>
              <w:rPr>
                <w:sz w:val="20"/>
                <w:szCs w:val="20"/>
                <w:color w:val="auto"/>
              </w:rPr>
            </w:pPr>
            <w:r>
              <w:rPr>
                <w:rFonts w:ascii="Arial" w:cs="Arial" w:eastAsia="Arial" w:hAnsi="Arial"/>
                <w:sz w:val="17"/>
                <w:szCs w:val="17"/>
                <w:color w:val="0000FF"/>
              </w:rPr>
              <w:t xml:space="preserve">SUNNY ISLES  </w:t>
            </w:r>
            <w:r>
              <w:rPr>
                <w:rFonts w:ascii="Arial" w:cs="Arial" w:eastAsia="Arial" w:hAnsi="Arial"/>
                <w:sz w:val="34"/>
                <w:szCs w:val="34"/>
                <w:color w:val="0000FF"/>
                <w:vertAlign w:val="subscript"/>
              </w:rPr>
              <w:t>FL</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33160</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3"/>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60" w:type="dxa"/>
            <w:vAlign w:val="bottom"/>
            <w:gridSpan w:val="7"/>
          </w:tcPr>
          <w:p>
            <w:pPr>
              <w:ind w:left="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line="147" w:lineRule="exact"/>
              <w:rPr>
                <w:sz w:val="20"/>
                <w:szCs w:val="20"/>
                <w:color w:val="auto"/>
              </w:rPr>
            </w:pPr>
            <w:r>
              <w:rPr>
                <w:rFonts w:ascii="Arial" w:cs="Arial" w:eastAsia="Arial" w:hAnsi="Arial"/>
                <w:sz w:val="16"/>
                <w:szCs w:val="16"/>
                <w:color w:val="0000FF"/>
              </w:rPr>
              <w:t>BEACH</w:t>
            </w: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3"/>
                <w:szCs w:val="13"/>
                <w:color w:val="auto"/>
              </w:rPr>
              <w:t>Person</w:t>
            </w: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gridSpan w:val="2"/>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5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804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tcPr>
          <w:p>
            <w:pPr>
              <w:ind w:left="2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9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54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ind w:left="240"/>
              <w:spacing w:after="0" w:line="131"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w w:val="97"/>
              </w:rPr>
              <w:t>Execution Date,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9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Form: Direct</w:t>
            </w:r>
          </w:p>
        </w:tc>
        <w:tc>
          <w:tcPr>
            <w:tcW w:w="15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jc w:val="center"/>
              <w:ind w:left="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2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360" w:type="dxa"/>
            <w:vAlign w:val="bottom"/>
          </w:tcPr>
          <w:p>
            <w:pPr>
              <w:spacing w:after="0"/>
              <w:rPr>
                <w:sz w:val="14"/>
                <w:szCs w:val="14"/>
                <w:color w:val="auto"/>
              </w:rPr>
            </w:pP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0" w:type="dxa"/>
            <w:vAlign w:val="bottom"/>
            <w:gridSpan w:val="3"/>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6"/>
                <w:szCs w:val="6"/>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4"/>
          </w:tcPr>
          <w:p>
            <w:pPr>
              <w:ind w:left="60"/>
              <w:spacing w:after="0"/>
              <w:rPr>
                <w:sz w:val="20"/>
                <w:szCs w:val="20"/>
                <w:color w:val="auto"/>
              </w:rPr>
            </w:pPr>
            <w:r>
              <w:rPr>
                <w:rFonts w:ascii="Arial" w:cs="Arial" w:eastAsia="Arial" w:hAnsi="Arial"/>
                <w:sz w:val="17"/>
                <w:szCs w:val="17"/>
                <w:color w:val="0000FF"/>
              </w:rPr>
              <w:t>Common Stock, $1 par value</w:t>
            </w:r>
          </w:p>
        </w:tc>
        <w:tc>
          <w:tcPr>
            <w:tcW w:w="1340" w:type="dxa"/>
            <w:vAlign w:val="bottom"/>
            <w:vMerge w:val="restart"/>
          </w:tcPr>
          <w:p>
            <w:pPr>
              <w:jc w:val="center"/>
              <w:ind w:left="47"/>
              <w:spacing w:after="0"/>
              <w:rPr>
                <w:sz w:val="20"/>
                <w:szCs w:val="20"/>
                <w:color w:val="auto"/>
              </w:rPr>
            </w:pPr>
            <w:r>
              <w:rPr>
                <w:rFonts w:ascii="Arial" w:cs="Arial" w:eastAsia="Arial" w:hAnsi="Arial"/>
                <w:sz w:val="17"/>
                <w:szCs w:val="17"/>
                <w:color w:val="0000FF"/>
                <w:w w:val="91"/>
              </w:rPr>
              <w:t>08/17/2020</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vMerge w:val="restart"/>
          </w:tcPr>
          <w:p>
            <w:pPr>
              <w:ind w:left="140"/>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2"/>
                <w:szCs w:val="22"/>
                <w:color w:val="auto"/>
              </w:rPr>
            </w:pPr>
          </w:p>
        </w:tc>
        <w:tc>
          <w:tcPr>
            <w:tcW w:w="800" w:type="dxa"/>
            <w:vAlign w:val="bottom"/>
            <w:vMerge w:val="restart"/>
          </w:tcPr>
          <w:p>
            <w:pPr>
              <w:jc w:val="center"/>
              <w:ind w:right="30"/>
              <w:spacing w:after="0"/>
              <w:rPr>
                <w:sz w:val="20"/>
                <w:szCs w:val="20"/>
                <w:color w:val="auto"/>
              </w:rPr>
            </w:pPr>
            <w:r>
              <w:rPr>
                <w:rFonts w:ascii="Arial" w:cs="Arial" w:eastAsia="Arial" w:hAnsi="Arial"/>
                <w:sz w:val="17"/>
                <w:szCs w:val="17"/>
                <w:color w:val="0000FF"/>
                <w:w w:val="94"/>
              </w:rPr>
              <w:t>299,872</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18.11</w:t>
            </w:r>
          </w:p>
        </w:tc>
        <w:tc>
          <w:tcPr>
            <w:tcW w:w="40" w:type="dxa"/>
            <w:vAlign w:val="bottom"/>
          </w:tcPr>
          <w:p>
            <w:pPr>
              <w:spacing w:after="0"/>
              <w:rPr>
                <w:sz w:val="22"/>
                <w:szCs w:val="22"/>
                <w:color w:val="auto"/>
              </w:rPr>
            </w:pPr>
          </w:p>
        </w:tc>
        <w:tc>
          <w:tcPr>
            <w:tcW w:w="1000" w:type="dxa"/>
            <w:vAlign w:val="bottom"/>
            <w:gridSpan w:val="3"/>
            <w:vMerge w:val="restart"/>
          </w:tcPr>
          <w:p>
            <w:pPr>
              <w:ind w:left="120"/>
              <w:spacing w:after="0"/>
              <w:rPr>
                <w:sz w:val="20"/>
                <w:szCs w:val="20"/>
                <w:color w:val="auto"/>
              </w:rPr>
            </w:pPr>
            <w:r>
              <w:rPr>
                <w:rFonts w:ascii="Arial" w:cs="Arial" w:eastAsia="Arial" w:hAnsi="Arial"/>
                <w:sz w:val="17"/>
                <w:szCs w:val="17"/>
                <w:color w:val="0000FF"/>
              </w:rPr>
              <w:t>26,878,556</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540" w:type="dxa"/>
            <w:vAlign w:val="bottom"/>
            <w:gridSpan w:val="5"/>
          </w:tcPr>
          <w:p>
            <w:pPr>
              <w:ind w:left="60"/>
              <w:spacing w:after="0"/>
              <w:rPr>
                <w:sz w:val="20"/>
                <w:szCs w:val="20"/>
                <w:color w:val="auto"/>
              </w:rPr>
            </w:pPr>
            <w:r>
              <w:rPr>
                <w:rFonts w:ascii="Arial" w:cs="Arial" w:eastAsia="Arial" w:hAnsi="Arial"/>
                <w:sz w:val="17"/>
                <w:szCs w:val="17"/>
                <w:color w:val="0000FF"/>
              </w:rPr>
              <w:t>See footnotes</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0"/>
              </w:rPr>
              <w:t>("Shares")</w:t>
            </w: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color w:val="008000"/>
              </w:rPr>
              <w:t>(3)(4)(5)</w:t>
            </w: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Shares</w:t>
            </w: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vMerge w:val="restart"/>
          </w:tcPr>
          <w:p>
            <w:pPr>
              <w:jc w:val="center"/>
              <w:ind w:left="47"/>
              <w:spacing w:after="0"/>
              <w:rPr>
                <w:sz w:val="20"/>
                <w:szCs w:val="20"/>
                <w:color w:val="auto"/>
              </w:rPr>
            </w:pPr>
            <w:r>
              <w:rPr>
                <w:rFonts w:ascii="Arial" w:cs="Arial" w:eastAsia="Arial" w:hAnsi="Arial"/>
                <w:sz w:val="17"/>
                <w:szCs w:val="17"/>
                <w:color w:val="0000FF"/>
                <w:w w:val="91"/>
              </w:rPr>
              <w:t>08/18/2020</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vMerge w:val="restart"/>
          </w:tcPr>
          <w:p>
            <w:pPr>
              <w:ind w:left="140"/>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1"/>
                <w:szCs w:val="21"/>
                <w:color w:val="auto"/>
              </w:rPr>
            </w:pPr>
          </w:p>
        </w:tc>
        <w:tc>
          <w:tcPr>
            <w:tcW w:w="800" w:type="dxa"/>
            <w:vAlign w:val="bottom"/>
            <w:vMerge w:val="restart"/>
          </w:tcPr>
          <w:p>
            <w:pPr>
              <w:jc w:val="center"/>
              <w:ind w:right="30"/>
              <w:spacing w:after="0"/>
              <w:rPr>
                <w:sz w:val="20"/>
                <w:szCs w:val="20"/>
                <w:color w:val="auto"/>
              </w:rPr>
            </w:pPr>
            <w:r>
              <w:rPr>
                <w:rFonts w:ascii="Arial" w:cs="Arial" w:eastAsia="Arial" w:hAnsi="Arial"/>
                <w:sz w:val="17"/>
                <w:szCs w:val="17"/>
                <w:color w:val="0000FF"/>
                <w:w w:val="94"/>
              </w:rPr>
              <w:t>359,495</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18.12</w:t>
            </w:r>
          </w:p>
        </w:tc>
        <w:tc>
          <w:tcPr>
            <w:tcW w:w="40" w:type="dxa"/>
            <w:vAlign w:val="bottom"/>
          </w:tcPr>
          <w:p>
            <w:pPr>
              <w:spacing w:after="0"/>
              <w:rPr>
                <w:sz w:val="21"/>
                <w:szCs w:val="21"/>
                <w:color w:val="auto"/>
              </w:rPr>
            </w:pPr>
          </w:p>
        </w:tc>
        <w:tc>
          <w:tcPr>
            <w:tcW w:w="1000" w:type="dxa"/>
            <w:vAlign w:val="bottom"/>
            <w:gridSpan w:val="3"/>
            <w:vMerge w:val="restart"/>
          </w:tcPr>
          <w:p>
            <w:pPr>
              <w:ind w:left="120"/>
              <w:spacing w:after="0"/>
              <w:rPr>
                <w:sz w:val="20"/>
                <w:szCs w:val="20"/>
                <w:color w:val="auto"/>
              </w:rPr>
            </w:pPr>
            <w:r>
              <w:rPr>
                <w:rFonts w:ascii="Arial" w:cs="Arial" w:eastAsia="Arial" w:hAnsi="Arial"/>
                <w:sz w:val="17"/>
                <w:szCs w:val="17"/>
                <w:color w:val="0000FF"/>
              </w:rPr>
              <w:t>27,238,051</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540" w:type="dxa"/>
            <w:vAlign w:val="bottom"/>
            <w:gridSpan w:val="5"/>
          </w:tcPr>
          <w:p>
            <w:pPr>
              <w:ind w:left="60"/>
              <w:spacing w:after="0"/>
              <w:rPr>
                <w:sz w:val="20"/>
                <w:szCs w:val="20"/>
                <w:color w:val="auto"/>
              </w:rPr>
            </w:pPr>
            <w:r>
              <w:rPr>
                <w:rFonts w:ascii="Arial" w:cs="Arial" w:eastAsia="Arial" w:hAnsi="Arial"/>
                <w:sz w:val="17"/>
                <w:szCs w:val="17"/>
                <w:color w:val="0000FF"/>
              </w:rPr>
              <w:t>See footnotes</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color w:val="008000"/>
              </w:rPr>
              <w:t>(3)(4)(5)</w:t>
            </w: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10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Shares</w:t>
            </w: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vMerge w:val="restart"/>
          </w:tcPr>
          <w:p>
            <w:pPr>
              <w:jc w:val="center"/>
              <w:ind w:left="47"/>
              <w:spacing w:after="0"/>
              <w:rPr>
                <w:sz w:val="20"/>
                <w:szCs w:val="20"/>
                <w:color w:val="auto"/>
              </w:rPr>
            </w:pPr>
            <w:r>
              <w:rPr>
                <w:rFonts w:ascii="Arial" w:cs="Arial" w:eastAsia="Arial" w:hAnsi="Arial"/>
                <w:sz w:val="17"/>
                <w:szCs w:val="17"/>
                <w:color w:val="0000FF"/>
                <w:w w:val="91"/>
              </w:rPr>
              <w:t>08/19/2020</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vMerge w:val="restart"/>
          </w:tcPr>
          <w:p>
            <w:pPr>
              <w:ind w:left="140"/>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1"/>
                <w:szCs w:val="21"/>
                <w:color w:val="auto"/>
              </w:rPr>
            </w:pPr>
          </w:p>
        </w:tc>
        <w:tc>
          <w:tcPr>
            <w:tcW w:w="800" w:type="dxa"/>
            <w:vAlign w:val="bottom"/>
            <w:vMerge w:val="restart"/>
          </w:tcPr>
          <w:p>
            <w:pPr>
              <w:jc w:val="center"/>
              <w:ind w:right="30"/>
              <w:spacing w:after="0"/>
              <w:rPr>
                <w:sz w:val="20"/>
                <w:szCs w:val="20"/>
                <w:color w:val="auto"/>
              </w:rPr>
            </w:pPr>
            <w:r>
              <w:rPr>
                <w:rFonts w:ascii="Arial" w:cs="Arial" w:eastAsia="Arial" w:hAnsi="Arial"/>
                <w:sz w:val="17"/>
                <w:szCs w:val="17"/>
                <w:color w:val="0000FF"/>
                <w:w w:val="88"/>
              </w:rPr>
              <w:t>66,568</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18.2</w:t>
            </w:r>
          </w:p>
        </w:tc>
        <w:tc>
          <w:tcPr>
            <w:tcW w:w="40" w:type="dxa"/>
            <w:vAlign w:val="bottom"/>
          </w:tcPr>
          <w:p>
            <w:pPr>
              <w:spacing w:after="0"/>
              <w:rPr>
                <w:sz w:val="21"/>
                <w:szCs w:val="21"/>
                <w:color w:val="auto"/>
              </w:rPr>
            </w:pPr>
          </w:p>
        </w:tc>
        <w:tc>
          <w:tcPr>
            <w:tcW w:w="1000" w:type="dxa"/>
            <w:vAlign w:val="bottom"/>
            <w:gridSpan w:val="3"/>
            <w:vMerge w:val="restart"/>
          </w:tcPr>
          <w:p>
            <w:pPr>
              <w:ind w:left="120"/>
              <w:spacing w:after="0"/>
              <w:rPr>
                <w:sz w:val="20"/>
                <w:szCs w:val="20"/>
                <w:color w:val="auto"/>
              </w:rPr>
            </w:pPr>
            <w:r>
              <w:rPr>
                <w:rFonts w:ascii="Arial" w:cs="Arial" w:eastAsia="Arial" w:hAnsi="Arial"/>
                <w:sz w:val="17"/>
                <w:szCs w:val="17"/>
                <w:color w:val="0000FF"/>
              </w:rPr>
              <w:t>27,304,619</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540" w:type="dxa"/>
            <w:vAlign w:val="bottom"/>
            <w:gridSpan w:val="5"/>
          </w:tcPr>
          <w:p>
            <w:pPr>
              <w:ind w:left="60"/>
              <w:spacing w:after="0"/>
              <w:rPr>
                <w:sz w:val="20"/>
                <w:szCs w:val="20"/>
                <w:color w:val="auto"/>
              </w:rPr>
            </w:pPr>
            <w:r>
              <w:rPr>
                <w:rFonts w:ascii="Arial" w:cs="Arial" w:eastAsia="Arial" w:hAnsi="Arial"/>
                <w:sz w:val="17"/>
                <w:szCs w:val="17"/>
                <w:color w:val="0000FF"/>
              </w:rPr>
              <w:t>See footnotes</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color w:val="008000"/>
              </w:rPr>
              <w:t>(3)(4)(5)</w:t>
            </w: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20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gridSpan w:val="2"/>
          </w:tcPr>
          <w:p>
            <w:pPr>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13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4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3"/>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ICAHN CARL C</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jc w:val="center"/>
              <w:ind w:left="67"/>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4"/>
          </w:tcPr>
          <w:p>
            <w:pPr>
              <w:spacing w:after="0"/>
              <w:rPr>
                <w:sz w:val="20"/>
                <w:szCs w:val="20"/>
                <w:color w:val="auto"/>
              </w:rPr>
            </w:pPr>
            <w:r>
              <w:rPr>
                <w:rFonts w:ascii="Arial" w:cs="Arial" w:eastAsia="Arial" w:hAnsi="Arial"/>
                <w:sz w:val="17"/>
                <w:szCs w:val="17"/>
                <w:color w:val="0000FF"/>
              </w:rPr>
              <w:t>C/O ICAHN ASSOCIATES HOLDINGS LLC</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4"/>
          </w:tcPr>
          <w:p>
            <w:pPr>
              <w:spacing w:after="0"/>
              <w:rPr>
                <w:sz w:val="20"/>
                <w:szCs w:val="20"/>
                <w:color w:val="auto"/>
              </w:rPr>
            </w:pPr>
            <w:r>
              <w:rPr>
                <w:rFonts w:ascii="Arial" w:cs="Arial" w:eastAsia="Arial" w:hAnsi="Arial"/>
                <w:sz w:val="17"/>
                <w:szCs w:val="17"/>
                <w:color w:val="0000FF"/>
              </w:rPr>
              <w:t>16690 COLLINS AVENUE - PH-1</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SUNNY ISLES</w:t>
            </w: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FL</w:t>
            </w:r>
          </w:p>
        </w:tc>
        <w:tc>
          <w:tcPr>
            <w:tcW w:w="1340" w:type="dxa"/>
            <w:vAlign w:val="bottom"/>
            <w:vMerge w:val="restart"/>
          </w:tcPr>
          <w:p>
            <w:pPr>
              <w:jc w:val="center"/>
              <w:ind w:left="27"/>
              <w:spacing w:after="0"/>
              <w:rPr>
                <w:sz w:val="20"/>
                <w:szCs w:val="20"/>
                <w:color w:val="auto"/>
              </w:rPr>
            </w:pPr>
            <w:r>
              <w:rPr>
                <w:rFonts w:ascii="Arial" w:cs="Arial" w:eastAsia="Arial" w:hAnsi="Arial"/>
                <w:sz w:val="17"/>
                <w:szCs w:val="17"/>
                <w:color w:val="0000FF"/>
                <w:w w:val="92"/>
              </w:rPr>
              <w:t>33160</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spacing w:after="0"/>
              <w:rPr>
                <w:sz w:val="20"/>
                <w:szCs w:val="20"/>
                <w:color w:val="auto"/>
              </w:rPr>
            </w:pPr>
            <w:r>
              <w:rPr>
                <w:rFonts w:ascii="Arial" w:cs="Arial" w:eastAsia="Arial" w:hAnsi="Arial"/>
                <w:sz w:val="17"/>
                <w:szCs w:val="17"/>
                <w:color w:val="0000FF"/>
              </w:rPr>
              <w:t>BEACH</w:t>
            </w:r>
          </w:p>
        </w:tc>
        <w:tc>
          <w:tcPr>
            <w:tcW w:w="7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74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3"/>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ICAHN PARTNERS LP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jc w:val="center"/>
              <w:ind w:left="67"/>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4"/>
          </w:tcPr>
          <w:p>
            <w:pPr>
              <w:spacing w:after="0"/>
              <w:rPr>
                <w:sz w:val="20"/>
                <w:szCs w:val="20"/>
                <w:color w:val="auto"/>
              </w:rPr>
            </w:pPr>
            <w:r>
              <w:rPr>
                <w:rFonts w:ascii="Arial" w:cs="Arial" w:eastAsia="Arial" w:hAnsi="Arial"/>
                <w:sz w:val="17"/>
                <w:szCs w:val="17"/>
                <w:color w:val="0000FF"/>
              </w:rPr>
              <w:t>16690 COLLINS AVENUE - PH-1</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SUNNY ISLES</w:t>
            </w: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FL</w:t>
            </w:r>
          </w:p>
        </w:tc>
        <w:tc>
          <w:tcPr>
            <w:tcW w:w="1340" w:type="dxa"/>
            <w:vAlign w:val="bottom"/>
            <w:vMerge w:val="restart"/>
          </w:tcPr>
          <w:p>
            <w:pPr>
              <w:jc w:val="center"/>
              <w:ind w:left="27"/>
              <w:spacing w:after="0"/>
              <w:rPr>
                <w:sz w:val="20"/>
                <w:szCs w:val="20"/>
                <w:color w:val="auto"/>
              </w:rPr>
            </w:pPr>
            <w:r>
              <w:rPr>
                <w:rFonts w:ascii="Arial" w:cs="Arial" w:eastAsia="Arial" w:hAnsi="Arial"/>
                <w:sz w:val="17"/>
                <w:szCs w:val="17"/>
                <w:color w:val="0000FF"/>
                <w:w w:val="92"/>
              </w:rPr>
              <w:t>33160</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spacing w:after="0"/>
              <w:rPr>
                <w:sz w:val="20"/>
                <w:szCs w:val="20"/>
                <w:color w:val="auto"/>
              </w:rPr>
            </w:pPr>
            <w:r>
              <w:rPr>
                <w:rFonts w:ascii="Arial" w:cs="Arial" w:eastAsia="Arial" w:hAnsi="Arial"/>
                <w:sz w:val="17"/>
                <w:szCs w:val="17"/>
                <w:color w:val="0000FF"/>
              </w:rPr>
              <w:t>BEACH</w:t>
            </w:r>
          </w:p>
        </w:tc>
        <w:tc>
          <w:tcPr>
            <w:tcW w:w="7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-7114540</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ectPr>
          <w:pgSz w:w="11900" w:h="16919"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919" w:orient="portrait"/>
          <w:cols w:equalWidth="0" w:num="1">
            <w:col w:w="11080"/>
          </w:cols>
          <w:pgMar w:left="460" w:top="225"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1861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83840" cy="186182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ICAHN PARTNERS MASTER FUND LP</w:t>
        </w:r>
      </w:hyperlink>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1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7"/>
                <w:szCs w:val="17"/>
                <w:color w:val="0000FF"/>
              </w:rPr>
              <w:t>16690 COLLINS AVENUE - PH-1</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SUNNY ISLES</w:t>
            </w:r>
          </w:p>
        </w:tc>
        <w:tc>
          <w:tcPr>
            <w:tcW w:w="1380" w:type="dxa"/>
            <w:vAlign w:val="bottom"/>
            <w:vMerge w:val="restart"/>
          </w:tcPr>
          <w:p>
            <w:pPr>
              <w:ind w:left="140"/>
              <w:spacing w:after="0"/>
              <w:rPr>
                <w:sz w:val="20"/>
                <w:szCs w:val="20"/>
                <w:color w:val="auto"/>
              </w:rPr>
            </w:pPr>
            <w:r>
              <w:rPr>
                <w:rFonts w:ascii="Arial" w:cs="Arial" w:eastAsia="Arial" w:hAnsi="Arial"/>
                <w:sz w:val="17"/>
                <w:szCs w:val="17"/>
                <w:color w:val="0000FF"/>
              </w:rPr>
              <w:t>FL</w:t>
            </w:r>
          </w:p>
        </w:tc>
        <w:tc>
          <w:tcPr>
            <w:tcW w:w="1520" w:type="dxa"/>
            <w:vAlign w:val="bottom"/>
            <w:vMerge w:val="restart"/>
          </w:tcPr>
          <w:p>
            <w:pPr>
              <w:ind w:left="160"/>
              <w:spacing w:after="0"/>
              <w:rPr>
                <w:sz w:val="20"/>
                <w:szCs w:val="20"/>
                <w:color w:val="auto"/>
              </w:rPr>
            </w:pPr>
            <w:r>
              <w:rPr>
                <w:rFonts w:ascii="Arial" w:cs="Arial" w:eastAsia="Arial" w:hAnsi="Arial"/>
                <w:sz w:val="17"/>
                <w:szCs w:val="17"/>
                <w:color w:val="0000FF"/>
              </w:rPr>
              <w:t>33160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BEACH</w:t>
            </w:r>
          </w:p>
        </w:tc>
        <w:tc>
          <w:tcPr>
            <w:tcW w:w="13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1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Icahn Partners LP ("Icahn Partners") directly beneficially owns 15,966,749 Shares and Icahn Partners Master Fund LP ("Icahn Master") directly beneficially owns 11,337,870 Shares.</w:t>
      </w:r>
    </w:p>
    <w:p>
      <w:pPr>
        <w:spacing w:after="0" w:line="50" w:lineRule="exact"/>
        <w:rPr>
          <w:rFonts w:ascii="Arial" w:cs="Arial" w:eastAsia="Arial" w:hAnsi="Arial"/>
          <w:sz w:val="13"/>
          <w:szCs w:val="13"/>
          <w:color w:val="008000"/>
        </w:rPr>
      </w:pPr>
    </w:p>
    <w:p>
      <w:pPr>
        <w:ind w:firstLine="7"/>
        <w:spacing w:after="0" w:line="281"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Beckton Corp. ("Beckton") is the sole stockholder of Icahn Enterprises G.P. Inc. ("Icahn Enterprises GP"), which is the general partner of Icahn Enterprises Holdings L.P. ("Icahn Enterprises Holdings"). Icahn Enterprises Holdings is the sole member of IPH GP LLC ("IPH"), which is the general partner of Icahn Capital LP ("Icahn Capital"). Icahn Capital is the general partner of each of Icahn Onshore LP ("Icahn Onshore") and Icahn Offshore LP ("Icahn Offshore"). Icahn Onshore is the general partner of Icahn Partners. Icahn Offshore is the general partner of Icahn Master.</w:t>
      </w:r>
    </w:p>
    <w:p>
      <w:pPr>
        <w:spacing w:after="0" w:line="8" w:lineRule="exact"/>
        <w:rPr>
          <w:rFonts w:ascii="Arial" w:cs="Arial" w:eastAsia="Arial" w:hAnsi="Arial"/>
          <w:sz w:val="12"/>
          <w:szCs w:val="12"/>
          <w:color w:val="008000"/>
        </w:rPr>
      </w:pPr>
    </w:p>
    <w:p>
      <w:pPr>
        <w:ind w:left="140" w:hanging="13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Beckton is 100 percent owned by Carl C. Icahn. As such, Mr. Icahn is in a position indirectly to determine the investment and voting decisions made by each of Icahn Partners and Icahn Master.</w:t>
      </w:r>
    </w:p>
    <w:p>
      <w:pPr>
        <w:spacing w:after="0" w:line="61" w:lineRule="exact"/>
        <w:rPr>
          <w:rFonts w:ascii="Arial" w:cs="Arial" w:eastAsia="Arial" w:hAnsi="Arial"/>
          <w:sz w:val="12"/>
          <w:szCs w:val="12"/>
          <w:color w:val="008000"/>
        </w:rPr>
      </w:pPr>
    </w:p>
    <w:p>
      <w:pPr>
        <w:ind w:left="140" w:hanging="13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of Icahn Onshore, Icahn Capital, IPH, Icahn Enterprises Holdings, Icahn Enterprises GP, Beckton and Mr. Icahn may be deemed to indirectly beneficially own (as that term is defined in Rule 13d-</w:t>
      </w:r>
    </w:p>
    <w:p>
      <w:pPr>
        <w:spacing w:after="0" w:line="18" w:lineRule="exact"/>
        <w:rPr>
          <w:rFonts w:ascii="Arial" w:cs="Arial" w:eastAsia="Arial" w:hAnsi="Arial"/>
          <w:sz w:val="12"/>
          <w:szCs w:val="12"/>
          <w:color w:val="008000"/>
        </w:rPr>
      </w:pPr>
    </w:p>
    <w:p>
      <w:pPr>
        <w:ind w:right="500"/>
        <w:spacing w:after="0" w:line="250" w:lineRule="auto"/>
        <w:rPr>
          <w:rFonts w:ascii="Arial" w:cs="Arial" w:eastAsia="Arial" w:hAnsi="Arial"/>
          <w:sz w:val="12"/>
          <w:szCs w:val="12"/>
          <w:color w:val="008000"/>
        </w:rPr>
      </w:pPr>
      <w:r>
        <w:rPr>
          <w:rFonts w:ascii="Arial" w:cs="Arial" w:eastAsia="Arial" w:hAnsi="Arial"/>
          <w:sz w:val="13"/>
          <w:szCs w:val="13"/>
          <w:color w:val="008000"/>
        </w:rPr>
        <w:t>3 under the Act) the Shares which Icahn Partners owns. Each of Icahn Onshore, Icahn Capital, IPH, Icahn Enterprises Holdings, Icahn Enterprises GP, Beckton and Mr. Icahn disclaims beneficial ownership of such Shares except to the extent of their pecuniary interest therein.</w:t>
      </w:r>
    </w:p>
    <w:p>
      <w:pPr>
        <w:spacing w:after="0" w:line="25" w:lineRule="exact"/>
        <w:rPr>
          <w:rFonts w:ascii="Arial" w:cs="Arial" w:eastAsia="Arial" w:hAnsi="Arial"/>
          <w:sz w:val="12"/>
          <w:szCs w:val="12"/>
          <w:color w:val="008000"/>
        </w:rPr>
      </w:pPr>
    </w:p>
    <w:p>
      <w:pPr>
        <w:ind w:left="140" w:hanging="13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of Icahn Offshore, Icahn Capital, IPH, Icahn Enterprises Holdings, Icahn Enterprises GP, Beckton and Mr. Icahn may be deemed to indirectly beneficially own (as that term is defined in Rule 13d-</w:t>
      </w:r>
    </w:p>
    <w:p>
      <w:pPr>
        <w:spacing w:after="0" w:line="18" w:lineRule="exact"/>
        <w:rPr>
          <w:rFonts w:ascii="Arial" w:cs="Arial" w:eastAsia="Arial" w:hAnsi="Arial"/>
          <w:sz w:val="12"/>
          <w:szCs w:val="12"/>
          <w:color w:val="008000"/>
        </w:rPr>
      </w:pPr>
    </w:p>
    <w:p>
      <w:pPr>
        <w:ind w:right="560"/>
        <w:spacing w:after="0" w:line="250" w:lineRule="auto"/>
        <w:rPr>
          <w:rFonts w:ascii="Arial" w:cs="Arial" w:eastAsia="Arial" w:hAnsi="Arial"/>
          <w:sz w:val="12"/>
          <w:szCs w:val="12"/>
          <w:color w:val="008000"/>
        </w:rPr>
      </w:pPr>
      <w:r>
        <w:rPr>
          <w:rFonts w:ascii="Arial" w:cs="Arial" w:eastAsia="Arial" w:hAnsi="Arial"/>
          <w:sz w:val="13"/>
          <w:szCs w:val="13"/>
          <w:color w:val="008000"/>
        </w:rPr>
        <w:t>3 under the Act) the Shares which Icahn Master owns. Each of Icahn Offshore, Icahn Capital, IPH, Icahn Enterprises Holdings, Icahn Enterprises GP, Beckton and Mr. Icahn disclaims beneficial ownership of such Shares except to the extent of their pecuniary interest therein.</w:t>
      </w:r>
    </w:p>
    <w:p>
      <w:pPr>
        <w:spacing w:after="0" w:line="3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Carl C. Icahn</w:t>
            </w:r>
          </w:p>
        </w:tc>
        <w:tc>
          <w:tcPr>
            <w:tcW w:w="90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08/19/2020</w:t>
            </w:r>
          </w:p>
        </w:tc>
        <w:tc>
          <w:tcPr>
            <w:tcW w:w="0" w:type="dxa"/>
            <w:vAlign w:val="bottom"/>
          </w:tcPr>
          <w:p>
            <w:pPr>
              <w:spacing w:after="0"/>
              <w:rPr>
                <w:sz w:val="1"/>
                <w:szCs w:val="1"/>
                <w:color w:val="auto"/>
              </w:rPr>
            </w:pPr>
          </w:p>
        </w:tc>
      </w:tr>
      <w:tr>
        <w:trPr>
          <w:trHeight w:val="247"/>
        </w:trPr>
        <w:tc>
          <w:tcPr>
            <w:tcW w:w="2080" w:type="dxa"/>
            <w:vAlign w:val="bottom"/>
            <w:gridSpan w:val="5"/>
          </w:tcPr>
          <w:p>
            <w:pPr>
              <w:spacing w:after="0"/>
              <w:rPr>
                <w:sz w:val="20"/>
                <w:szCs w:val="20"/>
                <w:color w:val="auto"/>
              </w:rPr>
            </w:pPr>
            <w:r>
              <w:rPr>
                <w:rFonts w:ascii="Arial" w:cs="Arial" w:eastAsia="Arial" w:hAnsi="Arial"/>
                <w:sz w:val="17"/>
                <w:szCs w:val="17"/>
                <w:color w:val="0000FF"/>
              </w:rPr>
              <w:t>/S/ Icahn Partners L.P</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08/19/2020</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80" w:type="dxa"/>
            <w:vAlign w:val="bottom"/>
            <w:gridSpan w:val="5"/>
          </w:tcPr>
          <w:p>
            <w:pPr>
              <w:spacing w:after="0"/>
              <w:rPr>
                <w:sz w:val="20"/>
                <w:szCs w:val="20"/>
                <w:color w:val="auto"/>
              </w:rPr>
            </w:pPr>
            <w:r>
              <w:rPr>
                <w:rFonts w:ascii="Arial" w:cs="Arial" w:eastAsia="Arial" w:hAnsi="Arial"/>
                <w:sz w:val="17"/>
                <w:szCs w:val="17"/>
                <w:color w:val="0000FF"/>
              </w:rPr>
              <w:t>/S/ Icahn Partners Master</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08/19/2020</w:t>
            </w:r>
          </w:p>
        </w:tc>
        <w:tc>
          <w:tcPr>
            <w:tcW w:w="0" w:type="dxa"/>
            <w:vAlign w:val="bottom"/>
          </w:tcPr>
          <w:p>
            <w:pPr>
              <w:spacing w:after="0"/>
              <w:rPr>
                <w:sz w:val="1"/>
                <w:szCs w:val="1"/>
                <w:color w:val="auto"/>
              </w:rPr>
            </w:pPr>
          </w:p>
        </w:tc>
      </w:tr>
      <w:tr>
        <w:trPr>
          <w:trHeight w:val="87"/>
        </w:trPr>
        <w:tc>
          <w:tcPr>
            <w:tcW w:w="62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3"/>
              </w:rPr>
              <w:t>Fund LP</w:t>
            </w:r>
          </w:p>
        </w:tc>
        <w:tc>
          <w:tcPr>
            <w:tcW w:w="1140" w:type="dxa"/>
            <w:vAlign w:val="bottom"/>
            <w:tcBorders>
              <w:top w:val="single" w:sz="8" w:color="auto"/>
            </w:tcBorders>
            <w:gridSpan w:val="3"/>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20" w:type="dxa"/>
            <w:vAlign w:val="bottom"/>
            <w:tcBorders>
              <w:top w:val="single" w:sz="8" w:color="auto"/>
              <w:bottom w:val="single" w:sz="8" w:color="auto"/>
            </w:tcBorders>
            <w:vMerge w:val="continue"/>
          </w:tcPr>
          <w:p>
            <w:pPr>
              <w:spacing w:after="0"/>
              <w:rPr>
                <w:sz w:val="7"/>
                <w:szCs w:val="7"/>
                <w:color w:val="auto"/>
              </w:rPr>
            </w:pPr>
          </w:p>
        </w:tc>
        <w:tc>
          <w:tcPr>
            <w:tcW w:w="1140" w:type="dxa"/>
            <w:vAlign w:val="bottom"/>
            <w:tcBorders>
              <w:top w:val="single" w:sz="8" w:color="auto"/>
            </w:tcBorders>
            <w:gridSpan w:val="3"/>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28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0921669" TargetMode="External"/><Relationship Id="rId14" Type="http://schemas.openxmlformats.org/officeDocument/2006/relationships/hyperlink" Target="http://www.sec.gov/cgi-bin/browse-edgar?action=getcompany&amp;CIK=0001770450" TargetMode="External"/><Relationship Id="rId15" Type="http://schemas.openxmlformats.org/officeDocument/2006/relationships/hyperlink" Target="http://www.sec.gov/cgi-bin/browse-edgar?action=getcompany&amp;CIK=0001313666" TargetMode="External"/><Relationship Id="rId18" Type="http://schemas.openxmlformats.org/officeDocument/2006/relationships/hyperlink" Target="http://www.sec.gov/cgi-bin/browse-edgar?action=getcompany&amp;CIK=00013228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2020-08-19T16:02:51Z</dcterms:created>
  <dcterms:modified xsi:type="dcterms:W3CDTF">2020-08-19T16:02:51Z</dcterms:modified>
</cp:coreProperties>
</file>