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20,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6578600</wp:posOffset>
            </wp:positionH>
            <wp:positionV relativeFrom="paragraph">
              <wp:posOffset>-20955</wp:posOffset>
            </wp:positionV>
            <wp:extent cx="339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909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2"/>
          <w:szCs w:val="42"/>
          <w:b w:val="1"/>
          <w:bCs w:val="1"/>
          <w:color w:val="auto"/>
        </w:rPr>
        <w:t>XEROX HOLDINGS CORPORATION</w:t>
      </w:r>
    </w:p>
    <w:p>
      <w:pPr>
        <w:spacing w:after="0" w:line="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83-3933743</w:t>
      </w:r>
    </w:p>
    <w:p>
      <w:pPr>
        <w:spacing w:after="0" w:line="20" w:lineRule="exact"/>
        <w:rPr>
          <w:sz w:val="24"/>
          <w:szCs w:val="24"/>
          <w:color w:val="auto"/>
        </w:rPr>
      </w:pPr>
    </w:p>
    <w:p>
      <w:pPr>
        <w:sectPr>
          <w:pgSz w:w="11900" w:h="16838" w:orient="portrait"/>
          <w:cols w:equalWidth="0" w:num="2">
            <w:col w:w="7100" w:space="720"/>
            <w:col w:w="3020"/>
          </w:cols>
          <w:pgMar w:left="500" w:top="224" w:right="55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7" w:lineRule="exact"/>
        <w:rPr>
          <w:sz w:val="24"/>
          <w:szCs w:val="24"/>
          <w:color w:val="auto"/>
        </w:rPr>
      </w:pPr>
    </w:p>
    <w:p>
      <w:pPr>
        <w:sectPr>
          <w:pgSz w:w="11900" w:h="16838" w:orient="portrait"/>
          <w:cols w:equalWidth="0" w:num="2">
            <w:col w:w="6980" w:space="720"/>
            <w:col w:w="3140"/>
          </w:cols>
          <w:pgMar w:left="500" w:top="224" w:right="55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401 Merritt 7</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Norwalk, Connecticut 06851</w:t>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ectPr>
          <w:pgSz w:w="11900" w:h="16838" w:orient="portrait"/>
          <w:cols w:equalWidth="0" w:num="1">
            <w:col w:w="10840"/>
          </w:cols>
          <w:pgMar w:left="500" w:top="224" w:right="559" w:bottom="1440" w:gutter="0" w:footer="0" w:header="0"/>
          <w:type w:val="continuous"/>
        </w:sectPr>
      </w:pP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Xerox Holdings Corporation 2024 Equity and Performance Incentive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Flor M. Colón</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Legal Officer and Corporate Secretary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Xerox Holdings Corporation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401 Merritt 7</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Norwalk, Connecticut 06851</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(203) 849-5216</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Russell L. Leaf,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Sean M. Ewen, Esq.</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Willkie Farr &amp; Gallagher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787 Seventh Avenue</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728-8000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233045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type w:val="continuous"/>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INTRODUCTORY STATEMENT</w:t>
      </w:r>
    </w:p>
    <w:p>
      <w:pPr>
        <w:spacing w:after="0" w:line="2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20, 2026, at the 2026 Annual Meeting of Shareholders of Xerox Holdings Corporation (the “Registrant”), the Registrant’s shareholders approved an amendment to the Xerox Holdings Corporation 2024 Equity and Performance Incentive Plan (as may be amended or restated from time to time, the “Plan”) to increase the number of shares of the Registrant’s common stock, par value $1.00 per share (the “Common Stock”), available for issuance under the Plan by 15,000,000 shares of Common Stock. The Registrant is filing this Registration Statement on Form S-8 (this “Registration Statement”) for the purpose of registering under the Securities Act of 1933, as amended, such additional 15,000,000 shares of Common Stock for issuance under the Plan.</w:t>
      </w:r>
    </w:p>
    <w:p>
      <w:pPr>
        <w:spacing w:after="0" w:line="18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Pursuant to the Registration Statement on Form S-8 (Registration No. 333-280588) filed by the Registrant on June 28, 2024 and the Registration Statement on Form S-8 (Registration No. 333-287855) filed by the Registrant on June 6, 2025, the Registrant previously registered an aggregate of 19,856,756 shares of Common Stock for issuance under the Plan (the “Prior Registration Statements”). The additional shares of Common Stock being registered by this Registration Statement are of the same class as those securities registered on the Prior Registration Statements and represent an increase in the total shares available for issuance under the Plan by 15,000,000. Pursuant to General Instruction E to Form S-8, the Registrant incorporates by reference into this Registration Statement the contents of the Prior Registration Statements, including all exhibits filed therewith or incorporated therein by reference, except as expressly modified herein.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760"/>
          </w:cols>
          <w:pgMar w:left="500" w:top="264" w:right="6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II</w:t>
      </w:r>
    </w:p>
    <w:p>
      <w:pPr>
        <w:spacing w:after="0" w:line="2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hereby incorporated by reference:</w:t>
      </w:r>
    </w:p>
    <w:p>
      <w:pPr>
        <w:spacing w:after="0" w:line="127" w:lineRule="exact"/>
        <w:rPr>
          <w:sz w:val="20"/>
          <w:szCs w:val="20"/>
          <w:color w:val="auto"/>
        </w:rPr>
      </w:pPr>
    </w:p>
    <w:p>
      <w:pPr>
        <w:ind w:left="1160" w:right="140" w:hanging="632"/>
        <w:spacing w:after="0" w:line="27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March 17, 2026);</w:t>
      </w:r>
    </w:p>
    <w:p>
      <w:pPr>
        <w:spacing w:after="0" w:line="69" w:lineRule="exact"/>
        <w:rPr>
          <w:rFonts w:ascii="Times New Roman" w:cs="Times New Roman" w:eastAsia="Times New Roman" w:hAnsi="Times New Roman"/>
          <w:sz w:val="18"/>
          <w:szCs w:val="18"/>
          <w:color w:val="auto"/>
        </w:rPr>
      </w:pPr>
    </w:p>
    <w:p>
      <w:pPr>
        <w:ind w:left="1160" w:right="60" w:hanging="632"/>
        <w:spacing w:after="0" w:line="27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(filed with the Commission on May 7, 2026);</w:t>
      </w:r>
    </w:p>
    <w:p>
      <w:pPr>
        <w:spacing w:after="0" w:line="69" w:lineRule="exact"/>
        <w:rPr>
          <w:rFonts w:ascii="Times New Roman" w:cs="Times New Roman" w:eastAsia="Times New Roman" w:hAnsi="Times New Roman"/>
          <w:sz w:val="18"/>
          <w:szCs w:val="18"/>
          <w:color w:val="auto"/>
        </w:rPr>
      </w:pPr>
    </w:p>
    <w:p>
      <w:pPr>
        <w:ind w:left="1160" w:hanging="632"/>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Current Reports on Form 8-K filed with the Commission on </w:t>
      </w:r>
      <w:hyperlink r:id="rId21">
        <w:r>
          <w:rPr>
            <w:rFonts w:ascii="Times New Roman" w:cs="Times New Roman" w:eastAsia="Times New Roman" w:hAnsi="Times New Roman"/>
            <w:sz w:val="17"/>
            <w:szCs w:val="17"/>
            <w:u w:val="single" w:color="auto"/>
            <w:color w:val="0000EE"/>
          </w:rPr>
          <w:t>January 29, 2026</w:t>
        </w:r>
      </w:hyperlink>
      <w:r>
        <w:rPr>
          <w:rFonts w:ascii="Times New Roman" w:cs="Times New Roman" w:eastAsia="Times New Roman" w:hAnsi="Times New Roman"/>
          <w:sz w:val="17"/>
          <w:szCs w:val="17"/>
          <w:color w:val="auto"/>
        </w:rPr>
        <w:t xml:space="preserve">, </w:t>
      </w:r>
      <w:hyperlink r:id="rId22">
        <w:r>
          <w:rPr>
            <w:rFonts w:ascii="Times New Roman" w:cs="Times New Roman" w:eastAsia="Times New Roman" w:hAnsi="Times New Roman"/>
            <w:sz w:val="17"/>
            <w:szCs w:val="17"/>
            <w:u w:val="single" w:color="auto"/>
            <w:color w:val="0000EE"/>
          </w:rPr>
          <w:t>April 2, 2026</w:t>
        </w:r>
      </w:hyperlink>
      <w:r>
        <w:rPr>
          <w:rFonts w:ascii="Times New Roman" w:cs="Times New Roman" w:eastAsia="Times New Roman" w:hAnsi="Times New Roman"/>
          <w:sz w:val="17"/>
          <w:szCs w:val="17"/>
          <w:color w:val="auto"/>
        </w:rPr>
        <w:t xml:space="preserve">, and </w:t>
      </w:r>
      <w:hyperlink r:id="rId23">
        <w:r>
          <w:rPr>
            <w:rFonts w:ascii="Times New Roman" w:cs="Times New Roman" w:eastAsia="Times New Roman" w:hAnsi="Times New Roman"/>
            <w:sz w:val="17"/>
            <w:szCs w:val="17"/>
            <w:u w:val="single" w:color="auto"/>
            <w:color w:val="0000EE"/>
          </w:rPr>
          <w:t>April 30, 2026</w:t>
        </w:r>
      </w:hyperlink>
      <w:r>
        <w:rPr>
          <w:rFonts w:ascii="Times New Roman" w:cs="Times New Roman" w:eastAsia="Times New Roman" w:hAnsi="Times New Roman"/>
          <w:sz w:val="17"/>
          <w:szCs w:val="17"/>
          <w:color w:val="auto"/>
        </w:rPr>
        <w:t>; and</w:t>
      </w:r>
    </w:p>
    <w:p>
      <w:pPr>
        <w:spacing w:after="0" w:line="138" w:lineRule="exact"/>
        <w:rPr>
          <w:rFonts w:ascii="Times New Roman" w:cs="Times New Roman" w:eastAsia="Times New Roman" w:hAnsi="Times New Roman"/>
          <w:sz w:val="17"/>
          <w:szCs w:val="17"/>
          <w:color w:val="auto"/>
        </w:rPr>
      </w:pPr>
    </w:p>
    <w:p>
      <w:pPr>
        <w:ind w:left="1160" w:right="120" w:hanging="632"/>
        <w:spacing w:after="0" w:line="25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par value $1.00 per share contained in our Registration Statement on </w:t>
      </w:r>
      <w:hyperlink r:id="rId24">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dated and filed with the Commission on September 20, 2021, contained in </w:t>
      </w:r>
      <w:hyperlink r:id="rId25">
        <w:r>
          <w:rPr>
            <w:rFonts w:ascii="Times New Roman" w:cs="Times New Roman" w:eastAsia="Times New Roman" w:hAnsi="Times New Roman"/>
            <w:sz w:val="18"/>
            <w:szCs w:val="18"/>
            <w:u w:val="single" w:color="auto"/>
            <w:color w:val="0000EE"/>
          </w:rPr>
          <w:t>Exhibit 4(d)</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Registrant’s and Xerox Corporation’s Annual Report on Form 10-K for the fiscal year ended December 31, 2019, and any amendment or report filed for the purpose of updating that description.</w:t>
      </w:r>
    </w:p>
    <w:p>
      <w:pPr>
        <w:spacing w:after="0" w:line="182" w:lineRule="exact"/>
        <w:rPr>
          <w:rFonts w:ascii="Times New Roman" w:cs="Times New Roman" w:eastAsia="Times New Roman" w:hAnsi="Times New Roman"/>
          <w:sz w:val="18"/>
          <w:szCs w:val="18"/>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Securities Exchange Act of 1934, as amended (the “Exchange Act”) (other than the portions of those documents furnished or otherwise not deemed to be filed) subsequent to the date of this Registration Statement, and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83" w:lineRule="exact"/>
        <w:rPr>
          <w:rFonts w:ascii="Times New Roman" w:cs="Times New Roman" w:eastAsia="Times New Roman" w:hAnsi="Times New Roman"/>
          <w:sz w:val="18"/>
          <w:szCs w:val="18"/>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The information incorporated by reference is considered to be a part of this Registration Statement, and later information that the Registrant files with the Commission will update and supersede this information.</w:t>
      </w:r>
    </w:p>
    <w:p>
      <w:pPr>
        <w:spacing w:after="0" w:line="9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840"/>
          </w:cols>
          <w:pgMar w:left="500" w:top="264" w:right="559" w:bottom="1440" w:gutter="0" w:footer="0" w:header="0"/>
        </w:sectPr>
      </w:pPr>
    </w:p>
    <w:bookmarkStart w:id="3" w:name="page4"/>
    <w:bookmarkEnd w:id="3"/>
    <w:tbl>
      <w:tblPr>
        <w:tblLayout w:type="fixed"/>
        <w:tblInd w:w="6" w:type="dxa"/>
        <w:tblCellMar>
          <w:top w:w="0" w:type="dxa"/>
          <w:left w:w="0" w:type="dxa"/>
          <w:bottom w:w="0" w:type="dxa"/>
          <w:right w:w="0" w:type="dxa"/>
        </w:tblCellMar>
      </w:tblPr>
      <w:tr>
        <w:trPr>
          <w:trHeight w:val="237"/>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140" w:type="dxa"/>
            <w:vAlign w:val="bottom"/>
            <w:gridSpan w:val="18"/>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tc>
        <w:tc>
          <w:tcPr>
            <w:tcW w:w="0" w:type="dxa"/>
            <w:vAlign w:val="bottom"/>
          </w:tcPr>
          <w:p>
            <w:pPr>
              <w:spacing w:after="0"/>
              <w:rPr>
                <w:sz w:val="1"/>
                <w:szCs w:val="1"/>
                <w:color w:val="auto"/>
              </w:rPr>
            </w:pPr>
          </w:p>
        </w:tc>
      </w:tr>
      <w:tr>
        <w:trPr>
          <w:trHeight w:val="321"/>
        </w:trPr>
        <w:tc>
          <w:tcPr>
            <w:tcW w:w="10880" w:type="dxa"/>
            <w:vAlign w:val="bottom"/>
            <w:gridSpan w:val="20"/>
          </w:tcPr>
          <w:p>
            <w:pPr>
              <w:ind w:left="4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57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140" w:type="dxa"/>
            <w:vAlign w:val="bottom"/>
            <w:gridSpan w:val="18"/>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INTERESTS OF NAMED EXPERTS AND COUNSEL</w:t>
            </w:r>
          </w:p>
        </w:tc>
        <w:tc>
          <w:tcPr>
            <w:tcW w:w="0" w:type="dxa"/>
            <w:vAlign w:val="bottom"/>
          </w:tcPr>
          <w:p>
            <w:pPr>
              <w:spacing w:after="0"/>
              <w:rPr>
                <w:sz w:val="1"/>
                <w:szCs w:val="1"/>
                <w:color w:val="auto"/>
              </w:rPr>
            </w:pPr>
          </w:p>
        </w:tc>
      </w:tr>
      <w:tr>
        <w:trPr>
          <w:trHeight w:val="321"/>
        </w:trPr>
        <w:tc>
          <w:tcPr>
            <w:tcW w:w="10880" w:type="dxa"/>
            <w:vAlign w:val="bottom"/>
            <w:gridSpan w:val="20"/>
          </w:tcPr>
          <w:p>
            <w:pPr>
              <w:ind w:left="4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57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40" w:type="dxa"/>
            <w:vAlign w:val="bottom"/>
            <w:gridSpan w:val="18"/>
          </w:tcPr>
          <w:p>
            <w:pPr>
              <w:ind w:left="2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tc>
        <w:tc>
          <w:tcPr>
            <w:tcW w:w="0" w:type="dxa"/>
            <w:vAlign w:val="bottom"/>
          </w:tcPr>
          <w:p>
            <w:pPr>
              <w:spacing w:after="0"/>
              <w:rPr>
                <w:sz w:val="1"/>
                <w:szCs w:val="1"/>
                <w:color w:val="auto"/>
              </w:rPr>
            </w:pPr>
          </w:p>
        </w:tc>
      </w:tr>
      <w:tr>
        <w:trPr>
          <w:trHeight w:val="321"/>
        </w:trPr>
        <w:tc>
          <w:tcPr>
            <w:tcW w:w="10880" w:type="dxa"/>
            <w:vAlign w:val="bottom"/>
            <w:gridSpan w:val="20"/>
          </w:tcPr>
          <w:p>
            <w:pPr>
              <w:ind w:left="4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57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140" w:type="dxa"/>
            <w:vAlign w:val="bottom"/>
            <w:gridSpan w:val="18"/>
          </w:tcPr>
          <w:p>
            <w:pPr>
              <w:ind w:left="220"/>
              <w:spacing w:after="0"/>
              <w:rPr>
                <w:sz w:val="20"/>
                <w:szCs w:val="20"/>
                <w:color w:val="auto"/>
              </w:rPr>
            </w:pPr>
            <w:r>
              <w:rPr>
                <w:rFonts w:ascii="Times New Roman" w:cs="Times New Roman" w:eastAsia="Times New Roman" w:hAnsi="Times New Roman"/>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321"/>
        </w:trPr>
        <w:tc>
          <w:tcPr>
            <w:tcW w:w="10880" w:type="dxa"/>
            <w:vAlign w:val="bottom"/>
            <w:gridSpan w:val="20"/>
          </w:tcPr>
          <w:p>
            <w:pPr>
              <w:ind w:left="4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57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40" w:type="dxa"/>
            <w:vAlign w:val="bottom"/>
            <w:gridSpan w:val="18"/>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4"/>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700" w:type="dxa"/>
            <w:vAlign w:val="bottom"/>
            <w:gridSpan w:val="13"/>
            <w:vMerge w:val="restart"/>
          </w:tcPr>
          <w:p>
            <w:pPr>
              <w:ind w:left="4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0"/>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70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Restated Certificate of Incorporation of the Registrant filed with the Department of State of the State of New York on July 31, 2019</w:t>
              </w:r>
            </w:hyperlink>
          </w:p>
        </w:tc>
        <w:tc>
          <w:tcPr>
            <w:tcW w:w="4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tcBorders>
              <w:bottom w:val="single" w:sz="8" w:color="0000EE"/>
            </w:tcBorders>
            <w:gridSpan w:val="15"/>
          </w:tcPr>
          <w:p>
            <w:pPr>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(incorporated by reference to Exhibit 3.2 to the Registrant’s Current Report on Form 8-K filed with the Commission on July 31, 2019).</w:t>
              </w:r>
            </w:hyperlink>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240" w:type="dxa"/>
            <w:vAlign w:val="bottom"/>
          </w:tcPr>
          <w:p>
            <w:pPr>
              <w:spacing w:after="0"/>
              <w:rPr>
                <w:sz w:val="24"/>
                <w:szCs w:val="24"/>
                <w:color w:val="auto"/>
              </w:rPr>
            </w:pPr>
          </w:p>
        </w:tc>
        <w:tc>
          <w:tcPr>
            <w:tcW w:w="9900" w:type="dxa"/>
            <w:vAlign w:val="bottom"/>
            <w:gridSpan w:val="17"/>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By-Laws of the Registrant dated February 17, 2022 (incorporated by reference to Exhibit 3(b)(2) to the</w:t>
              </w:r>
            </w:hyperlink>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40" w:type="dxa"/>
            <w:vAlign w:val="bottom"/>
            <w:tcBorders>
              <w:top w:val="single" w:sz="8" w:color="0000EE"/>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Registrant’s Annual Report on Form 10-K filed with the Commission on February 23, 2022).</w:t>
              </w:r>
            </w:hyperlink>
          </w:p>
        </w:tc>
        <w:tc>
          <w:tcPr>
            <w:tcW w:w="2440" w:type="dxa"/>
            <w:vAlign w:val="bottom"/>
            <w:tcBorders>
              <w:top w:val="single" w:sz="8" w:color="0000EE"/>
            </w:tcBorders>
            <w:gridSpan w:val="3"/>
          </w:tcPr>
          <w:p>
            <w:pPr>
              <w:spacing w:after="0"/>
              <w:rPr>
                <w:sz w:val="16"/>
                <w:szCs w:val="16"/>
                <w:color w:val="auto"/>
              </w:rPr>
            </w:pPr>
          </w:p>
        </w:tc>
        <w:tc>
          <w:tcPr>
            <w:tcW w:w="8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24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Opinion of Willkie Farr &amp; Gallagher LLP.</w:t>
            </w:r>
          </w:p>
        </w:tc>
        <w:tc>
          <w:tcPr>
            <w:tcW w:w="0" w:type="dxa"/>
            <w:vAlign w:val="bottom"/>
          </w:tcPr>
          <w:p>
            <w:pPr>
              <w:spacing w:after="0"/>
              <w:rPr>
                <w:sz w:val="1"/>
                <w:szCs w:val="1"/>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Consent of PricewaterhouseCoopers LLP.</w:t>
            </w:r>
          </w:p>
        </w:tc>
        <w:tc>
          <w:tcPr>
            <w:tcW w:w="20" w:type="dxa"/>
            <w:vAlign w:val="bottom"/>
            <w:tcBorders>
              <w:top w:val="single" w:sz="8" w:color="0000EE"/>
            </w:tcBorders>
          </w:tcPr>
          <w:p>
            <w:pPr>
              <w:spacing w:after="0"/>
              <w:rPr>
                <w:sz w:val="24"/>
                <w:szCs w:val="24"/>
                <w:color w:val="auto"/>
              </w:rPr>
            </w:pPr>
          </w:p>
        </w:tc>
        <w:tc>
          <w:tcPr>
            <w:tcW w:w="69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Consent of Willkie Farr &amp; Gallagher LLP (included in Exhibit 5.1 hereto).</w:t>
            </w:r>
          </w:p>
        </w:tc>
        <w:tc>
          <w:tcPr>
            <w:tcW w:w="45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the signature page hereto).</w:t>
            </w:r>
          </w:p>
        </w:tc>
        <w:tc>
          <w:tcPr>
            <w:tcW w:w="57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The Xerox Holdings Corporation 2024 Equity and Performance Incentive Plan (incorporated by reference to Exhibit 99.1 to Registrant’s</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8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Registration Statement on Form S-8 filed with the Commission on June 28, 2024).</w:t>
              </w:r>
            </w:hyperlink>
          </w:p>
        </w:tc>
        <w:tc>
          <w:tcPr>
            <w:tcW w:w="40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First Amendment to the Xerox Holdings Corporation 2024 Equity and Performance Incentive Plan (incorporated by reference to Exhibit A</w:t>
              </w:r>
            </w:hyperlink>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to Registrant’s Proxy Statement on Schedule 14A filed with the Commission on April 9, 2025).</w:t>
              </w:r>
            </w:hyperlink>
          </w:p>
        </w:tc>
        <w:tc>
          <w:tcPr>
            <w:tcW w:w="31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17"/>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Second Amendment to the Xerox Holdings Corporation 2024 Equity and Performance Incentive Plan (incorporated by reference to</w:t>
              </w:r>
            </w:hyperlink>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540" w:type="dxa"/>
            <w:vAlign w:val="bottom"/>
            <w:tcBorders>
              <w:top w:val="single" w:sz="8" w:color="0000EE"/>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Exhibit A to Registrant’s Proxy Statement on Schedule 14A filed with the Commission on April 7, 2026).</w:t>
              </w:r>
            </w:hyperlink>
          </w:p>
        </w:tc>
        <w:tc>
          <w:tcPr>
            <w:tcW w:w="1800" w:type="dxa"/>
            <w:vAlign w:val="bottom"/>
            <w:tcBorders>
              <w:top w:val="single" w:sz="8" w:color="0000EE"/>
            </w:tcBorders>
            <w:gridSpan w:val="2"/>
          </w:tcPr>
          <w:p>
            <w:pPr>
              <w:spacing w:after="0"/>
              <w:rPr>
                <w:sz w:val="16"/>
                <w:szCs w:val="16"/>
                <w:color w:val="auto"/>
              </w:rPr>
            </w:pPr>
          </w:p>
        </w:tc>
        <w:tc>
          <w:tcPr>
            <w:tcW w:w="5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6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43"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886"/>
          </w:cols>
          <w:pgMar w:left="494" w:top="264" w:right="51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Norwalk, State of Connecticut, on May 20,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XEROX HOLDINGS CORPORATION </w:t>
      </w:r>
      <w:r>
        <w:rPr>
          <w:rFonts w:ascii="Times New Roman" w:cs="Times New Roman" w:eastAsia="Times New Roman" w:hAnsi="Times New Roman"/>
          <w:sz w:val="18"/>
          <w:szCs w:val="18"/>
          <w:color w:val="auto"/>
        </w:rPr>
        <w:t>(Registrant)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W. Risi</w:t>
            </w:r>
          </w:p>
        </w:tc>
      </w:tr>
      <w:tr>
        <w:trPr>
          <w:trHeight w:val="202"/>
        </w:trPr>
        <w:tc>
          <w:tcPr>
            <w:tcW w:w="7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Eric W. Risi</w:t>
            </w:r>
          </w:p>
        </w:tc>
      </w:tr>
      <w:tr>
        <w:trPr>
          <w:trHeight w:val="23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bl>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800"/>
          </w:cols>
          <w:pgMar w:left="500" w:top="264" w:right="5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Louis J. Pastor, Charles Butler, Flor M. Colón and Eric W. Risi as his or her true and lawful attorneys-in-fact (with full power to each of them to act alone), with full power of substitution and re-substitution, for him or her and in his or her name, place and stead, in any and all capacities to sign any and all amendments (including post-effective amendments) to this Registration Statement on Form S-8, and to file the same, with the exhibits thereto, and other documents in connection herewith, with the Securities and Exchange Commission, granting unto said attorneys-in-fact and agent, full power and authority to do and perform each and every act and thing required and necessary to be done in and about the foregoing as fully for all intents and purposes as he or she might or could do in person, hereby ratifying and confirming all that said attorneys-in-fact and agent or his substitute or substitutes, may lawfully do or cause to be done by virtue hereof.</w:t>
      </w:r>
    </w:p>
    <w:p>
      <w:pPr>
        <w:spacing w:after="0" w:line="185"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Louis J. Pastor</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c>
          <w:tcPr>
            <w:tcW w:w="18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Louis J. Pastor</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84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G. Bruno</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G. Bruno</w:t>
            </w:r>
          </w:p>
        </w:tc>
        <w:tc>
          <w:tcPr>
            <w:tcW w:w="40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Tami A. Erwin</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Tami A. Erwin</w:t>
            </w:r>
          </w:p>
        </w:tc>
        <w:tc>
          <w:tcPr>
            <w:tcW w:w="40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Priscilla Hung</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Priscilla Hung</w:t>
            </w:r>
          </w:p>
        </w:tc>
        <w:tc>
          <w:tcPr>
            <w:tcW w:w="40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Scott Letier</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Letier</w:t>
            </w:r>
          </w:p>
        </w:tc>
        <w:tc>
          <w:tcPr>
            <w:tcW w:w="40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Nichelle Maynard-Elliott</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Nichelle Maynard-Elliott</w:t>
            </w:r>
          </w:p>
        </w:tc>
        <w:tc>
          <w:tcPr>
            <w:tcW w:w="40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G. McLaughlin</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G. McLaughlin</w:t>
            </w:r>
          </w:p>
        </w:tc>
        <w:tc>
          <w:tcPr>
            <w:tcW w:w="40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J. Roese</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J. Roese</w:t>
            </w:r>
          </w:p>
        </w:tc>
        <w:tc>
          <w:tcPr>
            <w:tcW w:w="40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Amy Schwetz</w:t>
            </w:r>
          </w:p>
        </w:tc>
        <w:tc>
          <w:tcPr>
            <w:tcW w:w="40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Amy Schwetz</w:t>
            </w:r>
          </w:p>
        </w:tc>
        <w:tc>
          <w:tcPr>
            <w:tcW w:w="40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56"/>
        </w:trPr>
        <w:tc>
          <w:tcPr>
            <w:tcW w:w="3820" w:type="dxa"/>
            <w:vAlign w:val="bottom"/>
          </w:tcPr>
          <w:p>
            <w:pPr>
              <w:spacing w:after="0"/>
              <w:rPr>
                <w:sz w:val="24"/>
                <w:szCs w:val="24"/>
                <w:color w:val="auto"/>
              </w:rPr>
            </w:pPr>
          </w:p>
        </w:tc>
        <w:tc>
          <w:tcPr>
            <w:tcW w:w="4040" w:type="dxa"/>
            <w:vAlign w:val="bottom"/>
          </w:tcPr>
          <w:p>
            <w:pPr>
              <w:jc w:val="right"/>
              <w:ind w:right="2172"/>
              <w:spacing w:after="0"/>
              <w:rPr>
                <w:sz w:val="20"/>
                <w:szCs w:val="20"/>
                <w:color w:val="auto"/>
              </w:rPr>
            </w:pPr>
            <w:r>
              <w:rPr>
                <w:rFonts w:ascii="Times New Roman" w:cs="Times New Roman" w:eastAsia="Times New Roman" w:hAnsi="Times New Roman"/>
                <w:sz w:val="18"/>
                <w:szCs w:val="18"/>
                <w:color w:val="auto"/>
              </w:rPr>
              <w:t>- 6 -</w:t>
            </w:r>
          </w:p>
        </w:tc>
        <w:tc>
          <w:tcPr>
            <w:tcW w:w="1840" w:type="dxa"/>
            <w:vAlign w:val="bottom"/>
          </w:tcPr>
          <w:p>
            <w:pPr>
              <w:spacing w:after="0"/>
              <w:rPr>
                <w:sz w:val="24"/>
                <w:szCs w:val="24"/>
                <w:color w:val="auto"/>
              </w:rPr>
            </w:pPr>
          </w:p>
        </w:tc>
      </w:tr>
    </w:tbl>
    <w:p>
      <w:pPr>
        <w:sectPr>
          <w:pgSz w:w="11900" w:h="16838" w:orient="portrait"/>
          <w:cols w:equalWidth="0" w:num="1">
            <w:col w:w="10880"/>
          </w:cols>
          <w:pgMar w:left="500" w:top="264" w:right="5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York, NY 10019-6099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 Merritt 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Norwalk, Connecticut 06851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We have acted as counsel to Xerox Holdings Corporation, a New York corporation (the “Company”), with respect to the Company’s Registration Statement on Form S-8 (the “Registration Statement”) to be filed by the Company with the Securities and Exchange Commission on or about the date hereof. The Registration Statement relates to the registration under the Securities Act of 1933, as amended (the “Securities Act”), by the Company of 15,000,000 shares of the Company’s common stock, par value $1.00 per share (“Shares”) which may be issued under the Company’s 2024 Equity and Performance Incentive Plan (as may be amended or restated from time to time, the “Plan”).</w:t>
      </w:r>
    </w:p>
    <w:p>
      <w:pPr>
        <w:spacing w:after="0" w:line="183" w:lineRule="exact"/>
        <w:rPr>
          <w:sz w:val="20"/>
          <w:szCs w:val="20"/>
          <w:color w:val="auto"/>
        </w:rPr>
      </w:pPr>
    </w:p>
    <w:p>
      <w:pPr>
        <w:ind w:right="240" w:firstLine="436"/>
        <w:spacing w:after="0" w:line="257" w:lineRule="auto"/>
        <w:rPr>
          <w:sz w:val="20"/>
          <w:szCs w:val="20"/>
          <w:color w:val="auto"/>
        </w:rPr>
      </w:pPr>
      <w:r>
        <w:rPr>
          <w:rFonts w:ascii="Times New Roman" w:cs="Times New Roman" w:eastAsia="Times New Roman" w:hAnsi="Times New Roman"/>
          <w:sz w:val="18"/>
          <w:szCs w:val="18"/>
          <w:color w:val="auto"/>
        </w:rPr>
        <w:t>We have examined, among other things, originals and/or copies (certified or otherwise identified to our satisfaction) of such documents, papers, statutes, and authorities as we have deemed necessary to form a basis for the opinion hereinafter expressed. In our examination, we have assumed the genuineness of all signatures and the conformity to original documents of all copies submitted to us. As to various questions of fact material to our opinion, we have relied on statements and certificates of officers and representatives of the Company.</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also assumed that:</w:t>
      </w:r>
    </w:p>
    <w:p>
      <w:pPr>
        <w:spacing w:after="0" w:line="127" w:lineRule="exact"/>
        <w:rPr>
          <w:sz w:val="20"/>
          <w:szCs w:val="20"/>
          <w:color w:val="auto"/>
        </w:rPr>
      </w:pPr>
    </w:p>
    <w:p>
      <w:pPr>
        <w:ind w:left="1400" w:right="900" w:hanging="431"/>
        <w:spacing w:after="0" w:line="277" w:lineRule="auto"/>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be effective and will comply with all applicable laws at the time the Shares are offered as contemplated by the Registration Statement; and</w:t>
      </w:r>
    </w:p>
    <w:p>
      <w:pPr>
        <w:spacing w:after="0" w:line="69" w:lineRule="exact"/>
        <w:rPr>
          <w:rFonts w:ascii="Times New Roman" w:cs="Times New Roman" w:eastAsia="Times New Roman" w:hAnsi="Times New Roman"/>
          <w:sz w:val="18"/>
          <w:szCs w:val="18"/>
          <w:color w:val="auto"/>
        </w:rPr>
      </w:pPr>
    </w:p>
    <w:p>
      <w:pPr>
        <w:ind w:left="1400" w:right="160" w:hanging="431"/>
        <w:spacing w:after="0" w:line="277" w:lineRule="auto"/>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will be issued in compliance with applicable federal and state securities laws and in the manner stated in the Registration Statement.</w:t>
      </w:r>
    </w:p>
    <w:p>
      <w:pPr>
        <w:spacing w:after="0" w:line="163" w:lineRule="exact"/>
        <w:rPr>
          <w:sz w:val="20"/>
          <w:szCs w:val="20"/>
          <w:color w:val="auto"/>
        </w:rPr>
      </w:pPr>
    </w:p>
    <w:p>
      <w:pPr>
        <w:ind w:right="100" w:firstLine="436"/>
        <w:spacing w:after="0" w:line="257" w:lineRule="auto"/>
        <w:rPr>
          <w:sz w:val="20"/>
          <w:szCs w:val="20"/>
          <w:color w:val="auto"/>
        </w:rPr>
      </w:pPr>
      <w:r>
        <w:rPr>
          <w:rFonts w:ascii="Times New Roman" w:cs="Times New Roman" w:eastAsia="Times New Roman" w:hAnsi="Times New Roman"/>
          <w:sz w:val="18"/>
          <w:szCs w:val="18"/>
          <w:color w:val="auto"/>
        </w:rPr>
        <w:t>Based on the foregoing, and subject to the limitations, qualifications, exceptions and assumptions expressed herein, we are of the opinion that, with respect to the Shares to be offered pursuant to the Registration Statement, after the Registration Statement becomes effective under the Securities Act, such Shares have been duly authorized and the Shares to be issued by the Company under the Plan, when duly issued and delivered pursuant to the terms of the Plan, will be validly issued, fully paid, and non-assessable.</w:t>
      </w:r>
    </w:p>
    <w:p>
      <w:pPr>
        <w:spacing w:after="0" w:line="182"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This opinion is limited to the New York Business Corporation Law, and we express no opinion with respect to the laws of any other jurisdiction or any other laws of the State of New York.</w:t>
      </w:r>
    </w:p>
    <w:p>
      <w:pPr>
        <w:spacing w:after="0" w:line="163" w:lineRule="exact"/>
        <w:rPr>
          <w:sz w:val="20"/>
          <w:szCs w:val="20"/>
          <w:color w:val="auto"/>
        </w:rPr>
      </w:pPr>
    </w:p>
    <w:p>
      <w:pPr>
        <w:ind w:right="20" w:firstLine="436"/>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Securities Act.</w:t>
      </w:r>
    </w:p>
    <w:p>
      <w:pPr>
        <w:spacing w:after="0" w:line="163"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This opinion letter is rendered as of the date first written above and we disclaim any obligation to advise you of facts, circumstances, events or developments that hereafter may be brought to our attention and that may alter, affect or modify the opinion expressed herein. Our opinion is expressly limited to the matters set forth above and we render no opinion, whether by implication or otherwise, as to any other matters relating to the Company or the Shares.</w:t>
      </w:r>
    </w:p>
    <w:p>
      <w:pPr>
        <w:spacing w:after="0" w:line="20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Willkie Farr &amp; Gallagher LLP</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900"/>
          </w:cols>
          <w:pgMar w:left="500" w:top="117" w:right="4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822960" cy="449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822960" cy="44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Xerox Holdings Corporation of our report dated March 16, 2026 relating to the financial statements, financial statement schedule and the effectiveness of internal control over financial reporting, which appears in Xerox Holding Corporation’s Annual Report on Form 10-K for the year ended December 31, 2025.</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ectPr>
          <w:pgSz w:w="11900" w:h="16838" w:orient="portrait"/>
          <w:cols w:equalWidth="0" w:num="1">
            <w:col w:w="10900"/>
          </w:cols>
          <w:pgMar w:left="500" w:top="117" w:right="499" w:bottom="1440" w:gutter="0" w:footer="0" w:header="0"/>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740"/>
        <w:spacing w:after="0"/>
        <w:rPr>
          <w:sz w:val="20"/>
          <w:szCs w:val="20"/>
          <w:color w:val="auto"/>
        </w:rPr>
      </w:pPr>
      <w:r>
        <w:rPr>
          <w:rFonts w:ascii="Arial" w:cs="Arial" w:eastAsia="Arial" w:hAnsi="Arial"/>
          <w:sz w:val="36"/>
          <w:szCs w:val="36"/>
          <w:b w:val="1"/>
          <w:bCs w:val="1"/>
          <w:color w:val="auto"/>
        </w:rPr>
        <w:t>Xerox Holdings Corp</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15,000,000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$ 2.49</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$ 5,158.04</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37,350,000.00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$1.00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$ 5,158.04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37,350,000.00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$ 5,158.04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60" w:hanging="225"/>
        <w:spacing w:after="0" w:line="236" w:lineRule="auto"/>
        <w:tabs>
          <w:tab w:leader="none" w:pos="800" w:val="left"/>
        </w:tabs>
        <w:numPr>
          <w:ilvl w:val="0"/>
          <w:numId w:val="4"/>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under the Securities Act of 1933, as amended (the "Securities Act"), this registration statement on Form S-8 to which this exhibit relates also registers an indeterminable number of additional shares of common stock of Xerox Holdings Corporation, par value $1.00 per share ("Common Stock"), as may hereafter be offered or issued under the Xerox Holdings Corporation 2024 Equity and Performance Incentive Plan (as may be amended or restated from time to time, the "Plan") to prevent dilution resulting from any future stock splits, stock dividends or similar adjustments of the outstanding Common Stock. (2) Estimated solely for purposes of calculating the amount of the registration fee, pursuant to Rules 457(c) and 457(h) under the Securities Act based on the average of the high and low prices per share of Common Stock of $2.49 on May 14, 2026, as reported on the NASDAQ Global Select Market. (3) Represents the additional 15,000,000 shares of Common Stock reserved and available for issuance under the Plan as of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83820</wp:posOffset>
            </wp:positionV>
            <wp:extent cx="6387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jpeg"/><Relationship Id="rId35" Type="http://schemas.openxmlformats.org/officeDocument/2006/relationships/image" Target="media/image16.png"/><Relationship Id="rId36" Type="http://schemas.openxmlformats.org/officeDocument/2006/relationships/image" Target="media/image17.png"/><Relationship Id="rId19" Type="http://schemas.openxmlformats.org/officeDocument/2006/relationships/hyperlink" Target="http://www.sec.gov/ix?doc=/Archives/edgar/data/0001770450/000177045026000009/xrx-20251231.htm" TargetMode="External"/><Relationship Id="rId20" Type="http://schemas.openxmlformats.org/officeDocument/2006/relationships/hyperlink" Target="http://www.sec.gov/ix?doc=/Archives/edgar/data/0001770450/000177045026000030/xrx-20260331.htm" TargetMode="External"/><Relationship Id="rId21" Type="http://schemas.openxmlformats.org/officeDocument/2006/relationships/hyperlink" Target="http://www.sec.gov/ix?doc=/Archives/edgar/data/0001770450/000177045026000003/xrx-20260129.htm" TargetMode="External"/><Relationship Id="rId22" Type="http://schemas.openxmlformats.org/officeDocument/2006/relationships/hyperlink" Target="http://www.sec.gov/ix?doc=/Archives/edgar/data/0001770450/000119312526140584/d40139d8k.htm" TargetMode="External"/><Relationship Id="rId23" Type="http://schemas.openxmlformats.org/officeDocument/2006/relationships/hyperlink" Target="http://www.sec.gov/ix?doc=/Archives/edgar/data/0001770450/000177045026000025/xrx-20260430.htm" TargetMode="External"/><Relationship Id="rId24" Type="http://schemas.openxmlformats.org/officeDocument/2006/relationships/hyperlink" Target="http://www.sec.gov/Archives/edgar/data/1770450/000119312521276925/d189027d8a12b.htm" TargetMode="External"/><Relationship Id="rId25" Type="http://schemas.openxmlformats.org/officeDocument/2006/relationships/hyperlink" Target="http://www.sec.gov/Archives/edgar/data/108772/000177045020000012/xrx-123119xex4ddescrip.htm" TargetMode="External"/><Relationship Id="rId26" Type="http://schemas.openxmlformats.org/officeDocument/2006/relationships/hyperlink" Target="http://www.sec.gov/Archives/edgar/data/1770450/000119312519208837/d767474dex32.htm" TargetMode="External"/><Relationship Id="rId27" Type="http://schemas.openxmlformats.org/officeDocument/2006/relationships/hyperlink" Target="http://www.sec.gov/Archives/edgar/data/108772/000177045022000010/xrx-123121xex3b2xeroxholdi.htm" TargetMode="External"/><Relationship Id="rId28" Type="http://schemas.openxmlformats.org/officeDocument/2006/relationships/hyperlink" Target="http://www.sec.gov/Archives/edgar/data/1770450/000119312524172387/d822477dex991.htm" TargetMode="External"/><Relationship Id="rId29" Type="http://schemas.openxmlformats.org/officeDocument/2006/relationships/hyperlink" Target="http://www.sec.gov/ix?doc=/Archives/edgar/data/0001770450/000177045025000017/xrx-20250409.htm#i32c07275633f4199a0a775676daa5700_301" TargetMode="External"/><Relationship Id="rId30" Type="http://schemas.openxmlformats.org/officeDocument/2006/relationships/hyperlink" Target="http://www.sec.gov/ix?doc=/Archives/edgar/data/0001770450/000177045026000020/xrx-20260407.htm#idbbf6c075b8d4ab6973af591eb26dde4_3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2026-05-20T16:18:39Z</dcterms:created>
  <dcterms:modified xsi:type="dcterms:W3CDTF">2026-05-20T16:18:39Z</dcterms:modified>
</cp:coreProperties>
</file>