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color w:val="auto"/>
        </w:rPr>
        <w:t>Filed by Xerox Holdings Corporation</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Subject Company: HP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001-04423)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838835</wp:posOffset>
            </wp:positionH>
            <wp:positionV relativeFrom="paragraph">
              <wp:posOffset>160020</wp:posOffset>
            </wp:positionV>
            <wp:extent cx="5334000" cy="960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4000" cy="960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18"/>
          <w:szCs w:val="18"/>
          <w:color w:val="auto"/>
        </w:rPr>
        <w:t>Xerox Launches Tender Offer to Acquire All Outstanding Shares of HP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for $24 Per Share in Cash and Stock</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Xerox Offer Provides Both Immediate Cash and Long-Term Value to HP Shareholders</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Urges HP Shareholders to Secure Superior Value by Tendering into Xerox’s Offer and Electing Xerox’s Slate of Highly Qualified Director Candidates</w:t>
      </w: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color w:val="auto"/>
        </w:rPr>
        <w:t>NORWALK, Conn., March 2, 2020 — Xerox Holdings Corporation (NYSE: XRX) (“Xerox”) today launched a tender offer to acquire all outstanding</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shares of HP Inc. (NYSE: HPQ) (“HP”) for $24.00 per share, comprising $18.40 in cash and 0.149 Xerox shares for each HP share.</w:t>
      </w:r>
      <w:r>
        <w:rPr>
          <w:rFonts w:ascii="Arial" w:cs="Arial" w:eastAsia="Arial" w:hAnsi="Arial"/>
          <w:sz w:val="15"/>
          <w:szCs w:val="15"/>
          <w:color w:val="auto"/>
        </w:rPr>
        <w:t>1</w:t>
      </w:r>
    </w:p>
    <w:p>
      <w:pPr>
        <w:spacing w:after="0" w:line="211"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“Our proposal offers progress over entrenchment,” said John Visentin, vice chairman and chief executive officer of Xerox. “HP shareholders will receive $27 billion in immediate, upfront cash while retaining significant, long-term upside through equity ownership in a combined company with greater free cash flow to invest in growth and return to shareholders.”</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7" w:lineRule="exact"/>
        <w:rPr>
          <w:sz w:val="24"/>
          <w:szCs w:val="24"/>
          <w:color w:val="auto"/>
        </w:rPr>
      </w:pPr>
    </w:p>
    <w:p>
      <w:pPr>
        <w:ind w:right="180"/>
        <w:spacing w:after="0" w:line="255" w:lineRule="auto"/>
        <w:rPr>
          <w:sz w:val="20"/>
          <w:szCs w:val="20"/>
          <w:color w:val="auto"/>
        </w:rPr>
      </w:pPr>
      <w:r>
        <w:rPr>
          <w:rFonts w:ascii="Arial" w:cs="Arial" w:eastAsia="Arial" w:hAnsi="Arial"/>
          <w:sz w:val="18"/>
          <w:szCs w:val="18"/>
          <w:color w:val="auto"/>
        </w:rPr>
        <w:t>Xerox has entered into an amended and restated commitment letter to add MUFG, PNC, Credit Agricole, Truist and Sun Trust Robinson Humphrey as commitment parties to provide a portion of the financing along with Citi, Mizuho and Bank of America under its previously confirmed $24 billion in binding financing commitments (that are not subject to any due diligence condition).</w:t>
      </w:r>
    </w:p>
    <w:p>
      <w:pPr>
        <w:spacing w:after="0" w:line="2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Terms</w:t>
      </w:r>
    </w:p>
    <w:p>
      <w:pPr>
        <w:spacing w:after="0" w:line="27"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The offer and withdrawal rights are scheduled to expire at 5:00 p.m. New York City Time on April 21, 2020, unless the offer is extended. The full terms, conditions and other details of the tender offer are set forth in the offering documents that Xerox is filing today with the Securities and Exchange Commission (“SEC”).</w:t>
      </w:r>
    </w:p>
    <w:p>
      <w:pPr>
        <w:spacing w:after="0" w:line="190"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Citi is acting as Xerox’s financial advisor, and King &amp; Spalding LLP is providing legal counsel to Xerox. Willkie Farr &amp; Gallagher LLP is providing legal counsel to Xerox’s independent directors, and Moelis &amp; Company is acting as financial advisor to Xerox’s independent directors.</w:t>
      </w:r>
    </w:p>
    <w:p>
      <w:pPr>
        <w:spacing w:after="0" w:line="124"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 xml:space="preserve">For additional details on the offer, the benefits of the transaction to both companies’ stockholders, and the Xerox management team, please visit </w:t>
      </w:r>
      <w:r>
        <w:rPr>
          <w:rFonts w:ascii="Arial" w:cs="Arial" w:eastAsia="Arial" w:hAnsi="Arial"/>
          <w:sz w:val="18"/>
          <w:szCs w:val="18"/>
          <w:u w:val="single" w:color="auto"/>
          <w:color w:val="auto"/>
        </w:rPr>
        <w:t>www.XplusHP.com</w:t>
      </w:r>
      <w:r>
        <w:rPr>
          <w:rFonts w:ascii="Arial" w:cs="Arial" w:eastAsia="Arial" w:hAnsi="Arial"/>
          <w:sz w:val="18"/>
          <w:szCs w:val="18"/>
          <w:color w:val="auto"/>
        </w:rPr>
        <w:t>.</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Xerox</w:t>
      </w:r>
    </w:p>
    <w:p>
      <w:pPr>
        <w:spacing w:after="0" w:line="117" w:lineRule="exact"/>
        <w:rPr>
          <w:sz w:val="24"/>
          <w:szCs w:val="24"/>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Xerox Holdings Corporation (NYSE: XRX) makes every day work better. </w:t>
      </w:r>
      <w:r>
        <w:rPr>
          <w:rFonts w:ascii="Arial" w:cs="Arial" w:eastAsia="Arial" w:hAnsi="Arial"/>
          <w:sz w:val="18"/>
          <w:szCs w:val="18"/>
          <w:color w:val="auto"/>
        </w:rPr>
        <w:t>We are a workplace technology company building and integrating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software and hardware for enterprises large and small. As customers seek to manage information across digital and physical platforms, Xerox delivers a seamless, secure and sustainable experience. Whether inventing the copier, Ethernet, the laser printer or more, Xerox has long defined the modern work experience. Learn how that innovation continues at </w:t>
      </w:r>
      <w:r>
        <w:rPr>
          <w:rFonts w:ascii="Arial" w:cs="Arial" w:eastAsia="Arial" w:hAnsi="Arial"/>
          <w:sz w:val="18"/>
          <w:szCs w:val="18"/>
          <w:u w:val="single" w:color="auto"/>
          <w:color w:val="auto"/>
        </w:rPr>
        <w:t>xerox.com</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632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7" w:lineRule="exact"/>
        <w:rPr>
          <w:sz w:val="24"/>
          <w:szCs w:val="24"/>
          <w:color w:val="auto"/>
        </w:rPr>
      </w:pPr>
    </w:p>
    <w:p>
      <w:pPr>
        <w:ind w:left="440" w:hanging="436"/>
        <w:spacing w:after="0"/>
        <w:tabs>
          <w:tab w:leader="none" w:pos="440" w:val="left"/>
        </w:tabs>
        <w:numPr>
          <w:ilvl w:val="0"/>
          <w:numId w:val="1"/>
        </w:numPr>
        <w:rPr>
          <w:rFonts w:ascii="Arial" w:cs="Arial" w:eastAsia="Arial" w:hAnsi="Arial"/>
          <w:sz w:val="15"/>
          <w:szCs w:val="15"/>
          <w:color w:val="auto"/>
        </w:rPr>
      </w:pPr>
      <w:r>
        <w:rPr>
          <w:rFonts w:ascii="Arial" w:cs="Arial" w:eastAsia="Arial" w:hAnsi="Arial"/>
          <w:sz w:val="18"/>
          <w:szCs w:val="18"/>
          <w:color w:val="auto"/>
        </w:rPr>
        <w:t>Based on Xerox’s closing share price of $37.68 on February 6, 2020.</w:t>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impacts resulting from the restructuring of our relationship with Fujifilm Holdings Corporation; the shared services arrangements entered into by us as part of Project Own It; the ultimate outcome of any possible transaction between Xerox Holdings Corporation (“Xerox”) and HP Inc. (“HP”), including the possibility that the parties will not agree to pursue a business combination transaction or that the terms of any definitive agreement will be materially different from those proposed; uncertainties as to whether HP will cooperate with Xerox regarding the proposed transaction; the ultimate result should Xerox determine to commence a proxy contest for election of directors to HP’s board of directors; Xerox’s ability to consummate the proposed transaction with HP; the conditions to the completion of the proposed transaction, including the receipt of any required shareholder approvals and any required regulatory approvals; Xerox’s ability to finance the proposed transaction with HP; Xerox’s indebtedness, including the substantial indebtedness Xerox expects to incur in connection with the proposed transaction with HP and the need to generate sufficient cash flows to service and repay such debt; the possibility that Xerox may be unable to achieve expected synergies and operating efficiencies within the expected time-frames or at all and to successfully integrate HP’s operations with</w:t>
      </w:r>
    </w:p>
    <w:p>
      <w:pPr>
        <w:sectPr>
          <w:pgSz w:w="11900" w:h="16838" w:orient="portrait"/>
          <w:cols w:equalWidth="0" w:num="1">
            <w:col w:w="11020"/>
          </w:cols>
          <w:pgMar w:left="440" w:top="270" w:right="439" w:bottom="1440" w:gutter="0" w:footer="0" w:header="0"/>
        </w:sectPr>
      </w:pPr>
    </w:p>
    <w:bookmarkStart w:id="2" w:name="page3"/>
    <w:bookmarkEnd w:id="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those of Xerox; that such integration may be more difficult, time-consuming or costly than expected;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the retention of certain key employees may be difficult; and general economic conditions that are less favorable than expected. Additional risks that may affect Xerox’s operations and other factors that are set forth in the “Risk Factors” section, the “Legal Proceedings” section, the “Management’s Discussion and Analysis of Financial Condition and Results of Operations” section and other sections of Xerox’s 2019 Annual Report on Form 10-K, as well as in Xerox Corporation’s and Xerox Holdings Corporation’s Quarterly Reports on Form 10-Q and Current Reports on Form 8-K filed with the SEC. These forward-looking statements speak only as of the date of this communication or as of the date to which they refer, and Xerox assumes no obligation to update any forward-looking statements as a result of new information or future events or developments, except as required by law.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communication relates to a proposal that Xerox has made for a business combination transaction with HP and the exchange offer which Xerox, through XHC Acquisition Corp., its wholly owned subsidiary, has made to HP stockholders. The exchange offer is being made pursuant to a tender offer statement on Schedule TO (including the offer to exchange, the letter of election and transmittal and other related offer documents) and a registration statement on Form S-4 filed by Xerox on March 2, 2020. These materials, as may be amended from time to time, contain important information, including the terms and conditions of the offer. Subject to future developments, Xerox (and, if applicable, HP) may file one or more proxy statements or other documents with the Securities and Exchange Commission (the “SEC”). This communication is not a substitute for any proxy statement, registration statement, tender offer statement, prospectus or other document Xerox and/or HP may file with the SEC in connection with the proposed transaction.</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This communication does not constitute an offer to buy or solicitation of an offer to sell any securities. Investors and security holders of Xerox and HP are urged to read the tender offer statement (including the offer to exchange, the letter of election and transmittal and other related offer documents), the registration statement and any other documents filed with the SEC carefully in their entirety if and when they become available as they will contain important information about the proposed transaction. Any definitive proxy statement(s) or prospectus(es) (if and when available) will be mailed to shareholders of Xerox and/or HP, as applicable. Investors and security holders may obtain free copies of these documents (if and when available) and other documents filed with the SEC by Xerox through the web 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by visiting Xerox’s investor relations site at </w:t>
      </w:r>
      <w:r>
        <w:rPr>
          <w:rFonts w:ascii="Arial" w:cs="Arial" w:eastAsia="Arial" w:hAnsi="Arial"/>
          <w:sz w:val="18"/>
          <w:szCs w:val="18"/>
          <w:u w:val="single" w:color="auto"/>
          <w:color w:val="auto"/>
        </w:rPr>
        <w:t>www.xerox.com/investor</w:t>
      </w:r>
      <w:r>
        <w:rPr>
          <w:rFonts w:ascii="Arial" w:cs="Arial" w:eastAsia="Arial" w:hAnsi="Arial"/>
          <w:sz w:val="18"/>
          <w:szCs w:val="18"/>
          <w:color w:val="auto"/>
        </w:rPr>
        <w:t>.</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communication shall not constitute an offer to sell or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18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This communication is neither a solicitation of a proxy nor a substitute for any proxy statement or other filings that may be made with the SEC. Nonetheless, Xerox and its directors and executive officers and other members of management and employees and the candidates</w:t>
      </w:r>
    </w:p>
    <w:p>
      <w:pPr>
        <w:sectPr>
          <w:pgSz w:w="11900" w:h="16838" w:orient="portrait"/>
          <w:cols w:equalWidth="0" w:num="1">
            <w:col w:w="10980"/>
          </w:cols>
          <w:pgMar w:left="440" w:top="274" w:right="479" w:bottom="1440" w:gutter="0" w:footer="0" w:header="0"/>
        </w:sectPr>
      </w:pPr>
    </w:p>
    <w:bookmarkStart w:id="3" w:name="page4"/>
    <w:bookmarkEnd w:id="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identified by Xerox in the notice of its intention to nominate such candidates for election at HP’s 2020 Annual Meeting of Stockholders (the “Xerox nominees”) may be deemed to be participants in the solicitation of proxies in respect of the proposed transactions, including with respect to HP’s 2020 Annual Meeting of Stockholders. You can find information about Xerox’s executive officers and directors in the Current Report on Form 8-K filed by Xerox Holdings Corporation with the SEC on July 31, 2019, the prospectus filed by Xerox Holdings Corporation with the SEC on April 23, 2019 and the combined Annual Report on Form 10-K for the year ended December 31, 2019 filed by Xerox Holdings Corporation and Xerox Corporation with the SEC on February 28, 2020. To the extent holdings of Xerox securities by Xerox’s executive officers and directors have changed from the amounts of securities of Xerox Corporation (the predecessor issuer to Xerox Holdings Corporation) held by such persons as reflected in the prospectus filed by Xerox Holdings Corporation with the SEC on April 23, 2019, such changes have been or will be reflected on Statements of Change in Ownership on Form 4 filed with the SEC. Information about the Xerox nominees is available at </w:t>
      </w:r>
      <w:r>
        <w:rPr>
          <w:rFonts w:ascii="Arial" w:cs="Arial" w:eastAsia="Arial" w:hAnsi="Arial"/>
          <w:sz w:val="16"/>
          <w:szCs w:val="16"/>
          <w:u w:val="single" w:color="auto"/>
          <w:color w:val="auto"/>
        </w:rPr>
        <w:t>www.XplusHP.com</w:t>
      </w:r>
      <w:r>
        <w:rPr>
          <w:rFonts w:ascii="Arial" w:cs="Arial" w:eastAsia="Arial" w:hAnsi="Arial"/>
          <w:sz w:val="16"/>
          <w:szCs w:val="16"/>
          <w:color w:val="auto"/>
        </w:rPr>
        <w:t xml:space="preserve"> and will be included in the proxy statement Xerox intends to file with the SEC should Xerox determine to commence a proxy contest for election of directors to HP’s board of directors. Additional information regarding the interests of such potential participants will be included in one or more registration statements, proxy statements, tender offer statements or other documents filed with the SEC if and when they become available. These documents (if and when available) may be obtained free of charge from the SEC’s website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and by visiting Xerox’s investor relations site at </w:t>
      </w:r>
      <w:r>
        <w:rPr>
          <w:rFonts w:ascii="Arial" w:cs="Arial" w:eastAsia="Arial" w:hAnsi="Arial"/>
          <w:sz w:val="16"/>
          <w:szCs w:val="16"/>
          <w:u w:val="single" w:color="auto"/>
          <w:color w:val="auto"/>
        </w:rPr>
        <w:t>www.xerox.com/investor</w:t>
      </w:r>
      <w:r>
        <w:rPr>
          <w:rFonts w:ascii="Arial" w:cs="Arial" w:eastAsia="Arial" w:hAnsi="Arial"/>
          <w:sz w:val="16"/>
          <w:szCs w:val="16"/>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-XXX-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Caroline Gransee-Linsey, Xerox, +1-203-849-2359, </w:t>
      </w:r>
      <w:r>
        <w:rPr>
          <w:rFonts w:ascii="Arial" w:cs="Arial" w:eastAsia="Arial" w:hAnsi="Arial"/>
          <w:sz w:val="18"/>
          <w:szCs w:val="18"/>
          <w:u w:val="single" w:color="auto"/>
          <w:color w:val="auto"/>
        </w:rPr>
        <w:t>Caroline.Gransee-Linsey@xerox.com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Ann Pettrone, Xerox, +1-203-849-2590, </w:t>
      </w:r>
      <w:r>
        <w:rPr>
          <w:rFonts w:ascii="Arial" w:cs="Arial" w:eastAsia="Arial" w:hAnsi="Arial"/>
          <w:sz w:val="18"/>
          <w:szCs w:val="18"/>
          <w:u w:val="single" w:color="auto"/>
          <w:color w:val="auto"/>
        </w:rPr>
        <w:t>Ann.Pettrone@xerox.com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Edward McCarthy, D.F. King &amp; Co., Inc., +1-212-269-5550, </w:t>
      </w:r>
      <w:r>
        <w:rPr>
          <w:rFonts w:ascii="Arial" w:cs="Arial" w:eastAsia="Arial" w:hAnsi="Arial"/>
          <w:sz w:val="18"/>
          <w:szCs w:val="18"/>
          <w:u w:val="single" w:color="auto"/>
          <w:color w:val="auto"/>
        </w:rPr>
        <w:t>EMcCarthy@DFKing.com</w:t>
      </w:r>
    </w:p>
    <w:p>
      <w:pPr>
        <w:spacing w:after="0" w:line="207" w:lineRule="exact"/>
        <w:rPr>
          <w:sz w:val="20"/>
          <w:szCs w:val="20"/>
          <w:color w:val="auto"/>
        </w:rPr>
      </w:pPr>
    </w:p>
    <w:p>
      <w:pPr>
        <w:ind w:right="760"/>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To receive RSS news feeds,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https://www.news.xerox.com</w:t>
      </w:r>
      <w:r>
        <w:rPr>
          <w:rFonts w:ascii="Arial" w:cs="Arial" w:eastAsia="Arial" w:hAnsi="Arial"/>
          <w:sz w:val="18"/>
          <w:szCs w:val="18"/>
          <w:color w:val="auto"/>
        </w:rPr>
        <w:t>. For open commentary, industry perspectives and views,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http://twitter.com/xerox</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http://www.facebook.com/XeroxCorp</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https://www.instagram.com/xerox/</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http://www.linkedin.com/company/xerox</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http://www.youtube.com/XeroxCorp</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Xerox</w:t>
      </w:r>
      <w:r>
        <w:rPr>
          <w:rFonts w:ascii="Arial" w:cs="Arial" w:eastAsia="Arial" w:hAnsi="Arial"/>
          <w:sz w:val="15"/>
          <w:szCs w:val="15"/>
          <w:color w:val="auto"/>
        </w:rPr>
        <w:t>®</w:t>
      </w:r>
      <w:r>
        <w:rPr>
          <w:rFonts w:ascii="Arial" w:cs="Arial" w:eastAsia="Arial" w:hAnsi="Arial"/>
          <w:sz w:val="18"/>
          <w:szCs w:val="18"/>
          <w:color w:val="auto"/>
        </w:rPr>
        <w:t xml:space="preserve"> is a trademark of Xerox Corporation in the United States and/or other countries.</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2020-03-02T15:55:54Z</dcterms:created>
  <dcterms:modified xsi:type="dcterms:W3CDTF">2020-03-02T15:55:54Z</dcterms:modified>
</cp:coreProperties>
</file>