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Xerox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Frantisek Bostl</w:t>
              <w:br/>
              <w:t xml:space="preserve">Plynarni 1617/10,, </w:t>
              <w:br/>
              <w:t>Prague 7, 2N, 17000</w:t>
              <w:br/>
              <w:t>420-604-215-002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STARTEEPO Invest, investicni fond s promennym zakladnim kapitalem, a.s.</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9" w:type="dxa"/>
            <w:tcBorders/>
            <w:vAlign w:val="center"/>
          </w:tcPr>
          <w:p>
            <w:pPr>
              <w:pStyle w:val="TableContents"/>
              <w:bidi w:val="0"/>
              <w:spacing w:before="0" w:after="283"/>
              <w:jc w:val="left"/>
              <w:rPr/>
            </w:pPr>
            <w:r>
              <w:rPr/>
              <w:t>5</w:t>
            </w:r>
          </w:p>
        </w:tc>
        <w:tc>
          <w:tcPr>
            <w:tcW w:w="791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6</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7,300,000.00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7,300,000.00</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13</w:t>
            </w:r>
          </w:p>
        </w:tc>
        <w:tc>
          <w:tcPr>
            <w:tcW w:w="791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5.58 % </w:t>
            </w:r>
          </w:p>
        </w:tc>
      </w:tr>
      <w:tr>
        <w:trPr/>
        <w:tc>
          <w:tcPr>
            <w:tcW w:w="2289" w:type="dxa"/>
            <w:tcBorders/>
            <w:vAlign w:val="center"/>
          </w:tcPr>
          <w:p>
            <w:pPr>
              <w:pStyle w:val="TableContents"/>
              <w:bidi w:val="0"/>
              <w:spacing w:before="0" w:after="283"/>
              <w:jc w:val="left"/>
              <w:rPr/>
            </w:pPr>
            <w:r>
              <w:rPr/>
              <w:t>14</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130,779,611 shares of Common Stock outstanding as of April 30, 2026, as reported in the Issuer's Quarterly Report on Form 10-Q for the period ended March 31, 2026, as filed with the Securities and Exchange Commission (the "SEC")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Frantisek Bostl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1,640,000.00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1,640,000.00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7,300,000.00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8,940,000.00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6.84 %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Row 9, and Row 11: Consists of (i) 1,500,000 shares of Common Stock and (ii) 140,000 shares of Common Stock underlying call options, as described in Item 6, held directly by Mr. Bostl. Row 8, Row 10, and Row 11: Represents 7,300,000 shares of Common Stock held of record by the Fund for which Mr. Bostl may be deemed to be a beneficial owner as the Chief Investment Officer and Chairman of the Board of Directors of the Fund and owner of all of the voting shares of the Fund. Mr. Bostl disclaims beneficial ownership of the Common Stock held by the Fund except to the extent of his direct pecuniary interest therein. Row 13: Based on 130,779,611 shares of Common Stock outstanding as of April 30, 2026, as reported in the Issuer's Quarterly Report on Form 10-Q for the period ended March 31, 2026, as filed with the SEC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0"/>
        <w:gridCol w:w="8897"/>
        <w:gridCol w:w="158"/>
      </w:tblGrid>
      <w:tr>
        <w:trPr/>
        <w:tc>
          <w:tcPr>
            <w:tcW w:w="1150"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Security and Issuer</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 per share</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Xerox Holdings Corp</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4505, 401 Merritt 7, Norwalk, CONNECTICUT , 06851-1059.</w:t>
            </w:r>
          </w:p>
        </w:tc>
        <w:tc>
          <w:tcPr>
            <w:tcW w:w="158"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 this "Amendment No. 2") to the Schedule 13D is being filed by (i) STARTEEPO Invest, investicni fond s promennym zakladnim kapitalem, a.s. (the "Fund") and (ii) Frantisek Bostl (collectively, the "Reporting Persons", and each, a "Reporting Person") to amend the Schedule 13D filed by the Reporting Persons with the Securities and Exchange Commission (the "SEC") on May 14, 2026, as amended on June 3, 2026 (the "Schedule") with respect to the Reporting Persons' holdings of common stock, $1 par value per share (the "Common Stock") of Xerox Holdings Corporation (the "Issuer"). This Amendment No. 2 amends and restates Items 3, 5(a)-(c) and 6 and supplements Item 4 of the Schedule as set forth below. Unless otherwise indicated, all capitalized terms used and not defined herein have the respective meanings assigned to them in the Schedule.</w:t>
            </w:r>
          </w:p>
        </w:tc>
      </w:tr>
      <w:tr>
        <w:trPr/>
        <w:tc>
          <w:tcPr>
            <w:tcW w:w="1150"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Source and Amount of Funds or Other Consideration</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All of the securities reported herein were purchased by the applicable Reporting Persons for an aggregate purchase price of $21,021,403, comprised of (i) $20,829,403 paid for shares of Common Stock and (ii) $192,000 paid in premiums for call options purchased by Mr. Bostl. The Common Stock held by the Fund was purchased in the open market with working capital of the Fund. The Common Stock and call options held by Mr. Bostl were purchased in the open market with his personal funds.</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Purpose of Transaction</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The Reporting Persons increased their investment in the Issuer in light of their intention to engage more actively and constructively with the Issuer's management and Board of Directors regarding the Issuer's long-term strategy, capital allocation priorities, and opportunities to enhance shareholder value, including the Issuer's positioning in higher-growth IT and digital markets. The Reporting Persons may also have similar conversations with other stockholders of the Issuer. Except as set forth in the preceding paragraph, as of the date hereof, the Reporting Persons do not have any plan or proposal that relates to or would result in any of the transactions enumerated in sub items (a) through (j) of Item 4 of Schedule 13D.</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Interest in Securities of the Issuer</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0"/>
              <w:jc w:val="left"/>
              <w:rPr/>
            </w:pPr>
            <w:r>
              <w:rPr/>
              <w:t>The responses of each of the Reporting Persons with respect to rows (11) and (13) of the cover pages to this Schedule 13D that relate to the aggregate number of shares of Common Stock and percentage of the shares of Common Stock beneficially owned by each of the Reporting Persons (including without limitation, the footnotes thereto) are incorporated by reference into this Item 5(a). The percentage used in this Schedule 13D is calculated based upon 130,779,611 shares of Common Stock outstanding as of April 30, 2026, as reported in the Issuer's Quarterly Report on Form 10-Q for the period ended March 31, 2026, as filed with the SEC on May 7, 2026.</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0"/>
              <w:jc w:val="left"/>
              <w:rPr/>
            </w:pPr>
            <w:r>
              <w:rPr/>
              <w:t>The responses of each of the Reporting Persons with respect to rows (7) through (10) of the cover pages to this Schedule 13D that relate to the number of shares of Common Stock as to which each of the Reporting Persons has sole or shared power to vote or to direct the vote of and sole or shared power to dispose of or to direct the disposition of (including, without limitation, the footnotes thereto) are incorporated herein by reference into this Item 5(b).</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0"/>
              <w:jc w:val="left"/>
              <w:rPr/>
            </w:pPr>
            <w:r>
              <w:rPr/>
              <w:t>All transactions of the Reporting Persons in the Common Stock effected since the filing of the Schedule are set forth on Exhibit 99.4 hereto and that information is incorporated by reference herein.</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The Reporting Persons have entered into a Joint Filing Agreement dated as of July 13, 2026, a copy of which is filed herewith as Exhibit 99.3.</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Material to be Filed as Exhibits.</w:t>
            </w:r>
          </w:p>
        </w:tc>
        <w:tc>
          <w:tcPr>
            <w:tcW w:w="158"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Exhibit 99.3 Joint Filing Agreement, dated as of July 13, 2026, by and among the Reporting Persons Exhibit 99.4 Trading Data</w:t>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84"/>
        <w:gridCol w:w="4821"/>
      </w:tblGrid>
      <w:tr>
        <w:trPr/>
        <w:tc>
          <w:tcPr>
            <w:tcW w:w="5384" w:type="dxa"/>
            <w:tcBorders/>
            <w:vAlign w:val="center"/>
          </w:tcPr>
          <w:p>
            <w:pPr>
              <w:pStyle w:val="TableContents"/>
              <w:bidi w:val="0"/>
              <w:spacing w:before="0" w:after="0"/>
              <w:jc w:val="left"/>
              <w:rPr/>
            </w:pPr>
            <w:r>
              <w:rPr/>
              <w:t> </w:t>
            </w:r>
          </w:p>
          <w:tbl>
            <w:tblPr>
              <w:tblW w:w="7501" w:type="dxa"/>
              <w:jc w:val="left"/>
              <w:tblInd w:w="0" w:type="dxa"/>
              <w:tblLayout w:type="fixed"/>
              <w:tblCellMar>
                <w:top w:w="28" w:type="dxa"/>
                <w:left w:w="28" w:type="dxa"/>
                <w:bottom w:w="28" w:type="dxa"/>
                <w:right w:w="28" w:type="dxa"/>
              </w:tblCellMar>
            </w:tblPr>
            <w:tblGrid>
              <w:gridCol w:w="7501"/>
            </w:tblGrid>
            <w:tr>
              <w:trPr/>
              <w:tc>
                <w:tcPr>
                  <w:tcW w:w="7501" w:type="dxa"/>
                  <w:tcBorders/>
                  <w:vAlign w:val="center"/>
                </w:tcPr>
                <w:p>
                  <w:pPr>
                    <w:pStyle w:val="TableContents"/>
                    <w:bidi w:val="0"/>
                    <w:spacing w:before="0" w:after="0"/>
                    <w:jc w:val="left"/>
                    <w:rPr/>
                  </w:pPr>
                  <w:r>
                    <w:rPr/>
                    <w:t>STARTEEPO Invest, investicni fond s promennym zakladnim kapitalem, a.s.</w:t>
                  </w:r>
                </w:p>
              </w:tc>
            </w:tr>
          </w:tbl>
          <w:p>
            <w:pPr>
              <w:pStyle w:val="TableContents"/>
              <w:bidi w:val="0"/>
              <w:spacing w:before="0" w:after="283"/>
              <w:jc w:val="left"/>
              <w:rPr/>
            </w:pPr>
            <w:r>
              <w:rPr/>
            </w:r>
          </w:p>
        </w:tc>
        <w:tc>
          <w:tcPr>
            <w:tcW w:w="48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Frantisek Bostl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Chief Investment Officer and Chairman of the Board</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Frantisek Bostl</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Frantisek Bostl</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Frantisek Bostl</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bookmarkStart w:id="18" w:name="ex99-3.htm"/>
      <w:bookmarkStart w:id="19" w:name="ksex993"/>
      <w:bookmarkEnd w:id="18"/>
      <w:bookmarkEnd w:id="1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undersigned hereby agree to jointly prepare and file with regulatory authorities this Schedule 13D and any future amendments thereto reporting each of the undersigned’s ownership of securities of Xerox Holdings Corporation, and hereby affirm that such Schedule 13D is being filed on behalf of each of the undersigned pursuant to and in accordance with the provisions of Rule 13d-1(k) under the Securities Exchange Act of 1934, as amended.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this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jc w:val="left"/>
        <w:rPr>
          <w:caps w:val="false"/>
          <w:smallCaps w:val="false"/>
        </w:rPr>
      </w:pPr>
      <w:r>
        <w:rPr>
          <w:caps w:val="false"/>
          <w:smallCaps w:val="false"/>
        </w:rPr>
        <w:t> </w:t>
      </w:r>
    </w:p>
    <w:tbl>
      <w:tblPr>
        <w:tblW w:w="6574" w:type="dxa"/>
        <w:jc w:val="left"/>
        <w:tblInd w:w="0" w:type="dxa"/>
        <w:tblLayout w:type="fixed"/>
        <w:tblCellMar>
          <w:top w:w="0" w:type="dxa"/>
          <w:left w:w="0" w:type="dxa"/>
          <w:bottom w:w="0" w:type="dxa"/>
          <w:right w:w="0" w:type="dxa"/>
        </w:tblCellMar>
      </w:tblPr>
      <w:tblGrid>
        <w:gridCol w:w="756"/>
        <w:gridCol w:w="5743"/>
        <w:gridCol w:w="75"/>
      </w:tblGrid>
      <w:tr>
        <w:trPr/>
        <w:tc>
          <w:tcPr>
            <w:tcW w:w="6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STARTEEPO Invest, investicni fond s promennym zakladnim kapitalem, a.s.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283"/>
              <w:jc w:val="left"/>
              <w:rPr>
                <w:caps w:val="false"/>
                <w:smallCaps w:val="false"/>
              </w:rPr>
            </w:pPr>
            <w:r>
              <w:rPr>
                <w:caps w:val="false"/>
                <w:smallCaps w:val="false"/>
              </w:rPr>
              <w:t> </w:t>
            </w:r>
          </w:p>
        </w:tc>
        <w:tc>
          <w:tcPr>
            <w:tcW w:w="57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Investment Officer and Chairman of the Board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283"/>
              <w:jc w:val="left"/>
              <w:rPr>
                <w:caps w:val="false"/>
                <w:smallCaps w:val="false"/>
              </w:rPr>
            </w:pPr>
            <w:r>
              <w:rPr>
                <w:caps w:val="false"/>
                <w:smallCaps w:val="false"/>
              </w:rPr>
              <w:t> </w:t>
            </w:r>
          </w:p>
        </w:tc>
        <w:tc>
          <w:tcPr>
            <w:tcW w:w="57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283"/>
              <w:jc w:val="left"/>
              <w:rPr>
                <w:caps w:val="false"/>
                <w:smallCaps w:val="false"/>
              </w:rPr>
            </w:pPr>
            <w:r>
              <w:rPr>
                <w:caps w:val="false"/>
                <w:smallCaps w:val="false"/>
              </w:rPr>
              <w:t> </w:t>
            </w:r>
          </w:p>
        </w:tc>
        <w:tc>
          <w:tcPr>
            <w:tcW w:w="574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283"/>
              <w:jc w:val="left"/>
              <w:rPr>
                <w:caps w:val="false"/>
                <w:smallCaps w:val="false"/>
              </w:rPr>
            </w:pPr>
            <w:r>
              <w:rPr>
                <w:caps w:val="false"/>
                <w:smallCaps w:val="false"/>
              </w:rPr>
              <w:t> </w:t>
            </w:r>
          </w:p>
        </w:tc>
        <w:tc>
          <w:tcPr>
            <w:tcW w:w="5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20" w:name="ex99-4.htm"/>
      <w:bookmarkStart w:id="21" w:name="ksex994"/>
      <w:bookmarkEnd w:id="20"/>
      <w:bookmarkEnd w:id="2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Data</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transactions in the Common Stock effected by the Reporting Persons in respect of the shares of Common Stock since the most recent filing of the Schedule.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STARTEEPO Invest, investicni fond s promennym zakladnim kapitalem, a.s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3569" w:type="dxa"/>
        <w:jc w:val="left"/>
        <w:tblInd w:w="0" w:type="dxa"/>
        <w:tblLayout w:type="fixed"/>
        <w:tblCellMar>
          <w:top w:w="0" w:type="dxa"/>
          <w:left w:w="0" w:type="dxa"/>
          <w:bottom w:w="28" w:type="dxa"/>
          <w:right w:w="0" w:type="dxa"/>
        </w:tblCellMar>
      </w:tblPr>
      <w:tblGrid>
        <w:gridCol w:w="995"/>
        <w:gridCol w:w="60"/>
        <w:gridCol w:w="60"/>
        <w:gridCol w:w="695"/>
        <w:gridCol w:w="60"/>
        <w:gridCol w:w="60"/>
        <w:gridCol w:w="142"/>
        <w:gridCol w:w="1422"/>
        <w:gridCol w:w="75"/>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Trade Date</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b/>
                <w:sz w:val="20"/>
              </w:rPr>
            </w:pPr>
            <w:r>
              <w:rPr>
                <w:b/>
                <w:sz w:val="20"/>
              </w:rPr>
              <w:t>Purchase Price ($)</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07.09.2026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sz w:val="20"/>
              </w:rPr>
            </w:pPr>
            <w:r>
              <w:rPr>
                <w:sz w:val="20"/>
              </w:rPr>
              <w:t>2.8142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07.09.2026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422" w:type="dxa"/>
            <w:tcBorders/>
            <w:shd w:fill="FFFFFF" w:val="clear"/>
            <w:tcMar>
              <w:bottom w:w="0" w:type="dxa"/>
            </w:tcMar>
            <w:vAlign w:val="center"/>
          </w:tcPr>
          <w:p>
            <w:pPr>
              <w:pStyle w:val="TableContents"/>
              <w:bidi w:val="0"/>
              <w:spacing w:before="0" w:after="283"/>
              <w:jc w:val="right"/>
              <w:rPr>
                <w:sz w:val="20"/>
              </w:rPr>
            </w:pPr>
            <w:r>
              <w:rPr>
                <w:sz w:val="20"/>
              </w:rPr>
              <w:t>2.7944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07.10.2026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22" w:type="dxa"/>
            <w:tcBorders/>
            <w:shd w:fill="CCEEFF" w:val="clear"/>
            <w:tcMar>
              <w:bottom w:w="0" w:type="dxa"/>
            </w:tcMar>
            <w:vAlign w:val="center"/>
          </w:tcPr>
          <w:p>
            <w:pPr>
              <w:pStyle w:val="TableContents"/>
              <w:bidi w:val="0"/>
              <w:spacing w:before="0" w:after="283"/>
              <w:jc w:val="right"/>
              <w:rPr>
                <w:sz w:val="20"/>
              </w:rPr>
            </w:pPr>
            <w:r>
              <w:rPr>
                <w:sz w:val="20"/>
              </w:rPr>
              <w:t>2.7771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288" w:right="0" w:hanging="288"/>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1673</Words>
  <Characters>8579</Characters>
  <CharactersWithSpaces>10203</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