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SCHEDULE 14A</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__)</w:t>
      </w:r>
    </w:p>
    <w:p>
      <w:pPr>
        <w:spacing w:after="0" w:line="17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Consent Solicitation Statement</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Xerox Corporation</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CARL C. ICAHN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ICAHN PARTNERS 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ICAHN PARTNERS MASTER FUND 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ICAHN ENTERPRISES G.P. INC.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ICAHN ENTERPRISES HOLDINGS 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IPH GP LLC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ICAHN CAPITAL 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ICAHN ONSHORE 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ICAHN OFFSHORE 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BECKTON CORP.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HIGH RIVER LIMITED PARTNERSHIP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HOPPER INVESTMENTS LLC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BARBERRY CORP.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JONATHAN CHRISTODORO</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KEITH COZZA</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JAFFREY (JAY) A. FIRESTONE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RANDOLPH C. READ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DARWIN DEASON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MENDA CONSULTING LLC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GIOVANNI VISENTIN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 14a-6(i)(4) and 0-11.</w:t>
      </w:r>
    </w:p>
    <w:p>
      <w:pPr>
        <w:spacing w:after="0" w:line="211" w:lineRule="exact"/>
        <w:rPr>
          <w:rFonts w:ascii="MS PGothic" w:cs="MS PGothic" w:eastAsia="MS PGothic" w:hAnsi="MS PGothic"/>
          <w:sz w:val="18"/>
          <w:szCs w:val="18"/>
          <w:color w:val="auto"/>
        </w:rPr>
      </w:pPr>
    </w:p>
    <w:p>
      <w:pPr>
        <w:ind w:left="1300" w:hanging="644"/>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ind w:left="1300" w:hanging="644"/>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9" w:lineRule="exact"/>
        <w:rPr>
          <w:rFonts w:ascii="MS PGothic" w:cs="MS PGothic" w:eastAsia="MS PGothic" w:hAnsi="MS PGothic"/>
          <w:sz w:val="18"/>
          <w:szCs w:val="18"/>
          <w:color w:val="auto"/>
        </w:rPr>
      </w:pPr>
    </w:p>
    <w:p>
      <w:pPr>
        <w:ind w:left="660" w:hanging="652"/>
        <w:spacing w:after="0" w:line="259" w:lineRule="auto"/>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1" w:lineRule="exact"/>
        <w:rPr>
          <w:rFonts w:ascii="MS PGothic" w:cs="MS PGothic" w:eastAsia="MS PGothic" w:hAnsi="MS PGothic"/>
          <w:sz w:val="18"/>
          <w:szCs w:val="18"/>
          <w:color w:val="auto"/>
        </w:rPr>
      </w:pPr>
    </w:p>
    <w:p>
      <w:pPr>
        <w:ind w:left="1300" w:hanging="644"/>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On April 16, 2018, Darwin Deason filed Amendment No. 8 to his Schedule 13D relating to Xerox Corporation, a copy of which is filed herewith as Exhibit 1.</w:t>
      </w:r>
    </w:p>
    <w:p>
      <w:pPr>
        <w:spacing w:after="0" w:line="200" w:lineRule="exact"/>
        <w:rPr>
          <w:sz w:val="20"/>
          <w:szCs w:val="20"/>
          <w:color w:val="auto"/>
        </w:rPr>
      </w:pPr>
    </w:p>
    <w:p>
      <w:pPr>
        <w:spacing w:after="0" w:line="2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SECURITY HOLDERS ARE ADVISED TO READ THE PROXY STATEMENT AND OTHER DOCUMENTS RELATED TO THE SOLICITATION OF PROXIES BY CARL ICAHN, DARWIN DEASON AND THEIR RESPECTIVE AFFILIATES FROM THE SHAREHOLDERS OF XEROX CORPORATION IN CONNECTION WITH THE PROPOSED TRANSACTIONS BETWEEN XEROX CORPORATION AND FUJIFILM HOLDINGS CORPORATION (THE “TRANSACTION”) AND/OR FOR USE AT THE 2018 ANNUAL MEETING OF SHAREHOLDERS OF XEROX CORPORATION (THE “ANNUAL MEETING”) WHEN THEY BECOME AVAILABLE BECAUSE THEY WILL CONTAIN IMPORTANT INFORMATION, INCLUDING INFORMATION RELATING TO THE PARTICIPANTS IN SUCH PROXY SOLICITATION. WHEN COMPLETED, A DEFINITIVE PROXY STATEMENT AND A FORM OF PROXY RELATED TO THE TRANSACTION AND/OR THE ANNUAL MEETING WILL BE MAILED TO SHAREHOLDERS OF XEROX CORPORATION AND WILL ALSO BE AVAILABLE AT NO CHARGE AT THE SECURITIES AND EXCHANGE COMMISSION'S WEBSITE AT HTTP://WWW.SEC.GOV. INFORMATION RELATING TO THE PARTICIPANTS IN SUCH PROXY SOLICITATION IS CONTAINED IN THE SCHEDULE 14A FILED BY CARL ICAHN, DARWIN DEASON AND THEIR RESPECTIVE AFFILIATES WITH THE SECURITIES AND EXCHANGE COMMISSION ON MARCH 14, 2018.</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PARTICIPANTS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participants in the solicitation of proxies (the "Participants") from stockholders of Xerox Corporation (the "Corporation") include the following: High River Limited Partnership ("High River"), Hopper Investments LLC ("Hopper"), Barberry Corp. ("Barberry"), Icahn Partners Master Fund LP ("Icahn Master"), Icahn Offshore LP ("Icahn Offshore"), Icahn Partners LP ("Icahn Partners"), Icahn Onshore LP ("Icahn Onshore"), Icahn Capital LP ("Icahn Capital"), IPH GP LLC ("IPH"), Icahn Enterprises Holdings L.P. ("Icahn Enterprises Holdings"), Icahn Enterprises G.P. Inc. ("Icahn Enterprises GP"), Beckton Corp. ("Beckton"), and Carl C. Icahn, a citizen of the United States of America.</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principal business address of each of (i) High River, Icahn Offshore, Icahn Partners, Icahn Master, Icahn Onshore, Icahn Capital, IPH, Icahn Enterprises Holdings, Icahn Enterprises GP and Beckton is White Plains Plaza, 445 Hamilton Avenue - Suite 1210, White Plains, NY 10601, and (ii) Mr. Icahn, Barberry and Hopper is c/o Icahn Capital LP, 767 Fifth Avenue, 47th Floor, New York, NY 10153.</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Icahn Partners, Icahn Master and High River (collectively, the "Icahn Parties") are entities controlled by Carl C. Icahn. Barberry is the sole member of Hopper, which is the general partner of High River. Icahn Offshore is the general partner of Icahn Master. Icahn Onshore is the general partner of Icahn Partners. Icahn Capital is the general partner of each of Icahn Offshore and Icahn Onshore. Icahn Enterprises Holdings is the sole member of IPH, which is the general partner of Icahn Capital. Beckton is the sole stockholder of Icahn Enterprises GP, which is the general partner of Icahn Enterprises Holdings. Carl C. Icahn is the sole stockholder of each of Barberry and Beckton. As such, Mr. Icahn is in a position indirectly to determine the investment and voting decisions made by each of the Icahn Parties. In addition, Mr. Icahn is the indirect holder of approximately 91.0% of the outstanding depositary units representing limited partnership interests in Icahn Enterprises L.P. ("Icahn Enterprises"). Icahn Enterprises GP is the general partner of Icahn Enterprises, which is the sole limited partner of Icahn Enterprises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Icahn Parties are deemed to beneficially own, in the aggregate, 23,456,087 shares of common stock, $1.00 par value, issued by Xerox Corporation (the "Shares"), representing approximately 9.21% of the Corporation's outstanding Shares (based upon the 254,673,473 Shares stated to be outstanding as of January 31, 2018 by the Corporation in the Corporation's Annual Report on Form 10-K for the year ended December 31, 2017, filed with the Securities and Exchange Commission on February 23, 2018).</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High River has sole voting power and sole dispositive power with regard to 4,691,218 Shares. Each of Hopper, Barberry and Mr. Icahn has shared voting power and shared dispositive power with regard to such Shares. Icahn Partners has sole voting power and sole dispositive power with regard to 11,130,555 Shares. Each of Icahn Onshore, Icahn Capital, IPH, Icahn Holdings, Icahn Enterprises GP, Beckton and Mr. Icahn has shared voting power and shared dispositive power with regard to such Shares. Icahn Master has sole voting power and sole dispositive power with regard to 7,634,314 Shares. Each of Icahn Offshore, Icahn Capital, IPH, Icahn Holdings, Icahn Enterprises GP, Beckton and Mr. Icahn has shared voting power and shared dispositive power with regard to such Shares.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of Hopper, Barberry and Mr. Icahn, by virtue of their relationships to High River, may be deemed to indirectly beneficially own (as that term is defined in Rule 13d-3 under the Securities Exchange Act of 1934, as amended, the "Act") the Shares which High River directly beneficially owns. Each of Hopper, Barberry and Mr. Icahn disclaims beneficial ownership of such Shares for all other purposes. Each of Icahn Offshore, Icahn Capital, IPH, Icahn Enterprises Holdings, Icahn Enterprises GP, Beckton and Mr. Icahn, by virtue of their relationships to Icahn Master, may be deemed to indirectly beneficially own (as that term is defined in Rule 13d-3 under the Act) the Shares which Icahn Master directly beneficially owns. Each of Icahn Offshore, Icahn Capital, IPH, Icahn Enterprises Holdings, Icahn Enterprises GP, Beckton and Mr. Icahn disclaims beneficial ownership of such Shares for all other purposes. Each of Icahn Onshore, Icahn Capital, IPH, Icahn Enterprises Holdings, Icahn Enterprises GP, Beckton and Mr. Icahn, by virtue of their relationships to Icahn Partners, may be deemed to indirectly beneficially own (as that term is defined in Rule 13d-3 under the Act) the Shares which Icahn Partners directly beneficially owns. Each of Icahn Onshore, Icahn Capital, IPH, Icahn Enterprises Holdings, Icahn Enterprises GP, Beckton and Mr. Icahn disclaims beneficial ownership of such Shares for all other purposes.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Icahn Parties have agreed to act in concert with Mr. Darwin Deason and his affiliates with respect to the solicitation of proxies in connection with the proposed transactions between the Corporation and Fujifilm Holdings Corporation (the “Transaction”) and/or for use at the 2018 Annual Meeting of Shareholders of the Corporation (the “Annual Meeting”). Based on the foregoing, the Icahn Parties and Mr. Deason and his affiliates have formed a "group" within the meaning of Section 13(d)(3) of the Securities Exchange Act of 1934, as amended (the "Act"). The group may be deemed to beneficially own (as that term is defined in Rule 13d-3 under the Act) all of the Shares beneficially owned by the Icahn Parties and all of the Shares beneficially owned by Mr. Deason and his affiliates. Such group may be deemed to beneficially own (as that term is defined in Rule 13d-3 under the Act), in the aggregate, 38,778,428 Shares (including 6,741,572 Shares issuable upon the conversion of 180,000 shares of Xerox Series B Convertible Perpetual Preferred Stock, par value $1.00 per share, owned by Mr. Deason and his affiliates), constituting approximately 15.23% of the Shares outstanding (based upon the 254,673,473 Shares stated to be outstanding as of January 31, 2018 by the Corporation in the Corporation's Annual Report on Form 10-K for the year ended December 31, 2017, filed with the Securities and Exchange Commission on February 23, 2018). However, the Icahn Parties expressly disclaim beneficial ownership of the 15,322,341 Shares beneficially owned by Mr. Deason and his affiliates (including the 6,741,572 Shares issuable upon the conversion of 180,000 shares of Xerox Series B Convertible Perpetual Preferred Stock, par value $1.00 per share, owned by Mr. Deason and his affiliates). The Icahn Parties expressly retain the sole voting and investment power of the Shares that the Icahn Parties beneficially 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both"/>
        <w:spacing w:after="0" w:line="254" w:lineRule="auto"/>
        <w:rPr>
          <w:sz w:val="20"/>
          <w:szCs w:val="20"/>
          <w:color w:val="auto"/>
        </w:rPr>
      </w:pPr>
      <w:r>
        <w:rPr>
          <w:rFonts w:ascii="Times New Roman" w:cs="Times New Roman" w:eastAsia="Times New Roman" w:hAnsi="Times New Roman"/>
          <w:sz w:val="18"/>
          <w:szCs w:val="18"/>
          <w:color w:val="auto"/>
        </w:rPr>
        <w:t>The Participants may also include Jonathan Christodoro, Keith Cozza, Jaffrey (Jay) A. Firestone and Randolph C. Read. Mr. Cozza is an employee of Icahn Enterprises and Mr. Christodoro is a former employee of Icahn Capital. From time to time, Messrs. Cozza, Christodoro and Firestone have served on the boards of directors of entities in which Mr. Icahn and/or his affiliates have an interest. In such situations where Mr. Icahn does not control such entities, Messrs. Cozza, Christodoro and Firestone receive customary director compensation from such entities (which may include cash fees, equity awards, reimbursement of travel expenses, indemnification and the like). Mr. Christodoro owns beneficially 8,554 of the Corporation's deferred stock units, but otherwise Mr. Christodoro does not own beneficially any Shares. Messrs. Cozza, Firestone and Read do not own beneficially any Shares. Messrs. Christodoro, Firestone and Read are each party to an agreement pursuant to which Icahn Capital has agreed to pay certain fees to such individual and to indemnify such individual with respect to certain costs incurred by such individual in connection with the solicitations of proxies from stockholders of the Corporation. Messrs. Christodoro, Cozza, Firestone and Read will not otherwise receive any special compensation in connection with the solicitations of proxies from stockholders of the Corporation.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business address of Mr. Deason is c/o Deason Capital Services, LLC, 5956 Sherry Ln, Suite 800, Dallas, TX 75225.</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Participants may include Darwin Deason. Mr. Deason is Chairman of Deason Capital Services, LLC. Mr. Deason owns beneficially 15,322,341 Shares, including 6,741,572 Shares issuable upon the conversion of 180,000 shares of Xerox Series B Convertible Perpetual Preferred Stock, par value $1.00 per share. Mr. Deason will not otherwise receive any special compensation in connection with the solicitations of proxies from stockholders of the Corporation.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Participants may also include Menda Consulting LLC (“Menda”) and its principal Giovanni Visentin. Menda is party to an agreement pursuant to which the Icahn Parties have agreed to pay certain fees to Menda and to indemnify and hold harmless Menda and Mr. Visentin with respect to certain costs incurred in connection with the solicitations of proxies from stockholders of the Corporation. The Icahn Parties believe the anticipated cost of engaging Menda and Mr. Visentin to assist in the solicitations of proxies from stockholders of the Corporation will be approximately $300,000 to $500,000. Menda and Mr. Visentin will not otherwise receive any special compensation in connection with the solicitation of proxies from stockholders of the Corporation.</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Neither Menda nor Mr. Visentin own beneficially any Shares. The principal business address of Menda and Mr. Visentin is 65 Winthrop Drive, Riverside, Connecticut 06878.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142875</wp:posOffset>
            </wp:positionV>
            <wp:extent cx="10890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13d-101)</w:t>
      </w:r>
    </w:p>
    <w:p>
      <w:pPr>
        <w:spacing w:after="0" w:line="20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 TO RULE 13d-1(a) AND AMENDMENTS THERETO FILED PURSUANT TO RULE 13d-2(a)</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8)</w:t>
      </w:r>
      <w:r>
        <w:rPr>
          <w:rFonts w:ascii="Times New Roman" w:cs="Times New Roman" w:eastAsia="Times New Roman" w:hAnsi="Times New Roman"/>
          <w:sz w:val="30"/>
          <w:szCs w:val="30"/>
          <w:color w:val="auto"/>
          <w:vertAlign w:val="superscript"/>
        </w:rPr>
        <w:t>1</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u w:val="single" w:color="auto"/>
          <w:color w:val="auto"/>
        </w:rPr>
        <w:t>Xerox Corporation</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20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u w:val="single" w:color="auto"/>
          <w:color w:val="auto"/>
        </w:rPr>
        <w:t>Common Stock, $1 par value</w:t>
      </w:r>
    </w:p>
    <w:p>
      <w:pPr>
        <w:spacing w:after="0" w:line="2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984121 60 8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DARWIN DEASON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5956 SHERRY LN, SUITE 800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DALLAS, TX 75225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(214) 378-3600</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ROBERT J. LECLERC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KING &amp; SPALDING LLP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1185 AVENUE OF THE AMERICAS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(212) 556-2204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April 16, 2018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If the filing person has previously filed a statement on Schedule 13G to report the acquisition that is the subject of this Schedule 13D, and is filing this schedule because of Rule 13d-1(e), 13d-1(f) or 13d-1(g), check the following box x.</w:t>
      </w:r>
    </w:p>
    <w:p>
      <w:pPr>
        <w:spacing w:after="0" w:line="160" w:lineRule="exact"/>
        <w:rPr>
          <w:sz w:val="20"/>
          <w:szCs w:val="20"/>
          <w:color w:val="auto"/>
        </w:rPr>
      </w:pPr>
    </w:p>
    <w:p>
      <w:pPr>
        <w:ind w:right="1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w:t>
      </w:r>
      <w:r>
        <w:rPr>
          <w:rFonts w:ascii="Times New Roman" w:cs="Times New Roman" w:eastAsia="Times New Roman" w:hAnsi="Times New Roman"/>
          <w:sz w:val="18"/>
          <w:szCs w:val="18"/>
          <w:i w:val="1"/>
          <w:iCs w:val="1"/>
          <w:color w:val="auto"/>
        </w:rPr>
        <w:t xml:space="preserve"> See </w:t>
      </w:r>
      <w:r>
        <w:rPr>
          <w:rFonts w:ascii="Times New Roman" w:cs="Times New Roman" w:eastAsia="Times New Roman" w:hAnsi="Times New Roman"/>
          <w:sz w:val="18"/>
          <w:szCs w:val="18"/>
          <w:color w:val="auto"/>
        </w:rPr>
        <w:t>Rule 13d-7 for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21780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75" w:lineRule="exact"/>
        <w:rPr>
          <w:sz w:val="20"/>
          <w:szCs w:val="20"/>
          <w:color w:val="auto"/>
        </w:rPr>
      </w:pPr>
    </w:p>
    <w:p>
      <w:pPr>
        <w:ind w:right="220" w:firstLine="8"/>
        <w:spacing w:after="0" w:line="195" w:lineRule="auto"/>
        <w:tabs>
          <w:tab w:leader="none" w:pos="66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0"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 on following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2280" w:type="dxa"/>
            <w:vAlign w:val="bottom"/>
            <w:tcBorders>
              <w:top w:val="single" w:sz="8" w:color="auto"/>
              <w:bottom w:val="single" w:sz="8" w:color="auto"/>
            </w:tcBorders>
          </w:tcPr>
          <w:p>
            <w:pPr>
              <w:spacing w:after="0"/>
              <w:rPr>
                <w:sz w:val="3"/>
                <w:szCs w:val="3"/>
                <w:color w:val="auto"/>
              </w:rPr>
            </w:pPr>
          </w:p>
        </w:tc>
        <w:tc>
          <w:tcPr>
            <w:tcW w:w="1480" w:type="dxa"/>
            <w:vAlign w:val="bottom"/>
            <w:tcBorders>
              <w:top w:val="single" w:sz="8" w:color="auto"/>
              <w:bottom w:val="single" w:sz="8" w:color="auto"/>
            </w:tcBorders>
          </w:tcPr>
          <w:p>
            <w:pPr>
              <w:spacing w:after="0"/>
              <w:rPr>
                <w:sz w:val="3"/>
                <w:szCs w:val="3"/>
                <w:color w:val="auto"/>
              </w:rPr>
            </w:pPr>
          </w:p>
        </w:tc>
        <w:tc>
          <w:tcPr>
            <w:tcW w:w="7620" w:type="dxa"/>
            <w:vAlign w:val="bottom"/>
            <w:tcBorders>
              <w:top w:val="single" w:sz="8" w:color="auto"/>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22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91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Darwin Deason</w:t>
            </w:r>
          </w:p>
        </w:tc>
        <w:tc>
          <w:tcPr>
            <w:tcW w:w="7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2280" w:type="dxa"/>
            <w:vAlign w:val="bottom"/>
            <w:tcBorders>
              <w:right w:val="single" w:sz="8" w:color="auto"/>
            </w:tcBorders>
          </w:tcPr>
          <w:p>
            <w:pPr>
              <w:ind w:left="120"/>
              <w:spacing w:after="0" w:line="163" w:lineRule="exact"/>
              <w:rPr>
                <w:sz w:val="20"/>
                <w:szCs w:val="20"/>
                <w:color w:val="auto"/>
              </w:rPr>
            </w:pPr>
            <w:r>
              <w:rPr>
                <w:rFonts w:ascii="Times New Roman" w:cs="Times New Roman" w:eastAsia="Times New Roman" w:hAnsi="Times New Roman"/>
                <w:sz w:val="18"/>
                <w:szCs w:val="18"/>
                <w:color w:val="auto"/>
              </w:rPr>
              <w:t>2</w:t>
            </w:r>
          </w:p>
        </w:tc>
        <w:tc>
          <w:tcPr>
            <w:tcW w:w="9100" w:type="dxa"/>
            <w:vAlign w:val="bottom"/>
            <w:tcBorders>
              <w:right w:val="single" w:sz="8" w:color="auto"/>
            </w:tcBorders>
            <w:gridSpan w:val="2"/>
          </w:tcPr>
          <w:p>
            <w:pPr>
              <w:ind w:left="100"/>
              <w:spacing w:after="0" w:line="163" w:lineRule="exact"/>
              <w:rPr>
                <w:sz w:val="20"/>
                <w:szCs w:val="20"/>
                <w:color w:val="auto"/>
              </w:rPr>
            </w:pPr>
            <w:r>
              <w:rPr>
                <w:rFonts w:ascii="Times New Roman" w:cs="Times New Roman" w:eastAsia="Times New Roman" w:hAnsi="Times New Roman"/>
                <w:sz w:val="18"/>
                <w:szCs w:val="18"/>
                <w:color w:val="auto"/>
              </w:rPr>
              <w:t xml:space="preserve">CHECK THE APPROPRIATE BOX IF A MEMBER OF A GROUP*(a)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228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tcBorders>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76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22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w:t>
            </w:r>
          </w:p>
        </w:tc>
        <w:tc>
          <w:tcPr>
            <w:tcW w:w="1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7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 w:type="dxa"/>
            <w:vAlign w:val="bottom"/>
            <w:tcBorders>
              <w:bottom w:val="single" w:sz="8" w:color="auto"/>
              <w:right w:val="single" w:sz="8" w:color="auto"/>
            </w:tcBorders>
            <w:vMerge w:val="restart"/>
            <w:shd w:val="clear" w:color="auto" w:fill="000000"/>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9100" w:type="dxa"/>
            <w:vAlign w:val="bottom"/>
            <w:tcBorders>
              <w:bottom w:val="single" w:sz="8" w:color="auto"/>
              <w:right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 w:type="dxa"/>
            <w:vAlign w:val="bottom"/>
            <w:tcBorders>
              <w:right w:val="single" w:sz="8" w:color="auto"/>
            </w:tcBorders>
            <w:vMerge w:val="continue"/>
            <w:shd w:val="clear" w:color="auto" w:fill="000000"/>
          </w:tcPr>
          <w:p>
            <w:pPr>
              <w:spacing w:after="0"/>
              <w:rPr>
                <w:sz w:val="16"/>
                <w:szCs w:val="16"/>
                <w:color w:val="auto"/>
              </w:rPr>
            </w:pPr>
          </w:p>
        </w:tc>
        <w:tc>
          <w:tcPr>
            <w:tcW w:w="2280" w:type="dxa"/>
            <w:vAlign w:val="bottom"/>
            <w:tcBorders>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4</w:t>
            </w:r>
          </w:p>
        </w:tc>
        <w:tc>
          <w:tcPr>
            <w:tcW w:w="9100" w:type="dxa"/>
            <w:vAlign w:val="bottom"/>
            <w:tcBorders>
              <w:right w:val="single" w:sz="8" w:color="auto"/>
            </w:tcBorders>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SOURCE OF FUNDS</w:t>
            </w:r>
          </w:p>
        </w:tc>
        <w:tc>
          <w:tcPr>
            <w:tcW w:w="0" w:type="dxa"/>
            <w:vAlign w:val="bottom"/>
          </w:tcPr>
          <w:p>
            <w:pPr>
              <w:spacing w:after="0"/>
              <w:rPr>
                <w:sz w:val="1"/>
                <w:szCs w:val="1"/>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910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OO (see Item 3 to the Original Schedule 13D)</w:t>
            </w:r>
          </w:p>
        </w:tc>
        <w:tc>
          <w:tcPr>
            <w:tcW w:w="0" w:type="dxa"/>
            <w:vAlign w:val="bottom"/>
          </w:tcPr>
          <w:p>
            <w:pPr>
              <w:spacing w:after="0"/>
              <w:rPr>
                <w:sz w:val="1"/>
                <w:szCs w:val="1"/>
                <w:color w:val="auto"/>
              </w:rPr>
            </w:pPr>
          </w:p>
        </w:tc>
      </w:tr>
      <w:tr>
        <w:trPr>
          <w:trHeight w:val="210"/>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22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5</w:t>
            </w:r>
          </w:p>
        </w:tc>
        <w:tc>
          <w:tcPr>
            <w:tcW w:w="9100" w:type="dxa"/>
            <w:vAlign w:val="bottom"/>
            <w:tcBorders>
              <w:bottom w:val="single" w:sz="8" w:color="auto"/>
              <w:right w:val="single" w:sz="8" w:color="auto"/>
            </w:tcBorders>
            <w:gridSpan w:val="2"/>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CHECK BOX IF DISCLOSURE OF LEGAL PROCEEDINGS IS REQUIRED PURSUANT TO ITEM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22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91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USA</w:t>
            </w:r>
          </w:p>
        </w:tc>
        <w:tc>
          <w:tcPr>
            <w:tcW w:w="7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22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4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7</w:t>
            </w:r>
          </w:p>
        </w:tc>
        <w:tc>
          <w:tcPr>
            <w:tcW w:w="76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48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480" w:type="dxa"/>
            <w:vAlign w:val="bottom"/>
            <w:tcBorders>
              <w:bottom w:val="single" w:sz="8" w:color="auto"/>
              <w:right w:val="single" w:sz="8" w:color="auto"/>
            </w:tcBorders>
          </w:tcPr>
          <w:p>
            <w:pPr>
              <w:spacing w:after="0"/>
              <w:rPr>
                <w:sz w:val="20"/>
                <w:szCs w:val="20"/>
                <w:color w:val="auto"/>
              </w:rPr>
            </w:pPr>
          </w:p>
        </w:tc>
        <w:tc>
          <w:tcPr>
            <w:tcW w:w="7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15,322,341*</w:t>
            </w:r>
          </w:p>
        </w:tc>
        <w:tc>
          <w:tcPr>
            <w:tcW w:w="0" w:type="dxa"/>
            <w:vAlign w:val="bottom"/>
          </w:tcPr>
          <w:p>
            <w:pPr>
              <w:spacing w:after="0"/>
              <w:rPr>
                <w:sz w:val="1"/>
                <w:szCs w:val="1"/>
                <w:color w:val="auto"/>
              </w:rPr>
            </w:pPr>
          </w:p>
        </w:tc>
      </w:tr>
      <w:tr>
        <w:trPr>
          <w:trHeight w:val="178"/>
        </w:trPr>
        <w:tc>
          <w:tcPr>
            <w:tcW w:w="40" w:type="dxa"/>
            <w:vAlign w:val="bottom"/>
            <w:tcBorders>
              <w:right w:val="single" w:sz="8" w:color="auto"/>
            </w:tcBorders>
            <w:shd w:val="clear" w:color="auto" w:fill="000000"/>
          </w:tcPr>
          <w:p>
            <w:pPr>
              <w:spacing w:after="0"/>
              <w:rPr>
                <w:sz w:val="15"/>
                <w:szCs w:val="15"/>
                <w:color w:val="auto"/>
              </w:rPr>
            </w:pPr>
          </w:p>
        </w:tc>
        <w:tc>
          <w:tcPr>
            <w:tcW w:w="2280" w:type="dxa"/>
            <w:vAlign w:val="bottom"/>
            <w:tcBorders>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18"/>
                <w:szCs w:val="18"/>
                <w:color w:val="auto"/>
                <w:w w:val="99"/>
              </w:rPr>
              <w:t>OWNED BY</w:t>
            </w:r>
          </w:p>
        </w:tc>
        <w:tc>
          <w:tcPr>
            <w:tcW w:w="1480" w:type="dxa"/>
            <w:vAlign w:val="bottom"/>
            <w:tcBorders>
              <w:right w:val="single" w:sz="8" w:color="auto"/>
            </w:tcBorders>
          </w:tcPr>
          <w:p>
            <w:pPr>
              <w:ind w:left="100"/>
              <w:spacing w:after="0" w:line="178" w:lineRule="exact"/>
              <w:rPr>
                <w:sz w:val="20"/>
                <w:szCs w:val="20"/>
                <w:color w:val="auto"/>
              </w:rPr>
            </w:pPr>
            <w:r>
              <w:rPr>
                <w:rFonts w:ascii="Times New Roman" w:cs="Times New Roman" w:eastAsia="Times New Roman" w:hAnsi="Times New Roman"/>
                <w:sz w:val="18"/>
                <w:szCs w:val="18"/>
                <w:color w:val="auto"/>
              </w:rPr>
              <w:t>8</w:t>
            </w:r>
          </w:p>
        </w:tc>
        <w:tc>
          <w:tcPr>
            <w:tcW w:w="7620" w:type="dxa"/>
            <w:vAlign w:val="bottom"/>
            <w:tcBorders>
              <w:right w:val="single" w:sz="8" w:color="auto"/>
            </w:tcBorders>
          </w:tcPr>
          <w:p>
            <w:pPr>
              <w:ind w:left="100"/>
              <w:spacing w:after="0" w:line="178"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48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48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40" w:type="dxa"/>
            <w:vAlign w:val="bottom"/>
            <w:tcBorders>
              <w:bottom w:val="single" w:sz="8" w:color="auto"/>
              <w:right w:val="single" w:sz="8" w:color="auto"/>
            </w:tcBorders>
            <w:shd w:val="clear" w:color="auto" w:fill="000000"/>
          </w:tcPr>
          <w:p>
            <w:pPr>
              <w:spacing w:after="0"/>
              <w:rPr>
                <w:sz w:val="2"/>
                <w:szCs w:val="2"/>
                <w:color w:val="auto"/>
              </w:rPr>
            </w:pPr>
          </w:p>
        </w:tc>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480" w:type="dxa"/>
            <w:vAlign w:val="bottom"/>
            <w:tcBorders>
              <w:bottom w:val="single" w:sz="8" w:color="auto"/>
              <w:right w:val="single" w:sz="8" w:color="auto"/>
            </w:tcBorders>
          </w:tcPr>
          <w:p>
            <w:pPr>
              <w:spacing w:after="0"/>
              <w:rPr>
                <w:sz w:val="2"/>
                <w:szCs w:val="2"/>
                <w:color w:val="auto"/>
              </w:rPr>
            </w:pPr>
          </w:p>
        </w:tc>
        <w:tc>
          <w:tcPr>
            <w:tcW w:w="7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2280" w:type="dxa"/>
            <w:vAlign w:val="bottom"/>
            <w:tcBorders>
              <w:right w:val="single" w:sz="8" w:color="auto"/>
            </w:tcBorders>
            <w:vMerge w:val="continue"/>
          </w:tcPr>
          <w:p>
            <w:pPr>
              <w:spacing w:after="0"/>
              <w:rPr>
                <w:sz w:val="19"/>
                <w:szCs w:val="19"/>
                <w:color w:val="auto"/>
              </w:rPr>
            </w:pPr>
          </w:p>
        </w:tc>
        <w:tc>
          <w:tcPr>
            <w:tcW w:w="1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w:t>
            </w:r>
          </w:p>
        </w:tc>
        <w:tc>
          <w:tcPr>
            <w:tcW w:w="7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7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15,322,341*</w:t>
            </w: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7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7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22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w:t>
            </w:r>
          </w:p>
        </w:tc>
        <w:tc>
          <w:tcPr>
            <w:tcW w:w="91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38,778,428**</w:t>
            </w:r>
          </w:p>
        </w:tc>
        <w:tc>
          <w:tcPr>
            <w:tcW w:w="7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22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12</w:t>
            </w:r>
          </w:p>
        </w:tc>
        <w:tc>
          <w:tcPr>
            <w:tcW w:w="9100" w:type="dxa"/>
            <w:vAlign w:val="bottom"/>
            <w:tcBorders>
              <w:bottom w:val="single" w:sz="8" w:color="auto"/>
              <w:right w:val="single" w:sz="8" w:color="auto"/>
            </w:tcBorders>
            <w:gridSpan w:val="2"/>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2280" w:type="dxa"/>
            <w:vAlign w:val="bottom"/>
            <w:tcBorders>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13</w:t>
            </w:r>
          </w:p>
        </w:tc>
        <w:tc>
          <w:tcPr>
            <w:tcW w:w="9100" w:type="dxa"/>
            <w:vAlign w:val="bottom"/>
            <w:tcBorders>
              <w:right w:val="single" w:sz="8" w:color="auto"/>
            </w:tcBorders>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15.2%**</w:t>
            </w:r>
          </w:p>
        </w:tc>
        <w:tc>
          <w:tcPr>
            <w:tcW w:w="7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22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14</w:t>
            </w:r>
          </w:p>
        </w:tc>
        <w:tc>
          <w:tcPr>
            <w:tcW w:w="91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w:t>
            </w:r>
          </w:p>
        </w:tc>
        <w:tc>
          <w:tcPr>
            <w:tcW w:w="7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6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Includes 6,741,572 Shares issuable upon the conversion of 180,000 shares of Xerox Series B Preferred Stock.</w:t>
      </w:r>
    </w:p>
    <w:p>
      <w:pPr>
        <w:spacing w:after="0" w:line="225" w:lineRule="exact"/>
        <w:rPr>
          <w:sz w:val="20"/>
          <w:szCs w:val="20"/>
          <w:color w:val="auto"/>
        </w:rPr>
      </w:pPr>
    </w:p>
    <w:p>
      <w:pPr>
        <w:jc w:val="both"/>
        <w:ind w:firstLine="8"/>
        <w:spacing w:after="0" w:line="255" w:lineRule="auto"/>
        <w:tabs>
          <w:tab w:leader="none" w:pos="2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23,456,087 Shares beneficially owned by Carl C. Icahn and his affiliates and 6,741,572 Shares issuable upon the conversion of 180,000 shares of Xerox Series B Preferred Stock, owned by Mr. Deason and his affiliates. As previously disclosed, the Reporting Person has agreed to act in concert with Mr. Icahn and his affiliates with respect to certain matters, and as a result, the Reporting Person and Mr. Icahn and his affiliates have formed a "group" within the meaning of Section 13(d)(3) of the Act (the “Act”). The group may be deemed to beneficially own (as that term is defined in Rule 13d-3 under the Act) all of the Shares beneficially owned by the Reporting Person and all of the Shares beneficially owned by Mr. Icahn and his affiliates. However, the Reporting Person expressly disclaims beneficial ownership of the 23,456,087 Shares beneficially owned by Mr. Icahn and his affiliates. Mr. Icahn and his affiliates expressly retain sole voting and dispositive power over such 23,456,087 Shares, and the Reporting Person has neither sole nor shared voting or dispositive power over such 23,456,087 Shares. Mr. Icahn and his affiliates have filed a separate Schedule 13D with respect to their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6" w:name="page7"/>
    <w:bookmarkEnd w:id="6"/>
    <w:p>
      <w:pPr>
        <w:jc w:val="both"/>
        <w:ind w:firstLine="1297"/>
        <w:spacing w:after="0" w:line="266" w:lineRule="auto"/>
        <w:rPr>
          <w:sz w:val="20"/>
          <w:szCs w:val="20"/>
          <w:color w:val="auto"/>
        </w:rPr>
      </w:pPr>
      <w:r>
        <w:rPr>
          <w:rFonts w:ascii="Times New Roman" w:cs="Times New Roman" w:eastAsia="Times New Roman" w:hAnsi="Times New Roman"/>
          <w:sz w:val="18"/>
          <w:szCs w:val="18"/>
          <w:color w:val="auto"/>
        </w:rPr>
        <w:t>This amendment No. 8 to Schedule 13D relates to the Schedule 13D filed on January 17, 2018 (the “Original Schedule 13D”) by the Reporting Person (“Amendment No. 8”). Capitalized terms used but not defined in this Amendment No. 8 shall have the meanings set forth in the Original Schedule 13D.</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u w:val="single" w:color="auto"/>
          <w:color w:val="auto"/>
        </w:rPr>
        <w:t>Purpose of Transaction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Item 4 is hereby amended to add the following:</w:t>
      </w:r>
    </w:p>
    <w:p>
      <w:pPr>
        <w:spacing w:after="0" w:line="225" w:lineRule="exact"/>
        <w:rPr>
          <w:sz w:val="20"/>
          <w:szCs w:val="20"/>
          <w:color w:val="auto"/>
        </w:rPr>
      </w:pPr>
    </w:p>
    <w:p>
      <w:pPr>
        <w:jc w:val="both"/>
        <w:ind w:firstLine="1297"/>
        <w:spacing w:after="0" w:line="266" w:lineRule="auto"/>
        <w:rPr>
          <w:sz w:val="20"/>
          <w:szCs w:val="20"/>
          <w:color w:val="auto"/>
        </w:rPr>
      </w:pPr>
      <w:r>
        <w:rPr>
          <w:rFonts w:ascii="Times New Roman" w:cs="Times New Roman" w:eastAsia="Times New Roman" w:hAnsi="Times New Roman"/>
          <w:sz w:val="18"/>
          <w:szCs w:val="18"/>
          <w:color w:val="auto"/>
        </w:rPr>
        <w:t>On April 13, 2018, Darwin Deason filed in the Supreme Court of the State of New York an amended complaint amending the previously filed complaint (the “Deason II Amended Complaint”) seeking to allow all Xerox shareholders to nominate directors for election at the Issuer’s upcoming annual meeting.</w:t>
      </w:r>
    </w:p>
    <w:p>
      <w:pPr>
        <w:spacing w:after="0" w:line="176" w:lineRule="exact"/>
        <w:rPr>
          <w:sz w:val="20"/>
          <w:szCs w:val="20"/>
          <w:color w:val="auto"/>
        </w:rPr>
      </w:pPr>
    </w:p>
    <w:p>
      <w:pPr>
        <w:jc w:val="both"/>
        <w:ind w:firstLine="1297"/>
        <w:spacing w:after="0" w:line="266" w:lineRule="auto"/>
        <w:rPr>
          <w:sz w:val="20"/>
          <w:szCs w:val="20"/>
          <w:color w:val="auto"/>
        </w:rPr>
      </w:pPr>
      <w:r>
        <w:rPr>
          <w:rFonts w:ascii="Times New Roman" w:cs="Times New Roman" w:eastAsia="Times New Roman" w:hAnsi="Times New Roman"/>
          <w:sz w:val="18"/>
          <w:szCs w:val="18"/>
          <w:color w:val="auto"/>
        </w:rPr>
        <w:t>On April 15, 2018, Darwin Deason filed in the Supreme Court of the State of New York an amended complaint amending the previously filed complaint (the “Deason I Amended Complaint”) seeking to, among other matters, enjoin the consummation of the previously announced change of control transaction whereby Fuji will acquire majority ownership and control of the Issuer (the “Fuji Transaction”).</w:t>
      </w:r>
    </w:p>
    <w:p>
      <w:pPr>
        <w:spacing w:after="0" w:line="176" w:lineRule="exact"/>
        <w:rPr>
          <w:sz w:val="20"/>
          <w:szCs w:val="20"/>
          <w:color w:val="auto"/>
        </w:rPr>
      </w:pPr>
    </w:p>
    <w:p>
      <w:pPr>
        <w:jc w:val="both"/>
        <w:ind w:right="20" w:firstLine="1297"/>
        <w:spacing w:after="0" w:line="282" w:lineRule="auto"/>
        <w:rPr>
          <w:sz w:val="20"/>
          <w:szCs w:val="20"/>
          <w:color w:val="auto"/>
        </w:rPr>
      </w:pPr>
      <w:r>
        <w:rPr>
          <w:rFonts w:ascii="Times New Roman" w:cs="Times New Roman" w:eastAsia="Times New Roman" w:hAnsi="Times New Roman"/>
          <w:sz w:val="18"/>
          <w:szCs w:val="18"/>
          <w:color w:val="auto"/>
        </w:rPr>
        <w:t>On April 15, 2018, Darwin Deason released a presentation (the “Presentation”) overviewing the Deason I Amended Complaint and Deason II Amended Complaint.</w:t>
      </w:r>
    </w:p>
    <w:p>
      <w:pPr>
        <w:spacing w:after="0" w:line="162" w:lineRule="exact"/>
        <w:rPr>
          <w:sz w:val="20"/>
          <w:szCs w:val="20"/>
          <w:color w:val="auto"/>
        </w:rPr>
      </w:pPr>
    </w:p>
    <w:p>
      <w:pPr>
        <w:jc w:val="both"/>
        <w:ind w:firstLine="1297"/>
        <w:spacing w:after="0" w:line="282" w:lineRule="auto"/>
        <w:rPr>
          <w:sz w:val="20"/>
          <w:szCs w:val="20"/>
          <w:color w:val="auto"/>
        </w:rPr>
      </w:pPr>
      <w:r>
        <w:rPr>
          <w:rFonts w:ascii="Times New Roman" w:cs="Times New Roman" w:eastAsia="Times New Roman" w:hAnsi="Times New Roman"/>
          <w:sz w:val="18"/>
          <w:szCs w:val="18"/>
          <w:color w:val="auto"/>
        </w:rPr>
        <w:t>On April 15, 2018, The Wall Street Journal published an article (the “Article”) at the website https://www.wsj.com/articles/xerox-board-ordered-ceo-to-stop-negotiating-with-fuji-instead-he-raced-to-a-deal-lawsuit-alleges-1523832910.</w:t>
      </w:r>
    </w:p>
    <w:p>
      <w:pPr>
        <w:spacing w:after="0" w:line="162" w:lineRule="exact"/>
        <w:rPr>
          <w:sz w:val="20"/>
          <w:szCs w:val="20"/>
          <w:color w:val="auto"/>
        </w:rPr>
      </w:pPr>
    </w:p>
    <w:p>
      <w:pPr>
        <w:jc w:val="both"/>
        <w:ind w:firstLine="1297"/>
        <w:spacing w:after="0" w:line="266" w:lineRule="auto"/>
        <w:rPr>
          <w:sz w:val="20"/>
          <w:szCs w:val="20"/>
          <w:color w:val="auto"/>
        </w:rPr>
      </w:pPr>
      <w:r>
        <w:rPr>
          <w:rFonts w:ascii="Times New Roman" w:cs="Times New Roman" w:eastAsia="Times New Roman" w:hAnsi="Times New Roman"/>
          <w:sz w:val="18"/>
          <w:szCs w:val="18"/>
          <w:color w:val="auto"/>
        </w:rPr>
        <w:t>A copy of the Deason II Amended Complaint is attached as Exhibit 99.1 and incorporated herein by reference. A copy of the Deason I Amended Complaint is attached as Exhibit 99.2 and incorporated herein by reference. A copy of the Presentation is attached as Exhibit 99.3 and incorporated herein by reference. A copy of the Article is attached as Exhibit 99.4 and incorporated herein by reference.</w:t>
      </w:r>
    </w:p>
    <w:p>
      <w:pPr>
        <w:spacing w:after="0" w:line="176" w:lineRule="exact"/>
        <w:rPr>
          <w:sz w:val="20"/>
          <w:szCs w:val="20"/>
          <w:color w:val="auto"/>
        </w:rPr>
      </w:pPr>
    </w:p>
    <w:p>
      <w:pPr>
        <w:jc w:val="both"/>
        <w:ind w:firstLine="1297"/>
        <w:spacing w:after="0" w:line="253" w:lineRule="auto"/>
        <w:rPr>
          <w:sz w:val="20"/>
          <w:szCs w:val="20"/>
          <w:color w:val="auto"/>
        </w:rPr>
      </w:pPr>
      <w:r>
        <w:rPr>
          <w:rFonts w:ascii="Times New Roman" w:cs="Times New Roman" w:eastAsia="Times New Roman" w:hAnsi="Times New Roman"/>
          <w:sz w:val="18"/>
          <w:szCs w:val="18"/>
          <w:color w:val="auto"/>
        </w:rPr>
        <w:t>SECURITY HOLDERS ARE ADVISED TO READ THE PROXY STATEMENT AND OTHER DOCUMENTS RELATED TO THE SOLICITATION OF PROXIES BY CARL ICAHN, DARWIN DEASON AND THEIR RESPECTIVE AFFILIATES FROM THE SHAREHOLDERS OF XEROX CORPORATION IN CONNECTION WITH THE PROPOSED TRANSACTIONS BETWEEN XEROX CORPORATION AND FUJIFILM HOLDINGS CORPORATION (THE “TRANSACTION”) AND/OR FOR USE AT THE 2018 ANNUAL MEETING OF SHAREHOLDERS OF XEROX CORPORATION (THE “ANNUAL MEETING”) WHEN THEY BECOME AVAILABLE BECAUSE THEY WILL CONTAIN IMPORTANT INFORMATION, INCLUDING INFORMATION RELATING TO THE PARTICIPANTS IN SUCH PROXY SOLICITATION. WHEN COMPLETED, A DEFINITIVE PROXY STATEMENT AND A FORM OF PROXY RELATED TO THE TRANSACTION AND/OR THE ANNUAL MEETING WILL BE MAILED TO SHAREHOLDERS OF XEROX CORPORATION AND WILL ALSO BE AVAILABLE AT NO CHARGE AT THE SECURITIES AND EXCHANGE COMMISSION'S WEBSITE AT HTTP://WWW.SEC.GOV. INFORMATION RELATING TO THE PARTICIPANTS IN SUCH PROXY SOLICITATION IS CONTAINED IN THE SCHEDULE 14A FILED BY CARL ICAHN, DARWIN DEASON AND THEIR RESPECTIVE AFFILIATES WITH THE SECURITIES AND EXCHANGE COMMISSION ON MARCH 14,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u w:val="single" w:color="auto"/>
          <w:color w:val="auto"/>
        </w:rPr>
        <w:t>Material to be Filed as Exhibits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Item 7 is hereby amended to add the following exhibits:</w:t>
      </w:r>
    </w:p>
    <w:p>
      <w:pPr>
        <w:spacing w:after="0" w:line="225" w:lineRule="exact"/>
        <w:rPr>
          <w:sz w:val="20"/>
          <w:szCs w:val="20"/>
          <w:color w:val="auto"/>
        </w:rPr>
      </w:pPr>
    </w:p>
    <w:p>
      <w:pPr>
        <w:jc w:val="right"/>
        <w:ind w:right="4479"/>
        <w:spacing w:after="0"/>
        <w:tabs>
          <w:tab w:leader="none" w:pos="37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Deason II Amended Complaint dated April 13, 2018</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color w:val="auto"/>
        </w:rPr>
        <w:t>Deason I Amended Complaint dated April 15, 2018</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99.3</w:t>
      </w:r>
      <w:r>
        <w:rPr>
          <w:sz w:val="20"/>
          <w:szCs w:val="20"/>
          <w:color w:val="auto"/>
        </w:rPr>
        <w:tab/>
      </w:r>
      <w:r>
        <w:rPr>
          <w:rFonts w:ascii="Times New Roman" w:cs="Times New Roman" w:eastAsia="Times New Roman" w:hAnsi="Times New Roman"/>
          <w:sz w:val="17"/>
          <w:szCs w:val="17"/>
          <w:color w:val="auto"/>
        </w:rPr>
        <w:t>The Presentation dated April 15, 2018</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99.4</w:t>
      </w:r>
      <w:r>
        <w:rPr>
          <w:sz w:val="20"/>
          <w:szCs w:val="20"/>
          <w:color w:val="auto"/>
        </w:rPr>
        <w:tab/>
      </w:r>
      <w:r>
        <w:rPr>
          <w:rFonts w:ascii="Times New Roman" w:cs="Times New Roman" w:eastAsia="Times New Roman" w:hAnsi="Times New Roman"/>
          <w:sz w:val="17"/>
          <w:szCs w:val="17"/>
          <w:color w:val="auto"/>
        </w:rPr>
        <w:t>The Article dated April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ind w:firstLine="1297"/>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his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16, 2018</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Darwin Deason</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Darwin Deason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9" w:name="page10"/>
    <w:bookmarkEnd w:id="9"/>
    <w:p>
      <w:pPr>
        <w:ind w:left="910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175260</wp:posOffset>
            </wp:positionV>
            <wp:extent cx="7246620" cy="95535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0" w:num="1">
            <w:col w:w="10220"/>
          </w:cols>
          <w:pgMar w:left="1440" w:top="918" w:right="23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ind w:left="9100"/>
        <w:spacing w:after="0"/>
        <w:rPr>
          <w:sz w:val="20"/>
          <w:szCs w:val="20"/>
          <w:color w:val="auto"/>
        </w:rPr>
      </w:pPr>
      <w:r>
        <w:rPr>
          <w:rFonts w:ascii="Times New Roman" w:cs="Times New Roman" w:eastAsia="Times New Roman" w:hAnsi="Times New Roman"/>
          <w:sz w:val="21"/>
          <w:szCs w:val="21"/>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175260</wp:posOffset>
            </wp:positionV>
            <wp:extent cx="7246620" cy="58743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5874385"/>
                    </a:xfrm>
                    <a:prstGeom prst="rect">
                      <a:avLst/>
                    </a:prstGeom>
                    <a:noFill/>
                  </pic:spPr>
                </pic:pic>
              </a:graphicData>
            </a:graphic>
          </wp:anchor>
        </w:drawing>
      </w:r>
    </w:p>
    <w:p>
      <w:pPr>
        <w:sectPr>
          <w:pgSz w:w="11900" w:h="16838" w:orient="portrait"/>
          <w:cols w:equalWidth="0" w:num="1">
            <w:col w:w="10220"/>
          </w:cols>
          <w:pgMar w:left="1440" w:top="945" w:right="239" w:bottom="1440"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59086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5908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59086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5908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59086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5908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59086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5908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59258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5925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ind w:left="9100"/>
        <w:spacing w:after="0"/>
        <w:rPr>
          <w:sz w:val="20"/>
          <w:szCs w:val="20"/>
          <w:color w:val="auto"/>
        </w:rPr>
      </w:pPr>
      <w:r>
        <w:rPr>
          <w:rFonts w:ascii="Times New Roman" w:cs="Times New Roman" w:eastAsia="Times New Roman" w:hAnsi="Times New Roman"/>
          <w:sz w:val="21"/>
          <w:szCs w:val="21"/>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175260</wp:posOffset>
            </wp:positionV>
            <wp:extent cx="7031990" cy="90989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31990" cy="9098915"/>
                    </a:xfrm>
                    <a:prstGeom prst="rect">
                      <a:avLst/>
                    </a:prstGeom>
                    <a:noFill/>
                  </pic:spPr>
                </pic:pic>
              </a:graphicData>
            </a:graphic>
          </wp:anchor>
        </w:drawing>
      </w:r>
    </w:p>
    <w:p>
      <w:pPr>
        <w:sectPr>
          <w:pgSz w:w="11900" w:h="16838" w:orient="portrait"/>
          <w:cols w:equalWidth="0" w:num="1">
            <w:col w:w="10220"/>
          </w:cols>
          <w:pgMar w:left="1440" w:top="1162" w:right="239" w:bottom="1440"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5535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9553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2)"/>
      <w:numFmt w:val="decimal"/>
      <w:start w:val="1"/>
    </w:lvl>
  </w:abstractNum>
  <w:abstractNum w:abstractNumId="4">
    <w:nsid w:val="3D1B58BA"/>
    <w:multiLevelType w:val="hybridMultilevel"/>
    <w:lvl w:ilvl="0">
      <w:lvlJc w:val="left"/>
      <w:lvlText w:val="1"/>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2019-12-17T07:44:02Z</dcterms:created>
  <dcterms:modified xsi:type="dcterms:W3CDTF">2019-12-17T07:44:02Z</dcterms:modified>
</cp:coreProperties>
</file>