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Xerox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0000FF"/>
        </w:rPr>
        <w:t>Douglas R. Deason</w:t>
      </w:r>
    </w:p>
    <w:p>
      <w:pPr>
        <w:spacing w:after="0" w:line="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0000FF"/>
        </w:rPr>
        <w:t>3953 Maple Ave, Suite 150,</w:t>
      </w:r>
    </w:p>
    <w:p>
      <w:pPr>
        <w:ind w:left="40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75219</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(214) 378-3600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Douglas R. Deason</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15,283,672.00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15,283,672.00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15,283,672.00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Includes 8,542,096 shares of common stock (the "Shares") and 6,741,576 Shares issuable upon the conversion of 180,000 shares of Xerox Holdings Series A Convertible Perpetual Voting Preferred Stock (the "Series A Preferred Stock").</w:t>
      </w:r>
    </w:p>
    <w:p>
      <w:pPr>
        <w:spacing w:after="0" w:line="200" w:lineRule="exact"/>
        <w:rPr>
          <w:sz w:val="20"/>
          <w:szCs w:val="20"/>
          <w:color w:val="auto"/>
        </w:rPr>
      </w:pPr>
    </w:p>
    <w:p>
      <w:pPr>
        <w:sectPr>
          <w:pgSz w:w="11900" w:h="16838" w:orient="portrait"/>
          <w:cols w:equalWidth="0" w:num="2">
            <w:col w:w="1580" w:space="80"/>
            <w:col w:w="9580"/>
          </w:cols>
          <w:pgMar w:left="320" w:top="111"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$1.00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Xerox Holdings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201 Merritt 7, Norwalk, CONNECTICUT , 06851.</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is filed by Douglas R. Deason ("Mr. Deason" or the "Reporting Person") with respect to Shares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Issuer. The Issuer is the successor issuer to Xerox Corporation pursuant to Rule 12g-3(a) under the Securities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Exchange Act of 1934, as amended (the "Act"). This Schedule 13D relates to the Shares of the Issuer. The principal</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executive offices of the Issuer are located at 201 Merritt 7, Norwalk, Connecticut 06851.</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Douglas R. Deason.</w:t>
      </w:r>
    </w:p>
    <w:p>
      <w:pPr>
        <w:spacing w:after="0" w:line="44" w:lineRule="exact"/>
        <w:rPr>
          <w:rFonts w:ascii="Times New Roman" w:cs="Times New Roman" w:eastAsia="Times New Roman" w:hAnsi="Times New Roman"/>
          <w:sz w:val="22"/>
          <w:szCs w:val="22"/>
          <w:color w:val="auto"/>
        </w:rPr>
      </w:pPr>
    </w:p>
    <w:p>
      <w:pPr>
        <w:ind w:left="960" w:right="26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Mr. Deason is Deason Capital Services, LLC, 3953 Maple Ave, Suite 150, Dallas, Texas 75219.</w:t>
      </w:r>
    </w:p>
    <w:p>
      <w:pPr>
        <w:spacing w:after="0" w:line="17" w:lineRule="exact"/>
        <w:rPr>
          <w:rFonts w:ascii="Times New Roman" w:cs="Times New Roman" w:eastAsia="Times New Roman" w:hAnsi="Times New Roman"/>
          <w:sz w:val="39"/>
          <w:szCs w:val="39"/>
          <w:color w:val="auto"/>
          <w:vertAlign w:val="subscript"/>
        </w:rPr>
      </w:pPr>
    </w:p>
    <w:p>
      <w:pPr>
        <w:ind w:left="960" w:right="18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Deason's principal occupation is President of Deason Capital Services, LLC, a private investment firm located at 3953 Maple Ave, Suite 150, Dallas, Texas 75219.</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Mr. Deason has not been convicted in a criminal proceeding (excluding traffic violations or</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similar misdemeanors).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During the last five years, Mr. Deason was not a party to a civil proceeding of a judicial or administrative body of</w:t>
      </w:r>
    </w:p>
    <w:p>
      <w:pPr>
        <w:spacing w:after="0" w:line="14" w:lineRule="exact"/>
        <w:rPr>
          <w:sz w:val="20"/>
          <w:szCs w:val="20"/>
          <w:color w:val="auto"/>
        </w:rPr>
      </w:pPr>
    </w:p>
    <w:p>
      <w:pPr>
        <w:ind w:left="920" w:right="52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Deason is a citizen of the United States of America.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54" w:lineRule="auto"/>
        <w:rPr>
          <w:sz w:val="20"/>
          <w:szCs w:val="20"/>
          <w:color w:val="auto"/>
        </w:rPr>
      </w:pPr>
      <w:r>
        <w:rPr>
          <w:rFonts w:ascii="Times New Roman" w:cs="Times New Roman" w:eastAsia="Times New Roman" w:hAnsi="Times New Roman"/>
          <w:sz w:val="21"/>
          <w:szCs w:val="21"/>
          <w:color w:val="auto"/>
        </w:rPr>
        <w:t>Mr. Deason may be deemed to beneficially own the Shares held by the Trust by virtue of his position as Co-Executor of the Trust and his power to direct the voting and disposition of the Trust's holdings. The Shares were acquired by the Trust pursuant to the Last Will and Testament of Darwin Deason (the "Will") and applicable law upon Darwin Deason's passing on December 2, 2025. No funds were used by Mr. Deason or the Trust to acquire such Shares.</w:t>
      </w:r>
    </w:p>
    <w:p>
      <w:pPr>
        <w:spacing w:after="0" w:line="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3" w:lineRule="auto"/>
        <w:rPr>
          <w:sz w:val="20"/>
          <w:szCs w:val="20"/>
          <w:color w:val="auto"/>
        </w:rPr>
      </w:pPr>
      <w:r>
        <w:rPr>
          <w:rFonts w:ascii="Times New Roman" w:cs="Times New Roman" w:eastAsia="Times New Roman" w:hAnsi="Times New Roman"/>
          <w:sz w:val="22"/>
          <w:szCs w:val="22"/>
          <w:color w:val="auto"/>
        </w:rPr>
        <w:t>On December 2, 2025, Darwin Deason passed away. Pursuant to the terms of the Will and applicable law, admitted to probate on February 2, 2026, all Issuer securities beneficially owned by Darwin Deason were transferred to the Trust. On February 6, 2026, the appropriate court issued Letters Testamentary appointing Douglas R. Deason, Scott Letier, and Bryan C. Birkland as Co-Executors (collectively, the "Executors") of the Trust. Mr. Deason, as Co-Executor, has the power to direct the voting and disposition of the Shares held by the Trust and is therefore deemed to be the beneficial owner of such Shares. The Trust holds the Shares for investment purposes and for the administration and eventual distribution of the Trust's assets in accordance with the Will. Mr. Deason, in his capacity as Co-Executor and fiduciary of the Trust, will continuously evaluate the Issuer's business, financial condition, and the market for the Shares. Depending on market conditions and other factors, the Trust may acquire additional Shares or dispose of some or all of the Shares in the open market, in privately negotiated transactions, or by distribution to the beneficiaries of the Trust. Except as described in this Item 4, Mr. Deason does not presently have any plans or proposals that relate to or would result in any of the matters set forth in subparagraphs (a) through (j) of Item 4 of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2" w:lineRule="auto"/>
        <w:rPr>
          <w:sz w:val="20"/>
          <w:szCs w:val="20"/>
          <w:color w:val="auto"/>
        </w:rPr>
      </w:pPr>
      <w:r>
        <w:rPr>
          <w:rFonts w:ascii="Times New Roman" w:cs="Times New Roman" w:eastAsia="Times New Roman" w:hAnsi="Times New Roman"/>
          <w:sz w:val="21"/>
          <w:szCs w:val="21"/>
          <w:color w:val="auto"/>
        </w:rPr>
        <w:t>As of the date hereof, Mr. Deason may be deemed to beneficially own, in the aggregate, 15,283,672 Shares, consisting of 8,542,096 Shares and 6,741,576 Shares issuable upon the conversion of 180,000 shares of Series A Preferred Stock, representing approximately 11.29% of the outstanding Shares (based upon the 128,617,804 Shares stated to be outstanding by the Issuer as of February 28, 2026 as reported by the Issuer in its Annual Report on Form 10-K filed by the Issuer with the SEC on March 17, 2026, plus the 6,741,576 shares of the Series A Preferred Stock on an as-converted basis). Such amounts do not include 7,641,828 warrants to purchase Shares (the "Warrants") received by the Trust in a distribution to all shareholders by the Issuer on February 12, 2026 at a ratio of one Warrant for every two Shares held as of the record date. Each Warrant entitles the holder to purchase one Share at an exercise price of $8.00 per Warrant, subject to the Issuer's right to voluntarily decrease such exercise price in its sole and absolute discretion from time to time. The Warrants are expected to expire and cease to be exercisable on February 11, 2028, unless certain conditions are met for an earlier expiration date. If such Warrants, which are currently significantly underwater, were included in ownership for purposes of this Statement, the Trust would beneficially own an aggregate of 22,925,500 Shares, which represents 16.03% of the outstanding Shares, calculated pursuant to applicable SEC rules and guidance. The information set forth in rows (11) and (13) of the cover pages of this Schedule 13D is incorporated by reference into this Item 5(a). The reported securities, consisting of 8,542,096 Shares and 6,741,576 Shares issuable upon the conversion of 180,000 shares of Series A Preferred Stock, represent an aggregate of 15,283,672 Shares, that constitutes approximately 11.29% of the outstanding Shares. Such percentage is</w:t>
      </w:r>
    </w:p>
    <w:p>
      <w:pPr>
        <w:spacing w:after="0" w:line="16" w:lineRule="exact"/>
        <w:rPr>
          <w:sz w:val="20"/>
          <w:szCs w:val="20"/>
          <w:color w:val="auto"/>
        </w:rPr>
      </w:pPr>
    </w:p>
    <w:p>
      <w:pPr>
        <w:ind w:left="920" w:hanging="912"/>
        <w:spacing w:after="0" w:line="23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upon the 128,617,804 Shares stated to be outstanding by the Issuer as of February 28, 2026 as reported by the Issuer in its Annual Report on Form 10-K filed by the Issuer with the SEC on March 17, 2026, plus the 6,741,576 shares of Series A Preferred Stock on an as-converted basis. Such securities and percentage do not include 7,641,828 Warrants received by the Trust in a distribution to all shareholders by the Issuer on February 12, 2026, at a ratio of one Warrant for every two Shares held as of the record date. Each Warrant entitles the holder to purchase one Share at an exercise price of $8.00 per Warrant, subject to the Issuer's right to voluntarily decrease such exercise price in its sole and absolute discretion from time to time. The Warrants are expected to expire and cease to be exercisable on February 11, 2028, unless certain conditions are met for an earlier expiration date. If such Warrants, which are currently significantly underwater, were included in ownership for purposes of this Statement, the Trust would beneficially own an aggregate of 22,925,500 Shares, which represents 16.03% of the outstanding Shares, calculated pursuant to applicable SEC rules and guidance. Prior to any conversion of the Series A Preferred Stock, the holder of the Series A Preferred Stock has the right to vote together with the Issuer's Shares, as a single class, on all matters submitted to the shareholders of the Issuer, but the Series A Preferred Stock will only be entitled to one vote for every ten Shares into which the Series A Preferred Stock is convertible (rounded down to the nearest whole number of votes). The filing of this Schedule 13D shall not be deemed an admission that the Reporting Person is, for purposes of Section 13(d) of the Act, the beneficial owner of any securities of the Issuer that he does not directly own. The Reporting Person specifically disclaims beneficial ownership of the securities reported herein that he does not directly own.</w:t>
      </w:r>
    </w:p>
    <w:p>
      <w:pPr>
        <w:spacing w:after="0" w:line="21" w:lineRule="exact"/>
        <w:rPr>
          <w:rFonts w:ascii="Times New Roman" w:cs="Times New Roman" w:eastAsia="Times New Roman" w:hAnsi="Times New Roman"/>
          <w:sz w:val="22"/>
          <w:szCs w:val="22"/>
          <w:color w:val="auto"/>
        </w:rPr>
      </w:pPr>
    </w:p>
    <w:p>
      <w:pPr>
        <w:ind w:left="920" w:right="9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rows (7) through (10) of the cover pages and Item 5(a) of this Schedule 13D is incorporated by reference into this Item 5(b).</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transfer of Shares from the decedent to the Trust as described in Item 4 above, no transactions in the Shares were effected during the past 60 days.</w:t>
      </w:r>
    </w:p>
    <w:p>
      <w:pPr>
        <w:sectPr>
          <w:pgSz w:w="11900" w:h="16838" w:orient="portrait"/>
          <w:cols w:equalWidth="0" w:num="1">
            <w:col w:w="11140"/>
          </w:cols>
          <w:pgMar w:left="360" w:top="111" w:right="399" w:bottom="0" w:gutter="0" w:footer="0" w:header="0"/>
        </w:sectPr>
      </w:pPr>
    </w:p>
    <w:bookmarkStart w:id="3" w:name="page4"/>
    <w:bookmarkEnd w:id="3"/>
    <w:p>
      <w:pPr>
        <w:ind w:left="920" w:right="320" w:hanging="912"/>
        <w:spacing w:after="0" w:line="256"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beneficiaries of the Trust have the right to receive dividends from, or the proceeds from the sale of, the Shares held by the Trust, subject to the administration of the Trust.</w:t>
      </w: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Except as described herein, there are no contracts, arrangements, understandings or relationships (legal or otherwise) between Mr. Deason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Douglas R. Deason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Douglas R. Deason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Douglas R. Deason, Executor of the DD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Revocable Trust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2026-04-08T08:52:24Z</dcterms:created>
  <dcterms:modified xsi:type="dcterms:W3CDTF">2026-04-08T08:52:24Z</dcterms:modified>
</cp:coreProperties>
</file>