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October 23, 2018</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75105"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XEROX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0" w:lineRule="exact"/>
        <w:rPr>
          <w:sz w:val="24"/>
          <w:szCs w:val="24"/>
          <w:color w:val="auto"/>
        </w:rPr>
      </w:pPr>
    </w:p>
    <w:p>
      <w:pPr>
        <w:spacing w:after="0" w:line="272"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New York</w:t>
            </w:r>
          </w:p>
        </w:tc>
        <w:tc>
          <w:tcPr>
            <w:tcW w:w="4260" w:type="dxa"/>
            <w:vAlign w:val="bottom"/>
          </w:tcPr>
          <w:p>
            <w:pPr>
              <w:jc w:val="right"/>
              <w:ind w:right="1690"/>
              <w:spacing w:after="0"/>
              <w:rPr>
                <w:sz w:val="20"/>
                <w:szCs w:val="20"/>
                <w:color w:val="auto"/>
              </w:rPr>
            </w:pPr>
            <w:r>
              <w:rPr>
                <w:rFonts w:ascii="Arial" w:cs="Arial" w:eastAsia="Arial" w:hAnsi="Arial"/>
                <w:sz w:val="18"/>
                <w:szCs w:val="18"/>
                <w:b w:val="1"/>
                <w:bCs w:val="1"/>
                <w:color w:val="auto"/>
              </w:rPr>
              <w:t>001-04471</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16-0468020</w:t>
            </w:r>
          </w:p>
        </w:tc>
      </w:tr>
      <w:tr>
        <w:trPr>
          <w:trHeight w:val="220"/>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rPr>
              <w:t>(State or other jurisdiction</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rPr>
              <w:t>(Commission File Number)</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rPr>
              <w:t>(IRS Employer</w:t>
            </w:r>
          </w:p>
        </w:tc>
      </w:tr>
      <w:tr>
        <w:trPr>
          <w:trHeight w:val="239"/>
        </w:trPr>
        <w:tc>
          <w:tcPr>
            <w:tcW w:w="3140" w:type="dxa"/>
            <w:vAlign w:val="bottom"/>
          </w:tcPr>
          <w:p>
            <w:pPr>
              <w:jc w:val="center"/>
              <w:ind w:right="810"/>
              <w:spacing w:after="0"/>
              <w:rPr>
                <w:sz w:val="20"/>
                <w:szCs w:val="20"/>
                <w:color w:val="auto"/>
              </w:rPr>
            </w:pPr>
            <w:r>
              <w:rPr>
                <w:rFonts w:ascii="Arial" w:cs="Arial" w:eastAsia="Arial" w:hAnsi="Arial"/>
                <w:sz w:val="18"/>
                <w:szCs w:val="18"/>
                <w:b w:val="1"/>
                <w:bCs w:val="1"/>
                <w:color w:val="auto"/>
                <w:w w:val="99"/>
              </w:rPr>
              <w:t>of incorporation)</w:t>
            </w:r>
          </w:p>
        </w:tc>
        <w:tc>
          <w:tcPr>
            <w:tcW w:w="4260" w:type="dxa"/>
            <w:vAlign w:val="bottom"/>
          </w:tcPr>
          <w:p>
            <w:pPr>
              <w:spacing w:after="0"/>
              <w:rPr>
                <w:sz w:val="20"/>
                <w:szCs w:val="20"/>
                <w:color w:val="auto"/>
              </w:rPr>
            </w:pP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4"/>
          <w:szCs w:val="14"/>
          <w:color w:val="auto"/>
        </w:rPr>
        <w:t>o</w:t>
      </w:r>
    </w:p>
    <w:p>
      <w:pPr>
        <w:spacing w:after="0" w:line="77" w:lineRule="exact"/>
        <w:rPr>
          <w:sz w:val="24"/>
          <w:szCs w:val="24"/>
          <w:color w:val="auto"/>
        </w:rPr>
      </w:pPr>
    </w:p>
    <w:p>
      <w:pPr>
        <w:ind w:right="300"/>
        <w:spacing w:after="0" w:line="251"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October 23, 2018, Registrant released its third quarter 2018 earnings and is furnishing to the Securities and Exchange Commission ("SEC") a copy of the earnings press release as Exhibit 99.1 to this Report under Item 2.02 of Form 8-K.</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4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July 2018, Registrant’s Board of Directors authorized a $1.0 billion share repurchase program (exclusive of any commissions and other transaction fees and costs related thereto) and the Registrant announced that it expected to opportunistically repurchase up to $500 million of shares during the remainder of 2018. Registrant has now increased its share repurchase expectations for 2018 from $500 million to $700 million.</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50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40" w:type="dxa"/>
            <w:vAlign w:val="bottom"/>
            <w:tcBorders>
              <w:bottom w:val="single" w:sz="8" w:color="0000FF"/>
            </w:tcBorders>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60" w:type="dxa"/>
            <w:vAlign w:val="bottom"/>
          </w:tcPr>
          <w:p>
            <w:pPr>
              <w:spacing w:after="0"/>
              <w:rPr>
                <w:sz w:val="18"/>
                <w:szCs w:val="18"/>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w w:val="99"/>
              </w:rPr>
              <w:t>Registrant’s third quarter 2018 earnings press release dated October 23, 2018</w:t>
            </w:r>
          </w:p>
        </w:tc>
      </w:tr>
    </w:tbl>
    <w:p>
      <w:pPr>
        <w:sectPr>
          <w:pgSz w:w="11900" w:h="16838" w:orient="portrait"/>
          <w:cols w:equalWidth="0" w:num="1">
            <w:col w:w="11400"/>
          </w:cols>
          <w:pgMar w:left="240" w:top="747" w:right="25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outcome of our process to evaluate all strategic alternatives to maximize shareholder value, including terminating or restructuring Xerox's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 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ectPr>
          <w:pgSz w:w="11900" w:h="16838" w:orient="portrait"/>
          <w:cols w:equalWidth="0" w:num="1">
            <w:col w:w="11420"/>
          </w:cols>
          <w:pgMar w:left="240" w:top="679"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authorized this Report to be signed on its behalf by the undersigned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2018</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XEROX CORPORATION</w:t>
      </w:r>
    </w:p>
    <w:p>
      <w:pPr>
        <w:spacing w:after="0" w:line="28"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Joseph H. Mancini,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28575</wp:posOffset>
            </wp:positionV>
            <wp:extent cx="295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6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Joseph H. Mancini, Jr.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Accounting Officer</w:t>
      </w:r>
    </w:p>
    <w:p>
      <w:pPr>
        <w:sectPr>
          <w:pgSz w:w="11900" w:h="16838" w:orient="portrait"/>
          <w:cols w:equalWidth="0" w:num="1">
            <w:col w:w="11280"/>
          </w:cols>
          <w:pgMar w:left="240" w:top="57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0" w:type="dxa"/>
            <w:vAlign w:val="bottom"/>
          </w:tcPr>
          <w:p>
            <w:pPr>
              <w:ind w:left="3380"/>
              <w:spacing w:after="0"/>
              <w:rPr>
                <w:sz w:val="20"/>
                <w:szCs w:val="20"/>
                <w:color w:val="auto"/>
              </w:rPr>
            </w:pPr>
            <w:r>
              <w:rPr>
                <w:rFonts w:ascii="Arial" w:cs="Arial" w:eastAsia="Arial" w:hAnsi="Arial"/>
                <w:sz w:val="20"/>
                <w:szCs w:val="20"/>
                <w:b w:val="1"/>
                <w:bCs w:val="1"/>
                <w:color w:val="auto"/>
              </w:rPr>
              <w:t>EXHIBIT INDEX</w:t>
            </w:r>
          </w:p>
        </w:tc>
      </w:tr>
      <w:tr>
        <w:trPr>
          <w:trHeight w:val="597"/>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520" w:type="dxa"/>
            <w:vAlign w:val="bottom"/>
            <w:tcBorders>
              <w:top w:val="single" w:sz="8" w:color="auto"/>
            </w:tcBorders>
            <w:gridSpan w:val="2"/>
          </w:tcPr>
          <w:p>
            <w:pPr>
              <w:jc w:val="right"/>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Registrant’s third quarter 2018 earnings press release dated October 23, 2018</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7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color w:val="006EBF"/>
        </w:rPr>
        <w:t>News from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3810</wp:posOffset>
            </wp:positionV>
            <wp:extent cx="87503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2228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909294"/>
        </w:rPr>
        <w:t>For Immediate Release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Xerox Corporation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201 Merritt 7</w:t>
      </w:r>
    </w:p>
    <w:p>
      <w:pPr>
        <w:spacing w:after="0" w:line="1" w:lineRule="exact"/>
        <w:rPr>
          <w:sz w:val="20"/>
          <w:szCs w:val="20"/>
          <w:color w:val="auto"/>
        </w:rPr>
      </w:pPr>
    </w:p>
    <w:p>
      <w:pPr>
        <w:jc w:val="right"/>
        <w:spacing w:after="0"/>
        <w:tabs>
          <w:tab w:leader="none" w:pos="740" w:val="left"/>
        </w:tabs>
        <w:rPr>
          <w:sz w:val="20"/>
          <w:szCs w:val="20"/>
          <w:color w:val="auto"/>
        </w:rPr>
      </w:pPr>
      <w:r>
        <w:rPr>
          <w:rFonts w:ascii="Arial" w:cs="Arial" w:eastAsia="Arial" w:hAnsi="Arial"/>
          <w:sz w:val="14"/>
          <w:szCs w:val="14"/>
          <w:color w:val="909294"/>
        </w:rPr>
        <w:t>Norwalk, CT</w:t>
        <w:tab/>
        <w:t>06851-1056</w:t>
      </w:r>
    </w:p>
    <w:p>
      <w:pPr>
        <w:spacing w:after="0" w:line="1" w:lineRule="exact"/>
        <w:rPr>
          <w:sz w:val="20"/>
          <w:szCs w:val="20"/>
          <w:color w:val="auto"/>
        </w:rPr>
      </w:pPr>
    </w:p>
    <w:p>
      <w:pPr>
        <w:jc w:val="both"/>
        <w:ind w:left="9960"/>
        <w:spacing w:after="0"/>
        <w:tabs>
          <w:tab w:leader="none" w:pos="10300" w:val="left"/>
        </w:tabs>
        <w:rPr>
          <w:sz w:val="20"/>
          <w:szCs w:val="20"/>
          <w:color w:val="auto"/>
        </w:rPr>
      </w:pPr>
      <w:r>
        <w:rPr>
          <w:rFonts w:ascii="Arial" w:cs="Arial" w:eastAsia="Arial" w:hAnsi="Arial"/>
          <w:sz w:val="14"/>
          <w:szCs w:val="14"/>
          <w:color w:val="909294"/>
        </w:rPr>
        <w:t>Tel</w:t>
        <w:tab/>
        <w:t>+1-203-968-3000</w:t>
      </w:r>
    </w:p>
    <w:p>
      <w:pPr>
        <w:spacing w:after="0" w:line="200" w:lineRule="exact"/>
        <w:rPr>
          <w:sz w:val="20"/>
          <w:szCs w:val="20"/>
          <w:color w:val="auto"/>
        </w:rPr>
      </w:pPr>
    </w:p>
    <w:p>
      <w:pPr>
        <w:spacing w:after="0" w:line="230" w:lineRule="exact"/>
        <w:rPr>
          <w:sz w:val="20"/>
          <w:szCs w:val="20"/>
          <w:color w:val="auto"/>
        </w:rPr>
      </w:pPr>
    </w:p>
    <w:p>
      <w:pPr>
        <w:ind w:right="120"/>
        <w:spacing w:after="0" w:line="261" w:lineRule="auto"/>
        <w:rPr>
          <w:sz w:val="20"/>
          <w:szCs w:val="20"/>
          <w:color w:val="auto"/>
        </w:rPr>
      </w:pPr>
      <w:r>
        <w:rPr>
          <w:rFonts w:ascii="Arial" w:cs="Arial" w:eastAsia="Arial" w:hAnsi="Arial"/>
          <w:sz w:val="25"/>
          <w:szCs w:val="25"/>
          <w:color w:val="auto"/>
        </w:rPr>
        <w:t>Xerox Reports Progress on Key Priorities to Drive Business Improvement; Delivers Strong Cash Flow and Operating Margin Expansion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Increasing Full-Year Free Cash Flow Expectations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Third-Quarter 2018 Highlights: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Operating cash flow of $274 million increases $717 million or $157 million on an adjusted basis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Operating margin of 13.1 percent expands 1.0 point year-over-year</w:t>
      </w:r>
    </w:p>
    <w:p>
      <w:pPr>
        <w:ind w:left="340" w:right="16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GAAP EPS from continuing operations of 34 cents, down 33 cents year-over-year, driven by an incremental non-cash charge of $95 million associated with the 2017 enactment of the U.S. Tax Act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EPS of 85 cents, down 4 cents year-over-year, driven by higher year-over-year tax rate</w:t>
      </w:r>
    </w:p>
    <w:p>
      <w:pPr>
        <w:ind w:left="340" w:right="960" w:hanging="332"/>
        <w:spacing w:after="0" w:line="24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Returned $353 million to shareholders in the form of share repurchases and dividends; increasing share repurchase expectations for 2018 to $700 million from $500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NORWALK, Conn., Oct. 23, 2018 - </w:t>
      </w:r>
      <w:r>
        <w:rPr>
          <w:rFonts w:ascii="Arial" w:cs="Arial" w:eastAsia="Arial" w:hAnsi="Arial"/>
          <w:sz w:val="20"/>
          <w:szCs w:val="20"/>
          <w:u w:val="single" w:color="auto"/>
          <w:color w:val="0000FF"/>
        </w:rPr>
        <w:t>Xerox</w:t>
      </w:r>
      <w:r>
        <w:rPr>
          <w:rFonts w:ascii="Arial" w:cs="Arial" w:eastAsia="Arial" w:hAnsi="Arial"/>
          <w:sz w:val="20"/>
          <w:szCs w:val="20"/>
          <w:color w:val="auto"/>
        </w:rPr>
        <w:t xml:space="preserve"> (NYSE: XRX) today announced its third-quarter 2018 financial results.</w:t>
      </w:r>
    </w:p>
    <w:p>
      <w:pPr>
        <w:spacing w:after="0" w:line="216"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color w:val="auto"/>
        </w:rPr>
        <w:t xml:space="preserve">“We are progressing on our priorities, which include optimizing our operations for greater simplicity, re-energizing our innovation engine and focusing on cash flow to drive increasing shareholder returns,” said </w:t>
      </w:r>
      <w:r>
        <w:rPr>
          <w:rFonts w:ascii="Arial" w:cs="Arial" w:eastAsia="Arial" w:hAnsi="Arial"/>
          <w:sz w:val="19"/>
          <w:szCs w:val="19"/>
          <w:u w:val="single" w:color="auto"/>
          <w:color w:val="0000FF"/>
        </w:rPr>
        <w:t>Xerox Vice Chairman and CEO John Visentin</w:t>
      </w:r>
      <w:r>
        <w:rPr>
          <w:rFonts w:ascii="Arial" w:cs="Arial" w:eastAsia="Arial" w:hAnsi="Arial"/>
          <w:sz w:val="19"/>
          <w:szCs w:val="19"/>
          <w:color w:val="auto"/>
        </w:rPr>
        <w:t>.</w:t>
      </w:r>
    </w:p>
    <w:p>
      <w:pPr>
        <w:spacing w:after="0" w:line="180" w:lineRule="exact"/>
        <w:rPr>
          <w:sz w:val="20"/>
          <w:szCs w:val="20"/>
          <w:color w:val="auto"/>
        </w:rPr>
      </w:pPr>
    </w:p>
    <w:p>
      <w:pPr>
        <w:ind w:right="660"/>
        <w:spacing w:after="0" w:line="247" w:lineRule="auto"/>
        <w:rPr>
          <w:sz w:val="20"/>
          <w:szCs w:val="20"/>
          <w:color w:val="auto"/>
        </w:rPr>
      </w:pPr>
      <w:r>
        <w:rPr>
          <w:rFonts w:ascii="Arial" w:cs="Arial" w:eastAsia="Arial" w:hAnsi="Arial"/>
          <w:sz w:val="20"/>
          <w:szCs w:val="20"/>
          <w:color w:val="auto"/>
        </w:rPr>
        <w:t>“Work remains on the priority to drive revenue. Actions are underway to streamline the organizational structure, expand our channel presence, and further differentiate our products and services to provide greater value to customers.”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Recent accomplishments that demonstrate Xerox’s continued market strength include:</w:t>
      </w:r>
    </w:p>
    <w:p>
      <w:pPr>
        <w:jc w:val="both"/>
        <w:ind w:left="340" w:right="220" w:hanging="332"/>
        <w:spacing w:after="0" w:line="252"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9"/>
          <w:szCs w:val="19"/>
          <w:u w:val="single" w:color="auto"/>
          <w:color w:val="0000FF"/>
        </w:rPr>
        <w:t>Named the first and only MPS vendor</w:t>
      </w:r>
      <w:r>
        <w:rPr>
          <w:rFonts w:ascii="Arial" w:cs="Arial" w:eastAsia="Arial" w:hAnsi="Arial"/>
          <w:sz w:val="19"/>
          <w:szCs w:val="19"/>
          <w:color w:val="0000FF"/>
        </w:rPr>
        <w:t xml:space="preserve"> </w:t>
      </w:r>
      <w:r>
        <w:rPr>
          <w:rFonts w:ascii="Arial" w:cs="Arial" w:eastAsia="Arial" w:hAnsi="Arial"/>
          <w:sz w:val="19"/>
          <w:szCs w:val="19"/>
          <w:color w:val="000000"/>
        </w:rPr>
        <w:t>to receive security authorization for cloud-based managed print services from the U.S.</w:t>
      </w:r>
      <w:r>
        <w:rPr>
          <w:rFonts w:ascii="Arial" w:cs="Arial" w:eastAsia="Arial" w:hAnsi="Arial"/>
          <w:sz w:val="19"/>
          <w:szCs w:val="19"/>
          <w:color w:val="0000FF"/>
        </w:rPr>
        <w:t xml:space="preserve"> </w:t>
      </w:r>
      <w:r>
        <w:rPr>
          <w:rFonts w:ascii="Arial" w:cs="Arial" w:eastAsia="Arial" w:hAnsi="Arial"/>
          <w:sz w:val="19"/>
          <w:szCs w:val="19"/>
          <w:color w:val="000000"/>
        </w:rPr>
        <w:t>government. It is federal policy to move agencies to secure cloud computing. Receiving FedRAMP certification validates our leading-edge security capabilities and will help Xerox penetrate the nearly $100 billion annual federal IT market</w:t>
      </w:r>
    </w:p>
    <w:p>
      <w:pPr>
        <w:ind w:left="340" w:right="500" w:hanging="332"/>
        <w:spacing w:after="0" w:line="21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u w:val="single" w:color="auto"/>
          <w:color w:val="0000FF"/>
        </w:rPr>
        <w:t>Launch of e-commerce apps platform</w:t>
      </w:r>
      <w:r>
        <w:rPr>
          <w:rFonts w:ascii="Arial" w:cs="Arial" w:eastAsia="Arial" w:hAnsi="Arial"/>
          <w:sz w:val="20"/>
          <w:szCs w:val="20"/>
          <w:color w:val="0000FF"/>
        </w:rPr>
        <w:t xml:space="preserve"> </w:t>
      </w:r>
      <w:r>
        <w:rPr>
          <w:rFonts w:ascii="Arial" w:cs="Arial" w:eastAsia="Arial" w:hAnsi="Arial"/>
          <w:sz w:val="20"/>
          <w:szCs w:val="20"/>
          <w:color w:val="000000"/>
        </w:rPr>
        <w:t>opens up a global marketplace for Xerox and channel partners - making it easier to</w:t>
      </w:r>
      <w:r>
        <w:rPr>
          <w:rFonts w:ascii="Arial" w:cs="Arial" w:eastAsia="Arial" w:hAnsi="Arial"/>
          <w:sz w:val="20"/>
          <w:szCs w:val="20"/>
          <w:color w:val="0000FF"/>
        </w:rPr>
        <w:t xml:space="preserve"> </w:t>
      </w:r>
      <w:r>
        <w:rPr>
          <w:rFonts w:ascii="Arial" w:cs="Arial" w:eastAsia="Arial" w:hAnsi="Arial"/>
          <w:sz w:val="20"/>
          <w:szCs w:val="20"/>
          <w:color w:val="000000"/>
        </w:rPr>
        <w:t>browse, deploy and purchase apps powered by ConnectKey</w:t>
      </w:r>
      <w:r>
        <w:rPr>
          <w:rFonts w:ascii="Arial" w:cs="Arial" w:eastAsia="Arial" w:hAnsi="Arial"/>
          <w:sz w:val="25"/>
          <w:szCs w:val="25"/>
          <w:color w:val="000000"/>
          <w:vertAlign w:val="superscript"/>
        </w:rPr>
        <w:t>®</w:t>
      </w:r>
      <w:r>
        <w:rPr>
          <w:rFonts w:ascii="Arial" w:cs="Arial" w:eastAsia="Arial" w:hAnsi="Arial"/>
          <w:sz w:val="20"/>
          <w:szCs w:val="20"/>
          <w:color w:val="000000"/>
        </w:rPr>
        <w:t xml:space="preserve"> devices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 xml:space="preserve">Leadership position for ninth consecutive year in </w:t>
      </w:r>
      <w:r>
        <w:rPr>
          <w:rFonts w:ascii="Arial" w:cs="Arial" w:eastAsia="Arial" w:hAnsi="Arial"/>
          <w:sz w:val="20"/>
          <w:szCs w:val="20"/>
          <w:u w:val="single" w:color="auto"/>
          <w:color w:val="0000FF"/>
        </w:rPr>
        <w:t>Quocirca Managed Print Services Market Landscape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4"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Third Quarter 2018 Financial Results</w:t>
      </w:r>
    </w:p>
    <w:p>
      <w:pPr>
        <w:spacing w:after="0" w:line="24" w:lineRule="exact"/>
        <w:rPr>
          <w:sz w:val="20"/>
          <w:szCs w:val="20"/>
          <w:color w:val="auto"/>
        </w:rPr>
      </w:pPr>
    </w:p>
    <w:p>
      <w:pPr>
        <w:ind w:left="340" w:right="100" w:hanging="332"/>
        <w:spacing w:after="0" w:line="23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Earnings Per Share: </w:t>
      </w:r>
      <w:r>
        <w:rPr>
          <w:rFonts w:ascii="Arial" w:cs="Arial" w:eastAsia="Arial" w:hAnsi="Arial"/>
          <w:sz w:val="20"/>
          <w:szCs w:val="20"/>
          <w:color w:val="auto"/>
        </w:rPr>
        <w:t>GAAP earnings per share (EPS) from continuing operations of 34 cents, down 33 cents year-over-year,</w:t>
      </w:r>
      <w:r>
        <w:rPr>
          <w:rFonts w:ascii="Arial" w:cs="Arial" w:eastAsia="Arial" w:hAnsi="Arial"/>
          <w:sz w:val="20"/>
          <w:szCs w:val="20"/>
          <w:b w:val="1"/>
          <w:bCs w:val="1"/>
          <w:color w:val="auto"/>
        </w:rPr>
        <w:t xml:space="preserve"> </w:t>
      </w:r>
      <w:r>
        <w:rPr>
          <w:rFonts w:ascii="Arial" w:cs="Arial" w:eastAsia="Arial" w:hAnsi="Arial"/>
          <w:sz w:val="20"/>
          <w:szCs w:val="20"/>
          <w:color w:val="auto"/>
        </w:rPr>
        <w:t>driven by an incremental non-cash charge of $95 million associated with the 2017 enactment of the U.S. Tax Act. Adjusted EPS of 85 cents, down 4 cents year-over-year, driven by higher year-over-year tax rate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Total Revenue: </w:t>
      </w:r>
      <w:r>
        <w:rPr>
          <w:rFonts w:ascii="Arial" w:cs="Arial" w:eastAsia="Arial" w:hAnsi="Arial"/>
          <w:sz w:val="20"/>
          <w:szCs w:val="20"/>
          <w:color w:val="auto"/>
        </w:rPr>
        <w:t>$2,352 million, down 5.8 percent year-over-year or 4.7 percent in constant currency</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Adjusted Operating Margin: </w:t>
      </w:r>
      <w:r>
        <w:rPr>
          <w:rFonts w:ascii="Arial" w:cs="Arial" w:eastAsia="Arial" w:hAnsi="Arial"/>
          <w:sz w:val="20"/>
          <w:szCs w:val="20"/>
          <w:color w:val="auto"/>
        </w:rPr>
        <w:t>13.1 percent, up 1.0 point year-over-year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Cash, Cash Equivalents and Restricted Cash: </w:t>
      </w:r>
      <w:r>
        <w:rPr>
          <w:rFonts w:ascii="Arial" w:cs="Arial" w:eastAsia="Arial" w:hAnsi="Arial"/>
          <w:sz w:val="20"/>
          <w:szCs w:val="20"/>
          <w:color w:val="auto"/>
        </w:rPr>
        <w:t>$1,218 million at the end of the third quarter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Operating cash flow of $274 million in the third quarter and $725 million year-to-date</w:t>
      </w:r>
    </w:p>
    <w:p>
      <w:pPr>
        <w:ind w:left="340" w:right="8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Return to Shareholders: </w:t>
      </w:r>
      <w:r>
        <w:rPr>
          <w:rFonts w:ascii="Arial" w:cs="Arial" w:eastAsia="Arial" w:hAnsi="Arial"/>
          <w:sz w:val="20"/>
          <w:szCs w:val="20"/>
          <w:color w:val="auto"/>
        </w:rPr>
        <w:t>Returned $284 million through share repurchase and $69 million through dividends in the third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the company returned $488 million or 75 percent of its free cash flow to shareholders during the first three quarters of the year</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Expectations for Cash Flow</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Xerox continues to focus on driving strong cash generation and is updating its full year cash flow guidance as follows:</w:t>
      </w:r>
    </w:p>
    <w:p>
      <w:pPr>
        <w:spacing w:after="0" w:line="138"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20"/>
                <w:szCs w:val="20"/>
                <w:color w:val="auto"/>
                <w:w w:val="87"/>
              </w:rPr>
              <w:t>Previous</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20"/>
                <w:szCs w:val="20"/>
                <w:color w:val="auto"/>
              </w:rPr>
              <w:t>Updated</w:t>
            </w:r>
          </w:p>
        </w:tc>
      </w:tr>
      <w:tr>
        <w:trPr>
          <w:trHeight w:val="20"/>
        </w:trPr>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62"/>
        </w:trPr>
        <w:tc>
          <w:tcPr>
            <w:tcW w:w="2520" w:type="dxa"/>
            <w:vAlign w:val="bottom"/>
          </w:tcPr>
          <w:p>
            <w:pPr>
              <w:spacing w:after="0"/>
              <w:rPr>
                <w:sz w:val="20"/>
                <w:szCs w:val="20"/>
                <w:color w:val="auto"/>
              </w:rPr>
            </w:pPr>
            <w:r>
              <w:rPr>
                <w:rFonts w:ascii="Arial" w:cs="Arial" w:eastAsia="Arial" w:hAnsi="Arial"/>
                <w:sz w:val="20"/>
                <w:szCs w:val="20"/>
                <w:color w:val="auto"/>
              </w:rPr>
              <w:t>Operating Cash Flow</w:t>
            </w:r>
          </w:p>
        </w:tc>
        <w:tc>
          <w:tcPr>
            <w:tcW w:w="2640" w:type="dxa"/>
            <w:vAlign w:val="bottom"/>
            <w:gridSpan w:val="3"/>
          </w:tcPr>
          <w:p>
            <w:pPr>
              <w:jc w:val="center"/>
              <w:ind w:left="201"/>
              <w:spacing w:after="0"/>
              <w:rPr>
                <w:sz w:val="20"/>
                <w:szCs w:val="20"/>
                <w:color w:val="auto"/>
              </w:rPr>
            </w:pPr>
            <w:r>
              <w:rPr>
                <w:rFonts w:ascii="Arial" w:cs="Arial" w:eastAsia="Arial" w:hAnsi="Arial"/>
                <w:sz w:val="20"/>
                <w:szCs w:val="20"/>
                <w:color w:val="auto"/>
                <w:w w:val="92"/>
              </w:rPr>
              <w:t>$900M - $1.1B</w:t>
            </w:r>
          </w:p>
        </w:tc>
        <w:tc>
          <w:tcPr>
            <w:tcW w:w="1720" w:type="dxa"/>
            <w:vAlign w:val="bottom"/>
            <w:gridSpan w:val="3"/>
          </w:tcPr>
          <w:p>
            <w:pPr>
              <w:jc w:val="center"/>
              <w:ind w:left="421"/>
              <w:spacing w:after="0"/>
              <w:rPr>
                <w:sz w:val="20"/>
                <w:szCs w:val="20"/>
                <w:color w:val="auto"/>
              </w:rPr>
            </w:pPr>
            <w:r>
              <w:rPr>
                <w:rFonts w:ascii="Arial" w:cs="Arial" w:eastAsia="Arial" w:hAnsi="Arial"/>
                <w:sz w:val="20"/>
                <w:szCs w:val="20"/>
                <w:color w:val="auto"/>
                <w:w w:val="91"/>
              </w:rPr>
              <w:t>$1.0B - $1.1B</w:t>
            </w:r>
          </w:p>
        </w:tc>
      </w:tr>
      <w:tr>
        <w:trPr>
          <w:trHeight w:val="297"/>
        </w:trPr>
        <w:tc>
          <w:tcPr>
            <w:tcW w:w="2520" w:type="dxa"/>
            <w:vAlign w:val="bottom"/>
          </w:tcPr>
          <w:p>
            <w:pPr>
              <w:spacing w:after="0"/>
              <w:rPr>
                <w:sz w:val="20"/>
                <w:szCs w:val="20"/>
                <w:color w:val="auto"/>
              </w:rPr>
            </w:pPr>
            <w:r>
              <w:rPr>
                <w:rFonts w:ascii="Arial" w:cs="Arial" w:eastAsia="Arial" w:hAnsi="Arial"/>
                <w:sz w:val="20"/>
                <w:szCs w:val="20"/>
                <w:color w:val="auto"/>
              </w:rPr>
              <w:t>Free Cash Flow</w:t>
            </w:r>
          </w:p>
        </w:tc>
        <w:tc>
          <w:tcPr>
            <w:tcW w:w="2640" w:type="dxa"/>
            <w:vAlign w:val="bottom"/>
            <w:gridSpan w:val="3"/>
          </w:tcPr>
          <w:p>
            <w:pPr>
              <w:jc w:val="center"/>
              <w:ind w:left="201"/>
              <w:spacing w:after="0"/>
              <w:rPr>
                <w:sz w:val="20"/>
                <w:szCs w:val="20"/>
                <w:color w:val="auto"/>
              </w:rPr>
            </w:pPr>
            <w:r>
              <w:rPr>
                <w:rFonts w:ascii="Arial" w:cs="Arial" w:eastAsia="Arial" w:hAnsi="Arial"/>
                <w:sz w:val="20"/>
                <w:szCs w:val="20"/>
                <w:color w:val="auto"/>
                <w:w w:val="92"/>
              </w:rPr>
              <w:t>$750M - $950M</w:t>
            </w:r>
          </w:p>
        </w:tc>
        <w:tc>
          <w:tcPr>
            <w:tcW w:w="1720" w:type="dxa"/>
            <w:vAlign w:val="bottom"/>
            <w:gridSpan w:val="3"/>
          </w:tcPr>
          <w:p>
            <w:pPr>
              <w:jc w:val="center"/>
              <w:ind w:left="401"/>
              <w:spacing w:after="0"/>
              <w:rPr>
                <w:sz w:val="20"/>
                <w:szCs w:val="20"/>
                <w:color w:val="auto"/>
              </w:rPr>
            </w:pPr>
            <w:r>
              <w:rPr>
                <w:rFonts w:ascii="Arial" w:cs="Arial" w:eastAsia="Arial" w:hAnsi="Arial"/>
                <w:sz w:val="20"/>
                <w:szCs w:val="20"/>
                <w:color w:val="auto"/>
                <w:w w:val="92"/>
              </w:rPr>
              <w:t>$900M - $1.0B</w:t>
            </w:r>
          </w:p>
        </w:tc>
      </w:tr>
    </w:tbl>
    <w:p>
      <w:pPr>
        <w:spacing w:after="0" w:line="33" w:lineRule="exact"/>
        <w:rPr>
          <w:sz w:val="20"/>
          <w:szCs w:val="20"/>
          <w:color w:val="auto"/>
        </w:rPr>
      </w:pPr>
    </w:p>
    <w:p>
      <w:pPr>
        <w:ind w:right="420"/>
        <w:spacing w:after="0" w:line="247" w:lineRule="auto"/>
        <w:rPr>
          <w:sz w:val="20"/>
          <w:szCs w:val="20"/>
          <w:color w:val="auto"/>
        </w:rPr>
      </w:pPr>
      <w:r>
        <w:rPr>
          <w:rFonts w:ascii="Arial" w:cs="Arial" w:eastAsia="Arial" w:hAnsi="Arial"/>
          <w:sz w:val="20"/>
          <w:szCs w:val="20"/>
          <w:color w:val="auto"/>
        </w:rPr>
        <w:t>Along with increasing its free cash flow guidance, Xerox is also increasing its share repurchase expectations for 2018 to $700 million from $500 million.</w:t>
      </w:r>
    </w:p>
    <w:p>
      <w:pPr>
        <w:spacing w:after="0" w:line="202"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Xerox plans to update investors on its strategy and longer-term financial expectations during an analyst day in early February 2019.</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Xerox</w:t>
      </w:r>
    </w:p>
    <w:p>
      <w:pPr>
        <w:spacing w:after="0" w:line="24"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 xml:space="preserve">Xerox Corporation is a </w:t>
      </w:r>
      <w:r>
        <w:rPr>
          <w:rFonts w:ascii="Arial" w:cs="Arial" w:eastAsia="Arial" w:hAnsi="Arial"/>
          <w:sz w:val="20"/>
          <w:szCs w:val="20"/>
          <w:u w:val="single" w:color="auto"/>
          <w:color w:val="0000FF"/>
        </w:rPr>
        <w:t>technology</w:t>
      </w:r>
      <w:r>
        <w:rPr>
          <w:rFonts w:ascii="Arial" w:cs="Arial" w:eastAsia="Arial" w:hAnsi="Arial"/>
          <w:sz w:val="20"/>
          <w:szCs w:val="20"/>
          <w:color w:val="auto"/>
        </w:rPr>
        <w:t xml:space="preserve"> leader that innovates the way the world </w:t>
      </w:r>
      <w:r>
        <w:rPr>
          <w:rFonts w:ascii="Arial" w:cs="Arial" w:eastAsia="Arial" w:hAnsi="Arial"/>
          <w:sz w:val="20"/>
          <w:szCs w:val="20"/>
          <w:u w:val="single" w:color="auto"/>
          <w:color w:val="0000FF"/>
        </w:rPr>
        <w:t>communicates, connects and works</w:t>
      </w:r>
      <w:r>
        <w:rPr>
          <w:rFonts w:ascii="Arial" w:cs="Arial" w:eastAsia="Arial" w:hAnsi="Arial"/>
          <w:sz w:val="20"/>
          <w:szCs w:val="20"/>
          <w:color w:val="auto"/>
        </w:rPr>
        <w:t xml:space="preserve">. We understand what’s at the heart of sharing information - and all of the forms it can take. We embrace the integration of paper and digital, the increasing requirement for mobility, and the need for seamless integration between work and personal worlds. Every day, our innovative print technologies and intelligent work solutions help people communicate and work better. Discover more at </w:t>
      </w:r>
      <w:r>
        <w:rPr>
          <w:rFonts w:ascii="Arial" w:cs="Arial" w:eastAsia="Arial" w:hAnsi="Arial"/>
          <w:sz w:val="20"/>
          <w:szCs w:val="20"/>
          <w:u w:val="single" w:color="auto"/>
          <w:color w:val="0000FF"/>
        </w:rPr>
        <w:t>www.xerox.com</w:t>
      </w:r>
      <w:r>
        <w:rPr>
          <w:rFonts w:ascii="Arial" w:cs="Arial" w:eastAsia="Arial" w:hAnsi="Arial"/>
          <w:sz w:val="20"/>
          <w:szCs w:val="20"/>
          <w:color w:val="0000FF"/>
        </w:rPr>
        <w:t xml:space="preserve"> </w:t>
      </w:r>
      <w:r>
        <w:rPr>
          <w:rFonts w:ascii="Arial" w:cs="Arial" w:eastAsia="Arial" w:hAnsi="Arial"/>
          <w:sz w:val="20"/>
          <w:szCs w:val="20"/>
          <w:color w:val="000000"/>
        </w:rPr>
        <w:t>and follow us on Twitter 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@Xerox</w:t>
      </w:r>
      <w:r>
        <w:rPr>
          <w:rFonts w:ascii="Arial" w:cs="Arial" w:eastAsia="Arial" w:hAnsi="Arial"/>
          <w:sz w:val="20"/>
          <w:szCs w:val="20"/>
          <w:color w:val="000000"/>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This release refers to the following non-GAAP financial measures for the third-quarter 2018:</w:t>
      </w:r>
    </w:p>
    <w:p>
      <w:pPr>
        <w:ind w:left="340" w:right="8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EPS, which excludes restructuring and related costs (including our share of Fuji Xerox restructuring), the amortization of intangibles, non-service retirement-related costs, transaction and related costs, net and impacts from the 2017 U.S. Tax Cuts and Jobs Act.</w:t>
      </w:r>
    </w:p>
    <w:p>
      <w:pPr>
        <w:spacing w:after="0" w:line="1" w:lineRule="exact"/>
        <w:rPr>
          <w:rFonts w:ascii="Arial" w:cs="Arial" w:eastAsia="Arial" w:hAnsi="Arial"/>
          <w:sz w:val="18"/>
          <w:szCs w:val="18"/>
          <w:color w:val="auto"/>
        </w:rPr>
      </w:pPr>
    </w:p>
    <w:p>
      <w:pPr>
        <w:ind w:left="34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operating margin, which excludes the EPS adjustments noted above as well as the remainder of Other expenses, net and includes equity income, as adjusted.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Constant currency revenue growth, which excludes the effects of currency translation.</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Free cash flow, which is cash flow from continuing operations less capital expenditures.</w:t>
      </w:r>
    </w:p>
    <w:p>
      <w:pPr>
        <w:ind w:left="340" w:right="180" w:hanging="332"/>
        <w:spacing w:after="0" w:line="24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A year-over-year change in third quarter 2018 operating cash flows, which adjusts 2017 operating cash flows for incremental pension contributions and deferred collections related to the sales of receivables.</w:t>
      </w:r>
    </w:p>
    <w:p>
      <w:pPr>
        <w:spacing w:after="0" w:line="202" w:lineRule="exact"/>
        <w:rPr>
          <w:sz w:val="20"/>
          <w:szCs w:val="20"/>
          <w:color w:val="auto"/>
        </w:rPr>
      </w:pPr>
    </w:p>
    <w:p>
      <w:pPr>
        <w:ind w:right="520"/>
        <w:spacing w:after="0" w:line="247"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55" w:right="2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outcome of our process to evaluate all strategic alternatives to maximize shareholder value, including terminating or restructuring Xerox's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w:t>
      </w:r>
    </w:p>
    <w:p>
      <w:pPr>
        <w:spacing w:after="0" w:line="4"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Carl Langsenkamp, Xerox, +1-585-423-5782, </w:t>
      </w:r>
      <w:r>
        <w:rPr>
          <w:rFonts w:ascii="Arial" w:cs="Arial" w:eastAsia="Arial" w:hAnsi="Arial"/>
          <w:sz w:val="20"/>
          <w:szCs w:val="20"/>
          <w:u w:val="single" w:color="auto"/>
          <w:color w:val="0000FF"/>
        </w:rPr>
        <w:t>carl.langsenkamp@xerox.com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Jennifer Horsley, Xerox, +1-203-849-2656, </w:t>
      </w:r>
      <w:r>
        <w:rPr>
          <w:rFonts w:ascii="Arial" w:cs="Arial" w:eastAsia="Arial" w:hAnsi="Arial"/>
          <w:sz w:val="20"/>
          <w:szCs w:val="20"/>
          <w:u w:val="single" w:color="auto"/>
          <w:color w:val="0000FF"/>
        </w:rPr>
        <w:t>jennifer.horsley@xerox.com</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https://www.news.xerox.com</w:t>
      </w:r>
      <w:r>
        <w:rPr>
          <w:rFonts w:ascii="Arial" w:cs="Arial" w:eastAsia="Arial" w:hAnsi="Arial"/>
          <w:sz w:val="20"/>
          <w:szCs w:val="20"/>
          <w:color w:val="auto"/>
        </w:rPr>
        <w:t>. For open commentary, industry perspectives and views,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http://twitter.com/xerox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http://connect.blogs.xerox.com</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http://www.facebook.com/XeroxCorp</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https://www.instagram.com/xerox/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http://www.linkedin.com/company/xerox</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http://www.youtube.com/XeroxCorp</w:t>
      </w:r>
      <w:r>
        <w:rPr>
          <w:rFonts w:ascii="Arial" w:cs="Arial" w:eastAsia="Arial" w:hAnsi="Arial"/>
          <w:sz w:val="20"/>
          <w:szCs w:val="20"/>
          <w:color w:val="000000"/>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Xerox</w:t>
      </w:r>
      <w:r>
        <w:rPr>
          <w:rFonts w:ascii="Arial" w:cs="Arial" w:eastAsia="Arial" w:hAnsi="Arial"/>
          <w:sz w:val="25"/>
          <w:szCs w:val="25"/>
          <w:color w:val="auto"/>
          <w:vertAlign w:val="superscript"/>
        </w:rPr>
        <w:t>®</w:t>
      </w:r>
      <w:r>
        <w:rPr>
          <w:rFonts w:ascii="Arial" w:cs="Arial" w:eastAsia="Arial" w:hAnsi="Arial"/>
          <w:sz w:val="20"/>
          <w:szCs w:val="20"/>
          <w:color w:val="auto"/>
        </w:rPr>
        <w:t>, Xerox and Design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ConnectKey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55"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2680" w:type="dxa"/>
            <w:vAlign w:val="bottom"/>
            <w:gridSpan w:val="4"/>
          </w:tcPr>
          <w:p>
            <w:pPr>
              <w:jc w:val="right"/>
              <w:ind w:right="808"/>
              <w:spacing w:after="0"/>
              <w:rPr>
                <w:sz w:val="20"/>
                <w:szCs w:val="20"/>
                <w:color w:val="auto"/>
              </w:rPr>
            </w:pPr>
            <w:r>
              <w:rPr>
                <w:rFonts w:ascii="Arial" w:cs="Arial" w:eastAsia="Arial" w:hAnsi="Arial"/>
                <w:sz w:val="14"/>
                <w:szCs w:val="14"/>
                <w:color w:val="auto"/>
              </w:rPr>
              <w:t>Nine Months Ended</w:t>
            </w: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2,893</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2,927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Services, maintenance and rentals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4,368</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Financing</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2,352</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7,297</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7,518</w:t>
            </w:r>
          </w:p>
        </w:tc>
      </w:tr>
      <w:tr>
        <w:trPr>
          <w:trHeight w:val="25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1,777</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2,623</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Cost of financing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318</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192</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Transaction and related costs,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expenses, net</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r>
      <w:tr>
        <w:trPr>
          <w:trHeight w:val="24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6,838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7,174</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7"/>
                <w:szCs w:val="17"/>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Equity in net income (loss) of unconsolidated affiliates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397</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394</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w:t>
            </w:r>
          </w:p>
        </w:tc>
      </w:tr>
      <w:tr>
        <w:trPr>
          <w:trHeight w:val="251"/>
        </w:trPr>
        <w:tc>
          <w:tcPr>
            <w:tcW w:w="5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Attributable to Xerox:</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income from 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3"/>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0.84</w:t>
            </w:r>
          </w:p>
        </w:tc>
        <w:tc>
          <w:tcPr>
            <w:tcW w:w="10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Basic Earnings per Share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0.84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43"/>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Diluted Earnings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34"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i w:val="1"/>
          <w:iCs w:val="1"/>
          <w:color w:val="auto"/>
        </w:rPr>
      </w:pPr>
      <w:r>
        <w:rPr>
          <w:rFonts w:ascii="Arial" w:cs="Arial" w:eastAsia="Arial" w:hAnsi="Arial"/>
          <w:sz w:val="13"/>
          <w:szCs w:val="13"/>
          <w:i w:val="1"/>
          <w:iCs w:val="1"/>
          <w:color w:val="auto"/>
        </w:rPr>
        <w:t>Referred to as “Pre-Tax Income” throughout the remainder of this document.</w:t>
      </w: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9"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2680" w:type="dxa"/>
            <w:vAlign w:val="bottom"/>
            <w:gridSpan w:val="4"/>
          </w:tcPr>
          <w:p>
            <w:pPr>
              <w:jc w:val="right"/>
              <w:ind w:right="808"/>
              <w:spacing w:after="0"/>
              <w:rPr>
                <w:sz w:val="20"/>
                <w:szCs w:val="20"/>
                <w:color w:val="auto"/>
              </w:rPr>
            </w:pPr>
            <w:r>
              <w:rPr>
                <w:rFonts w:ascii="Arial" w:cs="Arial" w:eastAsia="Arial" w:hAnsi="Arial"/>
                <w:sz w:val="14"/>
                <w:szCs w:val="14"/>
                <w:color w:val="auto"/>
              </w:rPr>
              <w:t>Nine Months Ended</w:t>
            </w: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5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(Loss) Income,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Translation adjustments,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491</w:t>
            </w:r>
          </w:p>
        </w:tc>
      </w:tr>
      <w:tr>
        <w:trPr>
          <w:trHeight w:val="276"/>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Unrealized (losses) gains,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Changes in defined benefit plans,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Net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r>
      <w:tr>
        <w:trPr>
          <w:trHeight w:val="194"/>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Less: Other comprehensive income, net attributable to noncontrolling</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8"/>
        </w:trPr>
        <w:tc>
          <w:tcPr>
            <w:tcW w:w="5160" w:type="dxa"/>
            <w:vAlign w:val="bottom"/>
            <w:gridSpan w:val="2"/>
          </w:tcPr>
          <w:p>
            <w:pPr>
              <w:ind w:left="380"/>
              <w:spacing w:after="0"/>
              <w:rPr>
                <w:sz w:val="20"/>
                <w:szCs w:val="20"/>
                <w:color w:val="auto"/>
              </w:rPr>
            </w:pPr>
            <w:r>
              <w:rPr>
                <w:rFonts w:ascii="Arial" w:cs="Arial" w:eastAsia="Arial" w:hAnsi="Arial"/>
                <w:sz w:val="14"/>
                <w:szCs w:val="14"/>
                <w:color w:val="auto"/>
              </w:rPr>
              <w:t>interests</w:t>
            </w:r>
          </w:p>
        </w:tc>
        <w:tc>
          <w:tcPr>
            <w:tcW w:w="34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Comprehensive Income, Net Attributable to Xerox</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837</w:t>
            </w:r>
          </w:p>
        </w:tc>
      </w:tr>
      <w:tr>
        <w:trPr>
          <w:trHeight w:val="26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Less: Comprehensive income, net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4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Net Attributable to Xerox</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9" w:right="239" w:bottom="1440" w:gutter="0" w:footer="0" w:header="0"/>
        </w:sectPr>
      </w:pPr>
    </w:p>
    <w:bookmarkStart w:id="10" w:name="page11"/>
    <w:bookmarkEnd w:id="10"/>
    <w:p>
      <w:pPr>
        <w:ind w:left="4920"/>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September 30, 2018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04"/>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2,323</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 buildings and equipment,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Investments in affiliates, at equity</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3,899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3,930</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4,815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Pension and other benefit liabilities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Post-retirement medical benefits</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w:t>
            </w:r>
          </w:p>
        </w:tc>
        <w:tc>
          <w:tcPr>
            <w:tcW w:w="0" w:type="dxa"/>
            <w:vAlign w:val="bottom"/>
          </w:tcPr>
          <w:p>
            <w:pPr>
              <w:spacing w:after="0"/>
              <w:rPr>
                <w:sz w:val="1"/>
                <w:szCs w:val="1"/>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Treasury stock, at cost</w:t>
            </w: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Xerox shareholders’ equity</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6"/>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5,293</w:t>
            </w:r>
          </w:p>
        </w:tc>
        <w:tc>
          <w:tcPr>
            <w:tcW w:w="0" w:type="dxa"/>
            <w:vAlign w:val="bottom"/>
          </w:tcPr>
          <w:p>
            <w:pPr>
              <w:spacing w:after="0"/>
              <w:rPr>
                <w:sz w:val="1"/>
                <w:szCs w:val="1"/>
                <w:color w:val="auto"/>
              </w:rPr>
            </w:pPr>
          </w:p>
        </w:tc>
      </w:tr>
      <w:tr>
        <w:trPr>
          <w:trHeight w:val="277"/>
        </w:trPr>
        <w:tc>
          <w:tcPr>
            <w:tcW w:w="7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15,353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15,946</w:t>
            </w:r>
          </w:p>
        </w:tc>
        <w:tc>
          <w:tcPr>
            <w:tcW w:w="0" w:type="dxa"/>
            <w:vAlign w:val="bottom"/>
          </w:tcPr>
          <w:p>
            <w:pPr>
              <w:spacing w:after="0"/>
              <w:rPr>
                <w:sz w:val="1"/>
                <w:szCs w:val="1"/>
                <w:color w:val="auto"/>
              </w:rPr>
            </w:pPr>
          </w:p>
        </w:tc>
      </w:tr>
      <w:tr>
        <w:trPr>
          <w:trHeight w:val="224"/>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 of common stock issued</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254,613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Treasury stock</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Shares of Common Stock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254,613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9" w:right="239" w:bottom="8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9" w:right="239" w:bottom="881"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Xerox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color w:val="auto"/>
              </w:rPr>
              <w:t>Nine Months Ended</w:t>
            </w:r>
          </w:p>
        </w:tc>
      </w:tr>
      <w:tr>
        <w:trPr>
          <w:trHeight w:val="178"/>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color w:val="auto"/>
              </w:rPr>
              <w:t>September 30,</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2017</w:t>
            </w:r>
          </w:p>
        </w:tc>
      </w:tr>
      <w:tr>
        <w:trPr>
          <w:trHeight w:val="27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86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394</w:t>
            </w:r>
          </w:p>
        </w:tc>
      </w:tr>
      <w:tr>
        <w:trPr>
          <w:trHeight w:val="270"/>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loss from discontinued operations, net of tax</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r>
      <w:tr>
        <w:trPr>
          <w:trHeight w:val="276"/>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399</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Provisions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Undistributed equity in net income of unconsolidated affiliates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Payments for restructurings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Defined benefit pension cost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(717)</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Decrease (increase) in accounts receivable and billed portion of finance receivables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Increase in inventories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 finance receivables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decrease in other current and long-term assets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(Decrease) increase in accounts payable</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Increase (decrease) in accrued compensation</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Increase in other current and long-term liabilities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70"/>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operating, net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6860" w:type="dxa"/>
            <w:vAlign w:val="bottom"/>
            <w:gridSpan w:val="2"/>
          </w:tcPr>
          <w:p>
            <w:pPr>
              <w:ind w:left="720"/>
              <w:spacing w:after="0"/>
              <w:rPr>
                <w:sz w:val="20"/>
                <w:szCs w:val="20"/>
                <w:color w:val="auto"/>
              </w:rPr>
            </w:pPr>
            <w:r>
              <w:rPr>
                <w:rFonts w:ascii="Arial" w:cs="Arial" w:eastAsia="Arial" w:hAnsi="Arial"/>
                <w:sz w:val="14"/>
                <w:szCs w:val="14"/>
                <w:color w:val="auto"/>
              </w:rPr>
              <w:t>Net cash provided by (used in) operating activities of continuing operations</w:t>
            </w:r>
          </w:p>
        </w:tc>
        <w:tc>
          <w:tcPr>
            <w:tcW w:w="3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68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Net cash used in operating activities of discontinued operations</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50"/>
        </w:trPr>
        <w:tc>
          <w:tcPr>
            <w:tcW w:w="686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w:t>
            </w:r>
          </w:p>
        </w:tc>
      </w:tr>
      <w:tr>
        <w:trPr>
          <w:trHeight w:val="270"/>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Cost of additions to land, buildings, equipment and software</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Proceeds from sales of land, buildings and equipment</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Proceeds from sale of businesses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Collections of deferred proceeds from sales of receivables</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Collections on beneficial interest from sales of finance receivables</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Other investing, net</w:t>
            </w:r>
          </w:p>
        </w:tc>
        <w:tc>
          <w:tcPr>
            <w:tcW w:w="3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56"/>
        </w:trPr>
        <w:tc>
          <w:tcPr>
            <w:tcW w:w="686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58"/>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proceeds (payments) on debt</w:t>
            </w: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r>
      <w:tr>
        <w:trPr>
          <w:trHeight w:val="264"/>
        </w:trPr>
        <w:tc>
          <w:tcPr>
            <w:tcW w:w="6860" w:type="dxa"/>
            <w:vAlign w:val="bottom"/>
            <w:gridSpan w:val="2"/>
          </w:tcPr>
          <w:p>
            <w:pPr>
              <w:ind w:left="380"/>
              <w:spacing w:after="0"/>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76"/>
        </w:trPr>
        <w:tc>
          <w:tcPr>
            <w:tcW w:w="6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Payments to acquire treasury stock, including fees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Other financing, net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r>
      <w:tr>
        <w:trPr>
          <w:trHeight w:val="250"/>
        </w:trPr>
        <w:tc>
          <w:tcPr>
            <w:tcW w:w="68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r>
      <w:tr>
        <w:trPr>
          <w:trHeight w:val="243"/>
        </w:trPr>
        <w:tc>
          <w:tcPr>
            <w:tcW w:w="67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44"/>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50"/>
        </w:trPr>
        <w:tc>
          <w:tcPr>
            <w:tcW w:w="6860" w:type="dxa"/>
            <w:vAlign w:val="bottom"/>
            <w:gridSpan w:val="2"/>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30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276"/>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2,402</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1,919</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9" w:right="239" w:bottom="976"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9" w:right="239" w:bottom="976"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006EBF"/>
        </w:rPr>
        <w:t>Financial Review</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Fuji Xerox Transaction Termination</w:t>
      </w:r>
    </w:p>
    <w:p>
      <w:pPr>
        <w:spacing w:after="0" w:line="7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January 31, 2018, Xerox entered into agreements ("Transaction Agreements") with FUJIFILM Holding Corporation ("Fujifilm") and Fuji Xerox Co., Ltd. ("Fuji Xerox") for the combination of Xerox and Fuji Xerox. Under the terms of the Transaction Agreements, Fuji Xerox would have become a wholly-owned subsidiary of Xerox, Xerox shareholders would have received a $2.5 billion special cash dividend and Xerox would have become owned 49.9% by Xerox's shareholders as of the closing date for the transaction and 50.1% by Fujifilm.</w:t>
      </w:r>
    </w:p>
    <w:p>
      <w:pPr>
        <w:spacing w:after="0" w:line="4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May 13, 2018, Xerox determined that it was in the best interest of the Company and its shareholders to terminate the Transaction Agreements in accordance with their terms due to, among other things, the failure by Fujifilm to deliver the audited financial statements of Fuji Xerox by April 15, 2018 and the material deviations reflected in the audited financial statements of Fuji Xerox, when delivered. The Company's termination of the Transaction Agreements is the subject of pending litigation.</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continues to maintain existing commercial relationships with Fuji Xerox and Fujifilm, including, as part of the following agreements: (i) the Joint Enterprise Contract, between the Company and Fujifilm, dated March 30, 2001, (ii) the Technology Agreement, dated April 1, 2006, by and between the Company and Fuji Xerox and (iii) the Master Program Agreement made and entered into as of September 9, 2013 by and between the Company and Fuji Xerox. On June 25, 2018, the Company disclosed to Fujifilm that it does not currently plan to renew the Technology Agreement when it expires in 2021. In addition, the Company indicated that, upon expiration, it may sell products directly into the Asia-Pacific market with sole and exclusive use of the Xerox brand name. Xerox's goals include sourcing products, parts and supplies from the most competitive suppliers to support the needs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2"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006EBF"/>
        </w:rPr>
        <w:t>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 of Total Revenue</w:t>
            </w:r>
          </w:p>
        </w:tc>
      </w:tr>
      <w:tr>
        <w:trPr>
          <w:trHeight w:val="180"/>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sales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w:t>
            </w:r>
          </w:p>
        </w:tc>
      </w:tr>
      <w:tr>
        <w:trPr>
          <w:trHeight w:val="264"/>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1,966</w:t>
            </w:r>
          </w:p>
        </w:tc>
        <w:tc>
          <w:tcPr>
            <w:tcW w:w="12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79%</w:t>
            </w:r>
          </w:p>
        </w:tc>
      </w:tr>
      <w:tr>
        <w:trPr>
          <w:trHeight w:val="243"/>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2,497</w:t>
            </w:r>
          </w:p>
        </w:tc>
        <w:tc>
          <w:tcPr>
            <w:tcW w:w="12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Reconciliation to Condensed Consolidated Statements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of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943</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981</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Supplies, paper and other sales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Add: Equipment-related training</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240" w:type="dxa"/>
            <w:vAlign w:val="bottom"/>
            <w:tcBorders>
              <w:top w:val="single" w:sz="8" w:color="CCEEFF"/>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Services, maintenance and rentals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Add: Supplies, paper and other sales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461</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 Financing</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Less: Equipment-related training</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Post Sale Revenue</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1,966</w:t>
            </w:r>
          </w:p>
        </w:tc>
        <w:tc>
          <w:tcPr>
            <w:tcW w:w="1240" w:type="dxa"/>
            <w:vAlign w:val="bottom"/>
            <w:tcBorders>
              <w:top w:val="single" w:sz="8" w:color="CCEEFF"/>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 America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w:t>
            </w: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International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853</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34%</w:t>
            </w: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77"/>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7"/>
                <w:szCs w:val="17"/>
                <w:b w:val="1"/>
                <w:bCs w:val="1"/>
                <w:color w:val="auto"/>
                <w:vertAlign w:val="superscript"/>
              </w:rPr>
              <w:t>(2)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2,497</w:t>
            </w:r>
          </w:p>
        </w:tc>
        <w:tc>
          <w:tcPr>
            <w:tcW w:w="12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Memo:</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Managed Document Services</w:t>
            </w:r>
            <w:r>
              <w:rPr>
                <w:rFonts w:ascii="Arial" w:cs="Arial" w:eastAsia="Arial" w:hAnsi="Arial"/>
                <w:sz w:val="17"/>
                <w:szCs w:val="17"/>
                <w:color w:val="auto"/>
                <w:vertAlign w:val="superscript"/>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w:t>
            </w:r>
          </w:p>
        </w:tc>
        <w:tc>
          <w:tcPr>
            <w:tcW w:w="1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w:t>
            </w:r>
          </w:p>
        </w:tc>
      </w:tr>
      <w:tr>
        <w:trPr>
          <w:trHeight w:val="130"/>
        </w:trPr>
        <w:tc>
          <w:tcPr>
            <w:tcW w:w="39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0" w:lineRule="exact"/>
        <w:rPr>
          <w:sz w:val="20"/>
          <w:szCs w:val="20"/>
          <w:color w:val="auto"/>
        </w:rPr>
      </w:pPr>
    </w:p>
    <w:p>
      <w:pPr>
        <w:ind w:left="340" w:right="240" w:hanging="332"/>
        <w:spacing w:after="0" w:line="214" w:lineRule="auto"/>
        <w:tabs>
          <w:tab w:leader="none" w:pos="34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2018, upon adoption of ASU 2014-09 Revenue Recognition, revenue from training related to equipment installation is now included in Equipment Sales. In prior periods, this revenue was reported within Services, maintenance and rentals.</w:t>
      </w:r>
    </w:p>
    <w:p>
      <w:pPr>
        <w:spacing w:after="0" w:line="1" w:lineRule="exact"/>
        <w:rPr>
          <w:rFonts w:ascii="Arial" w:cs="Arial" w:eastAsia="Arial" w:hAnsi="Arial"/>
          <w:sz w:val="18"/>
          <w:szCs w:val="18"/>
          <w:i w:val="1"/>
          <w:iCs w:val="1"/>
          <w:color w:val="auto"/>
          <w:vertAlign w:val="superscript"/>
        </w:rPr>
      </w:pPr>
    </w:p>
    <w:p>
      <w:pPr>
        <w:ind w:left="340" w:hanging="332"/>
        <w:spacing w:after="0" w:line="187" w:lineRule="auto"/>
        <w:tabs>
          <w:tab w:leader="none" w:pos="34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Appendix II for our Geographic Sales Channels and Product/Offering Definitions.</w:t>
      </w:r>
    </w:p>
    <w:p>
      <w:pPr>
        <w:ind w:left="340" w:right="120" w:hanging="332"/>
        <w:spacing w:after="0" w:line="218" w:lineRule="auto"/>
        <w:tabs>
          <w:tab w:leader="none" w:pos="34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Excluding equipment revenue, Managed Document Services (MDS) was $724 million in third quarter 2018 and $744 million in third quarter 2017, representing a decrease of 2.7% including a 1.5-percentage point unfavorable impact from currency.</w:t>
      </w:r>
    </w:p>
    <w:p>
      <w:pPr>
        <w:spacing w:after="0" w:line="14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Third quarter 2018 total revenue decreased 5.8% as compared to third quarter 2017, with a 1.1-percentage point unfavorable impact from currency. Third quarter 2018 total revenue reflected the following:</w:t>
      </w:r>
    </w:p>
    <w:p>
      <w:pPr>
        <w:spacing w:after="0" w:line="120" w:lineRule="exact"/>
        <w:rPr>
          <w:sz w:val="20"/>
          <w:szCs w:val="20"/>
          <w:color w:val="auto"/>
        </w:rPr>
      </w:pPr>
    </w:p>
    <w:p>
      <w:pPr>
        <w:jc w:val="both"/>
        <w:ind w:left="340" w:right="2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not only with the population of devices in the field, which is affected by installs and removals, but also by the page volumes generated from the usage of such devices, and the revenue per printed page. Post sale revenue decreased 6.4% as compared to third quarter 2017, with a 1.2-percentage point unfavorable impact from currency.</w:t>
      </w:r>
    </w:p>
    <w:p>
      <w:pPr>
        <w:spacing w:after="0" w:line="3" w:lineRule="exact"/>
        <w:rPr>
          <w:rFonts w:ascii="Arial" w:cs="Arial" w:eastAsia="Arial" w:hAnsi="Arial"/>
          <w:sz w:val="18"/>
          <w:szCs w:val="18"/>
          <w:color w:val="auto"/>
        </w:rPr>
      </w:pPr>
    </w:p>
    <w:p>
      <w:pPr>
        <w:ind w:left="980" w:right="100" w:hanging="324"/>
        <w:spacing w:after="0" w:line="24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Managed Document Services (MDS) offerings, and revenues from our Communication and Marketing Solutions (CMS). These revenues decreased 6.9% with a 1.1-percentage point unfavorable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continuing trends of lower page volumes (including a higher mix of lower usage products), an ongoing competitive price environment, and a lower population of devices, which are partially associated with continued lower signings and lower installs in prior periods. These declines were partially mitigated by higher revenues from our partner print services offering.</w:t>
      </w:r>
    </w:p>
    <w:p>
      <w:pPr>
        <w:spacing w:after="0" w:line="4" w:lineRule="exact"/>
        <w:rPr>
          <w:rFonts w:ascii="Arial" w:cs="Arial" w:eastAsia="Arial" w:hAnsi="Arial"/>
          <w:sz w:val="18"/>
          <w:szCs w:val="18"/>
          <w:color w:val="auto"/>
        </w:rPr>
      </w:pPr>
    </w:p>
    <w:p>
      <w:pPr>
        <w:ind w:left="980" w:right="100" w:hanging="324"/>
        <w:spacing w:after="0" w:line="237" w:lineRule="auto"/>
        <w:tabs>
          <w:tab w:leader="none" w:pos="9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6.3%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2017, including a 1.4-percentage point unfavorable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driven by lower supplies revenues and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3" w:right="239" w:bottom="1440" w:gutter="0" w:footer="0" w:header="0"/>
        </w:sectPr>
      </w:pPr>
    </w:p>
    <w:bookmarkStart w:id="14" w:name="page15"/>
    <w:bookmarkEnd w:id="14"/>
    <w:p>
      <w:pPr>
        <w:ind w:left="980" w:right="60"/>
        <w:spacing w:after="0" w:line="274" w:lineRule="auto"/>
        <w:rPr>
          <w:sz w:val="20"/>
          <w:szCs w:val="20"/>
          <w:color w:val="auto"/>
        </w:rPr>
      </w:pPr>
      <w:r>
        <w:rPr>
          <w:rFonts w:ascii="Arial" w:cs="Arial" w:eastAsia="Arial" w:hAnsi="Arial"/>
          <w:sz w:val="18"/>
          <w:szCs w:val="18"/>
          <w:color w:val="auto"/>
        </w:rPr>
        <w:t>lower network integration sales, while paper increased as a result of higher sales in developing markets. This decline also included an approximate 1.3-percentage point impact from lower OEM sales.</w:t>
      </w:r>
    </w:p>
    <w:p>
      <w:pPr>
        <w:spacing w:after="0" w:line="1" w:lineRule="exact"/>
        <w:rPr>
          <w:sz w:val="20"/>
          <w:szCs w:val="20"/>
          <w:color w:val="auto"/>
        </w:rPr>
      </w:pPr>
    </w:p>
    <w:p>
      <w:pPr>
        <w:ind w:left="980" w:right="420" w:hanging="324"/>
        <w:spacing w:after="0" w:line="263"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11.0%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finance receivables balance due to lower equipment sales in prior periods and included a 1.2-percentage point unfavorable impact from currency.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Entry</w:t>
            </w:r>
            <w:r>
              <w:rPr>
                <w:rFonts w:ascii="Arial" w:cs="Arial" w:eastAsia="Arial" w:hAnsi="Arial"/>
                <w:sz w:val="17"/>
                <w:szCs w:val="17"/>
                <w:b w:val="1"/>
                <w:bCs w:val="1"/>
                <w:color w:val="auto"/>
                <w:vertAlign w:val="superscript"/>
              </w:rPr>
              <w:t>(1)</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350</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High-end</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101</w:t>
            </w:r>
          </w:p>
        </w:tc>
        <w:tc>
          <w:tcPr>
            <w:tcW w:w="11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14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(64.3)%</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(64.3)%</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Equipment Sales</w:t>
            </w:r>
            <w:r>
              <w:rPr>
                <w:rFonts w:ascii="Arial" w:cs="Arial" w:eastAsia="Arial" w:hAnsi="Arial"/>
                <w:sz w:val="17"/>
                <w:szCs w:val="17"/>
                <w:b w:val="1"/>
                <w:bCs w:val="1"/>
                <w:color w:val="auto"/>
                <w:vertAlign w:val="superscript"/>
              </w:rPr>
              <w:t>(2)</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531</w:t>
            </w:r>
          </w:p>
        </w:tc>
        <w:tc>
          <w:tcPr>
            <w:tcW w:w="114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0" w:lineRule="exact"/>
        <w:rPr>
          <w:sz w:val="20"/>
          <w:szCs w:val="20"/>
          <w:color w:val="auto"/>
        </w:rPr>
      </w:pPr>
    </w:p>
    <w:p>
      <w:pPr>
        <w:ind w:left="340" w:right="800" w:hanging="332"/>
        <w:spacing w:after="0" w:line="214" w:lineRule="auto"/>
        <w:tabs>
          <w:tab w:leader="none" w:pos="34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2018 revenues from our OEM business are included in Other, which had historically been reported within Entry. This reclassification was made to provide better transparency to our business results. Prior year amounts have been adjusted to conform to this change.</w:t>
      </w:r>
    </w:p>
    <w:p>
      <w:pPr>
        <w:spacing w:after="0" w:line="1" w:lineRule="exact"/>
        <w:rPr>
          <w:rFonts w:ascii="Arial" w:cs="Arial" w:eastAsia="Arial" w:hAnsi="Arial"/>
          <w:sz w:val="18"/>
          <w:szCs w:val="18"/>
          <w:i w:val="1"/>
          <w:iCs w:val="1"/>
          <w:color w:val="auto"/>
          <w:vertAlign w:val="superscript"/>
        </w:rPr>
      </w:pPr>
    </w:p>
    <w:p>
      <w:pPr>
        <w:ind w:left="340" w:hanging="332"/>
        <w:spacing w:after="0" w:line="218" w:lineRule="auto"/>
        <w:tabs>
          <w:tab w:leader="none" w:pos="34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 2018, upon adoption of ASU 2014-09 Revenue Recognition, revenue from training related to equipment installation is now included in Equipment Sales (previously included in Post Sale Revenue). Prior year amounts have been adjusted to conform to this change.</w:t>
      </w:r>
    </w:p>
    <w:p>
      <w:pPr>
        <w:spacing w:after="0" w:line="178" w:lineRule="exact"/>
        <w:rPr>
          <w:sz w:val="20"/>
          <w:szCs w:val="20"/>
          <w:color w:val="auto"/>
        </w:rPr>
      </w:pPr>
    </w:p>
    <w:p>
      <w:pPr>
        <w:ind w:left="340" w:right="260" w:hanging="332"/>
        <w:spacing w:after="0" w:line="245"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sales revenue </w:t>
      </w:r>
      <w:r>
        <w:rPr>
          <w:rFonts w:ascii="Arial" w:cs="Arial" w:eastAsia="Arial" w:hAnsi="Arial"/>
          <w:sz w:val="18"/>
          <w:szCs w:val="18"/>
          <w:color w:val="auto"/>
        </w:rPr>
        <w:t>decreased 3.8% as compared to third quarter 2017, with a 1.1-percentage point unfavorable impact from</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and was impacted by price declines of approximately 5% (which were in-line with our historic declines).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included a 4.5-percentage point impact from lower OEM equipment sales.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increase reflected higher sales of our ConnectKey devices in developing markets and U.S. indirect channels.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increase primarily reflected higher sales through our Enterprise channel in the U.S., including higher large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and public sector sales, as well as higher sales of lower-end devices in developing markets. This increase was partially offset by lower revenues from indirect channels and from our Global Imaging business.</w:t>
      </w:r>
    </w:p>
    <w:p>
      <w:pPr>
        <w:spacing w:after="0" w:line="1" w:lineRule="exact"/>
        <w:rPr>
          <w:rFonts w:ascii="Arial" w:cs="Arial" w:eastAsia="Arial" w:hAnsi="Arial"/>
          <w:sz w:val="18"/>
          <w:szCs w:val="18"/>
          <w:color w:val="auto"/>
        </w:rPr>
      </w:pPr>
    </w:p>
    <w:p>
      <w:pPr>
        <w:ind w:left="980" w:right="200" w:hanging="324"/>
        <w:spacing w:after="0" w:line="27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High-end - </w:t>
      </w:r>
      <w:r>
        <w:rPr>
          <w:rFonts w:ascii="Arial" w:cs="Arial" w:eastAsia="Arial" w:hAnsi="Arial"/>
          <w:sz w:val="17"/>
          <w:szCs w:val="17"/>
          <w:color w:val="auto"/>
        </w:rPr>
        <w:t>The decrease primarily reflected lower revenues from iGen in the U.S. and lower installs of Versant systems (partially</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of lapping the prior year launch), along with lower revenues from black-and-white systems consistent with market decline trends. These declines were only partially mitigated by demand for the recently launched Iridesse production press.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Installs reflect new placement of devices only. Revenue associated with equipment installations (discussed below) may be reflected up-front in Equipment sales or over time either through rental income or as part of our Managed Document Services revenues (which are both reported within our post sale revenues), depending on the terms and conditions of our agreements with customers. Install activity includes Managed Document Services and Xerox-branded products shipped to our Global Imaging business. Detail by product group (see Appendix II) is shown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r>
        <w:rPr>
          <w:rFonts w:ascii="Arial" w:cs="Arial" w:eastAsia="Arial" w:hAnsi="Arial"/>
          <w:sz w:val="21"/>
          <w:szCs w:val="21"/>
          <w:i w:val="1"/>
          <w:iCs w:val="1"/>
          <w:color w:val="auto"/>
          <w:vertAlign w:val="superscript"/>
        </w:rPr>
        <w:t>2</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 decrease in color multifunction devices, reflecting lower sales through our US channels.</w:t>
      </w:r>
    </w:p>
    <w:p>
      <w:pPr>
        <w:spacing w:after="0" w:line="9" w:lineRule="exact"/>
        <w:rPr>
          <w:rFonts w:ascii="Arial" w:cs="Arial" w:eastAsia="Arial" w:hAnsi="Arial"/>
          <w:sz w:val="18"/>
          <w:szCs w:val="18"/>
          <w:color w:val="auto"/>
        </w:rPr>
      </w:pPr>
    </w:p>
    <w:p>
      <w:pPr>
        <w:ind w:left="340" w:right="60" w:hanging="332"/>
        <w:spacing w:after="0" w:line="262"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 increase in black-and-white multifunction devices, driven largely by higher activity from low-end devices in developing markets as well as higher sales of ConnectKey devices through indirect channels in the U.S. and Europe.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1"/>
          <w:szCs w:val="21"/>
          <w:i w:val="1"/>
          <w:iCs w:val="1"/>
          <w:color w:val="auto"/>
          <w:vertAlign w:val="superscript"/>
        </w:rPr>
        <w:t>3</w:t>
      </w:r>
    </w:p>
    <w:p>
      <w:pPr>
        <w:ind w:left="340" w:right="18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 increase in mid-range color installs reflecting higher demand for our ConnectKey products from our U.S. Enterprise channel (primarily from large and public sector accounts) as well as higher sales of lower-end A3 devices in developing markets.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19% increase in mid-range black-and-white, reflecting demand for recently launched products across all geographies.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1"/>
          <w:szCs w:val="21"/>
          <w:i w:val="1"/>
          <w:iCs w:val="1"/>
          <w:color w:val="auto"/>
          <w:vertAlign w:val="superscript"/>
        </w:rPr>
        <w:t>3</w:t>
      </w:r>
    </w:p>
    <w:p>
      <w:pPr>
        <w:ind w:left="340" w:right="26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 decrease in high-end color installs, as demand for our new Iridesse production press was offset by lower installs of iGen and lower-end production systems.</w:t>
      </w:r>
    </w:p>
    <w:p>
      <w:pPr>
        <w:ind w:left="340" w:right="740" w:hanging="332"/>
        <w:spacing w:after="0" w:line="26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 decrease in high-end black-and-white systems reflecting market trends partially offset by favorable impact from our customers' technology refresh cycles in the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Signings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Our reported signings mostly represent those from our Enterprise deals, as we do not currently include signings from our growing partner print services offerings or those from our Global Imaging business. Total Contract Value (TCV) is the estimated total contractual revenue related to signed contracts; our signings expressed in TCV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8"/>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center"/>
              <w:ind w:left="588"/>
              <w:spacing w:after="0"/>
              <w:rPr>
                <w:sz w:val="20"/>
                <w:szCs w:val="20"/>
                <w:color w:val="auto"/>
              </w:rPr>
            </w:pPr>
            <w:r>
              <w:rPr>
                <w:rFonts w:ascii="Arial" w:cs="Arial" w:eastAsia="Arial" w:hAnsi="Arial"/>
                <w:sz w:val="14"/>
                <w:szCs w:val="14"/>
                <w:color w:val="auto"/>
              </w:rPr>
              <w:t>September 30,</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color w:val="auto"/>
              </w:rPr>
              <w:t>September 30,</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CC %</w:t>
            </w:r>
          </w:p>
        </w:tc>
      </w:tr>
      <w:tr>
        <w:trPr>
          <w:trHeight w:val="178"/>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 millions)</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Change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r>
      <w:tr>
        <w:trPr>
          <w:trHeight w:val="256"/>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Signings</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w:t>
            </w:r>
          </w:p>
        </w:tc>
      </w:tr>
      <w:tr>
        <w:trPr>
          <w:trHeight w:val="130"/>
        </w:trPr>
        <w:tc>
          <w:tcPr>
            <w:tcW w:w="2540" w:type="dxa"/>
            <w:vAlign w:val="bottom"/>
            <w:gridSpan w:val="4"/>
          </w:tcPr>
          <w:p>
            <w:pPr>
              <w:jc w:val="right"/>
              <w:ind w:right="768"/>
              <w:spacing w:after="0"/>
              <w:rPr>
                <w:sz w:val="20"/>
                <w:szCs w:val="20"/>
                <w:color w:val="auto"/>
              </w:rPr>
            </w:pPr>
            <w:r>
              <w:rPr>
                <w:rFonts w:ascii="Arial" w:cs="Arial" w:eastAsia="Arial" w:hAnsi="Arial"/>
                <w:sz w:val="11"/>
                <w:szCs w:val="11"/>
                <w:color w:val="auto"/>
                <w:w w:val="98"/>
              </w:rPr>
              <w:t>____________________________</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Third quarter 2018 signings decreased 2.1% from third quarter 2017, including a 0.7-percentage point favorable impact from currency, reflecting lower renewals as a result of ongoing competitive pressure in the market. On a trailing twelve month (TTM) basis, signings decreased 6.5% from the comparable prior year period, with a 1.1-percentage point favorable impact from currency.</w:t>
      </w:r>
    </w:p>
    <w:p>
      <w:pPr>
        <w:spacing w:after="0" w:line="94"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color w:val="auto"/>
        </w:rPr>
        <w:t>New business TCV increased 15.7% from third quarter 2017, led by activity in Europe and included a 0.7-percentage point favorable impact from currency. On a TTM basis, new business increased 2.2% at constant currency.</w:t>
      </w:r>
      <w:r>
        <w:rPr>
          <w:rFonts w:ascii="Arial" w:cs="Arial" w:eastAsia="Arial" w:hAnsi="Arial"/>
          <w:sz w:val="21"/>
          <w:szCs w:val="21"/>
          <w:color w:val="auto"/>
          <w:vertAlign w:val="superscript"/>
        </w:rPr>
        <w:t>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Renewal Rate</w:t>
      </w:r>
    </w:p>
    <w:p>
      <w:pPr>
        <w:spacing w:after="0" w:line="2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Renewal rate is defined as the annual recurring revenue (ARR) on contracts that are renewed during the period as a percentage of ARR on all contracts for which a renewal decision was made during the period. Contract renewal rate for the third quarter 2018 was 79%, compared to our full year 2017 renewal rate of 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right="180" w:hanging="332"/>
        <w:spacing w:after="0"/>
        <w:tabs>
          <w:tab w:leader="none" w:pos="34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Entry installations exclude OEM sales; including OEM sales, Entry color multifunction devices decreased 41%, while Entry black-and-white multifunction devices decreased 4%.</w:t>
      </w:r>
    </w:p>
    <w:p>
      <w:pPr>
        <w:spacing w:after="0" w:line="117" w:lineRule="exact"/>
        <w:rPr>
          <w:rFonts w:ascii="Arial" w:cs="Arial" w:eastAsia="Arial" w:hAnsi="Arial"/>
          <w:sz w:val="18"/>
          <w:szCs w:val="18"/>
          <w:i w:val="1"/>
          <w:iCs w:val="1"/>
          <w:color w:val="auto"/>
          <w:vertAlign w:val="superscript"/>
        </w:rPr>
      </w:pPr>
    </w:p>
    <w:p>
      <w:pPr>
        <w:ind w:left="340" w:right="180" w:hanging="332"/>
        <w:spacing w:after="0" w:line="218" w:lineRule="auto"/>
        <w:tabs>
          <w:tab w:leader="none" w:pos="340"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increased 8%, and High-end color systems decreased 18%.</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8"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6EBF"/>
        </w:rPr>
        <w:t>Costs, Expenses and Other Income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September 30,</w:t>
            </w:r>
          </w:p>
        </w:tc>
        <w:tc>
          <w:tcPr>
            <w:tcW w:w="1000" w:type="dxa"/>
            <w:vAlign w:val="bottom"/>
            <w:tcBorders>
              <w:bottom w:val="single" w:sz="8" w:color="auto"/>
            </w:tcBorders>
          </w:tcPr>
          <w:p>
            <w:pPr>
              <w:spacing w:after="0"/>
              <w:rPr>
                <w:sz w:val="15"/>
                <w:szCs w:val="15"/>
                <w:color w:val="auto"/>
              </w:rPr>
            </w:pPr>
          </w:p>
        </w:tc>
      </w:tr>
      <w:tr>
        <w:trPr>
          <w:trHeight w:val="264"/>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B/(W)</w:t>
            </w:r>
          </w:p>
        </w:tc>
      </w:tr>
      <w:tr>
        <w:trPr>
          <w:trHeight w:val="25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w:t>
            </w: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Gross Margin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Post sale Gross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 pts.</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Gross Margin</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pts.</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 pts.</w:t>
            </w:r>
          </w:p>
        </w:tc>
      </w:tr>
      <w:tr>
        <w:trPr>
          <w:trHeight w:val="276"/>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SAG as a % of Revenue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 pts.</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Pre-tax Income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Pre-tax Income Margin</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 pts.</w:t>
            </w:r>
          </w:p>
        </w:tc>
      </w:tr>
      <w:tr>
        <w:trPr>
          <w:trHeight w:val="290"/>
        </w:trPr>
        <w:tc>
          <w:tcPr>
            <w:tcW w:w="6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70"/>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0"/>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Margin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 pts.</w:t>
            </w:r>
          </w:p>
        </w:tc>
      </w:tr>
      <w:tr>
        <w:trPr>
          <w:trHeight w:val="130"/>
        </w:trPr>
        <w:tc>
          <w:tcPr>
            <w:tcW w:w="69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3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Third quarter 2018 pre-tax income margin of 8.2% increased 1.5-percentage points as compared to third quarter 2017. The increase was primarily driven by lower transaction and related costs, net, as well as lower restructuring and related costs and the benefit from our business transformation actions which outpaced the revenue declines.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ind w:right="240"/>
        <w:spacing w:after="0" w:line="238" w:lineRule="auto"/>
        <w:rPr>
          <w:sz w:val="20"/>
          <w:szCs w:val="20"/>
          <w:color w:val="auto"/>
        </w:rPr>
      </w:pPr>
      <w:r>
        <w:rPr>
          <w:rFonts w:ascii="Arial" w:cs="Arial" w:eastAsia="Arial" w:hAnsi="Arial"/>
          <w:sz w:val="18"/>
          <w:szCs w:val="18"/>
          <w:color w:val="auto"/>
        </w:rPr>
        <w:t>Third quarter 2018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13.1% increased 1.0-percentage point as compared to third quarter 2017, including a 0.4-percentage point favorable impact from transaction currency. The increase primarily reflects higher equity income and SAG savings and cost productivity associated with our business transformation actions which more than offset the pace of revenue decline.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Third quarter 2018 gross margin of 40.1% was flat compared to third quarter 2017, including a 0.4-percentage point favorable impact from transaction currency and also reflecting higher equipment margin partially offset by lower post sale margin and a less profitable mix of our revenue streams.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Third quarter 2018 equipment gross margin of 34.6% increased 5.1-percentage points as compared to third quarter 2017, reflecting the benefit from lower OEM sales (which carry a negative upfront margin) and favorable transaction currency as well as savings from cost productivity initiatives.</w:t>
      </w:r>
    </w:p>
    <w:p>
      <w:pPr>
        <w:spacing w:after="0" w:line="9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Third quarter 2018 post sale gross margin of 41.7% decreased 1.2-percentage points as compared to third quarter 2017 reflecting lower revenues and an unfavorable mix of lower supplies, partially offset by productivity and restructuring savings.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2018 RD&amp;E as a percentage of revenue of 4.3% was 0.1-percentage points higher compared to third quarter 2017.</w:t>
      </w:r>
    </w:p>
    <w:p>
      <w:pPr>
        <w:spacing w:after="0" w:line="11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RD&amp;E of $102 million decreased $3 million compared to third quarter 2017 and reflected restructuring and cost productivity savings as well lower expenses associated with the sale of a research facility in the prior year, partially offset by modest investments in innovation in complementary market areas.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SAG as a percentage of revenue of 24.8% decreased 0.4-percentage points as compared to third quarter 2017, reflecting primarily the benefit from productivity and restructuring associated with our business transformation actions.</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SAG of $583 million was $47 million lower than third quarter 2017, including an approximate $5 million favorable impact from currency. The reduction reflected primarily productivity and restructuring savings associated with our business transformation actions, which were partially offset by $5 million of charges related to the cancellation of certain IT projects as we continue to evaluate the returns on our IT investment. Bad debt expense of $10 million was $2 million higher than third quarter 2017 and remained at less than one percent of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Third quarter 2018 Restructuring and related costs of $29 million included $40 million of severance costs related to headcount of approximately 900 employees worldwide and $1 million of lease cancellation costs. The average restructuring cost per employee was lower in the third quarter 2018 as compared to 2017 primarily due to reductions in our employee severance programs particularly with respect to actions in the U.S. These costs were partially offset by $12 million of net reversals for changes in estimated reserves from prior period initiatives. Third quarter 2018 actions impacted several functional areas, with approximately 30% focused on gross margin improvements, approximately 65% on SAG reductions, and the remainder focused on RD&amp;E optimization.</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Third quarter 2017 Restructuring and related costs of $35 million included net restructuring and asset impairment charges of $34 million as well as $1 million of additional costs primarily related to professional support services associated with the implementation of the strategic transformation program. Third quarter 2017 net restructuring and asset impairment charges of $34 million included $39 million of severance costs related to headcount of approximately 600 employees worldwide. These costs were partially offset by $5 million of net reversals for changes in estimated reserves from prior period initiatives. The third quarter 2017 actions impacted several functional areas, with approximately 80% focused on SAG reductions and 20% focused on gross margin improvements.</w:t>
      </w:r>
    </w:p>
    <w:p>
      <w:pPr>
        <w:spacing w:after="0" w:line="1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restructuring reserve balance as of September 30, 2018 for all programs was $70 million, of which $67 million is expected to be spent over the next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Transaction and related cost, net, was a $33 million credit in the third quarter 2018 primarily due to recoveries from insurance and other vendors.</w:t>
      </w:r>
    </w:p>
    <w:p>
      <w:pPr>
        <w:spacing w:after="0" w:line="8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continue to pursue additional recoveries from insurance carriers and other parties for costs and expenses related to the terminated transaction and shareholder litigation and therefore additional recoveries and adjustments may be recorded in future periods, when finalized.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2018 Amortization of intangible assets of $12 million was flat compared to third quarter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Worldwide employment was approximately 33,200 as of September 30, 2018 and decreased by approximately 2,100 from December 31, 2017, largely driven by our business transformation. Approximately half of the reduction was associated with restructuring actions, while the remaining resulted from net attrition (attrition net of gross hires), of which a large portion is not expected to be backfilled.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Other Expenses, Net</w:t>
      </w:r>
    </w:p>
    <w:p>
      <w:pPr>
        <w:spacing w:after="0" w:line="194"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spacing w:after="0"/>
              <w:rPr>
                <w:sz w:val="15"/>
                <w:szCs w:val="15"/>
                <w:color w:val="auto"/>
              </w:rPr>
            </w:pP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2017</w:t>
            </w:r>
          </w:p>
        </w:tc>
      </w:tr>
      <w:tr>
        <w:trPr>
          <w:trHeight w:val="25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losses,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43"/>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2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Third quarter 2018 non-financing interest expense of $28 million was $1 million lower than third quarter 2017. When combined with financing interest expense (Cost of financing), total interest expense decreased by $1 million from third quarter 2017 due to a lower debt balance, partially offset by higher average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Third quarter 2018 non-service retirement-related costs were $2 million lower than third quarter 2017, primarily driven by the favorable impact of higher pension contributions and asset returns in the prior year, partially offset by higher losses from pension settlements in the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of sales of businesses and assets</w:t>
      </w:r>
    </w:p>
    <w:p>
      <w:pPr>
        <w:spacing w:after="0" w:line="2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Third quarter 2018 gains on sales of businesses and assets were $10 million lower than third quarter 2017, reflecting primarily the prior year sale of our research facility in Grenoble, France (which primarily supported the discontinued BPO business).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Income Taxes</w:t>
      </w:r>
    </w:p>
    <w:p>
      <w:pPr>
        <w:spacing w:after="0" w:line="13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Third quarter 2018 effective tax rate was 74.0% and includes an additional charge of $95 million related to a change in the provisional estimated impact from the 2017 Tax Cuts and Jobs Act (the "Tax Act") as discussed below.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third quarter 2018 effective tax rate was 24.5%. This rate was higher than the U.S. statutory tax rate of 21% primarily due to the geographical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non-service retirement-related costs and the impact of the Tax Act as discussed below.</w:t>
      </w:r>
    </w:p>
    <w:p>
      <w:pPr>
        <w:spacing w:after="0" w:line="105"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Third quarter 2017 effective tax rate was 10.8%.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third quarter 2017 effective tax rate was 19.3%. Both rates were lower than the U.S. statutory tax rate of 35% primarily due to the redetermination of certain unrecognized tax positions upon conclusion of several audits.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benefits associated with the following charges: Restructuring and related costs, Amortization of intangible assets and non-service retirement-related costs.</w:t>
      </w:r>
    </w:p>
    <w:p>
      <w:pPr>
        <w:spacing w:after="0" w:line="10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Cuts and Jobs Act (the “Tax Act”)</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things, lowering the U.S. statutory corporate income tax rate from 35% to 21% and implementing a territorial tax system that includes a one-time transition tax on deemed repatriated earnings of foreign subsidiaries.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fourth quarter 2017, we recorded an estimated non-cash charge of $400 million reflecting our provisional estimated impact associated with the provisions of the Tax Act based on currently available information. Our estimated charge incorporated assumptions based on our current interpretation of the Tax Act as well as information available at that time and was subject to change, possibly materially, as we completed our analysis and received additional clarification and implementation guidance. During third quarter 2018 we adjusted our provisional estimate by an additional charge of $ 95 million reflecting certain positions taken on our recently filed 2017 income tax return as well as consideration of additional guidance from the U.S. Treasury and Internal Revenue Service (IRS). The adjustment includes changes to the determination of the one-time deemed repatriation tax as well as additional re-measurement of our U.S. deferred tax assets and liabilities to the lower enacted statutory tax rate. The total charge of $495 million related to the Tax Act remains a provisional estimate as we continue to evaluate and consider interpretive guidance from the U.S. Treasury and IRS as well as additional filing positions we may take on our 2018 U.S. Tax Return. Accordingly, additional adjustments may be recorded, possibly material, in the fourth quarter 2018 as we finalize our estimate related to the Tax Act. Any adjustments to this provisional amount will be reported as a component of Income tax expense.</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Effective January 1, 2018, we became subject to several provisions of the Tax Act including computations related to Global Intangible Low Taxed Income ("GILTI"), Foreign Derived Intangible Income ("FDII"), Base Erosion and Anti-Abuse Tax ("BEAT"), and IRC Section 163(j) interest limitation (Interest Limitation). Our current estimate for the GILTI, FDII and Interest Limitation rules was determined to be immaterial, however we currently estimate that we are subject to BEAT. Accordingly, our third quarter and year to date 2018 effective tax rate includes the estimated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0" w:right="259" w:bottom="1440" w:gutter="0" w:footer="0" w:header="0"/>
        </w:sectPr>
      </w:pPr>
    </w:p>
    <w:bookmarkStart w:id="19" w:name="page20"/>
    <w:bookmarkEnd w:id="19"/>
    <w:p>
      <w:pPr>
        <w:jc w:val="both"/>
        <w:ind w:right="100"/>
        <w:spacing w:after="0" w:line="253" w:lineRule="auto"/>
        <w:rPr>
          <w:sz w:val="20"/>
          <w:szCs w:val="20"/>
          <w:color w:val="auto"/>
        </w:rPr>
      </w:pPr>
      <w:r>
        <w:rPr>
          <w:rFonts w:ascii="Arial" w:cs="Arial" w:eastAsia="Arial" w:hAnsi="Arial"/>
          <w:sz w:val="18"/>
          <w:szCs w:val="18"/>
          <w:color w:val="auto"/>
        </w:rPr>
        <w:t>impact for BEAT, which has also been incorporated into our estimated annual effective tax for 2018. Similar to the provisional charge recorded in the fourth quarter 2017 associated with the enactment of the Tax Act, the estimates for these additional provisions of the Tax Act were made based on our current interpretation of the Tax Act as well as currently available information and may change, as we complete our analysis and receive additional clarification and implementation guidance. Changes in interpretations and assumptions as well as actions we may take as a result of the Tax Act may also impact these estimates.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Equity in Net Income of Unconsolidated Affiliates</w:t>
      </w:r>
    </w:p>
    <w:p>
      <w:pPr>
        <w:spacing w:after="0" w:line="13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Equity in net income of unconsolidated affiliates primarily reflects our 25% share of Fuji Xerox net income. Third quarter 2018 equity income of $43 million increased $13 million compared to third quarter 2017, reflecting savings from restructuring as well as lower debt provisions partially offset by $1 million of higher year-over-year charges related to our share of Fuji Xerox after-tax restructuring and other charges.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Net Income from Continuing Operations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Third quarter 2018 net income from continuing operations attributable to Xerox was $89 million, or $0.34 per diluted share, which included an estimated non-cash charge of $95 million or $0.37 per diluted share associated with the Tax Act. See the “Income Taxes” section for further explanation.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$222 million, or $0.85 per diluted share. Third quarter 2018 adjustments to net income include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Third quarter 2017 net income from continuing operations attributable to Xerox was $176 million, or $0.67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from continuing operations attributable to Xerox was $234 million, or $0.89 per diluted share. Third quarter 2017 adjustments to net income include Restructuring and related costs, Amortization of intangible assets and non-service retirement-related costs.</w:t>
      </w:r>
    </w:p>
    <w:p>
      <w:pPr>
        <w:spacing w:after="0" w:line="1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See the "Non-GAAP Financial Measures" section for the calculation of adjusted EPS. The calculations of basic and diluted earnings per share are included as Appendix I.</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Other Comprehensive Income</w:t>
      </w:r>
    </w:p>
    <w:p>
      <w:pPr>
        <w:spacing w:after="0" w:line="2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Third quarter 2018 Other Comprehensive Income, Net Attributable to Xerox was $61 million and reflected the following: i) $83 million of net gains from the changes in defined benefit plans, which included a $ 43 million out-of-period adjustment related to actuarial gains as discussed below; ii) net translation adjustment losses of $13 million, reflecting the weakening of the Japanese Yen against the U.S. Dollar in the third quarter 2018; and iii) $9 million of net unrealized losses. This compares to third quarter 2017 Other Comprehensive Income, Net Attributable to Xerox of $115 million, which reflected the following: i) $41 million of net losses from the changes in defined benefit plans, primarily due to translation impacts; ii) net translation adjustment gains of $154 million, reflecting the strengthening of our major foreign currencies against the U.S. Dollar in the third quarter 2017; and iii) $2 million of net unrealized gains.</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third quarter 2018, we determined that the Pension Benefit Obligation (PBO) for our UK funded pension plan at December 31, 2017 was overstated by approximately GBP 40 million (approximately USD $53 million or $43 million after-tax). The error was the result of the plan administrator under-reporting benefit payments. The correction of the PBO was recorded as an out-of-period adjustment in third quarter 2018 with the offset to the balance sheet recorded as a credit to Changes in defined benefit plans, net for the period. We assessed the impact of this error and concluded that it was not material to the financial statements of any previously issued interim or annual financial statements and the correction of the error in third quarter 2018 is not expected to be material to the annual financial statements for 2018.</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90" w:right="239" w:bottom="1440" w:gutter="0" w:footer="0" w:header="0"/>
        </w:sectPr>
      </w:pPr>
    </w:p>
    <w:bookmarkStart w:id="20" w:name="page21"/>
    <w:bookmarkEnd w:id="20"/>
    <w:p>
      <w:pPr>
        <w:spacing w:after="0"/>
        <w:rPr>
          <w:sz w:val="20"/>
          <w:szCs w:val="20"/>
          <w:color w:val="auto"/>
        </w:rPr>
      </w:pPr>
      <w:r>
        <w:rPr>
          <w:rFonts w:ascii="Arial" w:cs="Arial" w:eastAsia="Arial" w:hAnsi="Arial"/>
          <w:sz w:val="25"/>
          <w:szCs w:val="25"/>
          <w:b w:val="1"/>
          <w:bCs w:val="1"/>
          <w:color w:val="006EBF"/>
        </w:rPr>
        <w:t>Capital Resources and Liquidity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3"/>
          </w:tcPr>
          <w:p>
            <w:pPr>
              <w:jc w:val="right"/>
              <w:ind w:right="28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 of continuing operations</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74"/>
        </w:trPr>
        <w:tc>
          <w:tcPr>
            <w:tcW w:w="6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83"/>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1,327</w:t>
            </w:r>
          </w:p>
        </w:tc>
        <w:tc>
          <w:tcPr>
            <w:tcW w:w="12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8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Net cash provided by operating activities of continuing operations was $274 million in third quarter 2018. The $717 million increase in operating cash from third quarter 2017 was primarily due to the following:</w:t>
      </w:r>
    </w:p>
    <w:p>
      <w:pPr>
        <w:spacing w:after="0" w:line="1" w:lineRule="exact"/>
        <w:rPr>
          <w:sz w:val="20"/>
          <w:szCs w:val="20"/>
          <w:color w:val="auto"/>
        </w:rPr>
      </w:pPr>
    </w:p>
    <w:p>
      <w:pPr>
        <w:ind w:left="340" w:right="92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 million decrease in pre-tax income before transaction and related costs, net, depreciation and amortization, gain on sales of businesses and assets, restructuring charges and defined benefit pension costs.</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$635 million increase due to prior year voluntary contributions to our domestic tax-qualified defined benefit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$79 million increase from inventory due to the timing of the product launch in the prior year.</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$57 million increase primarily related to the prior year settlements of foreign currency derivative contracts associated with intercompany borrowings.</w:t>
      </w:r>
    </w:p>
    <w:p>
      <w:pPr>
        <w:ind w:left="340" w:right="70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million increase from accounts receivable primarily due to the prior year reclassification of $58 million of collections of deferred proceeds from the sales of accounts receivables to investing.</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$46 million decrease due to lower net run-off of finance receivables of $36 million and higher equipment on operating leases of $10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8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Net cash used in investing activities was $23 million in third quarter 2018. The $83 million decrease in cash from third quarter 2017 was primarily due to the following:</w:t>
      </w:r>
    </w:p>
    <w:p>
      <w:pPr>
        <w:spacing w:after="0" w:line="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$58 million decrease is primarily a result of the termination of certain accounts receivables sales arrangements in fourth quarter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million decrease due to the prior year sale of a research facility in Grenoble, France.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8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Net cash used in financing activities was $359 million in third quarter 2018. The $1,267 million decrease in cash from third quarter 2017 was primarily due to the following:</w:t>
      </w:r>
    </w:p>
    <w:p>
      <w:pPr>
        <w:spacing w:after="0" w:line="1" w:lineRule="exact"/>
        <w:rPr>
          <w:sz w:val="20"/>
          <w:szCs w:val="20"/>
          <w:color w:val="auto"/>
        </w:rPr>
      </w:pPr>
    </w:p>
    <w:p>
      <w:pPr>
        <w:ind w:left="340" w:right="18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$988 million decrease from net debt activity. Third quarter 2017 reflected proceeds of $1.0 billion on Senior Notes offset by debt issuance costs of $8 million compared to no debt activity in the current year.</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$284 million decrease due to the resumption of share repurchases in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2"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1269BC"/>
        </w:rPr>
        <w:t>Cash, Cash Equivalents and Restricted Cash</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tax and labor litigation. Various litigation matters in Brazil require us to make cash deposits to escrow as a condition of continuing the litigation. Restricted cash amounts are classified in our Condensed Consolidated Balance Sheets based on when the cash is expected to be contractually or judicially released.</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September 30, 2018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2017</w:t>
            </w:r>
          </w:p>
        </w:tc>
      </w:tr>
      <w:tr>
        <w:trPr>
          <w:trHeight w:val="25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w:t>
            </w:r>
          </w:p>
        </w:tc>
      </w:tr>
      <w:tr>
        <w:trPr>
          <w:trHeight w:val="264"/>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Tax and labor litigation deposits in Brazil</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r>
      <w:tr>
        <w:trPr>
          <w:trHeight w:val="264"/>
        </w:trPr>
        <w:tc>
          <w:tcPr>
            <w:tcW w:w="7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restricted cash</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56"/>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Restricted cash</w:t>
            </w:r>
          </w:p>
        </w:tc>
        <w:tc>
          <w:tcPr>
            <w:tcW w:w="1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r>
      <w:tr>
        <w:trPr>
          <w:trHeight w:val="237"/>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1,368</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September 30, 2018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2017</w:t>
            </w:r>
          </w:p>
        </w:tc>
      </w:tr>
      <w:tr>
        <w:trPr>
          <w:trHeight w:val="25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r>
      <w:tr>
        <w:trPr>
          <w:trHeight w:val="24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September 30,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220" w:type="dxa"/>
            <w:vAlign w:val="bottom"/>
          </w:tcPr>
          <w:p>
            <w:pPr>
              <w:spacing w:after="0"/>
              <w:rPr>
                <w:sz w:val="22"/>
                <w:szCs w:val="22"/>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Fair value adjustments</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terminated swaps</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current swaps</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Notes Payable of $2 million and $6 million as of September 30, 2018 and December 31, 2017, respectively.</w:t>
      </w:r>
    </w:p>
    <w:p>
      <w:pPr>
        <w:ind w:left="340" w:right="160" w:hanging="332"/>
        <w:spacing w:after="0" w:line="225"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September 30,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7"/>
                <w:szCs w:val="17"/>
                <w:b w:val="1"/>
                <w:bCs w:val="1"/>
                <w:color w:val="auto"/>
                <w:vertAlign w:val="superscript"/>
              </w:rPr>
              <w:t>(2)</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700" w:hanging="332"/>
        <w:spacing w:after="0" w:line="220" w:lineRule="auto"/>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ind w:left="340" w:hanging="332"/>
        <w:spacing w:after="0" w:line="199" w:lineRule="auto"/>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2017 includes a decrease of $51 million due to currency.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55" w:right="239" w:bottom="1440" w:gutter="0" w:footer="0" w:header="0"/>
        </w:sectPr>
      </w:pPr>
    </w:p>
    <w:bookmarkStart w:id="22" w:name="page23"/>
    <w:bookmarkEnd w:id="22"/>
    <w:p>
      <w:pPr>
        <w:ind w:right="120"/>
        <w:spacing w:after="0" w:line="256"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September 30, 2018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debt</w:t>
            </w:r>
          </w:p>
        </w:tc>
        <w:tc>
          <w:tcPr>
            <w:tcW w:w="2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Core debt</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Debt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 Accounts receivable sold are generally short-term trade receivables with payment due dates of less than 60 days. During the fourth quarter 2017, we terminated all accounts receivable sales arrangements in North America and all but one arrangement in Europe. The remaining accounts receivable sales facility in Europe enables us to sell receivables associated with our distributor network on an ongoing basis without recourse. Under this arrangement, we sell our entire interest in the related accounts receivable for cash and no portion of the payment is held back or deferred by the purchaser.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77"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17"/>
                <w:szCs w:val="17"/>
                <w:color w:val="auto"/>
                <w:vertAlign w:val="superscript"/>
              </w:rPr>
              <w:t>(1)</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proceeds</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Loss on sales of accounts receivable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7"/>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Estimated decrease to operating cash flows</w:t>
            </w:r>
            <w:r>
              <w:rPr>
                <w:rFonts w:ascii="Arial" w:cs="Arial" w:eastAsia="Arial" w:hAnsi="Arial"/>
                <w:sz w:val="17"/>
                <w:szCs w:val="17"/>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24"/>
        </w:trPr>
        <w:tc>
          <w:tcPr>
            <w:tcW w:w="8460" w:type="dxa"/>
            <w:vAlign w:val="bottom"/>
          </w:tcPr>
          <w:p>
            <w:pPr>
              <w:spacing w:after="0" w:line="125" w:lineRule="exact"/>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ind w:left="340" w:right="40" w:hanging="332"/>
        <w:spacing w:after="0" w:line="227" w:lineRule="auto"/>
        <w:tabs>
          <w:tab w:leader="none" w:pos="340"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ind w:left="340" w:right="360" w:hanging="332"/>
        <w:spacing w:after="0" w:line="218" w:lineRule="auto"/>
        <w:tabs>
          <w:tab w:leader="none" w:pos="340" w:val="left"/>
        </w:tabs>
        <w:numPr>
          <w:ilvl w:val="0"/>
          <w:numId w:val="2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the deferred proceeds, collections prior to the end of the quarter and currency. In third quarter 2018, the $34 million decrease reflected lower sales consistent with the seasonality of our European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006EBF"/>
        </w:rPr>
        <w:t>Forward-Looking Statements</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outcome of our process to evaluate all strategic alternatives to maximize shareholder value, including terminating or restructuring Xerox's relationship with FUJIFILM Holdings Corporation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 looking statements as a result of new information or future events or developments, except as required by law.</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Fuji Xerox Co., Ltd. (“Fuji Xerox”) is a joint venture between Xerox and Fujifilm in which Xerox holds a noncontrolling 25% equity interest and Fujifilm holds the remaining equity interest. Given our status as a minority investor, we have limited contractual and other rights to information with respect to Fuji Xerox matters. In April 2017, Fujifilm formed an independent investigation committee (the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revised our previously issued annual and interim consolidated financial statements for 2014, 2015 and 2016 and the first quarter of 2017. However, Fujifilm and Fuji Xerox continue to review Fujifilm’s oversight and governance of Fuji Xerox as well as Fuji Xerox’s oversight and governance over its businesses in light of the findings of the IIC.</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in connection with the completion of audits of Fuji Xerox’s fiscal year-end financial statements as of and for the years ended March 31, 2016 and 2017, as well as the review of Fuji Xerox’s unaudited interim financial statements as of and for the nine months ended December 31, 2017 and 2016, additional adjustments and misstatements were identified. These additional adjustments and misstatements were to the net income of Fuji Xerox for the period from 2010 through 2017 previously revised for the items identified by the IIC noted above. At this time, we can provide no assurances relative to the outcome of any potential governmental investigations or any consequences thereof that may happen as a result of this matter.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2" w:right="23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006EBF"/>
        </w:rPr>
        <w:t>Non-GAAP Financial Measures</w:t>
      </w: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4" w:lineRule="exact"/>
        <w:rPr>
          <w:sz w:val="20"/>
          <w:szCs w:val="20"/>
          <w:color w:val="auto"/>
        </w:rPr>
      </w:pPr>
    </w:p>
    <w:p>
      <w:pPr>
        <w:jc w:val="both"/>
        <w:ind w:right="660"/>
        <w:spacing w:after="0" w:line="291" w:lineRule="auto"/>
        <w:rPr>
          <w:sz w:val="20"/>
          <w:szCs w:val="20"/>
          <w:color w:val="auto"/>
        </w:rPr>
      </w:pPr>
      <w:r>
        <w:rPr>
          <w:rFonts w:ascii="Arial" w:cs="Arial" w:eastAsia="Arial" w:hAnsi="Arial"/>
          <w:sz w:val="17"/>
          <w:szCs w:val="17"/>
          <w:color w:val="auto"/>
        </w:rPr>
        <w:t xml:space="preserve">A reconciliation of these non-GAAP financial measures to the most directly comparable financial measures calculated and presented in accordance with GAAP are set forth below as well as in the third quarter 2018 presentation slides available at </w:t>
      </w:r>
      <w:r>
        <w:rPr>
          <w:rFonts w:ascii="Arial" w:cs="Arial" w:eastAsia="Arial" w:hAnsi="Arial"/>
          <w:sz w:val="17"/>
          <w:szCs w:val="17"/>
          <w:u w:val="single" w:color="auto"/>
          <w:color w:val="auto"/>
        </w:rPr>
        <w:t>www.xerox.com/investor</w:t>
      </w:r>
      <w:r>
        <w:rPr>
          <w:rFonts w:ascii="Arial" w:cs="Arial" w:eastAsia="Arial" w:hAnsi="Arial"/>
          <w:sz w:val="17"/>
          <w:szCs w:val="17"/>
          <w:color w:val="auto"/>
        </w:rPr>
        <w:t>.</w:t>
      </w:r>
    </w:p>
    <w:p>
      <w:pPr>
        <w:spacing w:after="0" w:line="1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207" w:lineRule="exact"/>
        <w:rPr>
          <w:sz w:val="20"/>
          <w:szCs w:val="20"/>
          <w:color w:val="auto"/>
        </w:rPr>
      </w:pPr>
    </w:p>
    <w:p>
      <w:pPr>
        <w:jc w:val="both"/>
        <w:ind w:left="340" w:right="22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2"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Restructuring and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Restructuring and related costs include restructuring and asset impairment charges as well as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strategic transformation program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strategic transformation program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2" w:lineRule="exact"/>
        <w:rPr>
          <w:rFonts w:ascii="Arial" w:cs="Arial" w:eastAsia="Arial" w:hAnsi="Arial"/>
          <w:sz w:val="17"/>
          <w:szCs w:val="17"/>
          <w:color w:val="auto"/>
        </w:rPr>
      </w:pPr>
    </w:p>
    <w:p>
      <w:pPr>
        <w:jc w:val="both"/>
        <w:ind w:left="340" w:right="16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Non-service retirement-related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Our defined benefit pension and retiree health costs include several elements impacted by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plan assets and obligations that are primarily driven by changes in the debt and equity markets as well as those that are predominantly legacy in nature and related to employees who are no longer providing current service to the company (e.g. retirees and ex-employees).</w:t>
      </w:r>
    </w:p>
    <w:p>
      <w:pPr>
        <w:ind w:left="340"/>
        <w:spacing w:after="0" w:line="250" w:lineRule="auto"/>
        <w:rPr>
          <w:rFonts w:ascii="Arial" w:cs="Arial" w:eastAsia="Arial" w:hAnsi="Arial"/>
          <w:sz w:val="17"/>
          <w:szCs w:val="17"/>
          <w:color w:val="auto"/>
        </w:rPr>
      </w:pPr>
      <w:r>
        <w:rPr>
          <w:rFonts w:ascii="Arial" w:cs="Arial" w:eastAsia="Arial" w:hAnsi="Arial"/>
          <w:sz w:val="18"/>
          <w:szCs w:val="18"/>
          <w:color w:val="auto"/>
        </w:rPr>
        <w:t>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as a result of our adoption of ASU 2017-07 - Reporting of Retirement Related Benefit Costs in 2018. Adjusted earnings will continue to include the service cost elements of our retirement costs, which is related to current employee service as well as the cost of our defined contribution plans.</w:t>
      </w:r>
    </w:p>
    <w:p>
      <w:pPr>
        <w:spacing w:after="0" w:line="3" w:lineRule="exact"/>
        <w:rPr>
          <w:rFonts w:ascii="Arial" w:cs="Arial" w:eastAsia="Arial" w:hAnsi="Arial"/>
          <w:sz w:val="17"/>
          <w:szCs w:val="17"/>
          <w:color w:val="auto"/>
        </w:rPr>
      </w:pPr>
    </w:p>
    <w:p>
      <w:pPr>
        <w:ind w:left="340" w:right="360" w:hanging="332"/>
        <w:spacing w:after="0" w:line="25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expenses incurred in connection with Xerox's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transaction with Fuji Xerox, which was terminated in May 2018, as well as costs and expenses related to the previously disclosed settlement agreement reached with certain shareholders and litigation related to the terminated transaction and other shareholder actions. These costs are considered incremental to our normal operating charges and were incurred or are expected to be incurred solely as a result of the planned combination transaction and the related shareholder settlement agreement and litigation. Accordingly, we are excluding these expenses from our Adjusted Earnings Measures in order to evaluate our performance on a comparable basis.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65" w:right="259" w:bottom="1440" w:gutter="0" w:footer="0" w:header="0"/>
        </w:sectPr>
      </w:pPr>
    </w:p>
    <w:bookmarkStart w:id="25" w:name="page26"/>
    <w:bookmarkEnd w:id="25"/>
    <w:p>
      <w:pPr>
        <w:ind w:left="340" w:right="120" w:hanging="332"/>
        <w:spacing w:after="0" w:line="26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other charges - Fuji Xerox:</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adjust our 25% share of Fuji Xerox’s net income for similar items noted above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Restructuring and related costs and Transaction and related costs, net based on the same rationale discussed above.</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we also excluded the following item given its discrete, unusual or infrequent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impact on our results for the period.</w:t>
      </w:r>
    </w:p>
    <w:p>
      <w:pPr>
        <w:ind w:left="980" w:right="20" w:hanging="324"/>
        <w:spacing w:after="0" w:line="26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charge in third quarter 2018 related to a change in the provisional estimated impact from the 2017 Tax Cuts and Jobs Act (the "Tax Act"). See the “Income Taxes” section for further explanation.</w:t>
      </w:r>
    </w:p>
    <w:p>
      <w:pPr>
        <w:spacing w:after="0" w:line="1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 Adjusted operating income and margin also include Equity in net income (loss) of unconsolidated affiliates. Equity in net income (loss) of unconsolidated affiliates primarily reflects our 25% share of Fuji Xerox's net income. We include this amount in our measure of operating income and margin as Fuji Xerox is our primary product supplier and intermediary to the Asia/Pacific market for distribution of Xerox branded products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the local country currency. The constant currency impact for signings growth is calculated on the basis of plan currency rates. Management believes the constant currency measure provides investors an additional perspective on revenue trends. Currency impact can be determined as the difference between actual growth rates and constant currency growth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from continuing operations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93"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Net Income and EPS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right"/>
              <w:ind w:right="30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4"/>
          </w:tcPr>
          <w:p>
            <w:pPr>
              <w:jc w:val="right"/>
              <w:ind w:right="768"/>
              <w:spacing w:after="0"/>
              <w:rPr>
                <w:sz w:val="20"/>
                <w:szCs w:val="20"/>
                <w:color w:val="auto"/>
              </w:rPr>
            </w:pPr>
            <w:r>
              <w:rPr>
                <w:rFonts w:ascii="Arial" w:cs="Arial" w:eastAsia="Arial" w:hAnsi="Arial"/>
                <w:sz w:val="14"/>
                <w:szCs w:val="14"/>
                <w:color w:val="auto"/>
              </w:rPr>
              <w:t>Three Months Ended</w:t>
            </w:r>
          </w:p>
        </w:tc>
      </w:t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September 30, 2018</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color w:val="auto"/>
              </w:rPr>
              <w:t>September 30, 2017</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EPS</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EPS</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0.67</w:t>
            </w: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and related costs, net</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22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7"/>
                <w:szCs w:val="17"/>
                <w:color w:val="auto"/>
                <w:vertAlign w:val="superscript"/>
              </w:rPr>
              <w:t>(2)</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(3)</w:t>
            </w:r>
          </w:p>
        </w:tc>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Act</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c>
          <w:tcPr>
            <w:tcW w:w="1100" w:type="dxa"/>
            <w:vAlign w:val="bottom"/>
            <w:tcBorders>
              <w:bottom w:val="single" w:sz="8" w:color="CCEEFF"/>
            </w:tcBorders>
            <w:gridSpan w:val="2"/>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0.85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4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0.89</w:t>
            </w:r>
          </w:p>
        </w:tc>
      </w:tr>
      <w:tr>
        <w:trPr>
          <w:trHeight w:val="25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7"/>
                <w:szCs w:val="17"/>
                <w:color w:val="auto"/>
                <w:vertAlign w:val="superscript"/>
              </w:rPr>
              <w:t>(4)</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(4)</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263</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7"/>
                <w:szCs w:val="17"/>
                <w:color w:val="auto"/>
                <w:vertAlign w:val="superscript"/>
              </w:rPr>
              <w:t>(5)</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130"/>
        </w:trPr>
        <w:tc>
          <w:tcPr>
            <w:tcW w:w="50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from continuing operations attributable to Xerox.</w:t>
      </w:r>
    </w:p>
    <w:p>
      <w:pPr>
        <w:ind w:left="340" w:hanging="332"/>
        <w:spacing w:after="0" w:line="187"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340" w:hanging="332"/>
        <w:spacing w:after="0" w:line="187"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2018 represent costs associated with the terminated combination transaction.</w:t>
      </w:r>
    </w:p>
    <w:p>
      <w:pPr>
        <w:ind w:left="340" w:right="440" w:hanging="332"/>
        <w:spacing w:after="0" w:line="211"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 those periods that exclude the preferred stock dividend, the average shares for the calculations of diluted EPS include 7 million shares associated with our Series B convertible preferred stock, as applicable.</w:t>
      </w:r>
    </w:p>
    <w:p>
      <w:pPr>
        <w:ind w:left="340" w:right="300" w:hanging="332"/>
        <w:spacing w:after="0" w:line="218"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September 30, 2018 as well as shares associated with our Series B convertible preferred stock plus potential dilutive common shares as used for the calculation of diluted earnings per share for the third quarter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color w:val="auto"/>
              </w:rPr>
              <w:t>September 30, 2018</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color w:val="auto"/>
              </w:rPr>
              <w:t>September 30, 2017</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4"/>
                <w:szCs w:val="14"/>
                <w:color w:val="auto"/>
              </w:rPr>
              <w:t>Income Tax</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Act</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Income Tax Expense from continuing operations.</w:t>
      </w:r>
    </w:p>
    <w:p>
      <w:pPr>
        <w:ind w:left="340" w:hanging="332"/>
        <w:spacing w:after="0" w:line="187"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Net Income and EPS reconciliation for details.</w:t>
      </w:r>
    </w:p>
    <w:p>
      <w:pPr>
        <w:ind w:left="340" w:right="100" w:hanging="332"/>
        <w:spacing w:after="0" w:line="218"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tax impact on Adjusted Pre-Tax Income from continuing operations is calculated under the same accounting principles applied to the As Reported Pre-Tax Income under ASC 740, which employs an annual effective tax rate method to the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6"/>
          </w:tcPr>
          <w:p>
            <w:pPr>
              <w:jc w:val="right"/>
              <w:ind w:right="60"/>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6"/>
          </w:tcPr>
          <w:p>
            <w:pPr>
              <w:jc w:val="right"/>
              <w:ind w:right="60"/>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rPr>
              <w:t>September 30, 2018</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rPr>
              <w:t>September 30, 2017</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53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Restructuring and related costs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and related costs, net</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6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expenses, net</w:t>
            </w: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307</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302</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 from continuing operations.</w:t>
      </w:r>
    </w:p>
    <w:p>
      <w:pPr>
        <w:ind w:left="340" w:hanging="332"/>
        <w:spacing w:after="0" w:line="199" w:lineRule="auto"/>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in 2018 represent costs associated with the terminated combination transaction.</w:t>
      </w:r>
    </w:p>
    <w:p>
      <w:pPr>
        <w:sectPr>
          <w:pgSz w:w="11900" w:h="16838" w:orient="portrait"/>
          <w:cols w:equalWidth="0" w:num="1">
            <w:col w:w="11420"/>
          </w:cols>
          <w:pgMar w:left="240" w:top="809" w:right="2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809"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Operating Cash Flow reconciliation:</w:t>
      </w:r>
    </w:p>
    <w:p>
      <w:pPr>
        <w:spacing w:after="0" w:line="249"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r>
      <w:tr>
        <w:trPr>
          <w:trHeight w:val="25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r>
      <w:tr>
        <w:trPr>
          <w:trHeight w:val="264"/>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Add: Voluntary contributions to U.S. defined benefit pension plans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500</w:t>
            </w:r>
          </w:p>
        </w:tc>
      </w:tr>
      <w:tr>
        <w:trPr>
          <w:trHeight w:val="27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 Collections on beneficial interests received in sales of receivables</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44"/>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r>
      <w:tr>
        <w:trPr>
          <w:trHeight w:val="127"/>
        </w:trPr>
        <w:tc>
          <w:tcPr>
            <w:tcW w:w="87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1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cash flow from continuing operations.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Guidance:</w:t>
      </w:r>
    </w:p>
    <w:p>
      <w:pPr>
        <w:spacing w:after="0" w:line="231"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Free Cash Flow</w:t>
      </w:r>
    </w:p>
    <w:p>
      <w:pPr>
        <w:spacing w:after="0" w:line="10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FY 2018</w:t>
            </w:r>
          </w:p>
        </w:tc>
        <w:tc>
          <w:tcPr>
            <w:tcW w:w="660" w:type="dxa"/>
            <w:vAlign w:val="bottom"/>
            <w:tcBorders>
              <w:bottom w:val="single" w:sz="8" w:color="auto"/>
            </w:tcBorders>
          </w:tcPr>
          <w:p>
            <w:pPr>
              <w:spacing w:after="0"/>
              <w:rPr>
                <w:sz w:val="17"/>
                <w:szCs w:val="17"/>
                <w:color w:val="auto"/>
              </w:rPr>
            </w:pPr>
          </w:p>
        </w:tc>
      </w:tr>
      <w:tr>
        <w:trPr>
          <w:trHeight w:val="256"/>
        </w:trPr>
        <w:tc>
          <w:tcPr>
            <w:tcW w:w="8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Cash Flows from Continuing Operations</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$1,100</w:t>
            </w:r>
          </w:p>
        </w:tc>
      </w:tr>
      <w:tr>
        <w:trPr>
          <w:trHeight w:val="264"/>
        </w:trPr>
        <w:tc>
          <w:tcPr>
            <w:tcW w:w="8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capital expenditures</w:t>
            </w:r>
          </w:p>
        </w:tc>
        <w:tc>
          <w:tcPr>
            <w:tcW w:w="1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4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Flows from Continuing Operations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$900</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$1,000</w:t>
            </w:r>
          </w:p>
        </w:tc>
      </w:tr>
      <w:tr>
        <w:trPr>
          <w:trHeight w:val="20"/>
        </w:trPr>
        <w:tc>
          <w:tcPr>
            <w:tcW w:w="8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1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auto"/>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Earnings per Common Share</w:t>
      </w:r>
    </w:p>
    <w:p>
      <w:pPr>
        <w:jc w:val="center"/>
        <w:spacing w:after="0"/>
        <w:rPr>
          <w:sz w:val="20"/>
          <w:szCs w:val="20"/>
          <w:color w:val="auto"/>
        </w:rPr>
      </w:pPr>
      <w:r>
        <w:rPr>
          <w:rFonts w:ascii="Arial" w:cs="Arial" w:eastAsia="Arial" w:hAnsi="Arial"/>
          <w:sz w:val="18"/>
          <w:szCs w:val="18"/>
          <w:color w:val="auto"/>
        </w:rPr>
        <w:t>(in millions except per share data, shares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5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1900" w:type="dxa"/>
            <w:vAlign w:val="bottom"/>
            <w:gridSpan w:val="4"/>
          </w:tcPr>
          <w:p>
            <w:pPr>
              <w:jc w:val="right"/>
              <w:ind w:right="3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8"/>
        </w:trPr>
        <w:tc>
          <w:tcPr>
            <w:tcW w:w="6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6080" w:type="dxa"/>
            <w:vAlign w:val="bottom"/>
          </w:tcPr>
          <w:p>
            <w:pPr>
              <w:ind w:left="40"/>
              <w:spacing w:after="0"/>
              <w:rPr>
                <w:sz w:val="20"/>
                <w:szCs w:val="20"/>
                <w:color w:val="auto"/>
              </w:rPr>
            </w:pPr>
            <w:r>
              <w:rPr>
                <w:rFonts w:ascii="Arial" w:cs="Arial" w:eastAsia="Arial" w:hAnsi="Arial"/>
                <w:sz w:val="14"/>
                <w:szCs w:val="14"/>
                <w:color w:val="auto"/>
              </w:rPr>
              <w:t>Adjusted net income from continuing operations available to common shareholders</w:t>
            </w:r>
          </w:p>
        </w:tc>
        <w:tc>
          <w:tcPr>
            <w:tcW w:w="3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from discontinued operations attributable to Xerox</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83"/>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24"/>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251,290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254,259</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Basic Earnings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 attributable to Xerox</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from continuing operations available to common shareholders</w:t>
            </w: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Net income (loss) from discontinued operations attributable to Xerox</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8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251,290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254,510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253,360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254,259</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issuable with respect to: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2,763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254,053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256,429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4"/>
                <w:szCs w:val="14"/>
                <w:color w:val="auto"/>
              </w:rPr>
              <w:t>The following securities were not included in the computation of diluted earnings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40"/>
              <w:spacing w:after="0"/>
              <w:rPr>
                <w:sz w:val="20"/>
                <w:szCs w:val="20"/>
                <w:color w:val="auto"/>
              </w:rPr>
            </w:pPr>
            <w:r>
              <w:rPr>
                <w:rFonts w:ascii="Arial" w:cs="Arial" w:eastAsia="Arial" w:hAnsi="Arial"/>
                <w:sz w:val="14"/>
                <w:szCs w:val="14"/>
                <w:color w:val="auto"/>
              </w:rPr>
              <w:t>as they were either contingently issuable shares or shares that if included would have been</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80" w:type="dxa"/>
            <w:vAlign w:val="bottom"/>
          </w:tcPr>
          <w:p>
            <w:pPr>
              <w:ind w:left="40"/>
              <w:spacing w:after="0"/>
              <w:rPr>
                <w:sz w:val="20"/>
                <w:szCs w:val="20"/>
                <w:color w:val="auto"/>
              </w:rPr>
            </w:pPr>
            <w:r>
              <w:rPr>
                <w:rFonts w:ascii="Arial" w:cs="Arial" w:eastAsia="Arial" w:hAnsi="Arial"/>
                <w:sz w:val="14"/>
                <w:szCs w:val="14"/>
                <w:color w:val="auto"/>
              </w:rPr>
              <w:t>anti-dilutive:</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3,529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83"/>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Anti-Dilutive Securities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11,323</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11,211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10,594</w:t>
            </w:r>
          </w:p>
        </w:tc>
        <w:tc>
          <w:tcPr>
            <w:tcW w:w="0" w:type="dxa"/>
            <w:vAlign w:val="bottom"/>
          </w:tcPr>
          <w:p>
            <w:pPr>
              <w:spacing w:after="0"/>
              <w:rPr>
                <w:sz w:val="1"/>
                <w:szCs w:val="1"/>
                <w:color w:val="auto"/>
              </w:rPr>
            </w:pPr>
          </w:p>
        </w:tc>
      </w:tr>
      <w:tr>
        <w:trPr>
          <w:trHeight w:val="264"/>
        </w:trPr>
        <w:tc>
          <w:tcPr>
            <w:tcW w:w="6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2" w:right="23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25"/>
          <w:szCs w:val="25"/>
          <w:b w:val="1"/>
          <w:bCs w:val="1"/>
          <w:color w:val="auto"/>
        </w:rPr>
        <w:t>APPENDIX II</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Xerox Corporation</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Geographic Sales Channels and Product/Offering Definitions</w:t>
      </w:r>
    </w:p>
    <w:p>
      <w:pPr>
        <w:spacing w:after="0" w:line="200" w:lineRule="exact"/>
        <w:rPr>
          <w:sz w:val="20"/>
          <w:szCs w:val="20"/>
          <w:color w:val="auto"/>
        </w:rPr>
      </w:pPr>
    </w:p>
    <w:p>
      <w:pPr>
        <w:spacing w:after="0" w:line="2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w:t>
      </w:r>
    </w:p>
    <w:p>
      <w:pPr>
        <w:spacing w:after="0" w:line="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North America, which includes our sales channels in the U.S. and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International, which includes our sales channels in Europe, Eurasia, Latin America,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primarily includes our OEM business, as well as sales to and royalties from Fuji Xerox, and our licensing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right="240" w:hanging="328"/>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Managed Document Services (MDS) revenue, which includes solutions and services that span from managing print to automating processes to managing content. Our primary offerings within MDS are Managed Print Services (including from Global Imaging Systems), as well as workflow automation services, and Centralized Print Services and Solutions (CPS). MDS excludes Communication and Marketing Solutions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sectPr>
      <w:pgSz w:w="11900" w:h="16838" w:orient="portrait"/>
      <w:cols w:equalWidth="0" w:num="1">
        <w:col w:w="11200"/>
      </w:cols>
      <w:pgMar w:left="240" w:top="58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lvl w:ilvl="1">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lvl w:ilvl="1">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2019-12-28T19:08:52Z</dcterms:created>
  <dcterms:modified xsi:type="dcterms:W3CDTF">2019-12-28T19:08:52Z</dcterms:modified>
</cp:coreProperties>
</file>