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Xerox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0000FF"/>
        </w:rPr>
        <w:t>Frantisek Bostl</w:t>
      </w:r>
    </w:p>
    <w:p>
      <w:pPr>
        <w:spacing w:after="0" w:line="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0000FF"/>
        </w:rPr>
        <w:t>Plynarni 1617/10,,</w:t>
      </w:r>
    </w:p>
    <w:p>
      <w:pPr>
        <w:ind w:left="3900"/>
        <w:spacing w:after="0" w:line="230" w:lineRule="auto"/>
        <w:rPr>
          <w:sz w:val="20"/>
          <w:szCs w:val="20"/>
          <w:color w:val="auto"/>
        </w:rPr>
      </w:pPr>
      <w:r>
        <w:rPr>
          <w:rFonts w:ascii="Times New Roman" w:cs="Times New Roman" w:eastAsia="Times New Roman" w:hAnsi="Times New Roman"/>
          <w:sz w:val="22"/>
          <w:szCs w:val="22"/>
          <w:b w:val="1"/>
          <w:bCs w:val="1"/>
          <w:color w:val="0000FF"/>
        </w:rPr>
        <w:t>Prague 7, 2N, 17000</w:t>
      </w:r>
    </w:p>
    <w:p>
      <w:pPr>
        <w:spacing w:after="0" w:line="1"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420-604-215-002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STARTEEPO Invest, investicni fond s promennym zakladnim kapitalem, a.s.</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CZECH REPUBLIC</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40" w:type="dxa"/>
            <w:vAlign w:val="bottom"/>
            <w:vMerge w:val="continue"/>
          </w:tcPr>
          <w:p>
            <w:pPr>
              <w:spacing w:after="0"/>
              <w:rPr>
                <w:sz w:val="3"/>
                <w:szCs w:val="3"/>
                <w:color w:val="auto"/>
              </w:rPr>
            </w:pP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6,500,000.00</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6,500,000.00</w:t>
            </w:r>
          </w:p>
        </w:tc>
        <w:tc>
          <w:tcPr>
            <w:tcW w:w="0" w:type="dxa"/>
            <w:vAlign w:val="bottom"/>
          </w:tcPr>
          <w:p>
            <w:pPr>
              <w:spacing w:after="0"/>
              <w:rPr>
                <w:sz w:val="1"/>
                <w:szCs w:val="1"/>
                <w:color w:val="auto"/>
              </w:rPr>
            </w:pPr>
          </w:p>
        </w:tc>
      </w:tr>
      <w:tr>
        <w:trPr>
          <w:trHeight w:val="338"/>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6,500,000.00</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0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4.97 %</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Row 13: Based on 130,779,611 shares of Common Stock outstanding as of April 30, 2026, as reported in the</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340"/>
              <w:spacing w:after="0" w:line="229" w:lineRule="exact"/>
              <w:rPr>
                <w:sz w:val="20"/>
                <w:szCs w:val="20"/>
                <w:color w:val="auto"/>
              </w:rPr>
            </w:pPr>
            <w:r>
              <w:rPr>
                <w:rFonts w:ascii="Times New Roman" w:cs="Times New Roman" w:eastAsia="Times New Roman" w:hAnsi="Times New Roman"/>
                <w:sz w:val="22"/>
                <w:szCs w:val="22"/>
                <w:color w:val="auto"/>
              </w:rPr>
              <w:t>Issuer's Quarterly Report on Form 10-Q for the period ended March 31, 2026, as filed with the Securities and</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340"/>
              <w:spacing w:after="0" w:line="240" w:lineRule="exact"/>
              <w:rPr>
                <w:sz w:val="20"/>
                <w:szCs w:val="20"/>
                <w:color w:val="auto"/>
              </w:rPr>
            </w:pPr>
            <w:r>
              <w:rPr>
                <w:rFonts w:ascii="Times New Roman" w:cs="Times New Roman" w:eastAsia="Times New Roman" w:hAnsi="Times New Roman"/>
                <w:sz w:val="22"/>
                <w:szCs w:val="22"/>
                <w:color w:val="auto"/>
              </w:rPr>
              <w:t>Exchange Commission (the "SEC") on May 7, 2026.</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-5400675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-1894205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Frantisek Bostl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spacing w:after="0" w:line="66"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CZECH REPUBLIC</w:t>
            </w: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1,640,000.00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6,500,000.00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1,640,000.00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6,500,000.00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8,140,000.00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6.22 %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 7, Row 9, and Row 11: Consists of (i) 1,500,000 shares of Common Stock and (ii) 140,000 shares of Common</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Stock underlying call options, as described in Item 6, held directly by Mr. Bostl. Row 8, Row 10, and Row 11:</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Represents 6,500,000 shares of Common Stock held of record by the Fund for which Mr. Bostl may be deemed to be a</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beneficial owner as the Chief Investment Officer and Chairman of the Board of Directors of the Fund and owner of all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of the voting shares of the Fund. Mr. Bostl disclaims beneficial ownership of the Common Stock held by the Fund</w:t>
      </w:r>
    </w:p>
    <w:p>
      <w:pPr>
        <w:jc w:val="both"/>
        <w:ind w:left="920"/>
        <w:spacing w:after="0" w:line="235" w:lineRule="auto"/>
        <w:rPr>
          <w:sz w:val="20"/>
          <w:szCs w:val="20"/>
          <w:color w:val="auto"/>
        </w:rPr>
      </w:pPr>
      <w:r>
        <w:rPr>
          <w:rFonts w:ascii="Times New Roman" w:cs="Times New Roman" w:eastAsia="Times New Roman" w:hAnsi="Times New Roman"/>
          <w:sz w:val="22"/>
          <w:szCs w:val="22"/>
          <w:color w:val="auto"/>
        </w:rPr>
        <w:t>except to the extent of his direct pecuniary interest therein. Row 13: Based on 130,779,611 shares of Common Stock outstanding as of April 30, 2026, as reported in the Issuer's Quarterly Report on Form 10-Q for the period ended March 31, 2026, as filed with the SEC on May 7,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Xerox Holdings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P.O. Box 4505, 401 Merritt 7, Norwalk, CONNECTICUT , 06851-1059.</w:t>
      </w:r>
    </w:p>
    <w:p>
      <w:pPr>
        <w:spacing w:after="0" w:line="20" w:lineRule="exact"/>
        <w:rPr>
          <w:sz w:val="20"/>
          <w:szCs w:val="20"/>
          <w:color w:val="auto"/>
        </w:rPr>
      </w:pPr>
    </w:p>
    <w:p>
      <w:pPr>
        <w:jc w:val="right"/>
        <w:ind w:left="40" w:right="40"/>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to the Schedule 13D is being filed by (i) STARTEEPO Invest, investicni fond s promennym</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zakladnim kapitalem, a.s. (the "Fund") and (ii) Frantisek Bostl (collectively, the "Reporting Persons", and each,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"Reporting Person") to report the acquisition of common stock, $1 par value per share (the "Common Stock"), of Xerox Holdings Corporation (the "Issuer"). The Schedule 13D filed by the Reporting Persons with the Securities and Exchange Commission (the "SEC") on May 14, 2026 (the "Schedule"), is hereby amended and supplemented by the Reporting Persons as set forth below in this amendment. This amendment is filed by the Reporting Persons in accordance with Rule 13d-2 of the Securities Exchange Act of 1934, as amended, and refers only to information that has materially changed since the filing of the Schedule. The items identified below, or the particular paragraphs of such items which are identified below, are amended as set forth below. Unless otherwise indicated, all capitalized</w:t>
      </w:r>
    </w:p>
    <w:p>
      <w:pPr>
        <w:spacing w:after="0" w:line="1" w:lineRule="exact"/>
        <w:rPr>
          <w:sz w:val="20"/>
          <w:szCs w:val="20"/>
          <w:color w:val="auto"/>
        </w:rPr>
      </w:pPr>
    </w:p>
    <w:p>
      <w:pPr>
        <w:ind w:left="40" w:right="1780" w:firstLine="952"/>
        <w:spacing w:after="0" w:line="270" w:lineRule="auto"/>
        <w:rPr>
          <w:sz w:val="20"/>
          <w:szCs w:val="20"/>
          <w:color w:val="auto"/>
        </w:rPr>
      </w:pPr>
      <w:r>
        <w:rPr>
          <w:rFonts w:ascii="Times New Roman" w:cs="Times New Roman" w:eastAsia="Times New Roman" w:hAnsi="Times New Roman"/>
          <w:sz w:val="22"/>
          <w:szCs w:val="22"/>
          <w:color w:val="auto"/>
        </w:rPr>
        <w:t>terms used and not defined herein have the respective meanings assigned to them in the Schedule. Item 3. Source and Amount of Funds or Other Consideration</w:t>
      </w:r>
    </w:p>
    <w:p>
      <w:pPr>
        <w:spacing w:after="0" w:line="1" w:lineRule="exact"/>
        <w:rPr>
          <w:sz w:val="20"/>
          <w:szCs w:val="20"/>
          <w:color w:val="auto"/>
        </w:rPr>
      </w:pPr>
    </w:p>
    <w:p>
      <w:pPr>
        <w:ind w:left="960" w:right="360"/>
        <w:spacing w:after="0" w:line="282" w:lineRule="auto"/>
        <w:rPr>
          <w:sz w:val="20"/>
          <w:szCs w:val="20"/>
          <w:color w:val="auto"/>
        </w:rPr>
      </w:pPr>
      <w:r>
        <w:rPr>
          <w:rFonts w:ascii="Times New Roman" w:cs="Times New Roman" w:eastAsia="Times New Roman" w:hAnsi="Times New Roman"/>
          <w:sz w:val="21"/>
          <w:szCs w:val="21"/>
          <w:color w:val="auto"/>
        </w:rPr>
        <w:t>All of the securities reported herein were purchased by the applicable Reporting Persons for an aggregate purchase price of $18,785,633, comprised of (i) $18,593,633 paid for shares of Common Stock and (ii) $192,000 paid in</w:t>
      </w:r>
    </w:p>
    <w:p>
      <w:pPr>
        <w:sectPr>
          <w:pgSz w:w="11900" w:h="16905" w:orient="portrait"/>
          <w:cols w:equalWidth="0" w:num="1">
            <w:col w:w="11240"/>
          </w:cols>
          <w:pgMar w:left="320" w:top="111" w:right="339" w:bottom="0" w:gutter="0" w:footer="0" w:header="0"/>
        </w:sectPr>
      </w:pPr>
    </w:p>
    <w:bookmarkStart w:id="3" w:name="page4"/>
    <w:bookmarkEnd w:id="3"/>
    <w:p>
      <w:pPr>
        <w:jc w:val="both"/>
        <w:ind w:left="920" w:right="220"/>
        <w:spacing w:after="0" w:line="244" w:lineRule="auto"/>
        <w:rPr>
          <w:sz w:val="20"/>
          <w:szCs w:val="20"/>
          <w:color w:val="auto"/>
        </w:rPr>
      </w:pPr>
      <w:r>
        <w:rPr>
          <w:rFonts w:ascii="Times New Roman" w:cs="Times New Roman" w:eastAsia="Times New Roman" w:hAnsi="Times New Roman"/>
          <w:sz w:val="22"/>
          <w:szCs w:val="22"/>
          <w:color w:val="auto"/>
        </w:rPr>
        <w:t>premiums for call options purchased by Mr. Bostl. The Common Stock held by the Fund was purchased in the open market with working capital of the Fund. The Common Stock and call options held by Mr. Bostl were purchased in the open market with his personal funds.</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53" w:lineRule="auto"/>
        <w:rPr>
          <w:sz w:val="20"/>
          <w:szCs w:val="20"/>
          <w:color w:val="auto"/>
        </w:rPr>
      </w:pPr>
      <w:r>
        <w:rPr>
          <w:rFonts w:ascii="Times New Roman" w:cs="Times New Roman" w:eastAsia="Times New Roman" w:hAnsi="Times New Roman"/>
          <w:sz w:val="21"/>
          <w:szCs w:val="21"/>
          <w:color w:val="auto"/>
        </w:rPr>
        <w:t>The responses of each of the Reporting Persons with respect to rows (11) and (13) of the cover pages to this Schedule 13D that relate to the aggregate number of shares of Common Stock and percentage of the shares of Common Stock</w:t>
      </w:r>
    </w:p>
    <w:p>
      <w:pPr>
        <w:spacing w:after="0" w:line="1" w:lineRule="exact"/>
        <w:rPr>
          <w:sz w:val="20"/>
          <w:szCs w:val="20"/>
          <w:color w:val="auto"/>
        </w:rPr>
      </w:pPr>
    </w:p>
    <w:p>
      <w:pPr>
        <w:ind w:left="920" w:right="240" w:hanging="912"/>
        <w:spacing w:after="0" w:line="189"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beneficially owned by each of the Reporting Persons (including without limitation, the footnotes thereto) are incorporated by reference into this Item 5(a). The percentage used in this Schedule 13D is calculated based upon 130,779,611 shares of Common Stock outstanding as of April 30, 2026, as reported in the Issuer's Quarterly Report on Form 10-Q for the period ended March 31, 2026, as filed with the SEC on May 7, 2026.</w:t>
      </w:r>
    </w:p>
    <w:p>
      <w:pPr>
        <w:spacing w:after="0" w:line="14" w:lineRule="exact"/>
        <w:rPr>
          <w:rFonts w:ascii="Times New Roman" w:cs="Times New Roman" w:eastAsia="Times New Roman" w:hAnsi="Times New Roman"/>
          <w:sz w:val="43"/>
          <w:szCs w:val="43"/>
          <w:color w:val="auto"/>
          <w:vertAlign w:val="subscript"/>
        </w:rPr>
      </w:pPr>
    </w:p>
    <w:p>
      <w:pPr>
        <w:ind w:left="920" w:right="340"/>
        <w:spacing w:after="0" w:line="25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The responses of each of the Reporting Persons with respect to rows (7) through (10) of the cover pages to this Schedule 13D that relate to the number of shares of Common Stock as to which each of the Reporting Persons has</w:t>
      </w:r>
    </w:p>
    <w:p>
      <w:pPr>
        <w:ind w:left="920" w:right="100" w:hanging="912"/>
        <w:spacing w:after="0" w:line="235"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or shared power to vote or to direct the vote of and sole or shared power to dispose of or to direct the disposition of (including, without limitation, the footnotes thereto) are incorporated herein by reference is incorporated by reference into this Item 5(b).</w:t>
      </w:r>
    </w:p>
    <w:p>
      <w:pPr>
        <w:spacing w:after="0" w:line="15" w:lineRule="exact"/>
        <w:rPr>
          <w:rFonts w:ascii="Times New Roman" w:cs="Times New Roman" w:eastAsia="Times New Roman" w:hAnsi="Times New Roman"/>
          <w:sz w:val="22"/>
          <w:szCs w:val="22"/>
          <w:color w:val="auto"/>
        </w:rPr>
      </w:pPr>
    </w:p>
    <w:p>
      <w:pPr>
        <w:ind w:left="920" w:right="1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All transactions of the Reporting Persons in the Common Stock effected since the filing of the Schedule are set forth on Exhibit 99.4 hereto and that information is incorporated by reference herein.</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200"/>
        <w:spacing w:after="0" w:line="256" w:lineRule="auto"/>
        <w:rPr>
          <w:sz w:val="20"/>
          <w:szCs w:val="20"/>
          <w:color w:val="auto"/>
        </w:rPr>
      </w:pPr>
      <w:r>
        <w:rPr>
          <w:rFonts w:ascii="Times New Roman" w:cs="Times New Roman" w:eastAsia="Times New Roman" w:hAnsi="Times New Roman"/>
          <w:sz w:val="22"/>
          <w:szCs w:val="22"/>
          <w:color w:val="auto"/>
        </w:rPr>
        <w:t>The Reporting Persons have entered into a Joint Filing Agreement dated as of June 3, 2026, a copy of which is filed herewith as Exhibit 99.3.</w:t>
      </w: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80"/>
        <w:spacing w:after="0" w:line="258" w:lineRule="auto"/>
        <w:rPr>
          <w:sz w:val="20"/>
          <w:szCs w:val="20"/>
          <w:color w:val="auto"/>
        </w:rPr>
      </w:pPr>
      <w:r>
        <w:rPr>
          <w:rFonts w:ascii="Times New Roman" w:cs="Times New Roman" w:eastAsia="Times New Roman" w:hAnsi="Times New Roman"/>
          <w:sz w:val="22"/>
          <w:szCs w:val="22"/>
          <w:color w:val="auto"/>
        </w:rPr>
        <w:t>Exhibit 99.3 Joint Filing Agreement, dated as of June 3, 2026, by and among the Reporting Persons Exhibit 99.4 Trading Data</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STARTEEPO Invest, investicni fond s promennym zakladnim</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kapitalem, a.s.</w:t>
      </w:r>
    </w:p>
    <w:p>
      <w:pPr>
        <w:spacing w:after="0" w:line="128"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Frantisek Bostl</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Chief</w:t>
      </w:r>
      <w:r>
        <w:rPr>
          <w:rFonts w:ascii="Times New Roman" w:cs="Times New Roman" w:eastAsia="Times New Roman" w:hAnsi="Times New Roman"/>
          <w:sz w:val="37"/>
          <w:szCs w:val="37"/>
          <w:color w:val="auto"/>
          <w:vertAlign w:val="subscript"/>
        </w:rPr>
        <w:t>Board</w:t>
      </w:r>
      <w:r>
        <w:rPr>
          <w:rFonts w:ascii="Times New Roman" w:cs="Times New Roman" w:eastAsia="Times New Roman" w:hAnsi="Times New Roman"/>
          <w:sz w:val="19"/>
          <w:szCs w:val="19"/>
          <w:color w:val="auto"/>
        </w:rPr>
        <w:t xml:space="preserve"> Investment Officer and Chairman of the</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Frantisek Bostl</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Frantisek Bostl</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Frantisek Bostl</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06/03/2026</w:t>
      </w:r>
    </w:p>
    <w:p>
      <w:pPr>
        <w:sectPr>
          <w:pgSz w:w="11900" w:h="16838" w:orient="portrait"/>
          <w:cols w:equalWidth="0" w:num="1">
            <w:col w:w="11140"/>
          </w:cols>
          <w:pgMar w:left="360" w:top="112" w:right="3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undersigned hereby agree to jointly prepare and file with regulatory authorities this Schedule 13D and any future amendments thereto reporting each of the undersigned’s ownership of securities of Xerox Holdings Corporation, and hereby affirm that such Schedule 13D is being filed on behalf of each of the undersigned pursuant to and in accordance with the provisions of Rule 13d-1(k) under the Securities Exchange Act of 1934, as amended.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 except to the extent that he or it knows or has reason to believe that such information is inaccurate.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this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day of June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STARTEEPO Invest, investicni fond s promennym zakladnim kapitalem,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Frantisek Bostl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Frantisek Bostl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Investment Officer and Chairman of the Board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Frantisek Bostl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Frantisek Bostl</w:t>
            </w:r>
          </w:p>
        </w:tc>
        <w:tc>
          <w:tcPr>
            <w:tcW w:w="5620" w:type="dxa"/>
            <w:vAlign w:val="bottom"/>
          </w:tcPr>
          <w:p>
            <w:pPr>
              <w:spacing w:after="0"/>
              <w:rPr>
                <w:sz w:val="20"/>
                <w:szCs w:val="20"/>
                <w:color w:val="auto"/>
              </w:rPr>
            </w:pPr>
          </w:p>
        </w:tc>
      </w:tr>
      <w:tr>
        <w:trPr>
          <w:trHeight w:val="234"/>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Frantisek Bostl</w:t>
            </w:r>
          </w:p>
        </w:tc>
        <w:tc>
          <w:tcPr>
            <w:tcW w:w="5620" w:type="dxa"/>
            <w:vAlign w:val="bottom"/>
          </w:tcPr>
          <w:p>
            <w:pPr>
              <w:spacing w:after="0"/>
              <w:rPr>
                <w:sz w:val="20"/>
                <w:szCs w:val="20"/>
                <w:color w:val="auto"/>
              </w:rPr>
            </w:pPr>
          </w:p>
        </w:tc>
      </w:tr>
      <w:tr>
        <w:trPr>
          <w:trHeight w:val="414"/>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Data</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all transactions in the Common Stock effected by the Reporting Persons in respect of the shares of Common Stock since the filing of the Schedule.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STARTEEPO Invest, investicni fond s promennym zakladnim kapitalem, a.s</w:t>
            </w:r>
            <w:r>
              <w:rPr>
                <w:rFonts w:ascii="Times New Roman" w:cs="Times New Roman" w:eastAsia="Times New Roman" w:hAnsi="Times New Roman"/>
                <w:sz w:val="18"/>
                <w:szCs w:val="18"/>
                <w:color w:val="auto"/>
              </w:rPr>
              <w:t>.</w:t>
            </w: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2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Purchase Price ($)</w:t>
            </w:r>
          </w:p>
        </w:tc>
      </w:tr>
      <w:tr>
        <w:trPr>
          <w:trHeight w:val="209"/>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05.26.2026</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05.26.2026</w:t>
            </w:r>
          </w:p>
        </w:tc>
        <w:tc>
          <w:tcPr>
            <w:tcW w:w="220" w:type="dxa"/>
            <w:vAlign w:val="bottom"/>
          </w:tcPr>
          <w:p>
            <w:pPr>
              <w:spacing w:after="0"/>
              <w:rPr>
                <w:sz w:val="18"/>
                <w:szCs w:val="18"/>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3.055</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05.26.2026</w:t>
            </w:r>
          </w:p>
        </w:tc>
        <w:tc>
          <w:tcPr>
            <w:tcW w:w="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400,000</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2.9813</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05.26.2026</w:t>
            </w:r>
          </w:p>
        </w:tc>
        <w:tc>
          <w:tcPr>
            <w:tcW w:w="220" w:type="dxa"/>
            <w:vAlign w:val="bottom"/>
          </w:tcPr>
          <w:p>
            <w:pPr>
              <w:spacing w:after="0"/>
              <w:rPr>
                <w:sz w:val="18"/>
                <w:szCs w:val="18"/>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300,000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3.189</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05.28.2026</w:t>
            </w:r>
          </w:p>
        </w:tc>
        <w:tc>
          <w:tcPr>
            <w:tcW w:w="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70,000</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3.2295</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05.28.2026</w:t>
            </w:r>
          </w:p>
        </w:tc>
        <w:tc>
          <w:tcPr>
            <w:tcW w:w="220" w:type="dxa"/>
            <w:vAlign w:val="bottom"/>
          </w:tcPr>
          <w:p>
            <w:pPr>
              <w:spacing w:after="0"/>
              <w:rPr>
                <w:sz w:val="18"/>
                <w:szCs w:val="18"/>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300,000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3.1857</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06.01.2026</w:t>
            </w:r>
          </w:p>
        </w:tc>
        <w:tc>
          <w:tcPr>
            <w:tcW w:w="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30,000</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06.02.2026</w:t>
            </w:r>
          </w:p>
        </w:tc>
        <w:tc>
          <w:tcPr>
            <w:tcW w:w="220" w:type="dxa"/>
            <w:vAlign w:val="bottom"/>
          </w:tcPr>
          <w:p>
            <w:pPr>
              <w:spacing w:after="0"/>
              <w:rPr>
                <w:sz w:val="20"/>
                <w:szCs w:val="20"/>
                <w:color w:val="auto"/>
              </w:rPr>
            </w:pP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100,000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3.1574</w:t>
            </w:r>
          </w:p>
        </w:tc>
      </w:tr>
      <w:tr>
        <w:trPr>
          <w:trHeight w:val="41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Frantisek Bostl</w:t>
            </w: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24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Purchase Price ($)</w:t>
            </w:r>
          </w:p>
        </w:tc>
      </w:tr>
      <w:tr>
        <w:trPr>
          <w:trHeight w:val="210"/>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05.28.2026</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3.1673</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6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6"/>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2026-06-03T15:07:21Z</dcterms:created>
  <dcterms:modified xsi:type="dcterms:W3CDTF">2026-06-03T15:07:21Z</dcterms:modified>
</cp:coreProperties>
</file>