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0"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October 29, 2026.</w:t>
      </w:r>
    </w:p>
    <w:p>
      <w:pPr>
        <w:spacing w:after="0" w:line="24" w:lineRule="exact"/>
        <w:rPr>
          <w:sz w:val="24"/>
          <w:szCs w:val="24"/>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852805</wp:posOffset>
            </wp:positionH>
            <wp:positionV relativeFrom="paragraph">
              <wp:posOffset>58420</wp:posOffset>
            </wp:positionV>
            <wp:extent cx="54622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62270" cy="6985"/>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92075</wp:posOffset>
            </wp:positionV>
            <wp:extent cx="54622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2270" cy="6985"/>
                    </a:xfrm>
                    <a:prstGeom prst="rect">
                      <a:avLst/>
                    </a:prstGeom>
                    <a:noFill/>
                  </pic:spPr>
                </pic:pic>
              </a:graphicData>
            </a:graphic>
          </wp:anchor>
        </w:drawing>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78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172085</wp:posOffset>
            </wp:positionV>
            <wp:extent cx="11512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3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120"/>
        <w:spacing w:after="0" w:line="232"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179070</wp:posOffset>
            </wp:positionV>
            <wp:extent cx="11512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1255" cy="698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319405</wp:posOffset>
            </wp:positionV>
            <wp:extent cx="736600" cy="153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6600" cy="153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34"/>
          <w:szCs w:val="34"/>
          <w:b w:val="1"/>
          <w:bCs w:val="1"/>
          <w:color w:val="auto"/>
        </w:rPr>
        <w:t>XEROX HOLDINGS CORPORATION</w:t>
      </w:r>
    </w:p>
    <w:p>
      <w:pPr>
        <w:spacing w:after="0" w:line="39" w:lineRule="exact"/>
        <w:rPr>
          <w:sz w:val="24"/>
          <w:szCs w:val="24"/>
          <w:color w:val="auto"/>
        </w:rPr>
      </w:pPr>
    </w:p>
    <w:tbl>
      <w:tblPr>
        <w:tblLayout w:type="fixed"/>
        <w:tblInd w:w="2780" w:type="dxa"/>
        <w:tblCellMar>
          <w:top w:w="0" w:type="dxa"/>
          <w:left w:w="0" w:type="dxa"/>
          <w:bottom w:w="0" w:type="dxa"/>
          <w:right w:w="0" w:type="dxa"/>
        </w:tblCellMar>
      </w:tblPr>
      <w:tr>
        <w:trPr>
          <w:trHeight w:val="185"/>
        </w:trPr>
        <w:tc>
          <w:tcPr>
            <w:tcW w:w="452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000" w:type="dxa"/>
            <w:vAlign w:val="bottom"/>
          </w:tcPr>
          <w:p>
            <w:pPr>
              <w:spacing w:after="0"/>
              <w:rPr>
                <w:sz w:val="16"/>
                <w:szCs w:val="16"/>
                <w:color w:val="auto"/>
              </w:rPr>
            </w:pPr>
          </w:p>
        </w:tc>
      </w:tr>
      <w:tr>
        <w:trPr>
          <w:trHeight w:val="267"/>
        </w:trPr>
        <w:tc>
          <w:tcPr>
            <w:tcW w:w="1960" w:type="dxa"/>
            <w:vAlign w:val="bottom"/>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351"/>
        </w:trPr>
        <w:tc>
          <w:tcPr>
            <w:tcW w:w="4520" w:type="dxa"/>
            <w:vAlign w:val="bottom"/>
            <w:gridSpan w:val="3"/>
          </w:tcPr>
          <w:p>
            <w:pPr>
              <w:jc w:val="center"/>
              <w:ind w:right="3040"/>
              <w:spacing w:after="0"/>
              <w:rPr>
                <w:sz w:val="20"/>
                <w:szCs w:val="20"/>
                <w:color w:val="auto"/>
              </w:rPr>
            </w:pPr>
            <w:r>
              <w:rPr>
                <w:rFonts w:ascii="Times New Roman" w:cs="Times New Roman" w:eastAsia="Times New Roman" w:hAnsi="Times New Roman"/>
                <w:sz w:val="14"/>
                <w:szCs w:val="14"/>
                <w:b w:val="1"/>
                <w:bCs w:val="1"/>
                <w:color w:val="auto"/>
                <w:w w:val="98"/>
              </w:rPr>
              <w:t>New York</w:t>
            </w:r>
          </w:p>
        </w:tc>
        <w:tc>
          <w:tcPr>
            <w:tcW w:w="100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83-3933743</w:t>
            </w:r>
          </w:p>
        </w:tc>
      </w:tr>
      <w:tr>
        <w:trPr>
          <w:trHeight w:val="116"/>
        </w:trPr>
        <w:tc>
          <w:tcPr>
            <w:tcW w:w="4520" w:type="dxa"/>
            <w:vAlign w:val="bottom"/>
            <w:gridSpan w:val="3"/>
          </w:tcPr>
          <w:p>
            <w:pPr>
              <w:jc w:val="center"/>
              <w:ind w:right="3040"/>
              <w:spacing w:after="0" w:line="116"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000" w:type="dxa"/>
            <w:vAlign w:val="bottom"/>
          </w:tcPr>
          <w:p>
            <w:pPr>
              <w:jc w:val="center"/>
              <w:ind w:left="59"/>
              <w:spacing w:after="0" w:line="116"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8"/>
        </w:trPr>
        <w:tc>
          <w:tcPr>
            <w:tcW w:w="4520" w:type="dxa"/>
            <w:vAlign w:val="bottom"/>
            <w:gridSpan w:val="3"/>
          </w:tcPr>
          <w:p>
            <w:pPr>
              <w:jc w:val="center"/>
              <w:ind w:right="30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000" w:type="dxa"/>
            <w:vAlign w:val="bottom"/>
          </w:tcPr>
          <w:p>
            <w:pPr>
              <w:jc w:val="center"/>
              <w:ind w:left="5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401 Merritt 7</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Norwalk, Connecticut 06851-1059</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(203) 849-5216</w:t>
      </w:r>
    </w:p>
    <w:p>
      <w:pPr>
        <w:spacing w:after="0" w:line="3"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177165</wp:posOffset>
            </wp:positionV>
            <wp:extent cx="11512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Flor M. Colón</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Chief Legal Officer and Corporate Secretary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Xerox Holdings Corporation</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401 Merritt 7</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Norwalk, Connecticut 06851-1059</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(203) 849-5216</w:t>
      </w:r>
    </w:p>
    <w:p>
      <w:pPr>
        <w:spacing w:after="0" w:line="3"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170815</wp:posOffset>
            </wp:positionV>
            <wp:extent cx="11512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i w:val="1"/>
          <w:iCs w:val="1"/>
          <w:color w:val="auto"/>
        </w:rPr>
        <w:t>Copy to:</w:t>
      </w:r>
    </w:p>
    <w:p>
      <w:pPr>
        <w:spacing w:after="0" w:line="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Kenneth B. Wallach</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Catherine C. Ciriello</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Simpson Thacher &amp; Bartlett LLP</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425 Lexington Avenue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New York, New York 10017</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3007995</wp:posOffset>
            </wp:positionH>
            <wp:positionV relativeFrom="paragraph">
              <wp:posOffset>179070</wp:posOffset>
            </wp:positionV>
            <wp:extent cx="115125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the effective date of this Registration Statement.</w:t>
      </w:r>
    </w:p>
    <w:p>
      <w:pPr>
        <w:spacing w:after="0" w:line="178" w:lineRule="exact"/>
        <w:rPr>
          <w:sz w:val="24"/>
          <w:szCs w:val="24"/>
          <w:color w:val="auto"/>
        </w:rPr>
      </w:pPr>
    </w:p>
    <w:p>
      <w:pPr>
        <w:ind w:left="1340" w:right="519"/>
        <w:spacing w:after="0" w:line="187"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33" w:lineRule="exact"/>
        <w:rPr>
          <w:sz w:val="24"/>
          <w:szCs w:val="24"/>
          <w:color w:val="auto"/>
        </w:rPr>
      </w:pPr>
    </w:p>
    <w:p>
      <w:pPr>
        <w:ind w:left="1340" w:right="299"/>
        <w:spacing w:after="0" w:line="187"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3" w:lineRule="exact"/>
        <w:rPr>
          <w:sz w:val="24"/>
          <w:szCs w:val="24"/>
          <w:color w:val="auto"/>
        </w:rPr>
      </w:pPr>
    </w:p>
    <w:p>
      <w:pPr>
        <w:ind w:left="1340" w:right="299"/>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3" w:lineRule="exact"/>
        <w:rPr>
          <w:sz w:val="24"/>
          <w:szCs w:val="24"/>
          <w:color w:val="auto"/>
        </w:rPr>
      </w:pPr>
    </w:p>
    <w:p>
      <w:pPr>
        <w:ind w:left="1340" w:right="459"/>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3" w:lineRule="exact"/>
        <w:rPr>
          <w:sz w:val="24"/>
          <w:szCs w:val="24"/>
          <w:color w:val="auto"/>
        </w:rPr>
      </w:pPr>
    </w:p>
    <w:p>
      <w:pPr>
        <w:ind w:left="1340" w:right="259"/>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33" w:lineRule="exact"/>
        <w:rPr>
          <w:sz w:val="24"/>
          <w:szCs w:val="24"/>
          <w:color w:val="auto"/>
        </w:rPr>
      </w:pPr>
    </w:p>
    <w:p>
      <w:pPr>
        <w:ind w:left="1340" w:right="399"/>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3" w:lineRule="exact"/>
        <w:rPr>
          <w:sz w:val="24"/>
          <w:szCs w:val="24"/>
          <w:color w:val="auto"/>
        </w:rPr>
      </w:pPr>
    </w:p>
    <w:p>
      <w:pPr>
        <w:ind w:left="1340" w:right="219"/>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5" w:lineRule="exact"/>
        <w:rPr>
          <w:sz w:val="24"/>
          <w:szCs w:val="24"/>
          <w:color w:val="auto"/>
        </w:rPr>
      </w:pPr>
    </w:p>
    <w:tbl>
      <w:tblPr>
        <w:tblLayout w:type="fixed"/>
        <w:tblInd w:w="1340" w:type="dxa"/>
        <w:tblCellMar>
          <w:top w:w="0" w:type="dxa"/>
          <w:left w:w="0" w:type="dxa"/>
          <w:bottom w:w="0" w:type="dxa"/>
          <w:right w:w="0" w:type="dxa"/>
        </w:tblCellMar>
      </w:tblPr>
      <w:tr>
        <w:trPr>
          <w:trHeight w:val="236"/>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4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4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3"/>
        </w:trPr>
        <w:tc>
          <w:tcPr>
            <w:tcW w:w="14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4140" w:type="dxa"/>
            <w:vAlign w:val="bottom"/>
          </w:tcPr>
          <w:p>
            <w:pPr>
              <w:ind w:left="2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2" w:lineRule="exact"/>
        <w:rPr>
          <w:sz w:val="24"/>
          <w:szCs w:val="24"/>
          <w:color w:val="auto"/>
        </w:rPr>
      </w:pPr>
    </w:p>
    <w:p>
      <w:pPr>
        <w:ind w:left="1340" w:right="439"/>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131" w:lineRule="exact"/>
        <w:rPr>
          <w:sz w:val="24"/>
          <w:szCs w:val="24"/>
          <w:color w:val="auto"/>
        </w:rPr>
      </w:pPr>
    </w:p>
    <w:p>
      <w:pPr>
        <w:ind w:left="1340" w:right="519"/>
        <w:spacing w:after="0" w:line="26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become effective in accordance with Section 8(a) of the Securities Act of 1933 or until the registration statement shall become effective on such date as the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852805</wp:posOffset>
            </wp:positionH>
            <wp:positionV relativeFrom="paragraph">
              <wp:posOffset>111125</wp:posOffset>
            </wp:positionV>
            <wp:extent cx="546227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62270" cy="6985"/>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144780</wp:posOffset>
            </wp:positionV>
            <wp:extent cx="54622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62270" cy="6985"/>
                    </a:xfrm>
                    <a:prstGeom prst="rect">
                      <a:avLst/>
                    </a:prstGeom>
                    <a:noFill/>
                  </pic:spPr>
                </pic:pic>
              </a:graphicData>
            </a:graphic>
          </wp:anchor>
        </w:drawing>
      </w:r>
    </w:p>
    <w:p>
      <w:pPr>
        <w:sectPr>
          <w:pgSz w:w="11900" w:h="16838" w:orient="portrait"/>
          <w:cols w:equalWidth="0" w:num="1">
            <w:col w:w="10159"/>
          </w:cols>
          <w:pgMar w:left="300" w:top="207" w:right="1440" w:bottom="23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tbl>
      <w:tblPr>
        <w:tblLayout w:type="fixed"/>
        <w:tblInd w:w="1340" w:type="dxa"/>
        <w:tblCellMar>
          <w:top w:w="0" w:type="dxa"/>
          <w:left w:w="0" w:type="dxa"/>
          <w:bottom w:w="0" w:type="dxa"/>
          <w:right w:w="0" w:type="dxa"/>
        </w:tblCellMar>
      </w:tblPr>
      <w:tr>
        <w:trPr>
          <w:trHeight w:val="793"/>
        </w:trPr>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filed with the</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buy these</w:t>
            </w:r>
          </w:p>
        </w:tc>
        <w:tc>
          <w:tcPr>
            <w:tcW w:w="140" w:type="dxa"/>
            <w:vAlign w:val="bottom"/>
          </w:tcPr>
          <w:p>
            <w:pPr>
              <w:spacing w:after="0"/>
              <w:rPr>
                <w:sz w:val="24"/>
                <w:szCs w:val="24"/>
                <w:color w:val="auto"/>
              </w:rPr>
            </w:pPr>
          </w:p>
        </w:tc>
      </w:tr>
      <w:tr>
        <w:trPr>
          <w:trHeight w:val="1592"/>
        </w:trPr>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the registration statement</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is not soliciting an offer to</w:t>
            </w:r>
          </w:p>
        </w:tc>
        <w:tc>
          <w:tcPr>
            <w:tcW w:w="140" w:type="dxa"/>
            <w:vAlign w:val="bottom"/>
          </w:tcPr>
          <w:p>
            <w:pPr>
              <w:spacing w:after="0"/>
              <w:rPr>
                <w:sz w:val="24"/>
                <w:szCs w:val="24"/>
                <w:color w:val="auto"/>
              </w:rPr>
            </w:pPr>
          </w:p>
        </w:tc>
      </w:tr>
      <w:tr>
        <w:trPr>
          <w:trHeight w:val="2244"/>
        </w:trPr>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We may not sell these securities until</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an offer to sell these securities, and it</w:t>
            </w:r>
          </w:p>
        </w:tc>
        <w:tc>
          <w:tcPr>
            <w:tcW w:w="140" w:type="dxa"/>
            <w:vAlign w:val="bottom"/>
          </w:tcPr>
          <w:p>
            <w:pPr>
              <w:spacing w:after="0"/>
              <w:rPr>
                <w:sz w:val="24"/>
                <w:szCs w:val="24"/>
                <w:color w:val="auto"/>
              </w:rPr>
            </w:pPr>
          </w:p>
        </w:tc>
      </w:tr>
      <w:tr>
        <w:trPr>
          <w:trHeight w:val="1046"/>
        </w:trPr>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may be changed.</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prospectus is not</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not permitted.</w:t>
            </w:r>
          </w:p>
        </w:tc>
      </w:tr>
      <w:tr>
        <w:trPr>
          <w:trHeight w:val="3271"/>
        </w:trPr>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The information in this prospectus is not complete and</w:t>
            </w:r>
          </w:p>
        </w:tc>
        <w:tc>
          <w:tcPr>
            <w:tcW w:w="16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rPr>
              <w:t>Securities and Exchange Commission is effective. This</w:t>
            </w:r>
          </w:p>
        </w:tc>
        <w:tc>
          <w:tcPr>
            <w:tcW w:w="140" w:type="dxa"/>
            <w:vAlign w:val="bottom"/>
            <w:textDirection w:val="btLr"/>
          </w:tcPr>
          <w:p>
            <w:pPr>
              <w:spacing w:after="0"/>
              <w:rPr>
                <w:sz w:val="20"/>
                <w:szCs w:val="20"/>
                <w:color w:val="auto"/>
              </w:rPr>
            </w:pPr>
            <w:r>
              <w:rPr>
                <w:rFonts w:ascii="Times New Roman" w:cs="Times New Roman" w:eastAsia="Times New Roman" w:hAnsi="Times New Roman"/>
                <w:sz w:val="14"/>
                <w:szCs w:val="14"/>
                <w:b w:val="1"/>
                <w:bCs w:val="1"/>
                <w:color w:val="FF4338"/>
                <w:w w:val="99"/>
              </w:rPr>
              <w:t>securities, in any jurisdiction where the offer or sale 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FF4338"/>
        </w:rPr>
        <w:t>SUBJECT TO COMPLETION, DATED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-593090</wp:posOffset>
            </wp:positionV>
            <wp:extent cx="720090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0" cy="33020"/>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135890</wp:posOffset>
            </wp:positionV>
            <wp:extent cx="736600" cy="153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6600" cy="15367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34"/>
          <w:szCs w:val="34"/>
          <w:b w:val="1"/>
          <w:bCs w:val="1"/>
          <w:color w:val="auto"/>
        </w:rPr>
        <w:t>XEROX HOLDINGS CORPORATION</w:t>
      </w:r>
    </w:p>
    <w:p>
      <w:pPr>
        <w:spacing w:after="0" w:line="18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3,872,062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189230</wp:posOffset>
            </wp:positionV>
            <wp:extent cx="9639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3930" cy="69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999" w:firstLine="290"/>
        <w:spacing w:after="0" w:line="284" w:lineRule="auto"/>
        <w:rPr>
          <w:sz w:val="20"/>
          <w:szCs w:val="20"/>
          <w:color w:val="auto"/>
        </w:rPr>
      </w:pPr>
      <w:r>
        <w:rPr>
          <w:rFonts w:ascii="Times New Roman" w:cs="Times New Roman" w:eastAsia="Times New Roman" w:hAnsi="Times New Roman"/>
          <w:sz w:val="14"/>
          <w:szCs w:val="14"/>
          <w:color w:val="auto"/>
        </w:rPr>
        <w:t>The selling stockholders named in this prospectus (the “selling stockholders”) may offer and sell, from time to time, up to an aggregate of 3,872,062 shares of our common stock, par value $1.00 per share (the “common stock”).</w:t>
      </w:r>
    </w:p>
    <w:p>
      <w:pPr>
        <w:spacing w:after="0" w:line="125" w:lineRule="exact"/>
        <w:rPr>
          <w:sz w:val="20"/>
          <w:szCs w:val="20"/>
          <w:color w:val="auto"/>
        </w:rPr>
      </w:pPr>
    </w:p>
    <w:p>
      <w:pPr>
        <w:ind w:right="939" w:firstLine="290"/>
        <w:spacing w:after="0" w:line="262" w:lineRule="auto"/>
        <w:rPr>
          <w:sz w:val="20"/>
          <w:szCs w:val="20"/>
          <w:color w:val="auto"/>
        </w:rPr>
      </w:pPr>
      <w:r>
        <w:rPr>
          <w:rFonts w:ascii="Times New Roman" w:cs="Times New Roman" w:eastAsia="Times New Roman" w:hAnsi="Times New Roman"/>
          <w:sz w:val="14"/>
          <w:szCs w:val="14"/>
          <w:color w:val="auto"/>
        </w:rPr>
        <w:t>We will not receive any of the proceeds from the sale of shares of our common stock by the selling stockholders. The selling stockholders from time to time may offer and sell the shares held by them directly or through agents or broker-dealers on terms to be determined at the time of sale, as described in more detail in this prospectus. For more information, see “Plan of Distribution.”</w:t>
      </w:r>
    </w:p>
    <w:p>
      <w:pPr>
        <w:spacing w:after="0" w:line="140" w:lineRule="exact"/>
        <w:rPr>
          <w:sz w:val="20"/>
          <w:szCs w:val="20"/>
          <w:color w:val="auto"/>
        </w:rPr>
      </w:pPr>
    </w:p>
    <w:p>
      <w:pPr>
        <w:ind w:right="1039" w:firstLine="290"/>
        <w:spacing w:after="0" w:line="284" w:lineRule="auto"/>
        <w:rPr>
          <w:sz w:val="20"/>
          <w:szCs w:val="20"/>
          <w:color w:val="auto"/>
        </w:rPr>
      </w:pPr>
      <w:r>
        <w:rPr>
          <w:rFonts w:ascii="Times New Roman" w:cs="Times New Roman" w:eastAsia="Times New Roman" w:hAnsi="Times New Roman"/>
          <w:sz w:val="14"/>
          <w:szCs w:val="14"/>
          <w:color w:val="auto"/>
        </w:rPr>
        <w:t>Xerox Holdings Corporation’s common stock is listed on the Nasdaq Global Select Market under the symbol “XRX.” On October 28, 2026, the last reported sales price for our common stock was $2.79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155575</wp:posOffset>
            </wp:positionV>
            <wp:extent cx="9639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3930" cy="6985"/>
                    </a:xfrm>
                    <a:prstGeom prst="rect">
                      <a:avLst/>
                    </a:prstGeom>
                    <a:noFill/>
                  </pic:spPr>
                </pic:pic>
              </a:graphicData>
            </a:graphic>
          </wp:anchor>
        </w:drawing>
      </w:r>
    </w:p>
    <w:p>
      <w:pPr>
        <w:spacing w:after="0" w:line="380" w:lineRule="exact"/>
        <w:rPr>
          <w:sz w:val="20"/>
          <w:szCs w:val="20"/>
          <w:color w:val="auto"/>
        </w:rPr>
      </w:pPr>
    </w:p>
    <w:p>
      <w:pPr>
        <w:jc w:val="both"/>
        <w:ind w:right="1199" w:firstLine="290"/>
        <w:spacing w:after="0" w:line="249" w:lineRule="auto"/>
        <w:rPr>
          <w:sz w:val="20"/>
          <w:szCs w:val="20"/>
          <w:color w:val="auto"/>
        </w:rPr>
      </w:pPr>
      <w:r>
        <w:rPr>
          <w:rFonts w:ascii="Times New Roman" w:cs="Times New Roman" w:eastAsia="Times New Roman" w:hAnsi="Times New Roman"/>
          <w:sz w:val="17"/>
          <w:szCs w:val="17"/>
          <w:b w:val="1"/>
          <w:bCs w:val="1"/>
          <w:color w:val="auto"/>
        </w:rPr>
        <w:t>Investing in the offered securities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4 and carefully consider the discussion of risk and uncertainties described in any applicable prospectus supplement and in the documents we incorporate by reference.</w:t>
      </w:r>
    </w:p>
    <w:p>
      <w:pPr>
        <w:spacing w:after="0" w:line="137" w:lineRule="exact"/>
        <w:rPr>
          <w:sz w:val="20"/>
          <w:szCs w:val="20"/>
          <w:color w:val="auto"/>
        </w:rPr>
      </w:pPr>
    </w:p>
    <w:p>
      <w:pPr>
        <w:ind w:right="959" w:firstLine="290"/>
        <w:spacing w:after="0" w:line="26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(“SEC”) nor any state securities commission has approved or disapproved of these securities or passed upon the accuracy or adequacy of this prospectus or any applicable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168910</wp:posOffset>
            </wp:positionV>
            <wp:extent cx="96393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3930" cy="69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auto"/>
        </w:rPr>
        <w:t>The date of this prospectus is            , 2026</w:t>
      </w:r>
    </w:p>
    <w:p>
      <w:pPr>
        <w:sectPr>
          <w:pgSz w:w="11900" w:h="16838" w:orient="portrait"/>
          <w:cols w:equalWidth="0" w:num="2">
            <w:col w:w="1800" w:space="220"/>
            <w:col w:w="8139"/>
          </w:cols>
          <w:pgMar w:left="300" w:top="38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40" w:type="dxa"/>
        <w:tblCellMar>
          <w:top w:w="0" w:type="dxa"/>
          <w:left w:w="0" w:type="dxa"/>
          <w:bottom w:w="0" w:type="dxa"/>
          <w:right w:w="0" w:type="dxa"/>
        </w:tblCellMar>
      </w:tblPr>
      <w:tr>
        <w:trPr>
          <w:trHeight w:val="185"/>
        </w:trPr>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7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20" w:type="dxa"/>
            <w:vAlign w:val="bottom"/>
          </w:tcPr>
          <w:p>
            <w:pPr>
              <w:spacing w:after="0"/>
              <w:rPr>
                <w:sz w:val="16"/>
                <w:szCs w:val="16"/>
                <w:color w:val="auto"/>
              </w:rPr>
            </w:pPr>
          </w:p>
        </w:tc>
      </w:tr>
      <w:tr>
        <w:trPr>
          <w:trHeight w:val="327"/>
        </w:trPr>
        <w:tc>
          <w:tcPr>
            <w:tcW w:w="674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3"/>
        </w:trPr>
        <w:tc>
          <w:tcPr>
            <w:tcW w:w="49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8"/>
              </w:rPr>
              <w:t>CAUTIONARY STATEMENT REGARDING FORWARD-LOOKING STATEMENTS</w:t>
            </w:r>
          </w:p>
        </w:tc>
        <w:tc>
          <w:tcPr>
            <w:tcW w:w="17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33"/>
        </w:trPr>
        <w:tc>
          <w:tcPr>
            <w:tcW w:w="1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8"/>
              </w:rPr>
              <w:t>ABOUT THE COMPANY</w:t>
            </w:r>
          </w:p>
        </w:tc>
        <w:tc>
          <w:tcPr>
            <w:tcW w:w="5220" w:type="dxa"/>
            <w:vAlign w:val="bottom"/>
            <w:gridSpan w:val="7"/>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33"/>
        </w:trPr>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RISK FACTORS</w:t>
            </w:r>
          </w:p>
        </w:tc>
        <w:tc>
          <w:tcPr>
            <w:tcW w:w="5760" w:type="dxa"/>
            <w:vAlign w:val="bottom"/>
            <w:gridSpan w:val="9"/>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33"/>
        </w:trPr>
        <w:tc>
          <w:tcPr>
            <w:tcW w:w="1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9"/>
              </w:rPr>
              <w:t>USE OF PROCEEDS</w:t>
            </w:r>
          </w:p>
        </w:tc>
        <w:tc>
          <w:tcPr>
            <w:tcW w:w="5500" w:type="dxa"/>
            <w:vAlign w:val="bottom"/>
            <w:gridSpan w:val="8"/>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3"/>
        </w:trPr>
        <w:tc>
          <w:tcPr>
            <w:tcW w:w="674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SELLING STOCKHOLDERS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60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3"/>
        </w:trPr>
        <w:tc>
          <w:tcPr>
            <w:tcW w:w="674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DESCRIPTION OF COMMON STOCK</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33"/>
        </w:trPr>
        <w:tc>
          <w:tcPr>
            <w:tcW w:w="23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4440" w:type="dxa"/>
            <w:vAlign w:val="bottom"/>
            <w:gridSpan w:val="3"/>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
        </w:trPr>
        <w:tc>
          <w:tcPr>
            <w:tcW w:w="60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3"/>
        </w:trPr>
        <w:tc>
          <w:tcPr>
            <w:tcW w:w="2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9"/>
              </w:rPr>
              <w:t>VALIDITY OF THE SECURITIES</w:t>
            </w:r>
          </w:p>
        </w:tc>
        <w:tc>
          <w:tcPr>
            <w:tcW w:w="4720" w:type="dxa"/>
            <w:vAlign w:val="bottom"/>
            <w:gridSpan w:val="4"/>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33"/>
        </w:trPr>
        <w:tc>
          <w:tcPr>
            <w:tcW w:w="674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EXPERTS</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
        </w:trPr>
        <w:tc>
          <w:tcPr>
            <w:tcW w:w="600" w:type="dxa"/>
            <w:vAlign w:val="bottom"/>
            <w:shd w:val="clear" w:color="auto" w:fill="0000EE"/>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3"/>
        </w:trPr>
        <w:tc>
          <w:tcPr>
            <w:tcW w:w="674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173" w:lineRule="exact"/>
        <w:rPr>
          <w:sz w:val="20"/>
          <w:szCs w:val="20"/>
          <w:color w:val="auto"/>
        </w:rPr>
      </w:pPr>
    </w:p>
    <w:p>
      <w:pPr>
        <w:ind w:left="1340" w:right="219" w:firstLine="344"/>
        <w:spacing w:after="0" w:line="260" w:lineRule="auto"/>
        <w:rPr>
          <w:sz w:val="20"/>
          <w:szCs w:val="20"/>
          <w:color w:val="auto"/>
        </w:rPr>
      </w:pPr>
      <w:r>
        <w:rPr>
          <w:rFonts w:ascii="Times New Roman" w:cs="Times New Roman" w:eastAsia="Times New Roman" w:hAnsi="Times New Roman"/>
          <w:sz w:val="14"/>
          <w:szCs w:val="14"/>
          <w:b w:val="1"/>
          <w:bCs w:val="1"/>
          <w:color w:val="auto"/>
        </w:rPr>
        <w:t>Neither we nor the selling stockholders are responsible for the information contained and incorporated by reference in this prospectus. Neither we nor the selling stockholders have authorized anyone to give you any other information, and we nor the selling stockholders take responsibility for any other information that others may give you. The selling stockholders are not making an offer to sell these securities in any jurisdiction where the offer or sale is not permitted. You should not assume that the information contained or incorporated by reference in this prospectus or any prospectus supplement is accurate as of any date other than the date of the document containing the information.</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94" w:lineRule="exact"/>
        <w:rPr>
          <w:sz w:val="20"/>
          <w:szCs w:val="20"/>
          <w:color w:val="auto"/>
        </w:rPr>
      </w:pPr>
    </w:p>
    <w:p>
      <w:pPr>
        <w:ind w:left="1340" w:right="359" w:firstLine="344"/>
        <w:spacing w:after="0" w:line="284"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utilizing a “shelf” registration process. Under this shelf process, the selling stockholders may periodically sell up to an aggregate of 3,872,062 shares of our common stock in one or more offerings.</w:t>
      </w:r>
    </w:p>
    <w:p>
      <w:pPr>
        <w:spacing w:after="0" w:line="125" w:lineRule="exact"/>
        <w:rPr>
          <w:sz w:val="20"/>
          <w:szCs w:val="20"/>
          <w:color w:val="auto"/>
        </w:rPr>
      </w:pPr>
    </w:p>
    <w:p>
      <w:pPr>
        <w:ind w:left="1340" w:right="339" w:firstLine="344"/>
        <w:spacing w:after="0" w:line="256" w:lineRule="auto"/>
        <w:rPr>
          <w:sz w:val="20"/>
          <w:szCs w:val="20"/>
          <w:color w:val="auto"/>
        </w:rPr>
      </w:pPr>
      <w:r>
        <w:rPr>
          <w:rFonts w:ascii="Times New Roman" w:cs="Times New Roman" w:eastAsia="Times New Roman" w:hAnsi="Times New Roman"/>
          <w:sz w:val="14"/>
          <w:szCs w:val="14"/>
          <w:color w:val="auto"/>
        </w:rPr>
        <w:t>This prospectus provides a general description of our common stock that the selling stockholders may offer. Each time the selling stockholders offer and sell securities, we may provide a prospectus supplement that will contain specific information about the terms of that offering. We may also provide a prospectus supplement to add information to, or update or change information contained in,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later-dated document modifies or supersedes the earlier statement.</w:t>
      </w:r>
    </w:p>
    <w:p>
      <w:pPr>
        <w:spacing w:after="0" w:line="147" w:lineRule="exact"/>
        <w:rPr>
          <w:sz w:val="20"/>
          <w:szCs w:val="20"/>
          <w:color w:val="auto"/>
        </w:rPr>
      </w:pPr>
    </w:p>
    <w:p>
      <w:pPr>
        <w:ind w:left="1340" w:right="219" w:firstLine="344"/>
        <w:spacing w:after="0" w:line="253"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The selling stockholders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5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Before making your investment decision, you should carefully read:</w:t>
      </w:r>
    </w:p>
    <w:p>
      <w:pPr>
        <w:spacing w:after="0" w:line="103" w:lineRule="exact"/>
        <w:rPr>
          <w:sz w:val="20"/>
          <w:szCs w:val="20"/>
          <w:color w:val="auto"/>
        </w:rPr>
      </w:pPr>
    </w:p>
    <w:p>
      <w:pPr>
        <w:ind w:left="2100" w:hanging="335"/>
        <w:spacing w:after="0"/>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prospectus;</w:t>
      </w:r>
    </w:p>
    <w:p>
      <w:pPr>
        <w:spacing w:after="0" w:line="102" w:lineRule="exact"/>
        <w:rPr>
          <w:rFonts w:ascii="Times New Roman" w:cs="Times New Roman" w:eastAsia="Times New Roman" w:hAnsi="Times New Roman"/>
          <w:sz w:val="14"/>
          <w:szCs w:val="14"/>
          <w:color w:val="auto"/>
        </w:rPr>
      </w:pPr>
    </w:p>
    <w:p>
      <w:pPr>
        <w:ind w:left="2100" w:right="459" w:hanging="335"/>
        <w:spacing w:after="0" w:line="284" w:lineRule="auto"/>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prospectus supplement, which (a) explains the specific terms of the securities being offered and (b) updates and changes information in this prospectus to the extent required; and</w:t>
      </w:r>
    </w:p>
    <w:p>
      <w:pPr>
        <w:spacing w:after="0" w:line="51" w:lineRule="exact"/>
        <w:rPr>
          <w:rFonts w:ascii="Times New Roman" w:cs="Times New Roman" w:eastAsia="Times New Roman" w:hAnsi="Times New Roman"/>
          <w:sz w:val="14"/>
          <w:szCs w:val="14"/>
          <w:color w:val="auto"/>
        </w:rPr>
      </w:pPr>
    </w:p>
    <w:p>
      <w:pPr>
        <w:ind w:left="2100" w:right="399" w:hanging="335"/>
        <w:spacing w:after="0" w:line="284" w:lineRule="auto"/>
        <w:tabs>
          <w:tab w:leader="none" w:pos="21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documents referred to in “Where You Can Find More Information” on page 13 of this prospectus for information about us, including our financial statements.</w:t>
      </w:r>
    </w:p>
    <w:p>
      <w:pPr>
        <w:spacing w:after="0" w:line="125" w:lineRule="exact"/>
        <w:rPr>
          <w:sz w:val="20"/>
          <w:szCs w:val="20"/>
          <w:color w:val="auto"/>
        </w:rPr>
      </w:pPr>
    </w:p>
    <w:p>
      <w:pPr>
        <w:ind w:left="1340" w:right="499" w:firstLine="344"/>
        <w:spacing w:after="0" w:line="284" w:lineRule="auto"/>
        <w:rPr>
          <w:sz w:val="20"/>
          <w:szCs w:val="20"/>
          <w:color w:val="auto"/>
        </w:rPr>
      </w:pPr>
      <w:r>
        <w:rPr>
          <w:rFonts w:ascii="Times New Roman" w:cs="Times New Roman" w:eastAsia="Times New Roman" w:hAnsi="Times New Roman"/>
          <w:sz w:val="14"/>
          <w:szCs w:val="14"/>
          <w:color w:val="auto"/>
        </w:rPr>
        <w:t>References to “we,” “us,” “our,” “Xerox” or the “Company” refer to Xerox Holdings Corporation and its consolidated subsidiaries, unless the context otherwise requires.</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78" w:lineRule="exact"/>
        <w:rPr>
          <w:sz w:val="20"/>
          <w:szCs w:val="20"/>
          <w:color w:val="auto"/>
        </w:rPr>
      </w:pPr>
    </w:p>
    <w:p>
      <w:pPr>
        <w:ind w:left="1340" w:right="239" w:firstLine="344"/>
        <w:spacing w:after="0" w:line="256"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contain statements which are not historical facts, including statements relating to the Company’s outlook, that are considered forward-looking statements under federal securities laws and may be identified by words such as “anticipates,” “believes,” “estimates,” “expects,” “intends,” “plans,” “potential,” “predicts,” “projects,” “seeks,” “should,” “will,” “would,” “could,” “can,” “targeting,” “projecting,” “driving,” “future,” “plan,” “predict,” “may”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w:t>
      </w:r>
    </w:p>
    <w:p>
      <w:pPr>
        <w:spacing w:after="0" w:line="147" w:lineRule="exact"/>
        <w:rPr>
          <w:sz w:val="20"/>
          <w:szCs w:val="20"/>
          <w:color w:val="auto"/>
        </w:rPr>
      </w:pPr>
    </w:p>
    <w:p>
      <w:pPr>
        <w:ind w:left="1340" w:right="279" w:firstLine="344"/>
        <w:spacing w:after="0" w:line="256" w:lineRule="auto"/>
        <w:rPr>
          <w:sz w:val="20"/>
          <w:szCs w:val="20"/>
          <w:color w:val="auto"/>
        </w:rPr>
      </w:pPr>
      <w:r>
        <w:rPr>
          <w:rFonts w:ascii="Times New Roman" w:cs="Times New Roman" w:eastAsia="Times New Roman" w:hAnsi="Times New Roman"/>
          <w:sz w:val="14"/>
          <w:szCs w:val="14"/>
          <w:color w:val="auto"/>
        </w:rPr>
        <w:t>Forward-looking statements are not guarantees of future performance and the Company’s actual results may differ significantly from the results discussed in the forward-looking statements. Factors that might cause such differences include, but are not limited to, those discussed in “Item 1A. Risk Factors” in Part I of Xerox Holdings Corporation’s and Xerox Corporation’s most recent combined Annual Report on Form 10-K, or any updates under the caption “Item 1A. Risk Factors” in Part II of Xerox Holdings Corporation’s and Xerox Corporation’s most recent combined Quarterly Report on Form 10-Q, together with all of the other information appearing in or incorporated by reference into this prospectus.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9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THE COMPANY</w:t>
      </w:r>
    </w:p>
    <w:p>
      <w:pPr>
        <w:spacing w:after="0" w:line="178" w:lineRule="exact"/>
        <w:rPr>
          <w:sz w:val="20"/>
          <w:szCs w:val="20"/>
          <w:color w:val="auto"/>
        </w:rPr>
      </w:pPr>
    </w:p>
    <w:p>
      <w:pPr>
        <w:ind w:left="1340" w:right="319" w:firstLine="344"/>
        <w:spacing w:after="0" w:line="258" w:lineRule="auto"/>
        <w:rPr>
          <w:sz w:val="20"/>
          <w:szCs w:val="20"/>
          <w:color w:val="auto"/>
        </w:rPr>
      </w:pPr>
      <w:r>
        <w:rPr>
          <w:rFonts w:ascii="Times New Roman" w:cs="Times New Roman" w:eastAsia="Times New Roman" w:hAnsi="Times New Roman"/>
          <w:sz w:val="14"/>
          <w:szCs w:val="14"/>
          <w:color w:val="auto"/>
        </w:rPr>
        <w:t>Xerox is a workplace technology company, building and integrating services-led, software-enabled, workplace solutions for enterprises large and small. As customers seek to manage information and document workflows across digital and physical platforms, we deliver a seamless, secure, and sustainable experience. Whether inventing the copier, the Ethernet, the laser printer or more, Xerox has long defined the modern work experience and continues to do so with investments in IT infrastructure, artificial intelligence (AI), Internet of Things (IoT), intelligent document processing (IDP), robotic process automation (RPA) and other technologies that enable Xerox to deliver essential products and services to address the productivity challenges of a hybrid workplace and distributed workforce.</w:t>
      </w:r>
    </w:p>
    <w:p>
      <w:pPr>
        <w:spacing w:after="0" w:line="142" w:lineRule="exact"/>
        <w:rPr>
          <w:sz w:val="20"/>
          <w:szCs w:val="20"/>
          <w:color w:val="auto"/>
        </w:rPr>
      </w:pPr>
    </w:p>
    <w:p>
      <w:pPr>
        <w:ind w:left="1340" w:right="279" w:firstLine="344"/>
        <w:spacing w:after="0" w:line="268" w:lineRule="auto"/>
        <w:rPr>
          <w:sz w:val="20"/>
          <w:szCs w:val="20"/>
          <w:color w:val="auto"/>
        </w:rPr>
      </w:pPr>
      <w:r>
        <w:rPr>
          <w:rFonts w:ascii="Times New Roman" w:cs="Times New Roman" w:eastAsia="Times New Roman" w:hAnsi="Times New Roman"/>
          <w:sz w:val="14"/>
          <w:szCs w:val="14"/>
          <w:color w:val="auto"/>
        </w:rPr>
        <w:t>Xerox serves customers globally in North America, Europe, Latin America, Brazil, Asia Pacific (APAC), the Middle East, Africa, and India. This geographic span allows Xerox to deliver its technology and solutions to customers of all sizes, regardless of complexity or number of customer locations.</w:t>
      </w:r>
    </w:p>
    <w:p>
      <w:pPr>
        <w:spacing w:after="0" w:line="135" w:lineRule="exact"/>
        <w:rPr>
          <w:sz w:val="20"/>
          <w:szCs w:val="20"/>
          <w:color w:val="auto"/>
        </w:rPr>
      </w:pPr>
    </w:p>
    <w:p>
      <w:pPr>
        <w:ind w:left="1340" w:right="279" w:firstLine="344"/>
        <w:spacing w:after="0" w:line="284" w:lineRule="auto"/>
        <w:rPr>
          <w:sz w:val="20"/>
          <w:szCs w:val="20"/>
          <w:color w:val="auto"/>
        </w:rPr>
      </w:pPr>
      <w:r>
        <w:rPr>
          <w:rFonts w:ascii="Times New Roman" w:cs="Times New Roman" w:eastAsia="Times New Roman" w:hAnsi="Times New Roman"/>
          <w:sz w:val="14"/>
          <w:szCs w:val="14"/>
          <w:color w:val="auto"/>
        </w:rPr>
        <w:t>Xerox Holdings Corporation is a New York corporation, organized in 2019, with its principal executive offices located at 401 Merritt 7, Norwalk, Connecticut 06851-1059. Our telephone number is (203) 849-5216.</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94" w:lineRule="exact"/>
        <w:rPr>
          <w:sz w:val="20"/>
          <w:szCs w:val="20"/>
          <w:color w:val="auto"/>
        </w:rPr>
      </w:pPr>
    </w:p>
    <w:p>
      <w:pPr>
        <w:ind w:left="1340" w:right="259" w:firstLine="344"/>
        <w:spacing w:after="0" w:line="256" w:lineRule="auto"/>
        <w:rPr>
          <w:sz w:val="20"/>
          <w:szCs w:val="20"/>
          <w:color w:val="auto"/>
        </w:rPr>
      </w:pPr>
      <w:r>
        <w:rPr>
          <w:rFonts w:ascii="Times New Roman" w:cs="Times New Roman" w:eastAsia="Times New Roman" w:hAnsi="Times New Roman"/>
          <w:sz w:val="14"/>
          <w:szCs w:val="14"/>
          <w:color w:val="auto"/>
        </w:rPr>
        <w:t>Investment in the common stock involves risks. Before deciding to invest in our securities, you should carefully consider the risk factors incorporated into this prospectus by reference to Xerox Holdings Corporation’s and Xerox Corporation’s most recent combined Annual Report on Form 10-K and most recent combined Quarterly Report on Form 10-Q, and the other information contained in this prospectus, as updated by our subsequent filings under the Securities Exchange Act of 1934, as amended (the “Exchange Act”), and risk factors and other information contained in any applicable prospectus supplement before acquiring any of our securities. For a description of these reports and documents, and information about where you can find them, see the section of this prospectus entitled “Where You Can Find More Information.” The occurrence of any of the events described in the risk factors might cause you to lose all or part of your investment in our securities. Please also refer to the section above entitled “Cautionary Statement Regarding Forward-Looking Statements.”</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We will not receive any proceeds from the sale of our common stock by the selling stockholders.</w:t>
      </w:r>
    </w:p>
    <w:p>
      <w:pPr>
        <w:spacing w:after="0" w:line="1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94" w:lineRule="exact"/>
        <w:rPr>
          <w:sz w:val="20"/>
          <w:szCs w:val="20"/>
          <w:color w:val="auto"/>
        </w:rPr>
      </w:pPr>
    </w:p>
    <w:p>
      <w:pPr>
        <w:ind w:left="1340" w:right="479" w:firstLine="344"/>
        <w:spacing w:after="0" w:line="284" w:lineRule="auto"/>
        <w:rPr>
          <w:sz w:val="20"/>
          <w:szCs w:val="20"/>
          <w:color w:val="auto"/>
        </w:rPr>
      </w:pPr>
      <w:r>
        <w:rPr>
          <w:rFonts w:ascii="Times New Roman" w:cs="Times New Roman" w:eastAsia="Times New Roman" w:hAnsi="Times New Roman"/>
          <w:sz w:val="14"/>
          <w:szCs w:val="14"/>
          <w:color w:val="auto"/>
        </w:rPr>
        <w:t>The following table sets forth the beneficial ownership of our common stock by the selling stockholders as of the date of this prospectus, after giving effect to the Exchange Issuance.</w:t>
      </w:r>
    </w:p>
    <w:p>
      <w:pPr>
        <w:spacing w:after="0" w:line="125" w:lineRule="exact"/>
        <w:rPr>
          <w:sz w:val="20"/>
          <w:szCs w:val="20"/>
          <w:color w:val="auto"/>
        </w:rPr>
      </w:pPr>
    </w:p>
    <w:p>
      <w:pPr>
        <w:ind w:left="1340" w:right="299" w:firstLine="344"/>
        <w:spacing w:after="0" w:line="256" w:lineRule="auto"/>
        <w:rPr>
          <w:sz w:val="20"/>
          <w:szCs w:val="20"/>
          <w:color w:val="auto"/>
        </w:rPr>
      </w:pPr>
      <w:r>
        <w:rPr>
          <w:rFonts w:ascii="Times New Roman" w:cs="Times New Roman" w:eastAsia="Times New Roman" w:hAnsi="Times New Roman"/>
          <w:sz w:val="14"/>
          <w:szCs w:val="14"/>
          <w:color w:val="auto"/>
        </w:rPr>
        <w:t>On October 29, 2026, Xerox entered into an exchange support agreement (the “Exchange Support Agreement”), by and among Xerox, Xerox Corporation, a New York corporation (“Xerox Corp”), the subsidiary guarantors party thereto and certain holders (the “Exchanging Holders”) of Xerox’s 5.500% Senior Notes due 2028 (the “2028 Notes”). Pursuant to the Exchange Support Agreement, and upon the terms and subject to the conditions therein, Xerox, Xerox Corp and the subsidiary guarantors party thereto expect to enter into exchange agreements (the “Exchange Agreements”) with the Exchanging Holders on November 13, 2026, pursuant to which the Exchanging Holders will exchange their 2028 Notes for (i) 10.250% Senior Secured First Lien Notes (2026 Issue) due 2030 newly issued by Xerox Corp, (ii) cash in respect of accrued and unpaid interest on the 2028 Notes and (iii) shares of common stock (such issuance, the “Exchange Issuance”) or, in the case of any Exchanging Holder that is not able to hold equity due to prohibitions or limitations set forth in its constating or organizational documentation, an additional principal amount of such new notes.</w:t>
      </w:r>
    </w:p>
    <w:p>
      <w:pPr>
        <w:spacing w:after="0" w:line="144" w:lineRule="exact"/>
        <w:rPr>
          <w:sz w:val="20"/>
          <w:szCs w:val="20"/>
          <w:color w:val="auto"/>
        </w:rPr>
      </w:pPr>
    </w:p>
    <w:p>
      <w:pPr>
        <w:ind w:left="1340" w:right="299" w:firstLine="344"/>
        <w:spacing w:after="0" w:line="258" w:lineRule="auto"/>
        <w:rPr>
          <w:sz w:val="20"/>
          <w:szCs w:val="20"/>
          <w:color w:val="auto"/>
        </w:rPr>
      </w:pPr>
      <w:r>
        <w:rPr>
          <w:rFonts w:ascii="Times New Roman" w:cs="Times New Roman" w:eastAsia="Times New Roman" w:hAnsi="Times New Roman"/>
          <w:sz w:val="14"/>
          <w:szCs w:val="14"/>
          <w:color w:val="auto"/>
        </w:rPr>
        <w:t>We are registering the offer and sale of the common stock to satisfy our obligations pursuant to the Exchange Support Agreement and the Exchange Agreements, under which we have agreed or will agree to file a registration statement on Form S-3 under the Securities Act of 1933, as amended (the “Securities Act”), registering the resale of such common stock. The foregoing summary and description of the Exchange Support Agreement and the Exchange Agreements do not purport to be complete and is subject to, and qualified in its entirety by, the full text of the Exchange Support Agreement (including a copy of the form of Exchange Agreement attached as Exhibit B thereto), a copy of which is filed as Exhibit 10.1 to the registration statement of which this prospectus forms a part, and is incorporated herein by reference.</w:t>
      </w:r>
    </w:p>
    <w:p>
      <w:pPr>
        <w:spacing w:after="0" w:line="142" w:lineRule="exact"/>
        <w:rPr>
          <w:sz w:val="20"/>
          <w:szCs w:val="20"/>
          <w:color w:val="auto"/>
        </w:rPr>
      </w:pPr>
    </w:p>
    <w:p>
      <w:pPr>
        <w:ind w:left="1340" w:right="339" w:firstLine="344"/>
        <w:spacing w:after="0" w:line="256" w:lineRule="auto"/>
        <w:rPr>
          <w:sz w:val="20"/>
          <w:szCs w:val="20"/>
          <w:color w:val="auto"/>
        </w:rPr>
      </w:pPr>
      <w:r>
        <w:rPr>
          <w:rFonts w:ascii="Times New Roman" w:cs="Times New Roman" w:eastAsia="Times New Roman" w:hAnsi="Times New Roman"/>
          <w:sz w:val="14"/>
          <w:szCs w:val="14"/>
          <w:color w:val="auto"/>
        </w:rPr>
        <w:t>The percentage ownership information shown in the table is based upon 135,186,573 shares of common stock outstanding as of July 31, 2026, after giving effect to the Exchange Issuance. We have determined beneficial ownership in accordance with the rules of the SEC. These rules generally attribute beneficial ownership of securities to persons who possess sole or shared voting power or investment power with respect to those securities, or have the right to acquire such powers within 60 days. Under these rules, more than one person may be deemed beneficial owner of the same securities and a person may be deemed to be a beneficial owner of securities as to which such person has no economic interest. The information contained in the following table is not necessarily indicative of beneficial ownership for any other purpose, and the inclusion of any shares in the table does not constitute an admission of beneficial ownership of those shares. Unless otherwise indicated, the persons or entities identified in this table have sole voting and investment power with respect to all shares shown as beneficially owned by them, subject to applicable community property laws.</w:t>
      </w:r>
    </w:p>
    <w:p>
      <w:pPr>
        <w:spacing w:after="0" w:line="144" w:lineRule="exact"/>
        <w:rPr>
          <w:sz w:val="20"/>
          <w:szCs w:val="20"/>
          <w:color w:val="auto"/>
        </w:rPr>
      </w:pPr>
    </w:p>
    <w:p>
      <w:pPr>
        <w:ind w:left="1340" w:right="359" w:firstLine="344"/>
        <w:spacing w:after="0" w:line="268" w:lineRule="auto"/>
        <w:rPr>
          <w:sz w:val="20"/>
          <w:szCs w:val="20"/>
          <w:color w:val="auto"/>
        </w:rPr>
      </w:pPr>
      <w:r>
        <w:rPr>
          <w:rFonts w:ascii="Times New Roman" w:cs="Times New Roman" w:eastAsia="Times New Roman" w:hAnsi="Times New Roman"/>
          <w:sz w:val="14"/>
          <w:szCs w:val="14"/>
          <w:color w:val="auto"/>
        </w:rPr>
        <w:t>The following table also provides the maximum number of shares of our common stock that may be offered by the selling stockholders pursuant to this prospectus and the number of shares of our common stock that will be beneficially owned by the selling stockholders after such an offering, assuming the sale of all of the offered shares.</w:t>
      </w:r>
    </w:p>
    <w:p>
      <w:pPr>
        <w:spacing w:after="0" w:line="135" w:lineRule="exact"/>
        <w:rPr>
          <w:sz w:val="20"/>
          <w:szCs w:val="20"/>
          <w:color w:val="auto"/>
        </w:rPr>
      </w:pPr>
    </w:p>
    <w:p>
      <w:pPr>
        <w:jc w:val="both"/>
        <w:ind w:left="1340" w:right="339" w:firstLine="344"/>
        <w:spacing w:after="0" w:line="268" w:lineRule="auto"/>
        <w:rPr>
          <w:sz w:val="20"/>
          <w:szCs w:val="20"/>
          <w:color w:val="auto"/>
        </w:rPr>
      </w:pPr>
      <w:r>
        <w:rPr>
          <w:rFonts w:ascii="Times New Roman" w:cs="Times New Roman" w:eastAsia="Times New Roman" w:hAnsi="Times New Roman"/>
          <w:sz w:val="14"/>
          <w:szCs w:val="14"/>
          <w:color w:val="auto"/>
        </w:rPr>
        <w:t>The selling stockholders reserve the right to accept or reject, in whole or in part, any proposed sale of shares. The selling stockholders may also offer and sell less than the number of shares indicated or no shares. The selling stockholders are not making any representation that any shares covered by this prospectus will or will not be offered for sale. Information about each selling stockholder may change over time.</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37"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2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Shares of Common</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Stock Beneficially</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gridSpan w:val="4"/>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Owned After the Sale</w:t>
            </w: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gridSpan w:val="4"/>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of the Maximum</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840" w:type="dxa"/>
            <w:vAlign w:val="bottom"/>
            <w:gridSpan w:val="4"/>
          </w:tcPr>
          <w:p>
            <w:pPr>
              <w:jc w:val="right"/>
              <w:ind w:right="500"/>
              <w:spacing w:after="0" w:line="125" w:lineRule="exact"/>
              <w:rPr>
                <w:sz w:val="20"/>
                <w:szCs w:val="20"/>
                <w:color w:val="auto"/>
              </w:rPr>
            </w:pPr>
            <w:r>
              <w:rPr>
                <w:rFonts w:ascii="Times New Roman" w:cs="Times New Roman" w:eastAsia="Times New Roman" w:hAnsi="Times New Roman"/>
                <w:sz w:val="11"/>
                <w:szCs w:val="11"/>
                <w:b w:val="1"/>
                <w:bCs w:val="1"/>
                <w:color w:val="auto"/>
              </w:rPr>
              <w:t>Shares of Common Stock</w:t>
            </w:r>
          </w:p>
        </w:tc>
        <w:tc>
          <w:tcPr>
            <w:tcW w:w="88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1620" w:type="dxa"/>
            <w:vAlign w:val="bottom"/>
            <w:gridSpan w:val="4"/>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rPr>
              <w:t>Number of Shares of</w:t>
            </w:r>
          </w:p>
        </w:tc>
        <w:tc>
          <w:tcPr>
            <w:tcW w:w="0" w:type="dxa"/>
            <w:vAlign w:val="bottom"/>
          </w:tcPr>
          <w:p>
            <w:pPr>
              <w:spacing w:after="0"/>
              <w:rPr>
                <w:sz w:val="1"/>
                <w:szCs w:val="1"/>
                <w:color w:val="auto"/>
              </w:rPr>
            </w:pPr>
          </w:p>
        </w:tc>
      </w:tr>
      <w:tr>
        <w:trPr>
          <w:trHeight w:val="126"/>
        </w:trPr>
        <w:tc>
          <w:tcPr>
            <w:tcW w:w="2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840" w:type="dxa"/>
            <w:vAlign w:val="bottom"/>
            <w:gridSpan w:val="4"/>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Beneficially Owned</w:t>
            </w: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620" w:type="dxa"/>
            <w:vAlign w:val="bottom"/>
            <w:gridSpan w:val="4"/>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0" w:type="dxa"/>
            <w:vAlign w:val="bottom"/>
          </w:tcPr>
          <w:p>
            <w:pPr>
              <w:spacing w:after="0"/>
              <w:rPr>
                <w:sz w:val="1"/>
                <w:szCs w:val="1"/>
                <w:color w:val="auto"/>
              </w:rPr>
            </w:pPr>
          </w:p>
        </w:tc>
      </w:tr>
      <w:tr>
        <w:trPr>
          <w:trHeight w:val="87"/>
        </w:trPr>
        <w:tc>
          <w:tcPr>
            <w:tcW w:w="280" w:type="dxa"/>
            <w:vAlign w:val="bottom"/>
          </w:tcPr>
          <w:p>
            <w:pPr>
              <w:spacing w:after="0"/>
              <w:rPr>
                <w:sz w:val="7"/>
                <w:szCs w:val="7"/>
                <w:color w:val="auto"/>
              </w:rPr>
            </w:pPr>
          </w:p>
        </w:tc>
        <w:tc>
          <w:tcPr>
            <w:tcW w:w="398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Percent of</w:t>
            </w:r>
          </w:p>
        </w:tc>
        <w:tc>
          <w:tcPr>
            <w:tcW w:w="380" w:type="dxa"/>
            <w:vAlign w:val="bottom"/>
          </w:tcPr>
          <w:p>
            <w:pPr>
              <w:spacing w:after="0"/>
              <w:rPr>
                <w:sz w:val="7"/>
                <w:szCs w:val="7"/>
                <w:color w:val="auto"/>
              </w:rPr>
            </w:pPr>
          </w:p>
        </w:tc>
        <w:tc>
          <w:tcPr>
            <w:tcW w:w="880" w:type="dxa"/>
            <w:vAlign w:val="bottom"/>
            <w:gridSpan w:val="2"/>
          </w:tcPr>
          <w:p>
            <w:pPr>
              <w:jc w:val="center"/>
              <w:ind w:right="280"/>
              <w:spacing w:after="0" w:line="88" w:lineRule="exact"/>
              <w:rPr>
                <w:sz w:val="20"/>
                <w:szCs w:val="20"/>
                <w:color w:val="auto"/>
              </w:rPr>
            </w:pPr>
            <w:r>
              <w:rPr>
                <w:rFonts w:ascii="Times New Roman" w:cs="Times New Roman" w:eastAsia="Times New Roman" w:hAnsi="Times New Roman"/>
                <w:sz w:val="10"/>
                <w:szCs w:val="10"/>
                <w:b w:val="1"/>
                <w:bCs w:val="1"/>
                <w:color w:val="auto"/>
              </w:rPr>
              <w:t>Stock that</w:t>
            </w:r>
          </w:p>
        </w:tc>
        <w:tc>
          <w:tcPr>
            <w:tcW w:w="8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0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rPr>
              <w:t>Percent of</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98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1"/>
                <w:szCs w:val="11"/>
                <w:b w:val="1"/>
                <w:bCs w:val="1"/>
                <w:color w:val="auto"/>
              </w:rPr>
              <w:t>Common</w:t>
            </w:r>
          </w:p>
        </w:tc>
        <w:tc>
          <w:tcPr>
            <w:tcW w:w="88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May be</w:t>
            </w:r>
          </w:p>
        </w:tc>
        <w:tc>
          <w:tcPr>
            <w:tcW w:w="860" w:type="dxa"/>
            <w:vAlign w:val="bottom"/>
            <w:gridSpan w:val="2"/>
            <w:vMerge w:val="continue"/>
          </w:tcPr>
          <w:p>
            <w:pPr>
              <w:spacing w:after="0"/>
              <w:rPr>
                <w:sz w:val="10"/>
                <w:szCs w:val="10"/>
                <w:color w:val="auto"/>
              </w:rPr>
            </w:pPr>
          </w:p>
        </w:tc>
        <w:tc>
          <w:tcPr>
            <w:tcW w:w="76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Common</w:t>
            </w:r>
          </w:p>
        </w:tc>
        <w:tc>
          <w:tcPr>
            <w:tcW w:w="0" w:type="dxa"/>
            <w:vAlign w:val="bottom"/>
          </w:tcPr>
          <w:p>
            <w:pPr>
              <w:spacing w:after="0"/>
              <w:rPr>
                <w:sz w:val="1"/>
                <w:szCs w:val="1"/>
                <w:color w:val="auto"/>
              </w:rPr>
            </w:pPr>
          </w:p>
        </w:tc>
      </w:tr>
      <w:tr>
        <w:trPr>
          <w:trHeight w:val="116"/>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60" w:type="dxa"/>
            <w:vAlign w:val="bottom"/>
            <w:gridSpan w:val="2"/>
            <w:vMerge w:val="continue"/>
          </w:tcPr>
          <w:p>
            <w:pPr>
              <w:spacing w:after="0"/>
              <w:rPr>
                <w:sz w:val="10"/>
                <w:szCs w:val="10"/>
                <w:color w:val="auto"/>
              </w:rPr>
            </w:pPr>
          </w:p>
        </w:tc>
        <w:tc>
          <w:tcPr>
            <w:tcW w:w="980" w:type="dxa"/>
            <w:vAlign w:val="bottom"/>
            <w:gridSpan w:val="2"/>
          </w:tcPr>
          <w:p>
            <w:pPr>
              <w:jc w:val="center"/>
              <w:ind w:right="360"/>
              <w:spacing w:after="0" w:line="116"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80" w:type="dxa"/>
            <w:vAlign w:val="bottom"/>
            <w:gridSpan w:val="2"/>
          </w:tcPr>
          <w:p>
            <w:pPr>
              <w:jc w:val="center"/>
              <w:ind w:right="280"/>
              <w:spacing w:after="0" w:line="116" w:lineRule="exact"/>
              <w:rPr>
                <w:sz w:val="20"/>
                <w:szCs w:val="20"/>
                <w:color w:val="auto"/>
              </w:rPr>
            </w:pPr>
            <w:r>
              <w:rPr>
                <w:rFonts w:ascii="Times New Roman" w:cs="Times New Roman" w:eastAsia="Times New Roman" w:hAnsi="Times New Roman"/>
                <w:sz w:val="11"/>
                <w:szCs w:val="11"/>
                <w:b w:val="1"/>
                <w:bCs w:val="1"/>
                <w:color w:val="auto"/>
              </w:rPr>
              <w:t>Offered for</w:t>
            </w:r>
          </w:p>
        </w:tc>
        <w:tc>
          <w:tcPr>
            <w:tcW w:w="86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76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0" w:type="dxa"/>
            <w:vAlign w:val="bottom"/>
          </w:tcPr>
          <w:p>
            <w:pPr>
              <w:spacing w:after="0"/>
              <w:rPr>
                <w:sz w:val="1"/>
                <w:szCs w:val="1"/>
                <w:color w:val="auto"/>
              </w:rPr>
            </w:pPr>
          </w:p>
        </w:tc>
      </w:tr>
      <w:tr>
        <w:trPr>
          <w:trHeight w:val="125"/>
        </w:trPr>
        <w:tc>
          <w:tcPr>
            <w:tcW w:w="4260" w:type="dxa"/>
            <w:vAlign w:val="bottom"/>
            <w:gridSpan w:val="2"/>
            <w:vMerge w:val="continue"/>
          </w:tcPr>
          <w:p>
            <w:pPr>
              <w:spacing w:after="0"/>
              <w:rPr>
                <w:sz w:val="10"/>
                <w:szCs w:val="10"/>
                <w:color w:val="auto"/>
              </w:rPr>
            </w:pPr>
          </w:p>
        </w:tc>
        <w:tc>
          <w:tcPr>
            <w:tcW w:w="860" w:type="dxa"/>
            <w:vAlign w:val="bottom"/>
            <w:gridSpan w:val="2"/>
          </w:tcPr>
          <w:p>
            <w:pPr>
              <w:jc w:val="right"/>
              <w:ind w:right="400"/>
              <w:spacing w:after="0" w:line="125" w:lineRule="exact"/>
              <w:rPr>
                <w:sz w:val="20"/>
                <w:szCs w:val="20"/>
                <w:color w:val="auto"/>
              </w:rPr>
            </w:pPr>
            <w:r>
              <w:rPr>
                <w:rFonts w:ascii="Times New Roman" w:cs="Times New Roman" w:eastAsia="Times New Roman" w:hAnsi="Times New Roman"/>
                <w:sz w:val="11"/>
                <w:szCs w:val="11"/>
                <w:b w:val="1"/>
                <w:bCs w:val="1"/>
                <w:color w:val="auto"/>
              </w:rPr>
              <w:t>Shares</w:t>
            </w:r>
          </w:p>
        </w:tc>
        <w:tc>
          <w:tcPr>
            <w:tcW w:w="980" w:type="dxa"/>
            <w:vAlign w:val="bottom"/>
            <w:gridSpan w:val="2"/>
          </w:tcPr>
          <w:p>
            <w:pPr>
              <w:jc w:val="center"/>
              <w:ind w:right="380"/>
              <w:spacing w:after="0" w:line="12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88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1"/>
                <w:szCs w:val="11"/>
                <w:b w:val="1"/>
                <w:bCs w:val="1"/>
                <w:color w:val="auto"/>
              </w:rPr>
              <w:t>Resale</w:t>
            </w:r>
          </w:p>
        </w:tc>
        <w:tc>
          <w:tcPr>
            <w:tcW w:w="8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1"/>
                <w:szCs w:val="11"/>
                <w:b w:val="1"/>
                <w:bCs w:val="1"/>
                <w:color w:val="auto"/>
              </w:rPr>
              <w:t>Shares</w:t>
            </w:r>
          </w:p>
        </w:tc>
        <w:tc>
          <w:tcPr>
            <w:tcW w:w="76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20"/>
        </w:trPr>
        <w:tc>
          <w:tcPr>
            <w:tcW w:w="28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6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2"/>
                <w:szCs w:val="12"/>
                <w:color w:val="auto"/>
              </w:rPr>
              <w:t>20UGS (UCITS) Funds - TCW Unconstrained Plus Bond Strategy</w:t>
            </w:r>
            <w:r>
              <w:rPr>
                <w:rFonts w:ascii="Times New Roman" w:cs="Times New Roman" w:eastAsia="Times New Roman" w:hAnsi="Times New Roman"/>
                <w:sz w:val="17"/>
                <w:szCs w:val="17"/>
                <w:color w:val="auto"/>
                <w:vertAlign w:val="superscript"/>
              </w:rPr>
              <w:t>(1)</w:t>
            </w:r>
          </w:p>
        </w:tc>
        <w:tc>
          <w:tcPr>
            <w:tcW w:w="6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632</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0" w:lineRule="exact"/>
              <w:rPr>
                <w:sz w:val="20"/>
                <w:szCs w:val="20"/>
                <w:color w:val="auto"/>
              </w:rPr>
            </w:pPr>
            <w:r>
              <w:rPr>
                <w:rFonts w:ascii="Times New Roman" w:cs="Times New Roman" w:eastAsia="Times New Roman" w:hAnsi="Times New Roman"/>
                <w:sz w:val="14"/>
                <w:szCs w:val="14"/>
                <w:color w:val="auto"/>
              </w:rPr>
              <w:t>632</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ind w:left="400"/>
              <w:spacing w:after="0" w:line="150" w:lineRule="exact"/>
              <w:rPr>
                <w:sz w:val="20"/>
                <w:szCs w:val="20"/>
                <w:color w:val="auto"/>
              </w:rPr>
            </w:pPr>
            <w:r>
              <w:rPr>
                <w:rFonts w:ascii="Times New Roman" w:cs="Times New Roman" w:eastAsia="Times New Roman" w:hAnsi="Times New Roman"/>
                <w:sz w:val="14"/>
                <w:szCs w:val="14"/>
                <w:color w:val="auto"/>
                <w:w w:val="85"/>
              </w:rPr>
              <w:t>— </w:t>
            </w: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ind w:left="400"/>
              <w:spacing w:after="0" w:line="150"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6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color w:val="auto"/>
              </w:rPr>
              <w:t>Algebris UCITS Funds plc - Algebris Global Credit Opportunities</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26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4"/>
                <w:szCs w:val="14"/>
                <w:color w:val="auto"/>
              </w:rPr>
              <w:t>Fund</w:t>
            </w:r>
            <w:r>
              <w:rPr>
                <w:rFonts w:ascii="Times New Roman" w:cs="Times New Roman" w:eastAsia="Times New Roman" w:hAnsi="Times New Roman"/>
                <w:sz w:val="21"/>
                <w:szCs w:val="21"/>
                <w:color w:val="auto"/>
                <w:vertAlign w:val="superscript"/>
              </w:rPr>
              <w:t>(2)</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222,101</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222,101</w:t>
            </w:r>
          </w:p>
        </w:tc>
        <w:tc>
          <w:tcPr>
            <w:tcW w:w="280" w:type="dxa"/>
            <w:vAlign w:val="bottom"/>
          </w:tcPr>
          <w:p>
            <w:pPr>
              <w:spacing w:after="0"/>
              <w:rPr>
                <w:sz w:val="15"/>
                <w:szCs w:val="15"/>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Alphanatics Master Fund Limited</w:t>
            </w:r>
            <w:r>
              <w:rPr>
                <w:rFonts w:ascii="Times New Roman" w:cs="Times New Roman" w:eastAsia="Times New Roman" w:hAnsi="Times New Roman"/>
                <w:sz w:val="19"/>
                <w:szCs w:val="19"/>
                <w:color w:val="auto"/>
                <w:vertAlign w:val="superscript"/>
              </w:rPr>
              <w:t>(3)</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15,443</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15,443</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BofA Securities, Inc.</w:t>
            </w:r>
            <w:r>
              <w:rPr>
                <w:rFonts w:ascii="Times New Roman" w:cs="Times New Roman" w:eastAsia="Times New Roman" w:hAnsi="Times New Roman"/>
                <w:sz w:val="19"/>
                <w:szCs w:val="19"/>
                <w:color w:val="auto"/>
                <w:vertAlign w:val="superscript"/>
              </w:rPr>
              <w:t>(4)</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24,177</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24,177</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Converium Capital Master Fund LP</w:t>
            </w:r>
            <w:r>
              <w:rPr>
                <w:rFonts w:ascii="Times New Roman" w:cs="Times New Roman" w:eastAsia="Times New Roman" w:hAnsi="Times New Roman"/>
                <w:sz w:val="19"/>
                <w:szCs w:val="19"/>
                <w:color w:val="auto"/>
                <w:vertAlign w:val="superscript"/>
              </w:rPr>
              <w:t>(5)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248,607</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248,607</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Converium PGEQ Multi-strategy Fund L.P.</w:t>
            </w:r>
            <w:r>
              <w:rPr>
                <w:rFonts w:ascii="Times New Roman" w:cs="Times New Roman" w:eastAsia="Times New Roman" w:hAnsi="Times New Roman"/>
                <w:sz w:val="19"/>
                <w:szCs w:val="19"/>
                <w:color w:val="auto"/>
                <w:vertAlign w:val="superscript"/>
              </w:rPr>
              <w:t>(5)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12,658</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12,658</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CoRe Series - Global Macro Credit FAM Fund</w:t>
            </w:r>
            <w:r>
              <w:rPr>
                <w:rFonts w:ascii="Times New Roman" w:cs="Times New Roman" w:eastAsia="Times New Roman" w:hAnsi="Times New Roman"/>
                <w:sz w:val="19"/>
                <w:szCs w:val="19"/>
                <w:color w:val="auto"/>
                <w:vertAlign w:val="superscript"/>
              </w:rPr>
              <w:t>(2)</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55,518</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55,518</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HG Vora Special Opportunities Master Fund II, Ltd.</w:t>
            </w:r>
            <w:r>
              <w:rPr>
                <w:rFonts w:ascii="Times New Roman" w:cs="Times New Roman" w:eastAsia="Times New Roman" w:hAnsi="Times New Roman"/>
                <w:sz w:val="19"/>
                <w:szCs w:val="19"/>
                <w:color w:val="auto"/>
                <w:vertAlign w:val="superscript"/>
              </w:rPr>
              <w:t>(6)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303,797</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303,797</w:t>
            </w:r>
          </w:p>
        </w:tc>
        <w:tc>
          <w:tcPr>
            <w:tcW w:w="280" w:type="dxa"/>
            <w:vAlign w:val="bottom"/>
          </w:tcPr>
          <w:p>
            <w:pPr>
              <w:spacing w:after="0"/>
              <w:rPr>
                <w:sz w:val="14"/>
                <w:szCs w:val="1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Entities affiliated with Millennium Management LLC</w:t>
            </w:r>
            <w:r>
              <w:rPr>
                <w:rFonts w:ascii="Times New Roman" w:cs="Times New Roman" w:eastAsia="Times New Roman" w:hAnsi="Times New Roman"/>
                <w:sz w:val="19"/>
                <w:szCs w:val="19"/>
                <w:color w:val="auto"/>
                <w:vertAlign w:val="superscript"/>
              </w:rPr>
              <w:t>(7)</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3,518,225</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2.56%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926,962</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2,591,263</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Multi-Manager Alternative Strategies Fund</w:t>
            </w:r>
            <w:r>
              <w:rPr>
                <w:rFonts w:ascii="Times New Roman" w:cs="Times New Roman" w:eastAsia="Times New Roman" w:hAnsi="Times New Roman"/>
                <w:sz w:val="19"/>
                <w:szCs w:val="19"/>
                <w:color w:val="auto"/>
                <w:vertAlign w:val="superscript"/>
              </w:rPr>
              <w:t>(8)</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1,265</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280" w:type="dxa"/>
            <w:vAlign w:val="bottom"/>
          </w:tcPr>
          <w:p>
            <w:pPr>
              <w:spacing w:after="0"/>
              <w:rPr>
                <w:sz w:val="14"/>
                <w:szCs w:val="1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Pictet Alt - Distressed &amp; Special Situations</w:t>
            </w:r>
            <w:r>
              <w:rPr>
                <w:rFonts w:ascii="Times New Roman" w:cs="Times New Roman" w:eastAsia="Times New Roman" w:hAnsi="Times New Roman"/>
                <w:sz w:val="19"/>
                <w:szCs w:val="19"/>
                <w:color w:val="auto"/>
                <w:vertAlign w:val="superscript"/>
              </w:rPr>
              <w:t>(9)</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68,000</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68,000</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Pictet TR - Diversified Alpha</w:t>
            </w:r>
            <w:r>
              <w:rPr>
                <w:rFonts w:ascii="Times New Roman" w:cs="Times New Roman" w:eastAsia="Times New Roman" w:hAnsi="Times New Roman"/>
                <w:sz w:val="19"/>
                <w:szCs w:val="19"/>
                <w:color w:val="auto"/>
                <w:vertAlign w:val="superscript"/>
              </w:rPr>
              <w:t>(10)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43,139</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43,139</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Rokos Global Macro Investments 2 Limited</w:t>
            </w:r>
            <w:r>
              <w:rPr>
                <w:rFonts w:ascii="Times New Roman" w:cs="Times New Roman" w:eastAsia="Times New Roman" w:hAnsi="Times New Roman"/>
                <w:sz w:val="19"/>
                <w:szCs w:val="19"/>
                <w:color w:val="auto"/>
                <w:vertAlign w:val="superscript"/>
              </w:rPr>
              <w:t>(11)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1,075,949</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1,075,949</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Silver Point Capital Fund, L.P.</w:t>
            </w:r>
            <w:r>
              <w:rPr>
                <w:rFonts w:ascii="Times New Roman" w:cs="Times New Roman" w:eastAsia="Times New Roman" w:hAnsi="Times New Roman"/>
                <w:sz w:val="19"/>
                <w:szCs w:val="19"/>
                <w:color w:val="auto"/>
                <w:vertAlign w:val="superscript"/>
              </w:rPr>
              <w:t>(12)</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36,708</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36,708</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Silver Point Capital Offshore Master Fund, L.P.</w:t>
            </w:r>
            <w:r>
              <w:rPr>
                <w:rFonts w:ascii="Times New Roman" w:cs="Times New Roman" w:eastAsia="Times New Roman" w:hAnsi="Times New Roman"/>
                <w:sz w:val="19"/>
                <w:szCs w:val="19"/>
                <w:color w:val="auto"/>
                <w:vertAlign w:val="superscript"/>
              </w:rPr>
              <w:t>(12)</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115,189</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115,189</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Stadium I L.P.</w:t>
            </w:r>
            <w:r>
              <w:rPr>
                <w:rFonts w:ascii="Times New Roman" w:cs="Times New Roman" w:eastAsia="Times New Roman" w:hAnsi="Times New Roman"/>
                <w:sz w:val="19"/>
                <w:szCs w:val="19"/>
                <w:color w:val="auto"/>
                <w:vertAlign w:val="superscript"/>
              </w:rPr>
              <w:t>(13)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164,556</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164,556</w:t>
            </w:r>
          </w:p>
        </w:tc>
        <w:tc>
          <w:tcPr>
            <w:tcW w:w="280" w:type="dxa"/>
            <w:vAlign w:val="bottom"/>
          </w:tcPr>
          <w:p>
            <w:pPr>
              <w:spacing w:after="0"/>
              <w:rPr>
                <w:sz w:val="14"/>
                <w:szCs w:val="1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TCW Flexible Income ETF</w:t>
            </w:r>
            <w:r>
              <w:rPr>
                <w:rFonts w:ascii="Times New Roman" w:cs="Times New Roman" w:eastAsia="Times New Roman" w:hAnsi="Times New Roman"/>
                <w:sz w:val="19"/>
                <w:szCs w:val="19"/>
                <w:color w:val="auto"/>
                <w:vertAlign w:val="superscript"/>
              </w:rPr>
              <w:t>(14)</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32,911</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32,911</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TCW Funds - TCW Global Income Fund</w:t>
            </w:r>
            <w:r>
              <w:rPr>
                <w:rFonts w:ascii="Times New Roman" w:cs="Times New Roman" w:eastAsia="Times New Roman" w:hAnsi="Times New Roman"/>
                <w:sz w:val="19"/>
                <w:szCs w:val="19"/>
                <w:color w:val="auto"/>
                <w:vertAlign w:val="superscript"/>
              </w:rPr>
              <w:t>(15)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632</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632</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TCW Funds - TCW Global Multi Asset Opportunities Fund</w:t>
            </w:r>
            <w:r>
              <w:rPr>
                <w:rFonts w:ascii="Times New Roman" w:cs="Times New Roman" w:eastAsia="Times New Roman" w:hAnsi="Times New Roman"/>
                <w:sz w:val="19"/>
                <w:szCs w:val="19"/>
                <w:color w:val="auto"/>
                <w:vertAlign w:val="superscript"/>
              </w:rPr>
              <w:t>(16)</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379</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379</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TCW Funds - TCW Multi-Sector Fixed Income Fund</w:t>
            </w:r>
            <w:r>
              <w:rPr>
                <w:rFonts w:ascii="Times New Roman" w:cs="Times New Roman" w:eastAsia="Times New Roman" w:hAnsi="Times New Roman"/>
                <w:sz w:val="19"/>
                <w:szCs w:val="19"/>
                <w:color w:val="auto"/>
                <w:vertAlign w:val="superscript"/>
              </w:rPr>
              <w:t>(17)</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5,063</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w:t>
            </w:r>
          </w:p>
        </w:tc>
        <w:tc>
          <w:tcPr>
            <w:tcW w:w="280" w:type="dxa"/>
            <w:vAlign w:val="bottom"/>
          </w:tcPr>
          <w:p>
            <w:pPr>
              <w:spacing w:after="0"/>
              <w:rPr>
                <w:sz w:val="14"/>
                <w:szCs w:val="1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TCW High Yield Bond ETF</w:t>
            </w:r>
            <w:r>
              <w:rPr>
                <w:rFonts w:ascii="Times New Roman" w:cs="Times New Roman" w:eastAsia="Times New Roman" w:hAnsi="Times New Roman"/>
                <w:sz w:val="19"/>
                <w:szCs w:val="19"/>
                <w:color w:val="auto"/>
                <w:vertAlign w:val="superscript"/>
              </w:rPr>
              <w:t>(18)</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632</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632</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TCW MetWest High Yield Bond Fund</w:t>
            </w:r>
            <w:r>
              <w:rPr>
                <w:rFonts w:ascii="Times New Roman" w:cs="Times New Roman" w:eastAsia="Times New Roman" w:hAnsi="Times New Roman"/>
                <w:sz w:val="19"/>
                <w:szCs w:val="19"/>
                <w:color w:val="auto"/>
                <w:vertAlign w:val="superscript"/>
              </w:rPr>
              <w:t>(19)</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8,607</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8,607</w:t>
            </w:r>
          </w:p>
        </w:tc>
        <w:tc>
          <w:tcPr>
            <w:tcW w:w="280" w:type="dxa"/>
            <w:vAlign w:val="bottom"/>
          </w:tcPr>
          <w:p>
            <w:pPr>
              <w:spacing w:after="0"/>
              <w:rPr>
                <w:sz w:val="14"/>
                <w:szCs w:val="1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TCW MetWest Strategic Income Fund</w:t>
            </w:r>
            <w:r>
              <w:rPr>
                <w:rFonts w:ascii="Times New Roman" w:cs="Times New Roman" w:eastAsia="Times New Roman" w:hAnsi="Times New Roman"/>
                <w:sz w:val="19"/>
                <w:szCs w:val="19"/>
                <w:color w:val="auto"/>
                <w:vertAlign w:val="superscript"/>
              </w:rPr>
              <w:t>(20)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506</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506</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TCW MetWest Unconstrained Bond Fund</w:t>
            </w:r>
            <w:r>
              <w:rPr>
                <w:rFonts w:ascii="Times New Roman" w:cs="Times New Roman" w:eastAsia="Times New Roman" w:hAnsi="Times New Roman"/>
                <w:sz w:val="19"/>
                <w:szCs w:val="19"/>
                <w:color w:val="auto"/>
                <w:vertAlign w:val="superscript"/>
              </w:rPr>
              <w:t>(21)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18,987</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18,987</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TCW Multisector Credit Income ETF</w:t>
            </w:r>
            <w:r>
              <w:rPr>
                <w:rFonts w:ascii="Times New Roman" w:cs="Times New Roman" w:eastAsia="Times New Roman" w:hAnsi="Times New Roman"/>
                <w:sz w:val="19"/>
                <w:szCs w:val="19"/>
                <w:color w:val="auto"/>
                <w:vertAlign w:val="superscript"/>
              </w:rPr>
              <w:t>(22)</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886</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886</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3"/>
                <w:szCs w:val="13"/>
                <w:color w:val="auto"/>
              </w:rPr>
              <w:t>Whitebox GT Fund, LP</w:t>
            </w:r>
            <w:r>
              <w:rPr>
                <w:rFonts w:ascii="Times New Roman" w:cs="Times New Roman" w:eastAsia="Times New Roman" w:hAnsi="Times New Roman"/>
                <w:sz w:val="19"/>
                <w:szCs w:val="19"/>
                <w:color w:val="auto"/>
                <w:vertAlign w:val="superscript"/>
              </w:rPr>
              <w:t>(23)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13,645</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13,645</w:t>
            </w: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9"/>
        </w:trPr>
        <w:tc>
          <w:tcPr>
            <w:tcW w:w="42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Whitebox Multi-Strategy Partners, LP</w:t>
            </w:r>
            <w:r>
              <w:rPr>
                <w:rFonts w:ascii="Times New Roman" w:cs="Times New Roman" w:eastAsia="Times New Roman" w:hAnsi="Times New Roman"/>
                <w:sz w:val="19"/>
                <w:szCs w:val="19"/>
                <w:color w:val="auto"/>
                <w:vertAlign w:val="superscript"/>
              </w:rPr>
              <w:t>(23)</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164,911</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164,911</w:t>
            </w:r>
          </w:p>
        </w:tc>
        <w:tc>
          <w:tcPr>
            <w:tcW w:w="8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79"/>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Whitebox Relative Value Partners, LP</w:t>
            </w:r>
            <w:r>
              <w:rPr>
                <w:rFonts w:ascii="Times New Roman" w:cs="Times New Roman" w:eastAsia="Times New Roman" w:hAnsi="Times New Roman"/>
                <w:sz w:val="21"/>
                <w:szCs w:val="21"/>
                <w:color w:val="auto"/>
                <w:vertAlign w:val="superscript"/>
              </w:rPr>
              <w:t>(23)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310,202</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310,202</w:t>
            </w:r>
          </w:p>
        </w:tc>
        <w:tc>
          <w:tcPr>
            <w:tcW w:w="280" w:type="dxa"/>
            <w:vAlign w:val="bottom"/>
          </w:tcPr>
          <w:p>
            <w:pPr>
              <w:spacing w:after="0"/>
              <w:rPr>
                <w:sz w:val="24"/>
                <w:szCs w:val="24"/>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-2540</wp:posOffset>
            </wp:positionV>
            <wp:extent cx="60261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2615" cy="6985"/>
                    </a:xfrm>
                    <a:prstGeom prst="rect">
                      <a:avLst/>
                    </a:prstGeom>
                    <a:noFill/>
                  </pic:spPr>
                </pic:pic>
              </a:graphicData>
            </a:graphic>
          </wp:anchor>
        </w:drawing>
      </w:r>
    </w:p>
    <w:p>
      <w:pPr>
        <w:spacing w:after="0" w:line="3" w:lineRule="exact"/>
        <w:rPr>
          <w:sz w:val="20"/>
          <w:szCs w:val="20"/>
          <w:color w:val="auto"/>
        </w:rPr>
      </w:pPr>
    </w:p>
    <w:p>
      <w:pPr>
        <w:ind w:left="1680" w:hanging="337"/>
        <w:spacing w:after="0"/>
        <w:tabs>
          <w:tab w:leader="none" w:pos="16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2" w:lineRule="exact"/>
        <w:rPr>
          <w:sz w:val="20"/>
          <w:szCs w:val="20"/>
          <w:color w:val="auto"/>
        </w:rPr>
      </w:pPr>
    </w:p>
    <w:p>
      <w:pPr>
        <w:ind w:left="1680" w:right="279" w:hanging="337"/>
        <w:spacing w:after="0" w:line="251"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20UGS (UCITS) Funds - TCW Unconstrained Plus Bond Strategy is an Undertaking for Collective Investment in Transferable Securities (UCITS). TCW Investment Management Company LLC serves as its investment adviser and may be deemed to beneficially own the securities held by the fund. Bryan Whalen, Group Managing Director, Jerry Cudzil, Group Managing Director, Ruben Hovhannisyan, Group Managing Director, of TCW Investment Management Company LLC, have voting and investment power over such securities. Each of the foregoing disclaims beneficial ownership of the securities except to the extent of its pecuniary interest therein. The address of the fund is 16 Rue Jean-Pierre Brasseur, L-1258 Luxembourg.</w:t>
      </w:r>
    </w:p>
    <w:p>
      <w:pPr>
        <w:spacing w:after="0" w:line="1" w:lineRule="exact"/>
        <w:rPr>
          <w:rFonts w:ascii="Times New Roman" w:cs="Times New Roman" w:eastAsia="Times New Roman" w:hAnsi="Times New Roman"/>
          <w:sz w:val="14"/>
          <w:szCs w:val="14"/>
          <w:color w:val="auto"/>
        </w:rPr>
      </w:pPr>
    </w:p>
    <w:p>
      <w:pPr>
        <w:ind w:left="1680" w:right="279" w:hanging="337"/>
        <w:spacing w:after="0" w:line="251"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Algebris (UK) Limited acts as investment manager to Algebris UCITS Funds plc – Algebris Global Credit Opportunities Fund and CoRe Series – Global Macro Credit FAM Fund. The ultimate beneficial owner of Algebris (UK) Limited is Davide Serra, with an indirect shareholding of</w:t>
      </w:r>
    </w:p>
    <w:p>
      <w:pPr>
        <w:ind w:left="1680" w:right="299"/>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90.35% and 100% of the voting rights. The address of each of Algebris UCITS Funds plc – Algebris Global Credit Opportunities Fund and CoRe Series – Global Macro Credit FAM Fund is 1st Floor, 11 Waterloo Place, London, SW1Y 4AU, United Kingdom.</w:t>
      </w:r>
    </w:p>
    <w:p>
      <w:pPr>
        <w:ind w:left="1680" w:right="319" w:hanging="337"/>
        <w:spacing w:after="0" w:line="251"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stockholder is a Cayman Islands exempted company governed by its own board of directors, which has delegated investment and voting authority over the shares of common stock held by the selling stockholder to Pictet Asset Management Limited as investment manager. Galia Velimukhametova, Till Heimlich, Ide Kearney and Vasant Mehta, investment managers of Pictet Asset Management Limited, share voting and dispositive power over such shares. Each of Pictet Asset Management Limited and the named individuals disclaims beneficial ownership of the shares except to the extent of its or their pecuniary interest therein. The registered address of the selling stockholder is c/o Appleby Corporate Services (Cayman) Limited, PO Box 1350, 75 Fort Street, George Town, KY1-1104.</w:t>
      </w:r>
    </w:p>
    <w:p>
      <w:pPr>
        <w:spacing w:after="0" w:line="1" w:lineRule="exact"/>
        <w:rPr>
          <w:rFonts w:ascii="Times New Roman" w:cs="Times New Roman" w:eastAsia="Times New Roman" w:hAnsi="Times New Roman"/>
          <w:sz w:val="14"/>
          <w:szCs w:val="14"/>
          <w:color w:val="auto"/>
        </w:rPr>
      </w:pPr>
    </w:p>
    <w:p>
      <w:pPr>
        <w:jc w:val="both"/>
        <w:ind w:left="1680" w:right="259" w:hanging="337"/>
        <w:spacing w:after="0" w:line="251"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BofA Securities, Inc.’s beneficial ownership listed herein represents solely beneficial interests of its US Special Situations – Distressed Group and not any other unit, group, division, line of business of BofA Securities, Inc. or any of its affiliates or subsidiaries. The address of BofA Securities, Inc. is Bank of America Tower, One Bryant Park, New York, NY 10036.</w:t>
      </w:r>
    </w:p>
    <w:p>
      <w:pPr>
        <w:ind w:left="1680" w:right="219" w:hanging="337"/>
        <w:spacing w:after="0" w:line="251"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248,607 shares held by Converium Capital Master Fund LP, and (b) 12,658 shares held by Converium PGEQ Multi-strategy Fund L.P. Converium Capital Inc. serves as the investment manager to, and may be deemed to have voting and dispositive power over the securities held by, Converium Capital Master Fund LP and by Converium PGEQ Multi-strategy Fund L.P. Converium Capital Inc. is controlled by Aaron Stern and each of them may also be deemed to have voting and dispositive power over such shares. Each of Converium Capital Inc. and Mr. Stern disclaims beneficial ownership of the shares except to the extent of their pecuniary interest therein. The mailing address for Converium Capital Inc. is 1250, boul. René-Lévesque Ouest, Suite 4030, Montréal, Québec, H3B 4W8, Canada.</w:t>
      </w:r>
    </w:p>
    <w:p>
      <w:pPr>
        <w:spacing w:after="0" w:line="1" w:lineRule="exact"/>
        <w:rPr>
          <w:rFonts w:ascii="Times New Roman" w:cs="Times New Roman" w:eastAsia="Times New Roman" w:hAnsi="Times New Roman"/>
          <w:sz w:val="14"/>
          <w:szCs w:val="14"/>
          <w:color w:val="auto"/>
        </w:rPr>
      </w:pPr>
    </w:p>
    <w:p>
      <w:pPr>
        <w:jc w:val="both"/>
        <w:ind w:left="1680" w:right="359" w:hanging="337"/>
        <w:spacing w:after="0" w:line="251"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HG Vora Capital Management, LLC is the investment adviser to, and may be deemed to have voting and dispositive power of the securities held by, HG Vora Special Opportunities Master Fund II, Ltd. Parag Vora is the manager of HG Vora Capital Management, LLC. The mailing address for this entity and the individual discussed in this footnote is 330 Madison Avenue, 21st Floor, New York, NY 10017.</w:t>
      </w:r>
    </w:p>
    <w:p>
      <w:pPr>
        <w:ind w:left="1680" w:right="259" w:hanging="337"/>
        <w:spacing w:after="0" w:line="25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close of business on October 23, 2026: (i) Integrated Core Strategies (US) LLC (an affiliate of the selling stockholder) beneficially owned 210,338 shares of the Company’s common stock, par value $1 per share (“Common Stock”) as it held warrants to purchase 210,338 shares of the Company’s Common Stock; (ii) ICS Opportunities, Ltd. (an affiliate of the selling stockholder) beneficially owned 1,928,534 shares of the Company’s Common Stock as it held warrants to purchase 1,928,534 shares of the Company’s Common Stock; (iii) Integrated Assets II LLC (an affiliate of the selling stockholder) beneficially owned 156,922 shares of the Company’s Common Stock; and (iv) Integrated Assets, Ltd. (an affiliate of the selling stockholder) beneficially owned an aggregate of 295,469 shares of the Company’s Common Stock (consisting of: (a) 260,945 shares of the Company’s Common Stock, and (b) warrants to purchase 34,524 shares of the Company’s Common Stock). Integrated Core Strategies (US) LLC, ICS Opportunities, Ltd., Integrated Assets II LLC and Integrated Assets, Ltd. are affiliates of Millennium CMM, Ltd. (the selling stockholder). The securities listed above may be deemed to be beneficially owned by</w:t>
      </w:r>
    </w:p>
    <w:p>
      <w:pPr>
        <w:sectPr>
          <w:pgSz w:w="11900" w:h="16838" w:orient="portrait"/>
          <w:cols w:equalWidth="0" w:num="1">
            <w:col w:w="10159"/>
          </w:cols>
          <w:pgMar w:left="300" w:top="386" w:right="1440" w:bottom="1440" w:gutter="0" w:footer="0" w:header="0"/>
        </w:sectPr>
      </w:pPr>
    </w:p>
    <w:p>
      <w:pPr>
        <w:spacing w:after="0" w:line="9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Millennium Management LLC, Millennium Group Management LLC and Israel A. Englander (“Mr. Englander”) and/or other investment</w:t>
      </w:r>
    </w:p>
    <w:p>
      <w:pPr>
        <w:spacing w:after="0" w:line="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managers that may be controlled by Millennium Group Management LLC (the managing member of    Millennium Management LLC) and</w:t>
      </w:r>
    </w:p>
    <w:p>
      <w:pPr>
        <w:spacing w:after="0" w:line="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Mr. Englander (the sole voting trustee of the managing member of Millennium Group Management LLC). The foregoing should not be construed</w:t>
      </w:r>
    </w:p>
    <w:p>
      <w:pPr>
        <w:spacing w:after="0" w:line="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in and of itself as an admission by Millennium Management LLC, Millennium Group Management LLC or Mr. Englander as to the beneficial</w:t>
      </w:r>
    </w:p>
    <w:p>
      <w:pPr>
        <w:spacing w:after="0" w:line="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ownership of the securities held by such entities. The address for Millennium CMM, Ltd. is c/o Millennium Management LLC, 399 Park Avenue,</w:t>
      </w:r>
    </w:p>
    <w:p>
      <w:pPr>
        <w:spacing w:after="0" w:line="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8" w:lineRule="exact"/>
        <w:rPr>
          <w:sz w:val="20"/>
          <w:szCs w:val="20"/>
          <w:color w:val="auto"/>
        </w:rPr>
      </w:pPr>
    </w:p>
    <w:p>
      <w:pPr>
        <w:ind w:left="1680" w:right="219" w:hanging="337"/>
        <w:spacing w:after="0" w:line="251"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Multi-Manager Alternative Strategies Fund is a registered investment company. TCW Investment Management Company LLC serves as its investment sub-adviser and may be deemed to beneficially own the securities held by the fund. Bryan Whalen, Group Managing Director, Jerry Cudzil, Group Managing Director, Ruben Hovhannisyan, Group Managing Director, Steven Purdy, Group Managing Director, of TCW Investment Management Company LLC, have voting and investment power over such securities. Each of the foregoing disclaims beneficial ownership of the securities except to the extent of its pecuniary interest therein. The address of the fund is 225 Franklin Street, Boston, MA 02110.</w:t>
      </w:r>
    </w:p>
    <w:p>
      <w:pPr>
        <w:spacing w:after="0" w:line="1" w:lineRule="exact"/>
        <w:rPr>
          <w:rFonts w:ascii="Times New Roman" w:cs="Times New Roman" w:eastAsia="Times New Roman" w:hAnsi="Times New Roman"/>
          <w:sz w:val="14"/>
          <w:szCs w:val="14"/>
          <w:color w:val="auto"/>
        </w:rPr>
      </w:pPr>
    </w:p>
    <w:p>
      <w:pPr>
        <w:ind w:left="1680" w:right="259" w:hanging="337"/>
        <w:spacing w:after="0" w:line="251"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stockholder is a compartment of Pictet Alt, an investment company with variable capital – reserved alternative investment fund (SICAV-RAIF) incorporated under Luxembourg law in accordance with the provisions of 23 July 2016 relating to reserved alternative investment funds in Luxembourg governed by its own board of directors, which has delegated investment and voting authority over the shares of common stock held by the selling stockholder to Pictet Asset Management Limited as investment manager. Galia Velimukhametova, Till Heimlich, Ide Kearney and Vasant Mehta, investment managers of Pictet Asset Management Limited, share voting and dispositive power over such shares. Each of Pictet Asset Management Limited and the named individuals disclaims beneficial ownership of the shares except to the extent of its or their pecuniary interest therein. The registered address of the selling stockholder is 15, Avenue J.F. Kennedy, L-1855 Luxembourg, Grand Duchy of Luxembourg.</w:t>
      </w:r>
    </w:p>
    <w:p>
      <w:pPr>
        <w:spacing w:after="0" w:line="2" w:lineRule="exact"/>
        <w:rPr>
          <w:rFonts w:ascii="Times New Roman" w:cs="Times New Roman" w:eastAsia="Times New Roman" w:hAnsi="Times New Roman"/>
          <w:sz w:val="14"/>
          <w:szCs w:val="14"/>
          <w:color w:val="auto"/>
        </w:rPr>
      </w:pPr>
    </w:p>
    <w:p>
      <w:pPr>
        <w:ind w:left="1680" w:right="219" w:hanging="337"/>
        <w:spacing w:after="0" w:line="251"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stockholder is a compartment of Pictet TR, an open-ended investment company (SICAV) incorporated under Luxembourg law in accordance with the provisions of Part I of the law of 17 December 2010 governing undertakings for collective investment in Luxembourg governed by its own board of directors, which has delegated investment and voting authority over the shares of common stock held by the selling stockholder to Pictet Asset Management Limited as investment manager. Galia Velimukhametova, Till Heimlich, Ide Kearney and Vasant Mehta, investment managers of Pictet Asset Management Limited, share voting and dispositive power over such shares. Each of Pictet Asset Management Limited and the named individuals disclaims beneficial ownership of the shares except to the extent of its or their pecuniary interest therein. The registered address of the selling stockholder is 15, Avenue J.F. Kennedy, L-1855 Luxembourg, Grand Duchy of Luxembourg.</w:t>
      </w:r>
    </w:p>
    <w:p>
      <w:pPr>
        <w:spacing w:after="0" w:line="2" w:lineRule="exact"/>
        <w:rPr>
          <w:rFonts w:ascii="Times New Roman" w:cs="Times New Roman" w:eastAsia="Times New Roman" w:hAnsi="Times New Roman"/>
          <w:sz w:val="14"/>
          <w:szCs w:val="14"/>
          <w:color w:val="auto"/>
        </w:rPr>
      </w:pPr>
    </w:p>
    <w:p>
      <w:pPr>
        <w:jc w:val="both"/>
        <w:ind w:left="1680" w:right="399" w:hanging="337"/>
        <w:spacing w:after="0" w:line="251"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directly held by Rokos Global Macro Investments 2 Limited, a fund advised by Rokos Capital Management (US) LP (“RCM”) as its investment adviser. Chris Rokos is the ultimate beneficial owner of RCM. The address of RCM is 645 Fifth Avenue, New York, NY 10022.</w:t>
      </w:r>
    </w:p>
    <w:p>
      <w:pPr>
        <w:ind w:left="1680" w:right="379" w:hanging="337"/>
        <w:spacing w:after="0" w:line="251"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Silver Point Capital, L.P. (“Silver Point”) or its wholly owned subsidiaries are the investment managers of Silver Point Capital Fund, L.P. and Silver Point Capital Offshore Master Fund, L.P., (the “Silver Point Funds”) and, by reason of such status, may be deemed to be the beneficial owner of all the reported securities held by the Silver Point Funds. Silver Point Capital Management, LLC (“Silver Point Management”) is the general partner of Silver Point and as a result may be deemed to be the beneficial owner of all securities held by the Silver Point Funds. Messrs. Edward A. Mule and Robert J. O’Shea are each members of management and as a result may be deemed to be the beneficial owner of all of the securities held by the Silver Point Funds. Messrs. Mule and O’Shea disclaim beneficial ownership of the reported securities held by Silver Point Funds except to the extent of their pecuniary interests. The address of each of the Silver Point Funds is 2 Greenwich Plaza, Suite 1, Greenwich, CT 06830.</w:t>
      </w:r>
    </w:p>
    <w:p>
      <w:pPr>
        <w:spacing w:after="0" w:line="2" w:lineRule="exact"/>
        <w:rPr>
          <w:rFonts w:ascii="Times New Roman" w:cs="Times New Roman" w:eastAsia="Times New Roman" w:hAnsi="Times New Roman"/>
          <w:sz w:val="14"/>
          <w:szCs w:val="14"/>
          <w:color w:val="auto"/>
        </w:rPr>
      </w:pPr>
    </w:p>
    <w:p>
      <w:pPr>
        <w:ind w:left="1680" w:right="239" w:hanging="337"/>
        <w:spacing w:after="0" w:line="251"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securities held directly by Stadium I L.P. (the “Stadium Fund”). Blackstone Alternative Solutions L.L.C. is the investment manager of the Stadium Fund. Blackstone Holdings I L.P. is the sole member of Blackstone Alternative Solutions L.L.C. Blackstone Holdings I/II GP L.L.C. is the general partner of Blackstone Holdings I L.P. Blackstone Inc. is the sole member of Blackstone Holdings I/II GP L.L.C. Blackstone Group Management L.L.C. is the sole holder of the Series II preferred stock of Blackstone Inc. Blackstone Group Management L.L.C. is wholly owned by its senior managing directors and controlled by its founder, Stephen A. Schwarzman. Each of such Blackstone entities and Mr. Schwarzman may be deemed to beneficially own the securities beneficially owned by the Stadium Fund directly or indirectly controlled by it or him, but each (other than the Stadium Fund to the extent of its direct holdings) disclaims beneficial ownership of such securities. The address of each of the entities listed in this footnote is c/o Blackstone Inc., 345 Park Avenue, New York, New York 10154.</w:t>
      </w:r>
    </w:p>
    <w:p>
      <w:pPr>
        <w:spacing w:after="0" w:line="2" w:lineRule="exact"/>
        <w:rPr>
          <w:rFonts w:ascii="Times New Roman" w:cs="Times New Roman" w:eastAsia="Times New Roman" w:hAnsi="Times New Roman"/>
          <w:sz w:val="14"/>
          <w:szCs w:val="14"/>
          <w:color w:val="auto"/>
        </w:rPr>
      </w:pPr>
    </w:p>
    <w:p>
      <w:pPr>
        <w:ind w:left="1680" w:right="299" w:hanging="337"/>
        <w:spacing w:after="0" w:line="251"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TCW Flexible Income ETF is a registered investment company. TCW Investment Management Company LLC serves as its investment adviser and may be deemed to beneficially own the securities held by the fund. Bryan Whalen, Group Managing Director, Jerry Cudzil, Group Managing Director, Ruben Hovhannisyan, Group Managing Director, of TCW Investment Management Company LLC, have voting and investment power over such securities. Each of the foregoing disclaims beneficial ownership of the securities except to the extent of its pecuniary interest therein. The address of the fund is 515 S. Flower Street, Los Angeles, CA 90071.</w:t>
      </w:r>
    </w:p>
    <w:p>
      <w:pPr>
        <w:spacing w:after="0" w:line="1" w:lineRule="exact"/>
        <w:rPr>
          <w:rFonts w:ascii="Times New Roman" w:cs="Times New Roman" w:eastAsia="Times New Roman" w:hAnsi="Times New Roman"/>
          <w:sz w:val="14"/>
          <w:szCs w:val="14"/>
          <w:color w:val="auto"/>
        </w:rPr>
      </w:pPr>
    </w:p>
    <w:p>
      <w:pPr>
        <w:ind w:left="1680" w:right="299" w:hanging="337"/>
        <w:spacing w:after="0" w:line="251"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TCW Funds - TCW Global Income Fund is an Undertaking for Collective Investment in Transferable Securities (UCITS). TCW Investment Management Company LLC serves as its investment adviser and may be deemed to beneficially own the securities held by the fund. Bryan Whalen, Group Managing Director, Jerry Cudzil, Group Managing Director, Ruben Hovhannisyan, Group Managing Director, of TCW Investment Management Company LLC, have voting and investment power over such securities. Each of the foregoing disclaims beneficial ownership of the securities except to the extent of its pecuniary interest therein. The address of the fund is 3 Rue Jean Piret, L-2350 Luxembourg.</w:t>
      </w:r>
    </w:p>
    <w:p>
      <w:pPr>
        <w:spacing w:after="0" w:line="1" w:lineRule="exact"/>
        <w:rPr>
          <w:rFonts w:ascii="Times New Roman" w:cs="Times New Roman" w:eastAsia="Times New Roman" w:hAnsi="Times New Roman"/>
          <w:sz w:val="14"/>
          <w:szCs w:val="14"/>
          <w:color w:val="auto"/>
        </w:rPr>
      </w:pPr>
    </w:p>
    <w:p>
      <w:pPr>
        <w:ind w:left="1680" w:right="219" w:hanging="337"/>
        <w:spacing w:after="0" w:line="251"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TCW Funds - TCW Global Multi Asset Opportunities Fund is an Undertaking for Collective Investment in Transferable Securities (UCITS). TCW Investment Management Company LLC serves as its investment adviser and may be deemed to beneficially own the securities held by the fund. Bryan Whalen, Group Managing Director, Jerry Cudzil, Group Managing Director, Ruben Hovhannisyan, Group Managing Director, of TCW Investment Management Company LLC, have voting and investment power over such securities. Each of the foregoing disclaims beneficial ownership of the securities except to the extent of its pecuniary interest therein. The address of the fund is 3 Rue Jean Piret, L-2350 Luxembourg.</w:t>
      </w:r>
    </w:p>
    <w:p>
      <w:pPr>
        <w:spacing w:after="0" w:line="1" w:lineRule="exact"/>
        <w:rPr>
          <w:rFonts w:ascii="Times New Roman" w:cs="Times New Roman" w:eastAsia="Times New Roman" w:hAnsi="Times New Roman"/>
          <w:sz w:val="14"/>
          <w:szCs w:val="14"/>
          <w:color w:val="auto"/>
        </w:rPr>
      </w:pPr>
    </w:p>
    <w:p>
      <w:pPr>
        <w:ind w:left="1680" w:right="259" w:hanging="337"/>
        <w:spacing w:after="0" w:line="251"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TCW Funds - Multi-Sector Fixed Income Fund is an Undertaking for Collective Investment in Transferable Securities (UCITS). TCW Investment Management Company LLC serves as its investment adviser and may be deemed to beneficially own the securities held by the fund. Bryan Whalen, Group Managing Director, Jerry Cudzil, Group Managing Director, Ruben Hovhannisyan, Group Managing Director, Steven Purdy, Group Managing Director, of TCW Investment Management Company LLC, have voting and investment power over such securities. Each of the foregoing disclaims beneficial ownership of the securities except to the extent of its pecuniary interest therein. The address of the fund is 3 Rue Jean Piret, L-2350 Luxembourg.</w:t>
      </w:r>
    </w:p>
    <w:p>
      <w:pPr>
        <w:spacing w:after="0" w:line="1" w:lineRule="exact"/>
        <w:rPr>
          <w:rFonts w:ascii="Times New Roman" w:cs="Times New Roman" w:eastAsia="Times New Roman" w:hAnsi="Times New Roman"/>
          <w:sz w:val="14"/>
          <w:szCs w:val="14"/>
          <w:color w:val="auto"/>
        </w:rPr>
      </w:pPr>
    </w:p>
    <w:p>
      <w:pPr>
        <w:ind w:left="1680" w:right="299" w:hanging="337"/>
        <w:spacing w:after="0" w:line="254"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TCW High Yield Bond ETF is a registered investment company. TCW Investment Management Company LLC serves as its investment adviser and may be deemed to beneficially own the securities held by the fund. Bryan Whalen, Group Managing Director, Jerry Cudzil, Group Managing Director, Ruben Hovhannisyan, Group Managing Director, Steven Purdy, Group Managing Director, of TCW Investment Management Company LLC, have voting and investment power over such securities. Each of the foregoing disclaims beneficial ownership of the securities except to the extent of its pecuniary interest therein. The address of the fund is 515 S. Flower Street, Los Angeles, CA 90071.</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680" w:right="419" w:hanging="337"/>
        <w:spacing w:after="0" w:line="255"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TCW MetWest High Yield Bond Fund is a registered investment company. Metropolitan West Asset Management LLC serves as its investment adviser and may be deemed to beneficially own the securities held by the fund. Jerry Cudzil, Group Managing Director, Steven Purdy, Group Managing Director, Brian Gelfand, Managing Director, of Metropolitan West Asset Management LLC, have voting and investment power over such securities. Each of the foregoing disclaims beneficial ownership of the securities except to the extent of its pecuniary interest therein. The address of the fund is 515 S. Flower Street, Los Angeles, CA 90071.</w:t>
      </w:r>
    </w:p>
    <w:p>
      <w:pPr>
        <w:spacing w:after="0" w:line="2" w:lineRule="exact"/>
        <w:rPr>
          <w:rFonts w:ascii="Times New Roman" w:cs="Times New Roman" w:eastAsia="Times New Roman" w:hAnsi="Times New Roman"/>
          <w:sz w:val="14"/>
          <w:szCs w:val="14"/>
          <w:color w:val="auto"/>
        </w:rPr>
      </w:pPr>
    </w:p>
    <w:p>
      <w:pPr>
        <w:ind w:left="1680" w:right="299" w:hanging="337"/>
        <w:spacing w:after="0" w:line="251"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TCW MetWest Strategic Income Fund is a registered investment company. Metropolitan West Asset Management LLC serves as its investment adviser and may be deemed to beneficially own the securities held by the fund. Bryan Whalen, Group Managing Director, Jerry Cudzil, Group Managing Director, Ruben Hovhannisyan, Group Managing Director, of Metropolitan West Asset Management LLC, have voting and investment power over such securities. Each of the foregoing disclaims beneficial ownership of the securities except to the extent of its pecuniary interest therein. The address of the fund is 515 S. Flower Street, Los Angeles, CA 90071.</w:t>
      </w:r>
    </w:p>
    <w:p>
      <w:pPr>
        <w:spacing w:after="0" w:line="1" w:lineRule="exact"/>
        <w:rPr>
          <w:rFonts w:ascii="Times New Roman" w:cs="Times New Roman" w:eastAsia="Times New Roman" w:hAnsi="Times New Roman"/>
          <w:sz w:val="14"/>
          <w:szCs w:val="14"/>
          <w:color w:val="auto"/>
        </w:rPr>
      </w:pPr>
    </w:p>
    <w:p>
      <w:pPr>
        <w:ind w:left="1680" w:right="359" w:hanging="337"/>
        <w:spacing w:after="0" w:line="251"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TCW MetWest Unconstrained Bond Fund is a registered investment company. Metropolitan West Asset Management LLC serves as its investment adviser and may be deemed to beneficially own the securities held by the fund. Bryan Whalen, Group Managing Director, Jerry Cudzil, Group Managing Director, Ruben Hovhannisyan, Group Managing Director, of Metropolitan West Asset Management LLC, have voting and investment power over such securities. Each of the foregoing disclaims beneficial ownership of the securities except to the extent of its pecuniary interest therein. The address of the fund is 515 S. Flower Street, Los Angeles, CA 90071.</w:t>
      </w:r>
    </w:p>
    <w:p>
      <w:pPr>
        <w:spacing w:after="0" w:line="1" w:lineRule="exact"/>
        <w:rPr>
          <w:rFonts w:ascii="Times New Roman" w:cs="Times New Roman" w:eastAsia="Times New Roman" w:hAnsi="Times New Roman"/>
          <w:sz w:val="14"/>
          <w:szCs w:val="14"/>
          <w:color w:val="auto"/>
        </w:rPr>
      </w:pPr>
    </w:p>
    <w:p>
      <w:pPr>
        <w:ind w:left="1680" w:right="219" w:hanging="337"/>
        <w:spacing w:after="0" w:line="251"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TCW Multisector Credit Income ETF is a registered investment company. TCW Investment Management Company LLC serves as its investment adviser and may be deemed to beneficially own the securities held by the fund. Jerry Cudzil, Group Managing Director, Steven Purdy, Group Managing Director, David Robbins, Group Managing Director, Brian Gelfand, Managing Director, Christopher Hays, Managing Director, of TCW Investment Management Company LLC, have voting and investment power over such securities. Each of the foregoing disclaims beneficial ownership of the securities except to the extent of its pecuniary interest therein. The address of the fund is 515 S. Flower Street, Los Angeles, CA 90071.</w:t>
      </w:r>
    </w:p>
    <w:p>
      <w:pPr>
        <w:spacing w:after="0" w:line="1" w:lineRule="exact"/>
        <w:rPr>
          <w:rFonts w:ascii="Times New Roman" w:cs="Times New Roman" w:eastAsia="Times New Roman" w:hAnsi="Times New Roman"/>
          <w:sz w:val="14"/>
          <w:szCs w:val="14"/>
          <w:color w:val="auto"/>
        </w:rPr>
      </w:pPr>
    </w:p>
    <w:p>
      <w:pPr>
        <w:ind w:left="1680" w:right="219" w:hanging="337"/>
        <w:spacing w:after="0" w:line="253"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Whitebox Advisors LLC (“WBA”) is the investment manager of (i) Whitebox Multi-Strategy Partners, L.P., (ii) Whitebox Relative Value Partners, L.P., (iii) Whitebox GT Fund, LP (collectively, the “Whitebox Funds”) and may be deemed to have shared voting and dispositive power over the securities held by the Whitebox Funds. WBA is managed by a committee of members including Robert Vogel, Jacob Mercer, Nick Stukas, Brian Lutz, and Paul Roos, and Blue Owl GP Stakes II (A), LP, a non-voting member, who may also be deemed to share such power. Each of WBA, Blue Owl GP Stakes II (A), LP, and the aforementioned individuals disclaims beneficial ownership of these securities, except to the extent of their respective pecuniary interest therein. The business address of WBA and the Whitebox Funds is 3033 Excelsior Blvd., Suite 500, Minneapolis, MN 55416.</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78" w:lineRule="exact"/>
        <w:rPr>
          <w:sz w:val="20"/>
          <w:szCs w:val="20"/>
          <w:color w:val="auto"/>
        </w:rPr>
      </w:pPr>
    </w:p>
    <w:p>
      <w:pPr>
        <w:ind w:left="1340" w:right="379" w:firstLine="344"/>
        <w:spacing w:after="0" w:line="262" w:lineRule="auto"/>
        <w:rPr>
          <w:sz w:val="20"/>
          <w:szCs w:val="20"/>
          <w:color w:val="auto"/>
        </w:rPr>
      </w:pPr>
      <w:r>
        <w:rPr>
          <w:rFonts w:ascii="Times New Roman" w:cs="Times New Roman" w:eastAsia="Times New Roman" w:hAnsi="Times New Roman"/>
          <w:sz w:val="14"/>
          <w:szCs w:val="14"/>
          <w:color w:val="auto"/>
        </w:rPr>
        <w:t>As of the date of this prospectus, Xerox had one class of securities registered pursuant to Section 12 of the Exchange Act: common stock, par value $1.00 per share (the “Common Stock”). The following summary of the terms of the Common Stock is not meant to be complete and is qualified by reference to the relevant provisions of New York law and the Restated Certificate of Incorporation (the “Charter”) and Amended and Restated By-Laws (the “Bylaws”) of Xerox.</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Dividend Rights and Restrictions</w:t>
      </w:r>
    </w:p>
    <w:p>
      <w:pPr>
        <w:spacing w:after="0" w:line="94" w:lineRule="exact"/>
        <w:rPr>
          <w:sz w:val="20"/>
          <w:szCs w:val="20"/>
          <w:color w:val="auto"/>
        </w:rPr>
      </w:pPr>
    </w:p>
    <w:p>
      <w:pPr>
        <w:ind w:left="1340" w:right="239" w:firstLine="344"/>
        <w:spacing w:after="0" w:line="262" w:lineRule="auto"/>
        <w:rPr>
          <w:sz w:val="20"/>
          <w:szCs w:val="20"/>
          <w:color w:val="auto"/>
        </w:rPr>
      </w:pPr>
      <w:r>
        <w:rPr>
          <w:rFonts w:ascii="Times New Roman" w:cs="Times New Roman" w:eastAsia="Times New Roman" w:hAnsi="Times New Roman"/>
          <w:sz w:val="14"/>
          <w:szCs w:val="14"/>
          <w:color w:val="auto"/>
        </w:rPr>
        <w:t>Holders of Common Stock are entitled to dividends as and when declared by the board of directors of Xerox out of the net assets legally available therefor. All shares of Common Stock are entitled to participate equally in such dividends. There are no restrictions on the payment of dividends or purchase or redemption of Common Stock under the Charter or the Bylaws, provided that all dividends for past periods and the dividends for the current quarter on any outstanding preferred stock and retirement, purchase or sinking fund requirements thereon, if any, will have been paid or provided for.</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94" w:lineRule="exact"/>
        <w:rPr>
          <w:sz w:val="20"/>
          <w:szCs w:val="20"/>
          <w:color w:val="auto"/>
        </w:rPr>
      </w:pPr>
    </w:p>
    <w:p>
      <w:pPr>
        <w:ind w:left="1340" w:right="259" w:firstLine="344"/>
        <w:spacing w:after="0" w:line="262" w:lineRule="auto"/>
        <w:rPr>
          <w:sz w:val="20"/>
          <w:szCs w:val="20"/>
          <w:color w:val="auto"/>
        </w:rPr>
      </w:pPr>
      <w:r>
        <w:rPr>
          <w:rFonts w:ascii="Times New Roman" w:cs="Times New Roman" w:eastAsia="Times New Roman" w:hAnsi="Times New Roman"/>
          <w:sz w:val="14"/>
          <w:szCs w:val="14"/>
          <w:color w:val="auto"/>
        </w:rPr>
        <w:t>Each share of Common Stock is entitled to one vote per share subject to the right of the holders of any outstanding preferred stock, if six quarterly dividends (whether or not consecutive) thereon are in default, to elect, voting as a class, two additional members to Xerox’s board of directors, which right continues until the default is cured. In addition, the separate vote or consent of the holders of outstanding preferred stock is required to authorize certain corporate action.</w:t>
      </w:r>
    </w:p>
    <w:p>
      <w:pPr>
        <w:spacing w:after="0" w:line="2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94" w:lineRule="exact"/>
        <w:rPr>
          <w:sz w:val="20"/>
          <w:szCs w:val="20"/>
          <w:color w:val="auto"/>
        </w:rPr>
      </w:pPr>
    </w:p>
    <w:p>
      <w:pPr>
        <w:ind w:left="1340" w:right="279" w:firstLine="344"/>
        <w:spacing w:after="0" w:line="284" w:lineRule="auto"/>
        <w:rPr>
          <w:sz w:val="20"/>
          <w:szCs w:val="20"/>
          <w:color w:val="auto"/>
        </w:rPr>
      </w:pPr>
      <w:r>
        <w:rPr>
          <w:rFonts w:ascii="Times New Roman" w:cs="Times New Roman" w:eastAsia="Times New Roman" w:hAnsi="Times New Roman"/>
          <w:sz w:val="14"/>
          <w:szCs w:val="14"/>
          <w:color w:val="auto"/>
        </w:rPr>
        <w:t>Holders of Common Stock are entitled to receive Xerox’s net assets, on a pro-rata basis, upon the dissolution, liquidation or winding up of Xerox, after the payment in full of all preferential amounts to which the holders of any then-outstanding shares of preferred stock shall be entitled.</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Preemptive Rights</w:t>
      </w:r>
    </w:p>
    <w:p>
      <w:pPr>
        <w:spacing w:after="0" w:line="94" w:lineRule="exact"/>
        <w:rPr>
          <w:sz w:val="20"/>
          <w:szCs w:val="20"/>
          <w:color w:val="auto"/>
        </w:rPr>
      </w:pPr>
    </w:p>
    <w:p>
      <w:pPr>
        <w:ind w:left="1340" w:right="319" w:firstLine="344"/>
        <w:spacing w:after="0" w:line="284" w:lineRule="auto"/>
        <w:rPr>
          <w:sz w:val="20"/>
          <w:szCs w:val="20"/>
          <w:color w:val="auto"/>
        </w:rPr>
      </w:pPr>
      <w:r>
        <w:rPr>
          <w:rFonts w:ascii="Times New Roman" w:cs="Times New Roman" w:eastAsia="Times New Roman" w:hAnsi="Times New Roman"/>
          <w:sz w:val="14"/>
          <w:szCs w:val="14"/>
          <w:color w:val="auto"/>
        </w:rPr>
        <w:t>Holders of Common Stock do not possess preemptive rights or subscription rights to any additional issues of any class of the capital stock or any of Xerox’s other securities.</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Liability to Further Calls or Assessments</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Based on the advice of counsel, all the issued and outstanding Common Stock is fully paid and non-assessable.</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transfer agent and registrar for the Common Stock is Computershare Trust Company, N.A., and any successor appointed in such capacity.</w:t>
      </w:r>
    </w:p>
    <w:p>
      <w:pPr>
        <w:spacing w:after="0" w:line="25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Common Stock is listed and traded on the Nasdaq Global Select Market under the symbol “XRX.”</w:t>
      </w:r>
    </w:p>
    <w:p>
      <w:pPr>
        <w:spacing w:after="0" w:line="1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We are registering the common stock on behalf of the selling stockholders pursuant to the terms of the Exchange Agreements.</w:t>
      </w:r>
    </w:p>
    <w:p>
      <w:pPr>
        <w:spacing w:after="0" w:line="176" w:lineRule="exact"/>
        <w:rPr>
          <w:sz w:val="20"/>
          <w:szCs w:val="20"/>
          <w:color w:val="auto"/>
        </w:rPr>
      </w:pPr>
    </w:p>
    <w:p>
      <w:pPr>
        <w:ind w:left="1340" w:right="739" w:firstLine="344"/>
        <w:spacing w:after="0" w:line="284" w:lineRule="auto"/>
        <w:rPr>
          <w:sz w:val="20"/>
          <w:szCs w:val="20"/>
          <w:color w:val="auto"/>
        </w:rPr>
      </w:pPr>
      <w:r>
        <w:rPr>
          <w:rFonts w:ascii="Times New Roman" w:cs="Times New Roman" w:eastAsia="Times New Roman" w:hAnsi="Times New Roman"/>
          <w:sz w:val="14"/>
          <w:szCs w:val="14"/>
          <w:color w:val="auto"/>
        </w:rPr>
        <w:t>The selling stockholders may from time to time offer some or all of the shares of common stock covered by this prospectus. To the extent required, this prospectus may be amended and supplemented from time to time to describe a specific plan of distribution.</w:t>
      </w:r>
    </w:p>
    <w:p>
      <w:pPr>
        <w:spacing w:after="0" w:line="125" w:lineRule="exact"/>
        <w:rPr>
          <w:sz w:val="20"/>
          <w:szCs w:val="20"/>
          <w:color w:val="auto"/>
        </w:rPr>
      </w:pPr>
    </w:p>
    <w:p>
      <w:pPr>
        <w:ind w:left="1340" w:right="219" w:firstLine="344"/>
        <w:spacing w:after="0" w:line="268" w:lineRule="auto"/>
        <w:rPr>
          <w:sz w:val="20"/>
          <w:szCs w:val="20"/>
          <w:color w:val="auto"/>
        </w:rPr>
      </w:pPr>
      <w:r>
        <w:rPr>
          <w:rFonts w:ascii="Times New Roman" w:cs="Times New Roman" w:eastAsia="Times New Roman" w:hAnsi="Times New Roman"/>
          <w:sz w:val="14"/>
          <w:szCs w:val="14"/>
          <w:color w:val="auto"/>
        </w:rPr>
        <w:t>The selling stockholders may offer the common stock from time to time, either in increments or in a single transaction. Each selling stockholder may also decide not to sell all the shares such selling stockholder is allowed to sell under this prospectus. The selling stockholders will act independently of us in making decisions with respect to the timing, manner and size of each sale.</w:t>
      </w:r>
    </w:p>
    <w:p>
      <w:pPr>
        <w:spacing w:after="0" w:line="135" w:lineRule="exact"/>
        <w:rPr>
          <w:sz w:val="20"/>
          <w:szCs w:val="20"/>
          <w:color w:val="auto"/>
        </w:rPr>
      </w:pPr>
    </w:p>
    <w:p>
      <w:pPr>
        <w:jc w:val="both"/>
        <w:ind w:left="1340" w:right="259" w:firstLine="344"/>
        <w:spacing w:after="0" w:line="262" w:lineRule="auto"/>
        <w:rPr>
          <w:sz w:val="20"/>
          <w:szCs w:val="20"/>
          <w:color w:val="auto"/>
        </w:rPr>
      </w:pPr>
      <w:r>
        <w:rPr>
          <w:rFonts w:ascii="Times New Roman" w:cs="Times New Roman" w:eastAsia="Times New Roman" w:hAnsi="Times New Roman"/>
          <w:sz w:val="14"/>
          <w:szCs w:val="14"/>
          <w:color w:val="auto"/>
        </w:rPr>
        <w:t>The selling stockholders may, from time to time, sell any or all of their shares of common stock on any stock exchange, market or trading facility on which the shares are traded or quoted or in private transactions. These sales may be at market prices prevailing at the time of sale, at prices related to such prevailing market prices, at varying prices determined at the time of sale, at fixed prices or negotiated prices. The selling stockholders may use any one or more of the following methods when selling shares of common stock:</w:t>
      </w:r>
    </w:p>
    <w:p>
      <w:pPr>
        <w:spacing w:after="0" w:line="67" w:lineRule="exact"/>
        <w:rPr>
          <w:sz w:val="20"/>
          <w:szCs w:val="20"/>
          <w:color w:val="auto"/>
        </w:rPr>
      </w:pPr>
    </w:p>
    <w:p>
      <w:pPr>
        <w:ind w:left="2100" w:right="479" w:hanging="335"/>
        <w:spacing w:after="0" w:line="284"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dealers and agents who may receive compensation in the form of discounts, concessions or commissions from the selling stockholders or the purchasers of the shares of common stock;</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a broker-dealer solicits purchasers;</w:t>
      </w:r>
    </w:p>
    <w:p>
      <w:pPr>
        <w:spacing w:after="0" w:line="102" w:lineRule="exact"/>
        <w:rPr>
          <w:rFonts w:ascii="Times New Roman" w:cs="Times New Roman" w:eastAsia="Times New Roman" w:hAnsi="Times New Roman"/>
          <w:sz w:val="14"/>
          <w:szCs w:val="14"/>
          <w:color w:val="auto"/>
        </w:rPr>
      </w:pPr>
    </w:p>
    <w:p>
      <w:pPr>
        <w:ind w:left="2100" w:right="519" w:hanging="335"/>
        <w:spacing w:after="0" w:line="284"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non-marketed block trades in which a broker-dealer will attempt to sell the shares as agent but may position and resell a portion of the block as principal to facilitate the transaction;</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settlement of short sales, or transactions to cover short sales relating to the common stock;</w:t>
      </w:r>
    </w:p>
    <w:p>
      <w:pPr>
        <w:spacing w:after="0" w:line="102" w:lineRule="exact"/>
        <w:rPr>
          <w:rFonts w:ascii="Times New Roman" w:cs="Times New Roman" w:eastAsia="Times New Roman" w:hAnsi="Times New Roman"/>
          <w:sz w:val="14"/>
          <w:szCs w:val="14"/>
          <w:color w:val="auto"/>
        </w:rPr>
      </w:pPr>
    </w:p>
    <w:p>
      <w:pPr>
        <w:ind w:left="2100" w:right="559" w:hanging="335"/>
        <w:spacing w:after="0" w:line="284"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distribution by a selling stockholder to its members, general or limited partners or shareholders (or their respective members, general or limited partners or shareholders);</w:t>
      </w:r>
    </w:p>
    <w:p>
      <w:pPr>
        <w:spacing w:after="0" w:line="5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writing of options, whether the options are listed on an options exchange or otherwise;</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agreements with broker-dealers to sell a specified number of the securities at a stipulated price per share;</w:t>
      </w:r>
    </w:p>
    <w:p>
      <w:pPr>
        <w:spacing w:after="0" w:line="102" w:lineRule="exact"/>
        <w:rPr>
          <w:rFonts w:ascii="Times New Roman" w:cs="Times New Roman" w:eastAsia="Times New Roman" w:hAnsi="Times New Roman"/>
          <w:sz w:val="14"/>
          <w:szCs w:val="14"/>
          <w:color w:val="auto"/>
        </w:rPr>
      </w:pPr>
    </w:p>
    <w:p>
      <w:pPr>
        <w:jc w:val="both"/>
        <w:ind w:left="2100" w:right="239" w:hanging="335"/>
        <w:spacing w:after="0" w:line="268"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trading plans entered into by the selling stockholders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61"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including through a specific bidding, auction or other process;</w:t>
      </w:r>
    </w:p>
    <w:p>
      <w:pPr>
        <w:spacing w:after="0" w:line="102" w:lineRule="exact"/>
        <w:rPr>
          <w:rFonts w:ascii="Times New Roman" w:cs="Times New Roman" w:eastAsia="Times New Roman" w:hAnsi="Times New Roman"/>
          <w:sz w:val="14"/>
          <w:szCs w:val="14"/>
          <w:color w:val="auto"/>
        </w:rPr>
      </w:pPr>
    </w:p>
    <w:p>
      <w:pPr>
        <w:ind w:left="2100" w:right="299" w:hanging="335"/>
        <w:spacing w:after="0" w:line="284" w:lineRule="auto"/>
        <w:tabs>
          <w:tab w:leader="none" w:pos="2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national securities exchange or quotation service on which the common stock may be listed or quoted at the time of sale, including Nasdaq;</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otherwise than on such exchanges or services or in the over-the-counter market;</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by applicable law; or</w:t>
      </w:r>
    </w:p>
    <w:p>
      <w:pPr>
        <w:spacing w:after="0" w:line="102" w:lineRule="exact"/>
        <w:rPr>
          <w:rFonts w:ascii="Times New Roman" w:cs="Times New Roman" w:eastAsia="Times New Roman" w:hAnsi="Times New Roman"/>
          <w:sz w:val="14"/>
          <w:szCs w:val="14"/>
          <w:color w:val="auto"/>
        </w:rPr>
      </w:pPr>
    </w:p>
    <w:p>
      <w:pPr>
        <w:ind w:left="2100" w:hanging="335"/>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w:t>
      </w:r>
    </w:p>
    <w:p>
      <w:pPr>
        <w:spacing w:after="0" w:line="176" w:lineRule="exact"/>
        <w:rPr>
          <w:sz w:val="20"/>
          <w:szCs w:val="20"/>
          <w:color w:val="auto"/>
        </w:rPr>
      </w:pPr>
    </w:p>
    <w:p>
      <w:pPr>
        <w:ind w:left="1340" w:right="499" w:firstLine="344"/>
        <w:spacing w:after="0" w:line="284" w:lineRule="auto"/>
        <w:rPr>
          <w:sz w:val="20"/>
          <w:szCs w:val="20"/>
          <w:color w:val="auto"/>
        </w:rPr>
      </w:pPr>
      <w:r>
        <w:rPr>
          <w:rFonts w:ascii="Times New Roman" w:cs="Times New Roman" w:eastAsia="Times New Roman" w:hAnsi="Times New Roman"/>
          <w:sz w:val="14"/>
          <w:szCs w:val="14"/>
          <w:color w:val="auto"/>
        </w:rPr>
        <w:t>The selling stockholders may, from time to time, enter into option or other types of transactions that require the selling stockholders to deliver common stock to a broker-dealer or any other person, who will then resell or transfer the common stock under this prospectus.</w:t>
      </w:r>
    </w:p>
    <w:p>
      <w:pPr>
        <w:spacing w:after="0" w:line="125" w:lineRule="exact"/>
        <w:rPr>
          <w:sz w:val="20"/>
          <w:szCs w:val="20"/>
          <w:color w:val="auto"/>
        </w:rPr>
      </w:pPr>
    </w:p>
    <w:p>
      <w:pPr>
        <w:ind w:left="1340" w:right="379" w:firstLine="344"/>
        <w:spacing w:after="0" w:line="284" w:lineRule="auto"/>
        <w:rPr>
          <w:sz w:val="20"/>
          <w:szCs w:val="20"/>
          <w:color w:val="auto"/>
        </w:rPr>
      </w:pPr>
      <w:r>
        <w:rPr>
          <w:rFonts w:ascii="Times New Roman" w:cs="Times New Roman" w:eastAsia="Times New Roman" w:hAnsi="Times New Roman"/>
          <w:sz w:val="14"/>
          <w:szCs w:val="14"/>
          <w:color w:val="auto"/>
        </w:rPr>
        <w:t>The selling stockholders may also sell shares under any available exemption to the registration requirements of the Securities Act, including but not limited to Rule 144 under the Securities Act, rather than under this prospectus.</w:t>
      </w:r>
    </w:p>
    <w:p>
      <w:pPr>
        <w:spacing w:after="0" w:line="125" w:lineRule="exact"/>
        <w:rPr>
          <w:sz w:val="20"/>
          <w:szCs w:val="20"/>
          <w:color w:val="auto"/>
        </w:rPr>
      </w:pPr>
    </w:p>
    <w:p>
      <w:pPr>
        <w:ind w:left="1340" w:right="219" w:firstLine="344"/>
        <w:spacing w:after="0" w:line="256" w:lineRule="auto"/>
        <w:rPr>
          <w:sz w:val="20"/>
          <w:szCs w:val="20"/>
          <w:color w:val="auto"/>
        </w:rPr>
      </w:pPr>
      <w:r>
        <w:rPr>
          <w:rFonts w:ascii="Times New Roman" w:cs="Times New Roman" w:eastAsia="Times New Roman" w:hAnsi="Times New Roman"/>
          <w:sz w:val="14"/>
          <w:szCs w:val="14"/>
          <w:color w:val="auto"/>
        </w:rPr>
        <w:t>The selling stockholders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shares of common stock covered by this prospectus, including by issuing securities that are not covered by this prospectus but are exchangeable for or represent beneficial interests in shares of common stock. The third parties also may use shares received under those sale, forward sale or derivative arrangements or shares borrowed from the selling stockholders or others to settle such third-party sales or to close out any related open borrowings of shares of common stock. The third parties may deliver this prospectus in connection with any such transactions. Any third party in such sale transactions may be deemed to be “underwriters” within the meaning of the Securities Act and will be identified in a supplement to this prospectus or post-effective amendment to the registration statement of which this prospectus is a part as may be required.</w:t>
      </w:r>
    </w:p>
    <w:p>
      <w:pPr>
        <w:spacing w:after="0" w:line="144" w:lineRule="exact"/>
        <w:rPr>
          <w:sz w:val="20"/>
          <w:szCs w:val="20"/>
          <w:color w:val="auto"/>
        </w:rPr>
      </w:pPr>
    </w:p>
    <w:p>
      <w:pPr>
        <w:ind w:left="1340" w:right="259" w:firstLine="344"/>
        <w:spacing w:after="0" w:line="255" w:lineRule="auto"/>
        <w:rPr>
          <w:sz w:val="20"/>
          <w:szCs w:val="20"/>
          <w:color w:val="auto"/>
        </w:rPr>
      </w:pPr>
      <w:r>
        <w:rPr>
          <w:rFonts w:ascii="Times New Roman" w:cs="Times New Roman" w:eastAsia="Times New Roman" w:hAnsi="Times New Roman"/>
          <w:sz w:val="14"/>
          <w:szCs w:val="14"/>
          <w:color w:val="auto"/>
        </w:rPr>
        <w:t>Resales by the selling stockholders may be made directly to investors or through securities firms acting as brokers or dealers. Broker-dealers engaged by the selling stockholders may arrange for other broker-dealers to participate in sales. When resales are to be made through a securities firm, the securities firm may be engaged to act as the selling stockholder’s agent in the resale of common stock by the selling stockholders, or the securities firm may purchase common stock from the selling stockholders as principal and thereafter resell those shares from time to time. Securities firms may, to the extent permissible, also engage in crosses, which are transactions where the same securities firm acts as an agent for both sides of a transaction. Securities firms may, to the extent permissible, receive compensation in the form of commissions, concessions or discounts from the selling stockholders or the purchaser, either as agent of such purchaser or in a sale to such purchaser as principal in amounts to be negotiated. Such compensation may be in excess of customary commissions, concessions or discounts and will be in amounts to be negotiated in connection with such resales.</w:t>
      </w:r>
    </w:p>
    <w:p>
      <w:pPr>
        <w:spacing w:after="0" w:line="147" w:lineRule="exact"/>
        <w:rPr>
          <w:sz w:val="20"/>
          <w:szCs w:val="20"/>
          <w:color w:val="auto"/>
        </w:rPr>
      </w:pPr>
    </w:p>
    <w:p>
      <w:pPr>
        <w:ind w:left="1340" w:right="419" w:firstLine="344"/>
        <w:spacing w:after="0" w:line="258" w:lineRule="auto"/>
        <w:rPr>
          <w:sz w:val="20"/>
          <w:szCs w:val="20"/>
          <w:color w:val="auto"/>
        </w:rPr>
      </w:pPr>
      <w:r>
        <w:rPr>
          <w:rFonts w:ascii="Times New Roman" w:cs="Times New Roman" w:eastAsia="Times New Roman" w:hAnsi="Times New Roman"/>
          <w:sz w:val="14"/>
          <w:szCs w:val="14"/>
          <w:color w:val="auto"/>
        </w:rPr>
        <w:t>The selling stockholders may, from time to time, pledge or grant a security interest in some shares of common stock owned by them and, if any selling stockholder defaults in the performance of its secured obligations, the pledgees or secured parties may offer and sell such shares of common stock, from time to time, under this prospectus, or under an amendment or supplement to this prospectus amending the list of selling stockholders to include the pledgee, transferee or other successors in interest as selling stockholders under this prospectus. The selling stockholders also may transfer shares of common stock in other circumstances, in which case the permitted transferees, pledgees or other successors in interest will be the selling beneficial owners for purposes of this prospectus.</w:t>
      </w:r>
    </w:p>
    <w:p>
      <w:pPr>
        <w:spacing w:after="0" w:line="142" w:lineRule="exact"/>
        <w:rPr>
          <w:sz w:val="20"/>
          <w:szCs w:val="20"/>
          <w:color w:val="auto"/>
        </w:rPr>
      </w:pPr>
    </w:p>
    <w:p>
      <w:pPr>
        <w:jc w:val="both"/>
        <w:ind w:left="1340" w:right="459" w:firstLine="344"/>
        <w:spacing w:after="0" w:line="262" w:lineRule="auto"/>
        <w:rPr>
          <w:sz w:val="20"/>
          <w:szCs w:val="20"/>
          <w:color w:val="auto"/>
        </w:rPr>
      </w:pPr>
      <w:r>
        <w:rPr>
          <w:rFonts w:ascii="Times New Roman" w:cs="Times New Roman" w:eastAsia="Times New Roman" w:hAnsi="Times New Roman"/>
          <w:sz w:val="14"/>
          <w:szCs w:val="14"/>
          <w:color w:val="auto"/>
        </w:rPr>
        <w:t>The selling stockholders may elect to make an in-kind distribution of common stock to their members, partners or shareholders pursuant to the registration statement of which this prospectus is a part by delivering a prospectus. To the extent that such members, partners or shareholders are not affiliates of ours, such members, partners or shareholders would thereby receive freely tradable shares of common stock pursuant to the distribution through this prospectus.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both"/>
        <w:ind w:left="1340" w:right="299" w:firstLine="344"/>
        <w:spacing w:after="0" w:line="262" w:lineRule="auto"/>
        <w:rPr>
          <w:sz w:val="20"/>
          <w:szCs w:val="20"/>
          <w:color w:val="auto"/>
        </w:rPr>
      </w:pPr>
      <w:r>
        <w:rPr>
          <w:rFonts w:ascii="Times New Roman" w:cs="Times New Roman" w:eastAsia="Times New Roman" w:hAnsi="Times New Roman"/>
          <w:sz w:val="14"/>
          <w:szCs w:val="14"/>
          <w:color w:val="auto"/>
        </w:rPr>
        <w:t>To the extent necessary, the specific terms of the offering of the shares of common stock, including the number of shares being offered, the name of the selling stockholders, the respective purchase prices and public offering prices, the names of any broker-dealer or agent, if any, and any applicable compensation in the form of discounts, concessions or commissions paid to agents or paid or allowed to dealers will be set forth in a supplement to this prospectus or a post-effective amendment to the registration statement of which this prospectus forms a part.</w:t>
      </w:r>
    </w:p>
    <w:p>
      <w:pPr>
        <w:spacing w:after="0" w:line="140" w:lineRule="exact"/>
        <w:rPr>
          <w:sz w:val="20"/>
          <w:szCs w:val="20"/>
          <w:color w:val="auto"/>
        </w:rPr>
      </w:pPr>
    </w:p>
    <w:p>
      <w:pPr>
        <w:ind w:left="1340" w:right="219" w:firstLine="344"/>
        <w:spacing w:after="0" w:line="259" w:lineRule="auto"/>
        <w:rPr>
          <w:sz w:val="20"/>
          <w:szCs w:val="20"/>
          <w:color w:val="auto"/>
        </w:rPr>
      </w:pPr>
      <w:r>
        <w:rPr>
          <w:rFonts w:ascii="Times New Roman" w:cs="Times New Roman" w:eastAsia="Times New Roman" w:hAnsi="Times New Roman"/>
          <w:sz w:val="14"/>
          <w:szCs w:val="14"/>
          <w:color w:val="auto"/>
        </w:rPr>
        <w:t>Any broker-dealers or agents that are involved in selling the shares may be deemed to be “underwriters” within the meaning of the Securities Act in connection with such sales. In such event, any compensation received by such broker-dealers or agents and any profit on the resale of the shares purchased by them may be deemed to be underwriting commissions or discounts under the Securities Act. Discounts, concessions, commissions and other compensation, if any, that can be attributed to the sale of shares of common stock sold hereunder will be paid by the selling stockholders and/or the purchasers.</w:t>
      </w:r>
    </w:p>
    <w:p>
      <w:pPr>
        <w:spacing w:after="0" w:line="143" w:lineRule="exact"/>
        <w:rPr>
          <w:sz w:val="20"/>
          <w:szCs w:val="20"/>
          <w:color w:val="auto"/>
        </w:rPr>
      </w:pPr>
    </w:p>
    <w:p>
      <w:pPr>
        <w:ind w:left="1340" w:right="399" w:firstLine="344"/>
        <w:spacing w:after="0" w:line="259" w:lineRule="auto"/>
        <w:rPr>
          <w:sz w:val="20"/>
          <w:szCs w:val="20"/>
          <w:color w:val="auto"/>
        </w:rPr>
      </w:pPr>
      <w:r>
        <w:rPr>
          <w:rFonts w:ascii="Times New Roman" w:cs="Times New Roman" w:eastAsia="Times New Roman" w:hAnsi="Times New Roman"/>
          <w:sz w:val="14"/>
          <w:szCs w:val="14"/>
          <w:color w:val="auto"/>
        </w:rPr>
        <w:t>We are required pursuant to the Exchange Agreements to pay all fees and expenses incident to the registration of the shares (including the reasonable and documented fees and disbursements of counsel to the selling stockholders), but we will not receive any proceeds from the sale of the common stock sold pursuant to this prospectus. The Exchange Agreement contains customary cross-indemnification provisions, under which we are obligated to indemnify the selling stockholders in the event of material misstatements or omissions in the registration statement attributable to us, and the selling stockholders are obligated to indemnify us for material misstatements or omissions attributable to it.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VALIDITY OF THE SECURITIES</w:t>
      </w:r>
    </w:p>
    <w:p>
      <w:pPr>
        <w:spacing w:after="0" w:line="17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validity of the securities described in this prospectus will be passed upon for us by Simpson Thacher &amp; Bartlett LLP, New York, New York.</w:t>
      </w:r>
    </w:p>
    <w:p>
      <w:pPr>
        <w:spacing w:after="0" w:line="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Additional legal matters may be passed on for us, or any dealers or agents, by counsel we will name in the applicable prospectus supplement.</w:t>
      </w:r>
    </w:p>
    <w:p>
      <w:pPr>
        <w:spacing w:after="0" w:line="32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8" w:lineRule="exact"/>
        <w:rPr>
          <w:sz w:val="20"/>
          <w:szCs w:val="20"/>
          <w:color w:val="auto"/>
        </w:rPr>
      </w:pPr>
    </w:p>
    <w:p>
      <w:pPr>
        <w:ind w:left="1340" w:right="259" w:firstLine="344"/>
        <w:spacing w:after="0" w:line="258" w:lineRule="auto"/>
        <w:rPr>
          <w:sz w:val="20"/>
          <w:szCs w:val="20"/>
          <w:color w:val="auto"/>
        </w:rPr>
      </w:pPr>
      <w:r>
        <w:rPr>
          <w:rFonts w:ascii="Times New Roman" w:cs="Times New Roman" w:eastAsia="Times New Roman" w:hAnsi="Times New Roman"/>
          <w:sz w:val="14"/>
          <w:szCs w:val="14"/>
          <w:color w:val="auto"/>
        </w:rPr>
        <w:t>The financial statements of Xerox Holdings Corporation and management’s assessment of the effectiveness of internal control over financial reporting (which is included in Management’s Report on Internal Control over Financial Reporting) incorporated in this prospectus by reference to the Annual Report on Form 10-K of Xerox Holdings Corporation for the year ended December 31, 2025 have been so incorporated in reliance on the report (which contains a paragraph relating to the effectiveness of internal control over financial reporting due to the exclusion of Lexmark International II, LLC because it was acquired by the Company in a purchase business combination during 2025) of PricewaterhouseCoopers LLP, an independent registered public accounting firm, given on the authority of said firm as experts in auditing and accounting.</w:t>
      </w:r>
    </w:p>
    <w:p>
      <w:pPr>
        <w:spacing w:after="0" w:line="142" w:lineRule="exact"/>
        <w:rPr>
          <w:sz w:val="20"/>
          <w:szCs w:val="20"/>
          <w:color w:val="auto"/>
        </w:rPr>
      </w:pPr>
    </w:p>
    <w:p>
      <w:pPr>
        <w:ind w:left="1340" w:right="359" w:firstLine="344"/>
        <w:spacing w:after="0" w:line="268" w:lineRule="auto"/>
        <w:rPr>
          <w:sz w:val="20"/>
          <w:szCs w:val="20"/>
          <w:color w:val="auto"/>
        </w:rPr>
      </w:pPr>
      <w:r>
        <w:rPr>
          <w:rFonts w:ascii="Times New Roman" w:cs="Times New Roman" w:eastAsia="Times New Roman" w:hAnsi="Times New Roman"/>
          <w:sz w:val="14"/>
          <w:szCs w:val="14"/>
          <w:color w:val="auto"/>
        </w:rPr>
        <w:t>The consolidated financial statements of Lexmark International II, LLC as of and for the years ended December 31, 2024 and 2023 incorporated by reference in this prospectus and in the registration statement have been so incorporated in reliance on the report of BDO USA, P.C., independent auditors, given on the authority of said firm as experts in auditing and accounting.</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8" w:lineRule="exact"/>
        <w:rPr>
          <w:sz w:val="20"/>
          <w:szCs w:val="20"/>
          <w:color w:val="auto"/>
        </w:rPr>
      </w:pPr>
    </w:p>
    <w:p>
      <w:pPr>
        <w:ind w:left="1340" w:right="359" w:firstLine="344"/>
        <w:spacing w:after="0" w:line="262"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http://www.sec.gov. Please note that the SEC’s website is included in this prospectus and any applicable prospectus supplement as an inactive textual reference only. The information contained on the SEC’s website is not incorporated by reference into this prospectus and should not be considered to be part of this prospectus, except as described in the following paragraph.</w:t>
      </w:r>
    </w:p>
    <w:p>
      <w:pPr>
        <w:spacing w:after="0" w:line="140" w:lineRule="exact"/>
        <w:rPr>
          <w:sz w:val="20"/>
          <w:szCs w:val="20"/>
          <w:color w:val="auto"/>
        </w:rPr>
      </w:pPr>
    </w:p>
    <w:p>
      <w:pPr>
        <w:ind w:left="1340" w:right="219" w:firstLine="344"/>
        <w:spacing w:after="0" w:line="256" w:lineRule="auto"/>
        <w:rPr>
          <w:sz w:val="20"/>
          <w:szCs w:val="20"/>
          <w:color w:val="auto"/>
        </w:rPr>
      </w:pPr>
      <w:r>
        <w:rPr>
          <w:rFonts w:ascii="Times New Roman" w:cs="Times New Roman" w:eastAsia="Times New Roman" w:hAnsi="Times New Roman"/>
          <w:sz w:val="14"/>
          <w:szCs w:val="14"/>
          <w:color w:val="auto"/>
        </w:rPr>
        <w:t>We “incorporate by reference” into this prospectus and any applicable prospectus supplement certain information we file with the SEC, which means that we can disclose important information to you by referring you to those documents. The information incorporated by reference is an important part of this prospectus. Certain information that we subsequently file with the SEC will automatically update and supersede information in this prospectus and in our other filings with the SEC. We incorporate by reference the documents listed below, which we have already filed with the SEC, and any future filings we make with the SEC under Sections 13(a), 13(c), 14 or 15(d) of the Exchange Act, until all the securities offered by this prospectus have been sold and all conditions to the consummation of such sales have been satisfied, except that we are not incorporating any information included in a Current Report on Form 8-K that has been or will be furnished (and not filed) with the SEC, unless such information is expressly incorporated herein by reference in a furnished Current Report on Form 8-K or other furnished document:</w:t>
      </w:r>
    </w:p>
    <w:p>
      <w:pPr>
        <w:spacing w:after="0" w:line="70" w:lineRule="exact"/>
        <w:rPr>
          <w:sz w:val="20"/>
          <w:szCs w:val="20"/>
          <w:color w:val="auto"/>
        </w:rPr>
      </w:pPr>
    </w:p>
    <w:p>
      <w:pPr>
        <w:ind w:left="2100" w:hanging="335"/>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December 31, 2025, filed with the SEC on </w:t>
      </w:r>
      <w:hyperlink r:id="rId40">
        <w:r>
          <w:rPr>
            <w:rFonts w:ascii="Times New Roman" w:cs="Times New Roman" w:eastAsia="Times New Roman" w:hAnsi="Times New Roman"/>
            <w:sz w:val="14"/>
            <w:szCs w:val="14"/>
            <w:u w:val="single" w:color="auto"/>
            <w:color w:val="0000EE"/>
          </w:rPr>
          <w:t>March 17, 2026;</w:t>
        </w:r>
      </w:hyperlink>
    </w:p>
    <w:p>
      <w:pPr>
        <w:spacing w:after="0" w:line="102" w:lineRule="exact"/>
        <w:rPr>
          <w:rFonts w:ascii="Times New Roman" w:cs="Times New Roman" w:eastAsia="Times New Roman" w:hAnsi="Times New Roman"/>
          <w:sz w:val="14"/>
          <w:szCs w:val="14"/>
          <w:color w:val="auto"/>
        </w:rPr>
      </w:pPr>
    </w:p>
    <w:p>
      <w:pPr>
        <w:ind w:left="2100" w:right="659" w:hanging="335"/>
        <w:spacing w:after="0" w:line="284" w:lineRule="auto"/>
        <w:tabs>
          <w:tab w:leader="none" w:pos="2100" w:val="left"/>
        </w:tabs>
        <w:numPr>
          <w:ilvl w:val="0"/>
          <w:numId w:val="8"/>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portions of the Definitive Proxy Statement on Schedule 14A for the 2026 annual meeting of stockholders, filed with the SEC on </w:t>
      </w:r>
      <w:hyperlink r:id="rId41">
        <w:r>
          <w:rPr>
            <w:rFonts w:ascii="Times New Roman" w:cs="Times New Roman" w:eastAsia="Times New Roman" w:hAnsi="Times New Roman"/>
            <w:sz w:val="14"/>
            <w:szCs w:val="14"/>
            <w:u w:val="single" w:color="auto"/>
            <w:color w:val="0000EE"/>
          </w:rPr>
          <w:t>April 7,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that are incorporated by reference into our Annual Report on Form 10-K for the year ended December 31, 2025;</w:t>
      </w:r>
    </w:p>
    <w:p>
      <w:pPr>
        <w:spacing w:after="0" w:line="51" w:lineRule="exact"/>
        <w:rPr>
          <w:rFonts w:ascii="Times New Roman" w:cs="Times New Roman" w:eastAsia="Times New Roman" w:hAnsi="Times New Roman"/>
          <w:sz w:val="14"/>
          <w:szCs w:val="14"/>
          <w:color w:val="0000EE"/>
        </w:rPr>
      </w:pPr>
    </w:p>
    <w:p>
      <w:pPr>
        <w:ind w:left="2100" w:right="419" w:hanging="335"/>
        <w:spacing w:after="0" w:line="284" w:lineRule="auto"/>
        <w:tabs>
          <w:tab w:leader="none" w:pos="2100" w:val="left"/>
        </w:tabs>
        <w:numPr>
          <w:ilvl w:val="0"/>
          <w:numId w:val="8"/>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Quarterly Reports on Form 10-Q for the quarters ended March 31, 2026 and June 30, 2026, filed with the SEC on </w:t>
      </w:r>
      <w:hyperlink r:id="rId42">
        <w:r>
          <w:rPr>
            <w:rFonts w:ascii="Times New Roman" w:cs="Times New Roman" w:eastAsia="Times New Roman" w:hAnsi="Times New Roman"/>
            <w:sz w:val="14"/>
            <w:szCs w:val="14"/>
            <w:u w:val="single" w:color="auto"/>
            <w:color w:val="0000EE"/>
          </w:rPr>
          <w:t>May 7,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43">
        <w:r>
          <w:rPr>
            <w:rFonts w:ascii="Times New Roman" w:cs="Times New Roman" w:eastAsia="Times New Roman" w:hAnsi="Times New Roman"/>
            <w:sz w:val="14"/>
            <w:szCs w:val="14"/>
            <w:u w:val="single" w:color="auto"/>
            <w:color w:val="0000EE"/>
          </w:rPr>
          <w:t>August 6,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respectively;</w:t>
      </w:r>
    </w:p>
    <w:p>
      <w:pPr>
        <w:spacing w:after="0" w:line="51" w:lineRule="exact"/>
        <w:rPr>
          <w:rFonts w:ascii="Times New Roman" w:cs="Times New Roman" w:eastAsia="Times New Roman" w:hAnsi="Times New Roman"/>
          <w:sz w:val="14"/>
          <w:szCs w:val="14"/>
          <w:color w:val="0000EE"/>
        </w:rPr>
      </w:pPr>
    </w:p>
    <w:p>
      <w:pPr>
        <w:ind w:left="2100" w:hanging="335"/>
        <w:spacing w:after="0"/>
        <w:tabs>
          <w:tab w:leader="none" w:pos="2100" w:val="left"/>
        </w:tabs>
        <w:numPr>
          <w:ilvl w:val="0"/>
          <w:numId w:val="8"/>
        </w:numPr>
        <w:rPr>
          <w:rFonts w:ascii="Times New Roman" w:cs="Times New Roman" w:eastAsia="Times New Roman" w:hAnsi="Times New Roman"/>
          <w:sz w:val="14"/>
          <w:szCs w:val="14"/>
          <w:color w:val="auto"/>
        </w:rPr>
      </w:pPr>
      <w:hyperlink r:id="rId44">
        <w:r>
          <w:rPr>
            <w:rFonts w:ascii="Times New Roman" w:cs="Times New Roman" w:eastAsia="Times New Roman" w:hAnsi="Times New Roman"/>
            <w:sz w:val="14"/>
            <w:szCs w:val="14"/>
            <w:color w:val="auto"/>
          </w:rPr>
          <w:t xml:space="preserve">our Current Reports on Form 8-K and 8-K/A, filed with the SEC on </w:t>
        </w:r>
        <w:r>
          <w:rPr>
            <w:rFonts w:ascii="Times New Roman" w:cs="Times New Roman" w:eastAsia="Times New Roman" w:hAnsi="Times New Roman"/>
            <w:sz w:val="14"/>
            <w:szCs w:val="14"/>
            <w:u w:val="single" w:color="auto"/>
            <w:color w:val="0000EE"/>
          </w:rPr>
          <w:t>July 30,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January 21,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January 28,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12,</w:t>
        </w:r>
      </w:hyperlink>
    </w:p>
    <w:p>
      <w:pPr>
        <w:spacing w:after="0" w:line="22" w:lineRule="exact"/>
        <w:rPr>
          <w:rFonts w:ascii="Times New Roman" w:cs="Times New Roman" w:eastAsia="Times New Roman" w:hAnsi="Times New Roman"/>
          <w:sz w:val="14"/>
          <w:szCs w:val="14"/>
          <w:color w:val="auto"/>
        </w:rPr>
      </w:pPr>
    </w:p>
    <w:p>
      <w:pPr>
        <w:ind w:left="2100"/>
        <w:spacing w:after="0"/>
        <w:rPr>
          <w:rFonts w:ascii="Times New Roman" w:cs="Times New Roman" w:eastAsia="Times New Roman" w:hAnsi="Times New Roman"/>
          <w:sz w:val="14"/>
          <w:szCs w:val="14"/>
          <w:color w:val="0000EE"/>
        </w:rPr>
      </w:pPr>
      <w:hyperlink r:id="rId44">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5">
        <w:r>
          <w:rPr>
            <w:rFonts w:ascii="Times New Roman" w:cs="Times New Roman" w:eastAsia="Times New Roman" w:hAnsi="Times New Roman"/>
            <w:sz w:val="14"/>
            <w:szCs w:val="14"/>
            <w:u w:val="single" w:color="auto"/>
            <w:color w:val="0000EE"/>
          </w:rPr>
          <w:t>February 17, 2026</w:t>
        </w:r>
      </w:hyperlink>
      <w:hyperlink r:id="rId44">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6">
        <w:r>
          <w:rPr>
            <w:rFonts w:ascii="Times New Roman" w:cs="Times New Roman" w:eastAsia="Times New Roman" w:hAnsi="Times New Roman"/>
            <w:sz w:val="14"/>
            <w:szCs w:val="14"/>
            <w:u w:val="single" w:color="auto"/>
            <w:color w:val="0000EE"/>
          </w:rPr>
          <w:t>April 2, 2026</w:t>
        </w:r>
      </w:hyperlink>
      <w:hyperlink r:id="rId44">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7">
        <w:r>
          <w:rPr>
            <w:rFonts w:ascii="Times New Roman" w:cs="Times New Roman" w:eastAsia="Times New Roman" w:hAnsi="Times New Roman"/>
            <w:sz w:val="14"/>
            <w:szCs w:val="14"/>
            <w:u w:val="single" w:color="auto"/>
            <w:color w:val="0000EE"/>
          </w:rPr>
          <w:t>May 27, 2026</w:t>
        </w:r>
      </w:hyperlink>
      <w:hyperlink r:id="rId44">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8">
        <w:r>
          <w:rPr>
            <w:rFonts w:ascii="Times New Roman" w:cs="Times New Roman" w:eastAsia="Times New Roman" w:hAnsi="Times New Roman"/>
            <w:sz w:val="14"/>
            <w:szCs w:val="14"/>
            <w:u w:val="single" w:color="auto"/>
            <w:color w:val="0000EE"/>
          </w:rPr>
          <w:t xml:space="preserve">July 2, 2026 </w:t>
        </w:r>
      </w:hyperlink>
      <w:hyperlink r:id="rId44">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49">
        <w:r>
          <w:rPr>
            <w:rFonts w:ascii="Times New Roman" w:cs="Times New Roman" w:eastAsia="Times New Roman" w:hAnsi="Times New Roman"/>
            <w:sz w:val="14"/>
            <w:szCs w:val="14"/>
            <w:u w:val="single" w:color="auto"/>
            <w:color w:val="0000EE"/>
          </w:rPr>
          <w:t xml:space="preserve">October 29, 2026 </w:t>
        </w:r>
      </w:hyperlink>
      <w:hyperlink r:id="rId44">
        <w:r>
          <w:rPr>
            <w:rFonts w:ascii="Times New Roman" w:cs="Times New Roman" w:eastAsia="Times New Roman" w:hAnsi="Times New Roman"/>
            <w:sz w:val="14"/>
            <w:szCs w:val="14"/>
            <w:color w:val="000000"/>
          </w:rPr>
          <w:t>(Film No: 261497604);</w:t>
        </w:r>
      </w:hyperlink>
    </w:p>
    <w:p>
      <w:pPr>
        <w:spacing w:after="0" w:line="88" w:lineRule="exact"/>
        <w:rPr>
          <w:rFonts w:ascii="Times New Roman" w:cs="Times New Roman" w:eastAsia="Times New Roman" w:hAnsi="Times New Roman"/>
          <w:sz w:val="14"/>
          <w:szCs w:val="14"/>
          <w:color w:val="0000EE"/>
        </w:rPr>
      </w:pPr>
    </w:p>
    <w:p>
      <w:pPr>
        <w:ind w:left="2100" w:right="419" w:hanging="335"/>
        <w:spacing w:after="0" w:line="268" w:lineRule="auto"/>
        <w:tabs>
          <w:tab w:leader="none" w:pos="2100" w:val="left"/>
        </w:tabs>
        <w:numPr>
          <w:ilvl w:val="0"/>
          <w:numId w:val="9"/>
        </w:numPr>
        <w:rPr>
          <w:rFonts w:ascii="Times New Roman" w:cs="Times New Roman" w:eastAsia="Times New Roman" w:hAnsi="Times New Roman"/>
          <w:sz w:val="14"/>
          <w:szCs w:val="14"/>
          <w:color w:val="0000EE"/>
        </w:rPr>
      </w:pPr>
      <w:hyperlink r:id="rId50">
        <w:r>
          <w:rPr>
            <w:rFonts w:ascii="Times New Roman" w:cs="Times New Roman" w:eastAsia="Times New Roman" w:hAnsi="Times New Roman"/>
            <w:sz w:val="14"/>
            <w:szCs w:val="14"/>
            <w:color w:val="auto"/>
          </w:rPr>
          <w:t xml:space="preserve">the description of our Common Stock contained in the Registration Statement on Form 8-A12B, filed with the SEC on </w:t>
        </w:r>
        <w:r>
          <w:rPr>
            <w:rFonts w:ascii="Times New Roman" w:cs="Times New Roman" w:eastAsia="Times New Roman" w:hAnsi="Times New Roman"/>
            <w:sz w:val="14"/>
            <w:szCs w:val="14"/>
            <w:u w:val="single" w:color="auto"/>
            <w:color w:val="0000EE"/>
          </w:rPr>
          <w:t>September 20,</w:t>
        </w:r>
      </w:hyperlink>
      <w:r>
        <w:rPr>
          <w:rFonts w:ascii="Times New Roman" w:cs="Times New Roman" w:eastAsia="Times New Roman" w:hAnsi="Times New Roman"/>
          <w:sz w:val="14"/>
          <w:szCs w:val="14"/>
          <w:color w:val="auto"/>
        </w:rPr>
        <w:t xml:space="preserve"> </w:t>
      </w:r>
      <w:hyperlink r:id="rId50">
        <w:r>
          <w:rPr>
            <w:rFonts w:ascii="Times New Roman" w:cs="Times New Roman" w:eastAsia="Times New Roman" w:hAnsi="Times New Roman"/>
            <w:sz w:val="14"/>
            <w:szCs w:val="14"/>
            <w:u w:val="single" w:color="auto"/>
            <w:color w:val="0000EE"/>
          </w:rPr>
          <w:t>2021</w:t>
        </w:r>
        <w:r>
          <w:rPr>
            <w:rFonts w:ascii="Times New Roman" w:cs="Times New Roman" w:eastAsia="Times New Roman" w:hAnsi="Times New Roman"/>
            <w:sz w:val="14"/>
            <w:szCs w:val="14"/>
            <w:color w:val="000000"/>
          </w:rPr>
          <w:t xml:space="preserve">, Exhibit 4(c) to our Annual Report on Form 10-K for the fiscal year ended December 31, 2025, and any amendment or report </w:t>
        </w:r>
      </w:hyperlink>
      <w:r>
        <w:rPr>
          <w:rFonts w:ascii="Times New Roman" w:cs="Times New Roman" w:eastAsia="Times New Roman" w:hAnsi="Times New Roman"/>
          <w:sz w:val="14"/>
          <w:szCs w:val="14"/>
          <w:color w:val="0000EE"/>
        </w:rPr>
        <w:t xml:space="preserve">filed </w:t>
      </w:r>
      <w:r>
        <w:rPr>
          <w:rFonts w:ascii="Times New Roman" w:cs="Times New Roman" w:eastAsia="Times New Roman" w:hAnsi="Times New Roman"/>
          <w:sz w:val="14"/>
          <w:szCs w:val="14"/>
          <w:color w:val="000000"/>
        </w:rPr>
        <w:t>for the purpose of updating that description; and</w:t>
      </w:r>
    </w:p>
    <w:p>
      <w:pPr>
        <w:spacing w:after="0" w:line="61" w:lineRule="exact"/>
        <w:rPr>
          <w:rFonts w:ascii="Times New Roman" w:cs="Times New Roman" w:eastAsia="Times New Roman" w:hAnsi="Times New Roman"/>
          <w:sz w:val="14"/>
          <w:szCs w:val="14"/>
          <w:color w:val="0000EE"/>
        </w:rPr>
      </w:pPr>
    </w:p>
    <w:p>
      <w:pPr>
        <w:ind w:left="2100" w:right="299" w:hanging="335"/>
        <w:spacing w:after="0" w:line="268" w:lineRule="auto"/>
        <w:tabs>
          <w:tab w:leader="none" w:pos="2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filed by us pursuant to Sections 13(a), 13(c), 14 or 15(d) of the Exchange Act subsequent to the initial filing of the registration statement of which this prospectus forms a part until all of the securities being offered under this prospectus or any prospectus supplement are sold (other than reports, documents or information that are furnished and not filed with the SEC).</w:t>
      </w:r>
    </w:p>
    <w:p>
      <w:pPr>
        <w:spacing w:after="0" w:line="135" w:lineRule="exact"/>
        <w:rPr>
          <w:rFonts w:ascii="Times New Roman" w:cs="Times New Roman" w:eastAsia="Times New Roman" w:hAnsi="Times New Roman"/>
          <w:sz w:val="14"/>
          <w:szCs w:val="14"/>
          <w:color w:val="auto"/>
        </w:rPr>
      </w:pPr>
    </w:p>
    <w:p>
      <w:pPr>
        <w:ind w:left="1340" w:right="679" w:firstLine="344"/>
        <w:spacing w:after="0" w:line="284" w:lineRule="auto"/>
        <w:rPr>
          <w:sz w:val="20"/>
          <w:szCs w:val="20"/>
          <w:color w:val="auto"/>
        </w:rPr>
      </w:pPr>
      <w:r>
        <w:rPr>
          <w:rFonts w:ascii="Times New Roman" w:cs="Times New Roman" w:eastAsia="Times New Roman" w:hAnsi="Times New Roman"/>
          <w:sz w:val="14"/>
          <w:szCs w:val="14"/>
          <w:color w:val="auto"/>
        </w:rPr>
        <w:t>Notwithstanding the foregoing, information furnished under Items 2.02 and 7.01 of any Current Report on Form 8-K, including the related exhibits under Item 9.01, is not incorporated by reference in this prospectus or any prospectus supplement.</w:t>
      </w:r>
    </w:p>
    <w:p>
      <w:pPr>
        <w:spacing w:after="0" w:line="125" w:lineRule="exact"/>
        <w:rPr>
          <w:rFonts w:ascii="Times New Roman" w:cs="Times New Roman" w:eastAsia="Times New Roman" w:hAnsi="Times New Roman"/>
          <w:sz w:val="14"/>
          <w:szCs w:val="14"/>
          <w:color w:val="auto"/>
        </w:rPr>
      </w:pPr>
    </w:p>
    <w:p>
      <w:pPr>
        <w:ind w:left="1340" w:right="339" w:firstLine="344"/>
        <w:spacing w:after="0" w:line="268" w:lineRule="auto"/>
        <w:rPr>
          <w:sz w:val="20"/>
          <w:szCs w:val="20"/>
          <w:color w:val="auto"/>
        </w:rPr>
      </w:pPr>
      <w:r>
        <w:rPr>
          <w:rFonts w:ascii="Times New Roman" w:cs="Times New Roman" w:eastAsia="Times New Roman" w:hAnsi="Times New Roman"/>
          <w:sz w:val="14"/>
          <w:szCs w:val="14"/>
          <w:color w:val="auto"/>
        </w:rPr>
        <w:t>We will furnish without charge to you, on written or oral request, a copy of any or all of such documents that has been incorporated herein by reference (other than exhibits to such documents unless such exhibits are specifically incorporated by reference into the documents that this prospectus incorporates). Written or oral requests for copies should be directed to us at the following address or telephone number:</w:t>
      </w:r>
    </w:p>
    <w:p>
      <w:pPr>
        <w:spacing w:after="0" w:line="13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Xerox Holdings Corporation</w:t>
      </w:r>
    </w:p>
    <w:p>
      <w:pPr>
        <w:spacing w:after="0" w:line="2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401 Merritt 7</w:t>
      </w:r>
    </w:p>
    <w:p>
      <w:pPr>
        <w:spacing w:after="0" w:line="8"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Norwalk, Connecticut 06851-1059</w:t>
      </w:r>
    </w:p>
    <w:p>
      <w:pPr>
        <w:spacing w:after="0" w:line="8"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telephone (203) 849-5216</w:t>
      </w:r>
    </w:p>
    <w:p>
      <w:pPr>
        <w:spacing w:after="0" w:line="8"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Chief Legal Officer and Corporate Secretary.</w:t>
      </w:r>
    </w:p>
    <w:p>
      <w:pPr>
        <w:spacing w:after="0" w:line="109"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34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03" w:lineRule="exact"/>
        <w:rPr>
          <w:sz w:val="20"/>
          <w:szCs w:val="20"/>
          <w:color w:val="auto"/>
        </w:rPr>
      </w:pPr>
    </w:p>
    <w:p>
      <w:pPr>
        <w:ind w:left="1340"/>
        <w:spacing w:after="0"/>
        <w:tabs>
          <w:tab w:leader="none" w:pos="218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94" w:lineRule="exact"/>
        <w:rPr>
          <w:sz w:val="20"/>
          <w:szCs w:val="20"/>
          <w:color w:val="auto"/>
        </w:rPr>
      </w:pPr>
    </w:p>
    <w:p>
      <w:pPr>
        <w:ind w:left="1340" w:right="439" w:firstLine="344"/>
        <w:spacing w:after="0" w:line="284" w:lineRule="auto"/>
        <w:rPr>
          <w:sz w:val="20"/>
          <w:szCs w:val="20"/>
          <w:color w:val="auto"/>
        </w:rPr>
      </w:pPr>
      <w:r>
        <w:rPr>
          <w:rFonts w:ascii="Times New Roman" w:cs="Times New Roman" w:eastAsia="Times New Roman" w:hAnsi="Times New Roman"/>
          <w:sz w:val="14"/>
          <w:szCs w:val="14"/>
          <w:color w:val="auto"/>
        </w:rPr>
        <w:t>The following table sets forth all costs and expenses, other than underwriting discounts and commissions, payable by us in connection with the securities being registered hereby. Except as otherwise noted, all of the fees set forth below are estimates.</w:t>
      </w:r>
    </w:p>
    <w:p>
      <w:pPr>
        <w:spacing w:after="0" w:line="144" w:lineRule="exact"/>
        <w:rPr>
          <w:sz w:val="20"/>
          <w:szCs w:val="20"/>
          <w:color w:val="auto"/>
        </w:rPr>
      </w:pPr>
    </w:p>
    <w:tbl>
      <w:tblPr>
        <w:tblLayout w:type="fixed"/>
        <w:tblInd w:w="2720" w:type="dxa"/>
        <w:tblCellMar>
          <w:top w:w="0" w:type="dxa"/>
          <w:left w:w="0" w:type="dxa"/>
          <w:bottom w:w="0" w:type="dxa"/>
          <w:right w:w="0" w:type="dxa"/>
        </w:tblCellMar>
      </w:tblPr>
      <w:tr>
        <w:trPr>
          <w:trHeight w:val="133"/>
        </w:trPr>
        <w:tc>
          <w:tcPr>
            <w:tcW w:w="3460" w:type="dxa"/>
            <w:vAlign w:val="bottom"/>
          </w:tcPr>
          <w:p>
            <w:pPr>
              <w:spacing w:after="0"/>
              <w:rPr>
                <w:sz w:val="11"/>
                <w:szCs w:val="11"/>
                <w:color w:val="auto"/>
              </w:rPr>
            </w:pPr>
          </w:p>
        </w:tc>
        <w:tc>
          <w:tcPr>
            <w:tcW w:w="2380" w:type="dxa"/>
            <w:vAlign w:val="bottom"/>
            <w:gridSpan w:val="2"/>
          </w:tcPr>
          <w:p>
            <w:pPr>
              <w:ind w:left="1680"/>
              <w:spacing w:after="0"/>
              <w:rPr>
                <w:sz w:val="20"/>
                <w:szCs w:val="20"/>
                <w:color w:val="auto"/>
              </w:rPr>
            </w:pPr>
            <w:r>
              <w:rPr>
                <w:rFonts w:ascii="Times New Roman" w:cs="Times New Roman" w:eastAsia="Times New Roman" w:hAnsi="Times New Roman"/>
                <w:sz w:val="11"/>
                <w:szCs w:val="11"/>
                <w:color w:val="auto"/>
              </w:rPr>
              <w:t>Amount Paid*</w:t>
            </w:r>
          </w:p>
        </w:tc>
      </w:tr>
      <w:tr>
        <w:trPr>
          <w:trHeight w:val="16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82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r>
      <w:tr>
        <w:trPr>
          <w:trHeight w:val="169"/>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FINRA Fee</w:t>
            </w:r>
          </w:p>
        </w:tc>
        <w:tc>
          <w:tcPr>
            <w:tcW w:w="1820" w:type="dxa"/>
            <w:vAlign w:val="bottom"/>
          </w:tcPr>
          <w:p>
            <w:pPr>
              <w:spacing w:after="0"/>
              <w:rPr>
                <w:sz w:val="14"/>
                <w:szCs w:val="14"/>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Fees and Expenses</w:t>
            </w:r>
          </w:p>
        </w:tc>
        <w:tc>
          <w:tcPr>
            <w:tcW w:w="18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69"/>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8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r>
      <w:tr>
        <w:trPr>
          <w:trHeight w:val="16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8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r>
      <w:tr>
        <w:trPr>
          <w:trHeight w:val="183"/>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82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270,856</w:t>
            </w:r>
          </w:p>
        </w:tc>
      </w:tr>
    </w:tbl>
    <w:p>
      <w:pPr>
        <w:spacing w:after="0" w:line="16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Includes the cost of future takedowns.</w:t>
      </w:r>
    </w:p>
    <w:p>
      <w:pPr>
        <w:spacing w:after="0" w:line="290" w:lineRule="exact"/>
        <w:rPr>
          <w:sz w:val="20"/>
          <w:szCs w:val="20"/>
          <w:color w:val="auto"/>
        </w:rPr>
      </w:pPr>
    </w:p>
    <w:p>
      <w:pPr>
        <w:ind w:left="1340"/>
        <w:spacing w:after="0"/>
        <w:tabs>
          <w:tab w:leader="none" w:pos="218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94" w:lineRule="exact"/>
        <w:rPr>
          <w:sz w:val="20"/>
          <w:szCs w:val="20"/>
          <w:color w:val="auto"/>
        </w:rPr>
      </w:pPr>
    </w:p>
    <w:p>
      <w:pPr>
        <w:ind w:left="1340" w:right="219" w:firstLine="344"/>
        <w:spacing w:after="0" w:line="258" w:lineRule="auto"/>
        <w:rPr>
          <w:sz w:val="20"/>
          <w:szCs w:val="20"/>
          <w:color w:val="auto"/>
        </w:rPr>
      </w:pPr>
      <w:r>
        <w:rPr>
          <w:rFonts w:ascii="Times New Roman" w:cs="Times New Roman" w:eastAsia="Times New Roman" w:hAnsi="Times New Roman"/>
          <w:sz w:val="14"/>
          <w:szCs w:val="14"/>
          <w:color w:val="auto"/>
        </w:rPr>
        <w:t>Section 721 of the New York Business Corporation Law (the “NYBCL”) provides that, in addition to indemnification provided in Article 7 of the NYBCL, a corporation may indemnify a director or officer by a provision contained in the certificate of incorporation or by-laws or by a duly authorized resolution of its shareholders or directors or by agreement, provided that no indemnification may be made to or on behalf of any director or officer if a judgment or other final adjudication adverse to the director or officer establishes that his acts were committed in bad faith or were the result of active and deliberate dishonesty and were material to the cause of action, or that such director or officer personally gained in fact a financial profit or other advantage to which he was not legally entitled.</w:t>
      </w:r>
    </w:p>
    <w:p>
      <w:pPr>
        <w:spacing w:after="0" w:line="142" w:lineRule="exact"/>
        <w:rPr>
          <w:sz w:val="20"/>
          <w:szCs w:val="20"/>
          <w:color w:val="auto"/>
        </w:rPr>
      </w:pPr>
    </w:p>
    <w:p>
      <w:pPr>
        <w:ind w:left="1340" w:right="239" w:firstLine="344"/>
        <w:spacing w:after="0" w:line="259" w:lineRule="auto"/>
        <w:rPr>
          <w:sz w:val="20"/>
          <w:szCs w:val="20"/>
          <w:color w:val="auto"/>
        </w:rPr>
      </w:pPr>
      <w:r>
        <w:rPr>
          <w:rFonts w:ascii="Times New Roman" w:cs="Times New Roman" w:eastAsia="Times New Roman" w:hAnsi="Times New Roman"/>
          <w:sz w:val="14"/>
          <w:szCs w:val="14"/>
          <w:color w:val="auto"/>
        </w:rPr>
        <w:t>Section 722(a) of the NYBCL provides that a corporation may indemnify a director or officer made, or threatened to be made, a party to any action other than a derivative action, whether civil or criminal, against judgments, fines, amounts paid in settlement and reasonable expenses, including attorneys’ fees, actually and necessarily incurred as a result of such action or proceeding or any appeal therein, if such director or officer acted in good faith, for a purpose which he reasonably believed to be in, or not opposed to, the best interests of the corporation and, in criminal actions or proceedings, in addition, had no reasonable cause to believe that his conduct was unlawful.</w:t>
      </w:r>
    </w:p>
    <w:p>
      <w:pPr>
        <w:spacing w:after="0" w:line="143" w:lineRule="exact"/>
        <w:rPr>
          <w:sz w:val="20"/>
          <w:szCs w:val="20"/>
          <w:color w:val="auto"/>
        </w:rPr>
      </w:pPr>
    </w:p>
    <w:p>
      <w:pPr>
        <w:ind w:left="1340" w:right="219" w:firstLine="344"/>
        <w:spacing w:after="0" w:line="256" w:lineRule="auto"/>
        <w:rPr>
          <w:sz w:val="20"/>
          <w:szCs w:val="20"/>
          <w:color w:val="auto"/>
        </w:rPr>
      </w:pPr>
      <w:r>
        <w:rPr>
          <w:rFonts w:ascii="Times New Roman" w:cs="Times New Roman" w:eastAsia="Times New Roman" w:hAnsi="Times New Roman"/>
          <w:sz w:val="14"/>
          <w:szCs w:val="14"/>
          <w:color w:val="auto"/>
        </w:rPr>
        <w:t>Section 722(c) of the NYBCL provides that a corporation may indemnify a director or officer, made or threatened to be made, a party in a derivative action, against amounts paid in settlement and reasonable expenses, including attorneys’ fees, actually and necessarily incurred by the director or officer in connection with the defense or settlement of such action or in connection with an appeal therein if such director or officer acted, in good faith, for a purpose which he reasonably believed to be in, or not opposed to, the best interests of the corporation, except that no indemnification will be available under Section 722(c) of the NYBCL in respect of a threatened or pending action which is settled or otherwise disposed of, or any claim as to which such director or officer shall have been adjudged liable to the corporation, unless and only to the extent that the court in which the action was brought, or, if no action was brought, any court of competent jurisdiction, determines, upon application, that, in view of all the circumstances of the case, the director or officer is fairly and reasonably entitled to indemnity for such portion of the settlement amount and expenses as the court deems proper.</w:t>
      </w:r>
    </w:p>
    <w:p>
      <w:pPr>
        <w:spacing w:after="0" w:line="144" w:lineRule="exact"/>
        <w:rPr>
          <w:sz w:val="20"/>
          <w:szCs w:val="20"/>
          <w:color w:val="auto"/>
        </w:rPr>
      </w:pPr>
    </w:p>
    <w:p>
      <w:pPr>
        <w:ind w:left="1340" w:right="339" w:firstLine="344"/>
        <w:spacing w:after="0" w:line="259" w:lineRule="auto"/>
        <w:rPr>
          <w:sz w:val="20"/>
          <w:szCs w:val="20"/>
          <w:color w:val="auto"/>
        </w:rPr>
      </w:pPr>
      <w:r>
        <w:rPr>
          <w:rFonts w:ascii="Times New Roman" w:cs="Times New Roman" w:eastAsia="Times New Roman" w:hAnsi="Times New Roman"/>
          <w:sz w:val="14"/>
          <w:szCs w:val="14"/>
          <w:color w:val="auto"/>
        </w:rPr>
        <w:t>Section 723 of the NYBCL specifies the manner in which payment of indemnification under Section 722 of the NYBCL or indemnification permitted under Section 721 of the NYBCL may be authorized by the corporation. It provides that indemnification may be authorized by the corporation. It provides that indemnification by a corporation is mandatory in any case in which the director or officer has been successful, whether on the merits or otherwise, in defending an action. In the event that the director or officer has not been successful or the action is settled, indemnification must be authorized by the appropriate corporate action as set forth in Section 723.</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40" w:right="459" w:firstLine="344"/>
        <w:spacing w:after="0" w:line="268" w:lineRule="auto"/>
        <w:rPr>
          <w:sz w:val="20"/>
          <w:szCs w:val="20"/>
          <w:color w:val="auto"/>
        </w:rPr>
      </w:pPr>
      <w:r>
        <w:rPr>
          <w:rFonts w:ascii="Times New Roman" w:cs="Times New Roman" w:eastAsia="Times New Roman" w:hAnsi="Times New Roman"/>
          <w:sz w:val="14"/>
          <w:szCs w:val="14"/>
          <w:color w:val="auto"/>
        </w:rPr>
        <w:t>Section 724 of the NYBCL provides that, upon application by a director or officer, indemnification may be awarded by a court to the extent authorized. Section 722 and Section 723 of the NYBCL contain certain other miscellaneous provisions affecting the indemnification of directors and officers.</w:t>
      </w:r>
    </w:p>
    <w:p>
      <w:pPr>
        <w:spacing w:after="0" w:line="135" w:lineRule="exact"/>
        <w:rPr>
          <w:sz w:val="20"/>
          <w:szCs w:val="20"/>
          <w:color w:val="auto"/>
        </w:rPr>
      </w:pPr>
    </w:p>
    <w:p>
      <w:pPr>
        <w:ind w:left="1340" w:right="219" w:firstLine="344"/>
        <w:spacing w:after="0" w:line="258" w:lineRule="auto"/>
        <w:rPr>
          <w:sz w:val="20"/>
          <w:szCs w:val="20"/>
          <w:color w:val="auto"/>
        </w:rPr>
      </w:pPr>
      <w:r>
        <w:rPr>
          <w:rFonts w:ascii="Times New Roman" w:cs="Times New Roman" w:eastAsia="Times New Roman" w:hAnsi="Times New Roman"/>
          <w:sz w:val="14"/>
          <w:szCs w:val="14"/>
          <w:color w:val="auto"/>
        </w:rPr>
        <w:t>Section 726 of the NYBCL authorizes the purchase and maintenance of insurance to indemnify (1) a corporation for any obligation which it incurs as a result of the indemnification of directors and officers under the provisions of Article 7 of the NYBCL, (2) directors and officers in instances in which they may be indemnified by the corporation under the provisions of Article 7 of the NYBCL, and (3) directors and officers in instances in which they may not otherwise be indemnified by the corporation under the provisions of Article 7 of the NYBCL, provided the contract of insurance covering such directors and officers provides, in a manner acceptable to the New York State Superintendent of Financial Services, for a retention amount and for co-insurance.</w:t>
      </w:r>
    </w:p>
    <w:p>
      <w:pPr>
        <w:spacing w:after="0" w:line="142" w:lineRule="exact"/>
        <w:rPr>
          <w:sz w:val="20"/>
          <w:szCs w:val="20"/>
          <w:color w:val="auto"/>
        </w:rPr>
      </w:pPr>
    </w:p>
    <w:p>
      <w:pPr>
        <w:ind w:left="1340" w:right="239" w:firstLine="344"/>
        <w:spacing w:after="0" w:line="284" w:lineRule="auto"/>
        <w:rPr>
          <w:sz w:val="20"/>
          <w:szCs w:val="20"/>
          <w:color w:val="auto"/>
        </w:rPr>
      </w:pPr>
      <w:r>
        <w:rPr>
          <w:rFonts w:ascii="Times New Roman" w:cs="Times New Roman" w:eastAsia="Times New Roman" w:hAnsi="Times New Roman"/>
          <w:sz w:val="14"/>
          <w:szCs w:val="14"/>
          <w:color w:val="auto"/>
        </w:rPr>
        <w:t>The foregoing statements are subject to the detailed provisions of Sections 721-726 of the NYBCL and the Charter and Bylaws of Xerox Holdings Corporation and the Restated Certificate of Incorporation.</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i w:val="1"/>
          <w:iCs w:val="1"/>
          <w:color w:val="auto"/>
        </w:rPr>
        <w:t>Certificate of Incorporation</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The Charter of Xerox Holdings Corporation contains no indemnification provisions.</w:t>
      </w:r>
    </w:p>
    <w:p>
      <w:pPr>
        <w:spacing w:after="0" w:line="25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i w:val="1"/>
          <w:iCs w:val="1"/>
          <w:color w:val="auto"/>
        </w:rPr>
        <w:t>Bylaws</w:t>
      </w:r>
    </w:p>
    <w:p>
      <w:pPr>
        <w:spacing w:after="0" w:line="94" w:lineRule="exact"/>
        <w:rPr>
          <w:sz w:val="20"/>
          <w:szCs w:val="20"/>
          <w:color w:val="auto"/>
        </w:rPr>
      </w:pPr>
    </w:p>
    <w:p>
      <w:pPr>
        <w:ind w:left="1340" w:right="259" w:firstLine="344"/>
        <w:spacing w:after="0" w:line="254" w:lineRule="auto"/>
        <w:rPr>
          <w:sz w:val="20"/>
          <w:szCs w:val="20"/>
          <w:color w:val="auto"/>
        </w:rPr>
      </w:pPr>
      <w:r>
        <w:rPr>
          <w:rFonts w:ascii="Times New Roman" w:cs="Times New Roman" w:eastAsia="Times New Roman" w:hAnsi="Times New Roman"/>
          <w:sz w:val="14"/>
          <w:szCs w:val="14"/>
          <w:color w:val="auto"/>
        </w:rPr>
        <w:t>The Bylaws of Xerox Holdings Corporation provide that the corporation shall indemnify any person made or threatened to be made a party in any civil or criminal action or proceeding, including an action or proceeding by or in the right of the corporation to procure a judgment in favor of the corporation or by or in the right of any other corporation of any type or kind, domestic or foreign, or any partnership, joint venture, trust, employee benefit plan or other enterprise, which any director or officer of the corporation served in any capacity at the request of the corporation, by reason of the fact that he or her, his or her testator or intestate is or was a director or officer of the corporation or serves or served such other corporation, partnership, joint venture, trust, employee benefit plan or other enterprise, in any capacity, against judgments, fines, penalties, amounts paid in settlement and reasonable expenses, including attorneys’ fees, incurred in connection with such action or proceeding, or any appeal therein, provided that no such indemnification shall be required with respect to any settlement unless the corporation shall have given its prior approval thereto. The Amended and Restated By-Laws of Xerox Holdings Corporation also give the covered persons the right to be paid advances of any expenses they incurred in connection with such action, suit or proceedings, consistent with the applicable law, and allow the corporation to extend rights to indemnification and advancement of expenses to such covered persons by resolutions of shareholders or directors or through an agreement, to the extent not expressly prohibited by law.</w:t>
      </w:r>
    </w:p>
    <w:p>
      <w:pPr>
        <w:spacing w:after="0" w:line="262" w:lineRule="exact"/>
        <w:rPr>
          <w:sz w:val="20"/>
          <w:szCs w:val="20"/>
          <w:color w:val="auto"/>
        </w:rPr>
      </w:pPr>
    </w:p>
    <w:p>
      <w:pPr>
        <w:ind w:left="1340"/>
        <w:spacing w:after="0"/>
        <w:tabs>
          <w:tab w:leader="none" w:pos="218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9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See the “Exhibit Index,” which follows the signature pages to this registration statement and is herein incorporated by reference.</w:t>
      </w:r>
    </w:p>
    <w:p>
      <w:pPr>
        <w:spacing w:after="0" w:line="290" w:lineRule="exact"/>
        <w:rPr>
          <w:sz w:val="20"/>
          <w:szCs w:val="20"/>
          <w:color w:val="auto"/>
        </w:rPr>
      </w:pPr>
    </w:p>
    <w:p>
      <w:pPr>
        <w:ind w:left="1340"/>
        <w:spacing w:after="0"/>
        <w:tabs>
          <w:tab w:leader="none" w:pos="218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105" w:lineRule="exact"/>
        <w:rPr>
          <w:sz w:val="20"/>
          <w:szCs w:val="20"/>
          <w:color w:val="auto"/>
        </w:rPr>
      </w:pPr>
    </w:p>
    <w:p>
      <w:pPr>
        <w:ind w:left="1760" w:hanging="417"/>
        <w:spacing w:after="0"/>
        <w:tabs>
          <w:tab w:leader="none" w:pos="1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02" w:lineRule="exact"/>
        <w:rPr>
          <w:rFonts w:ascii="Times New Roman" w:cs="Times New Roman" w:eastAsia="Times New Roman" w:hAnsi="Times New Roman"/>
          <w:sz w:val="14"/>
          <w:szCs w:val="14"/>
          <w:color w:val="auto"/>
        </w:rPr>
      </w:pPr>
    </w:p>
    <w:p>
      <w:pPr>
        <w:ind w:left="2100" w:hanging="420"/>
        <w:spacing w:after="0"/>
        <w:tabs>
          <w:tab w:leader="none" w:pos="210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2" w:lineRule="exact"/>
        <w:rPr>
          <w:rFonts w:ascii="Times New Roman" w:cs="Times New Roman" w:eastAsia="Times New Roman" w:hAnsi="Times New Roman"/>
          <w:sz w:val="14"/>
          <w:szCs w:val="14"/>
          <w:color w:val="auto"/>
        </w:rPr>
      </w:pPr>
    </w:p>
    <w:p>
      <w:pPr>
        <w:ind w:left="2460" w:hanging="347"/>
        <w:spacing w:after="0"/>
        <w:tabs>
          <w:tab w:leader="none" w:pos="2460" w:val="left"/>
        </w:tabs>
        <w:numPr>
          <w:ilvl w:val="2"/>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02" w:lineRule="exact"/>
        <w:rPr>
          <w:rFonts w:ascii="Times New Roman" w:cs="Times New Roman" w:eastAsia="Times New Roman" w:hAnsi="Times New Roman"/>
          <w:sz w:val="14"/>
          <w:szCs w:val="14"/>
          <w:color w:val="auto"/>
        </w:rPr>
      </w:pPr>
    </w:p>
    <w:p>
      <w:pPr>
        <w:ind w:left="2460" w:right="299" w:hanging="347"/>
        <w:spacing w:after="0" w:line="268" w:lineRule="auto"/>
        <w:tabs>
          <w:tab w:leader="none" w:pos="2460" w:val="left"/>
        </w:tabs>
        <w:numPr>
          <w:ilvl w:val="2"/>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460" w:right="259"/>
        <w:spacing w:after="0" w:line="262" w:lineRule="auto"/>
        <w:rPr>
          <w:sz w:val="20"/>
          <w:szCs w:val="20"/>
          <w:color w:val="auto"/>
        </w:rPr>
      </w:pPr>
      <w:r>
        <w:rPr>
          <w:rFonts w:ascii="Times New Roman" w:cs="Times New Roman" w:eastAsia="Times New Roman" w:hAnsi="Times New Roman"/>
          <w:sz w:val="14"/>
          <w:szCs w:val="14"/>
          <w:color w:val="auto"/>
        </w:rPr>
        <w:t>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7" w:lineRule="exact"/>
        <w:rPr>
          <w:sz w:val="20"/>
          <w:szCs w:val="20"/>
          <w:color w:val="auto"/>
        </w:rPr>
      </w:pPr>
    </w:p>
    <w:p>
      <w:pPr>
        <w:ind w:left="2460" w:right="339" w:hanging="347"/>
        <w:spacing w:after="0" w:line="284" w:lineRule="auto"/>
        <w:tabs>
          <w:tab w:leader="none" w:pos="2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39" w:lineRule="exact"/>
        <w:rPr>
          <w:sz w:val="20"/>
          <w:szCs w:val="20"/>
          <w:color w:val="auto"/>
        </w:rPr>
      </w:pPr>
    </w:p>
    <w:p>
      <w:pPr>
        <w:ind w:left="2120" w:right="219"/>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however, that paragraphs (a)(1)(i), (a)(1)(ii) and (a)(1)(iii) do not apply if the registration statement is on Form S-3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66" w:lineRule="exact"/>
        <w:rPr>
          <w:sz w:val="20"/>
          <w:szCs w:val="20"/>
          <w:color w:val="auto"/>
        </w:rPr>
      </w:pPr>
    </w:p>
    <w:p>
      <w:pPr>
        <w:ind w:left="2100" w:right="219" w:hanging="420"/>
        <w:spacing w:after="0" w:line="268" w:lineRule="auto"/>
        <w:tabs>
          <w:tab w:leader="none" w:pos="2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1" w:lineRule="exact"/>
        <w:rPr>
          <w:rFonts w:ascii="Times New Roman" w:cs="Times New Roman" w:eastAsia="Times New Roman" w:hAnsi="Times New Roman"/>
          <w:sz w:val="14"/>
          <w:szCs w:val="14"/>
          <w:color w:val="auto"/>
        </w:rPr>
      </w:pPr>
    </w:p>
    <w:p>
      <w:pPr>
        <w:ind w:left="2100" w:right="499" w:hanging="420"/>
        <w:spacing w:after="0" w:line="284" w:lineRule="auto"/>
        <w:tabs>
          <w:tab w:leader="none" w:pos="2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1" w:lineRule="exact"/>
        <w:rPr>
          <w:rFonts w:ascii="Times New Roman" w:cs="Times New Roman" w:eastAsia="Times New Roman" w:hAnsi="Times New Roman"/>
          <w:sz w:val="14"/>
          <w:szCs w:val="14"/>
          <w:color w:val="auto"/>
        </w:rPr>
      </w:pPr>
    </w:p>
    <w:p>
      <w:pPr>
        <w:ind w:left="2100" w:hanging="420"/>
        <w:spacing w:after="0"/>
        <w:tabs>
          <w:tab w:leader="none" w:pos="2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02" w:lineRule="exact"/>
        <w:rPr>
          <w:rFonts w:ascii="Times New Roman" w:cs="Times New Roman" w:eastAsia="Times New Roman" w:hAnsi="Times New Roman"/>
          <w:sz w:val="14"/>
          <w:szCs w:val="14"/>
          <w:color w:val="auto"/>
        </w:rPr>
      </w:pPr>
    </w:p>
    <w:p>
      <w:pPr>
        <w:ind w:left="2460" w:right="399" w:hanging="347"/>
        <w:spacing w:after="0" w:line="284" w:lineRule="auto"/>
        <w:tabs>
          <w:tab w:leader="none" w:pos="24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1" w:lineRule="exact"/>
        <w:rPr>
          <w:rFonts w:ascii="Times New Roman" w:cs="Times New Roman" w:eastAsia="Times New Roman" w:hAnsi="Times New Roman"/>
          <w:sz w:val="14"/>
          <w:szCs w:val="14"/>
          <w:color w:val="auto"/>
        </w:rPr>
      </w:pPr>
    </w:p>
    <w:p>
      <w:pPr>
        <w:ind w:left="2460" w:right="259" w:hanging="347"/>
        <w:spacing w:after="0" w:line="254" w:lineRule="auto"/>
        <w:tabs>
          <w:tab w:leader="none" w:pos="24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the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4" w:lineRule="exact"/>
        <w:rPr>
          <w:rFonts w:ascii="Times New Roman" w:cs="Times New Roman" w:eastAsia="Times New Roman" w:hAnsi="Times New Roman"/>
          <w:sz w:val="14"/>
          <w:szCs w:val="14"/>
          <w:color w:val="auto"/>
        </w:rPr>
      </w:pPr>
    </w:p>
    <w:p>
      <w:pPr>
        <w:ind w:left="2100" w:right="239" w:hanging="420"/>
        <w:spacing w:after="0" w:line="259" w:lineRule="auto"/>
        <w:tabs>
          <w:tab w:leader="none" w:pos="2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2460" w:right="339" w:hanging="347"/>
        <w:spacing w:after="0" w:line="284" w:lineRule="auto"/>
        <w:tabs>
          <w:tab w:leader="none" w:pos="24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51" w:lineRule="exact"/>
        <w:rPr>
          <w:rFonts w:ascii="Times New Roman" w:cs="Times New Roman" w:eastAsia="Times New Roman" w:hAnsi="Times New Roman"/>
          <w:sz w:val="14"/>
          <w:szCs w:val="14"/>
          <w:color w:val="auto"/>
        </w:rPr>
      </w:pPr>
    </w:p>
    <w:p>
      <w:pPr>
        <w:ind w:left="2460" w:right="379" w:hanging="347"/>
        <w:spacing w:after="0" w:line="284" w:lineRule="auto"/>
        <w:tabs>
          <w:tab w:leader="none" w:pos="24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51" w:lineRule="exact"/>
        <w:rPr>
          <w:rFonts w:ascii="Times New Roman" w:cs="Times New Roman" w:eastAsia="Times New Roman" w:hAnsi="Times New Roman"/>
          <w:sz w:val="14"/>
          <w:szCs w:val="14"/>
          <w:color w:val="auto"/>
        </w:rPr>
      </w:pPr>
    </w:p>
    <w:p>
      <w:pPr>
        <w:ind w:left="2460" w:right="599" w:hanging="347"/>
        <w:spacing w:after="0" w:line="284" w:lineRule="auto"/>
        <w:tabs>
          <w:tab w:leader="none" w:pos="24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51" w:lineRule="exact"/>
        <w:rPr>
          <w:rFonts w:ascii="Times New Roman" w:cs="Times New Roman" w:eastAsia="Times New Roman" w:hAnsi="Times New Roman"/>
          <w:sz w:val="14"/>
          <w:szCs w:val="14"/>
          <w:color w:val="auto"/>
        </w:rPr>
      </w:pPr>
    </w:p>
    <w:p>
      <w:pPr>
        <w:ind w:left="2460" w:hanging="347"/>
        <w:spacing w:after="0"/>
        <w:tabs>
          <w:tab w:leader="none" w:pos="246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02" w:lineRule="exact"/>
        <w:rPr>
          <w:rFonts w:ascii="Times New Roman" w:cs="Times New Roman" w:eastAsia="Times New Roman" w:hAnsi="Times New Roman"/>
          <w:sz w:val="14"/>
          <w:szCs w:val="14"/>
          <w:color w:val="auto"/>
        </w:rPr>
      </w:pPr>
    </w:p>
    <w:p>
      <w:pPr>
        <w:ind w:left="1680" w:right="239" w:hanging="337"/>
        <w:spacing w:after="0" w:line="259" w:lineRule="auto"/>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9" w:lineRule="exact"/>
        <w:rPr>
          <w:rFonts w:ascii="Times New Roman" w:cs="Times New Roman" w:eastAsia="Times New Roman" w:hAnsi="Times New Roman"/>
          <w:sz w:val="14"/>
          <w:szCs w:val="14"/>
          <w:color w:val="auto"/>
        </w:rPr>
      </w:pPr>
    </w:p>
    <w:p>
      <w:pPr>
        <w:ind w:left="1680" w:right="259" w:hanging="337"/>
        <w:spacing w:after="0" w:line="256" w:lineRule="auto"/>
        <w:tabs>
          <w:tab w:leader="none" w:pos="16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134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60" w:type="dxa"/>
            <w:vAlign w:val="bottom"/>
            <w:gridSpan w:val="12"/>
          </w:tcPr>
          <w:p>
            <w:pPr>
              <w:ind w:left="8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19"/>
        </w:trPr>
        <w:tc>
          <w:tcPr>
            <w:tcW w:w="1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gridSpan w:val="12"/>
          </w:tcPr>
          <w:p>
            <w:pPr>
              <w:ind w:left="92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8"/>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730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56">
              <w:r>
                <w:rPr>
                  <w:rFonts w:ascii="Times New Roman" w:cs="Times New Roman" w:eastAsia="Times New Roman" w:hAnsi="Times New Roman"/>
                  <w:sz w:val="14"/>
                  <w:szCs w:val="14"/>
                  <w:color w:val="0000EE"/>
                </w:rPr>
                <w:t>Restated Certificate of Incorporation of Xerox Holdings Corporation filed with the Department of State of New York on May 19,</w:t>
              </w:r>
            </w:hyperlink>
          </w:p>
        </w:tc>
        <w:tc>
          <w:tcPr>
            <w:tcW w:w="100" w:type="dxa"/>
            <w:vAlign w:val="bottom"/>
          </w:tcPr>
          <w:p>
            <w:pPr>
              <w:spacing w:after="0"/>
              <w:rPr>
                <w:sz w:val="18"/>
                <w:szCs w:val="18"/>
                <w:color w:val="auto"/>
              </w:rPr>
            </w:pPr>
          </w:p>
        </w:tc>
      </w:tr>
      <w:tr>
        <w:trPr>
          <w:trHeight w:val="149"/>
        </w:trPr>
        <w:tc>
          <w:tcPr>
            <w:tcW w:w="1140" w:type="dxa"/>
            <w:vAlign w:val="bottom"/>
          </w:tcPr>
          <w:p>
            <w:pPr>
              <w:spacing w:after="0"/>
              <w:rPr>
                <w:sz w:val="12"/>
                <w:szCs w:val="12"/>
                <w:color w:val="auto"/>
              </w:rPr>
            </w:pPr>
          </w:p>
        </w:tc>
        <w:tc>
          <w:tcPr>
            <w:tcW w:w="7400" w:type="dxa"/>
            <w:vAlign w:val="bottom"/>
            <w:gridSpan w:val="17"/>
          </w:tcPr>
          <w:p>
            <w:pPr>
              <w:spacing w:after="0" w:line="149" w:lineRule="exact"/>
              <w:rPr>
                <w:rFonts w:ascii="Times New Roman" w:cs="Times New Roman" w:eastAsia="Times New Roman" w:hAnsi="Times New Roman"/>
                <w:sz w:val="14"/>
                <w:szCs w:val="14"/>
                <w:color w:val="0000EE"/>
              </w:rPr>
            </w:pPr>
            <w:hyperlink r:id="rId56">
              <w:r>
                <w:rPr>
                  <w:rFonts w:ascii="Times New Roman" w:cs="Times New Roman" w:eastAsia="Times New Roman" w:hAnsi="Times New Roman"/>
                  <w:sz w:val="14"/>
                  <w:szCs w:val="14"/>
                  <w:color w:val="0000EE"/>
                </w:rPr>
                <w:t>2022 (incorporated by reference to Exhibit 3.1 to Xerox Holdings Corporation’s Quarterly Report on Form 10-Q dated May 19,</w:t>
              </w:r>
            </w:hyperlink>
          </w:p>
        </w:tc>
      </w:tr>
      <w:tr>
        <w:trPr>
          <w:trHeight w:val="149"/>
        </w:trPr>
        <w:tc>
          <w:tcPr>
            <w:tcW w:w="1140" w:type="dxa"/>
            <w:vAlign w:val="bottom"/>
          </w:tcPr>
          <w:p>
            <w:pPr>
              <w:spacing w:after="0"/>
              <w:rPr>
                <w:sz w:val="12"/>
                <w:szCs w:val="12"/>
                <w:color w:val="auto"/>
              </w:rPr>
            </w:pPr>
          </w:p>
        </w:tc>
        <w:tc>
          <w:tcPr>
            <w:tcW w:w="360" w:type="dxa"/>
            <w:vAlign w:val="bottom"/>
            <w:tcBorders>
              <w:top w:val="single" w:sz="8" w:color="0000EE"/>
              <w:bottom w:val="single" w:sz="8" w:color="0000EE"/>
            </w:tcBorders>
          </w:tcPr>
          <w:p>
            <w:pPr>
              <w:spacing w:after="0" w:line="149" w:lineRule="exact"/>
              <w:rPr>
                <w:rFonts w:ascii="Times New Roman" w:cs="Times New Roman" w:eastAsia="Times New Roman" w:hAnsi="Times New Roman"/>
                <w:sz w:val="14"/>
                <w:szCs w:val="14"/>
                <w:color w:val="0000EE"/>
                <w:w w:val="93"/>
              </w:rPr>
            </w:pPr>
            <w:hyperlink r:id="rId56">
              <w:r>
                <w:rPr>
                  <w:rFonts w:ascii="Times New Roman" w:cs="Times New Roman" w:eastAsia="Times New Roman" w:hAnsi="Times New Roman"/>
                  <w:sz w:val="14"/>
                  <w:szCs w:val="14"/>
                  <w:color w:val="0000EE"/>
                  <w:w w:val="93"/>
                </w:rPr>
                <w:t>2022).</w:t>
              </w:r>
            </w:hyperlink>
          </w:p>
        </w:tc>
        <w:tc>
          <w:tcPr>
            <w:tcW w:w="5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2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380" w:type="dxa"/>
            <w:vAlign w:val="bottom"/>
            <w:tcBorders>
              <w:top w:val="single" w:sz="8" w:color="0000EE"/>
            </w:tcBorders>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3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6760" w:type="dxa"/>
            <w:vAlign w:val="bottom"/>
            <w:tcBorders>
              <w:bottom w:val="single" w:sz="8" w:color="0000EE"/>
            </w:tcBorders>
            <w:gridSpan w:val="11"/>
          </w:tcPr>
          <w:p>
            <w:pPr>
              <w:spacing w:after="0"/>
              <w:rPr>
                <w:rFonts w:ascii="Times New Roman" w:cs="Times New Roman" w:eastAsia="Times New Roman" w:hAnsi="Times New Roman"/>
                <w:sz w:val="14"/>
                <w:szCs w:val="14"/>
                <w:color w:val="0000EE"/>
              </w:rPr>
            </w:pPr>
            <w:hyperlink r:id="rId57">
              <w:r>
                <w:rPr>
                  <w:rFonts w:ascii="Times New Roman" w:cs="Times New Roman" w:eastAsia="Times New Roman" w:hAnsi="Times New Roman"/>
                  <w:sz w:val="14"/>
                  <w:szCs w:val="14"/>
                  <w:color w:val="0000EE"/>
                </w:rPr>
                <w:t>Amended and Restated By-Laws of Xerox Holdings Corporation dated February 17, 2022 (incorporated by reference to</w:t>
              </w:r>
            </w:hyperlink>
          </w:p>
        </w:tc>
        <w:tc>
          <w:tcPr>
            <w:tcW w:w="640" w:type="dxa"/>
            <w:vAlign w:val="bottom"/>
            <w:gridSpan w:val="6"/>
          </w:tcPr>
          <w:p>
            <w:pPr>
              <w:spacing w:after="0"/>
              <w:rPr>
                <w:sz w:val="20"/>
                <w:szCs w:val="20"/>
                <w:color w:val="auto"/>
              </w:rPr>
            </w:pPr>
          </w:p>
        </w:tc>
      </w:tr>
      <w:tr>
        <w:trPr>
          <w:trHeight w:val="149"/>
        </w:trPr>
        <w:tc>
          <w:tcPr>
            <w:tcW w:w="1140" w:type="dxa"/>
            <w:vAlign w:val="bottom"/>
          </w:tcPr>
          <w:p>
            <w:pPr>
              <w:spacing w:after="0"/>
              <w:rPr>
                <w:sz w:val="12"/>
                <w:szCs w:val="12"/>
                <w:color w:val="auto"/>
              </w:rPr>
            </w:pPr>
          </w:p>
        </w:tc>
        <w:tc>
          <w:tcPr>
            <w:tcW w:w="7400" w:type="dxa"/>
            <w:vAlign w:val="bottom"/>
            <w:gridSpan w:val="17"/>
          </w:tcPr>
          <w:p>
            <w:pPr>
              <w:spacing w:after="0" w:line="149" w:lineRule="exact"/>
              <w:rPr>
                <w:rFonts w:ascii="Times New Roman" w:cs="Times New Roman" w:eastAsia="Times New Roman" w:hAnsi="Times New Roman"/>
                <w:sz w:val="14"/>
                <w:szCs w:val="14"/>
                <w:color w:val="0000EE"/>
              </w:rPr>
            </w:pPr>
            <w:hyperlink r:id="rId57">
              <w:r>
                <w:rPr>
                  <w:rFonts w:ascii="Times New Roman" w:cs="Times New Roman" w:eastAsia="Times New Roman" w:hAnsi="Times New Roman"/>
                  <w:sz w:val="14"/>
                  <w:szCs w:val="14"/>
                  <w:color w:val="0000EE"/>
                </w:rPr>
                <w:t>Exhibit 3(b)(2) to the Xerox Holdings Corporation’s Annual Report on Form 10-K dated February 23, 2022).</w:t>
              </w:r>
            </w:hyperlink>
          </w:p>
        </w:tc>
      </w:tr>
      <w:tr>
        <w:trPr>
          <w:trHeight w:val="20"/>
        </w:trPr>
        <w:tc>
          <w:tcPr>
            <w:tcW w:w="11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66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9"/>
              </w:rPr>
            </w:pPr>
            <w:hyperlink r:id="rId58">
              <w:r>
                <w:rPr>
                  <w:rFonts w:ascii="Times New Roman" w:cs="Times New Roman" w:eastAsia="Times New Roman" w:hAnsi="Times New Roman"/>
                  <w:sz w:val="14"/>
                  <w:szCs w:val="14"/>
                  <w:color w:val="0000EE"/>
                  <w:w w:val="99"/>
                </w:rPr>
                <w:t>Description of Xerox Holdings Corporation’s Capital Stock (incorporated by reference to the registration statement on</w:t>
              </w:r>
            </w:hyperlink>
          </w:p>
        </w:tc>
        <w:tc>
          <w:tcPr>
            <w:tcW w:w="760" w:type="dxa"/>
            <w:vAlign w:val="bottom"/>
            <w:gridSpan w:val="7"/>
          </w:tcPr>
          <w:p>
            <w:pPr>
              <w:spacing w:after="0"/>
              <w:rPr>
                <w:sz w:val="20"/>
                <w:szCs w:val="20"/>
                <w:color w:val="auto"/>
              </w:rPr>
            </w:pPr>
          </w:p>
        </w:tc>
      </w:tr>
      <w:tr>
        <w:trPr>
          <w:trHeight w:val="149"/>
        </w:trPr>
        <w:tc>
          <w:tcPr>
            <w:tcW w:w="1140" w:type="dxa"/>
            <w:vAlign w:val="bottom"/>
          </w:tcPr>
          <w:p>
            <w:pPr>
              <w:spacing w:after="0"/>
              <w:rPr>
                <w:sz w:val="12"/>
                <w:szCs w:val="12"/>
                <w:color w:val="auto"/>
              </w:rPr>
            </w:pPr>
          </w:p>
        </w:tc>
        <w:tc>
          <w:tcPr>
            <w:tcW w:w="7280" w:type="dxa"/>
            <w:vAlign w:val="bottom"/>
            <w:tcBorders>
              <w:bottom w:val="single" w:sz="8" w:color="0000EE"/>
            </w:tcBorders>
            <w:gridSpan w:val="15"/>
          </w:tcPr>
          <w:p>
            <w:pPr>
              <w:spacing w:after="0" w:line="149" w:lineRule="exact"/>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color w:val="0000EE"/>
                </w:rPr>
                <w:t>Form 8-A12B filed with the SEC on September 20, 2021 and Exhibit 4(c) to our Annual Report on Form 10-K for the year ended</w:t>
              </w:r>
            </w:hyperlink>
          </w:p>
        </w:tc>
        <w:tc>
          <w:tcPr>
            <w:tcW w:w="120" w:type="dxa"/>
            <w:vAlign w:val="bottom"/>
            <w:gridSpan w:val="2"/>
          </w:tcPr>
          <w:p>
            <w:pPr>
              <w:spacing w:after="0"/>
              <w:rPr>
                <w:sz w:val="12"/>
                <w:szCs w:val="12"/>
                <w:color w:val="auto"/>
              </w:rPr>
            </w:pPr>
          </w:p>
        </w:tc>
      </w:tr>
      <w:tr>
        <w:trPr>
          <w:trHeight w:val="149"/>
        </w:trPr>
        <w:tc>
          <w:tcPr>
            <w:tcW w:w="1140" w:type="dxa"/>
            <w:vAlign w:val="bottom"/>
          </w:tcPr>
          <w:p>
            <w:pPr>
              <w:spacing w:after="0"/>
              <w:rPr>
                <w:sz w:val="12"/>
                <w:szCs w:val="12"/>
                <w:color w:val="auto"/>
              </w:rPr>
            </w:pPr>
          </w:p>
        </w:tc>
        <w:tc>
          <w:tcPr>
            <w:tcW w:w="1180" w:type="dxa"/>
            <w:vAlign w:val="bottom"/>
            <w:tcBorders>
              <w:bottom w:val="single" w:sz="8" w:color="0000EE"/>
            </w:tcBorders>
            <w:gridSpan w:val="3"/>
          </w:tcPr>
          <w:p>
            <w:pPr>
              <w:spacing w:after="0" w:line="149" w:lineRule="exact"/>
              <w:rPr>
                <w:rFonts w:ascii="Times New Roman" w:cs="Times New Roman" w:eastAsia="Times New Roman" w:hAnsi="Times New Roman"/>
                <w:sz w:val="14"/>
                <w:szCs w:val="14"/>
                <w:color w:val="0000EE"/>
                <w:w w:val="98"/>
              </w:rPr>
            </w:pPr>
            <w:hyperlink r:id="rId58">
              <w:r>
                <w:rPr>
                  <w:rFonts w:ascii="Times New Roman" w:cs="Times New Roman" w:eastAsia="Times New Roman" w:hAnsi="Times New Roman"/>
                  <w:sz w:val="14"/>
                  <w:szCs w:val="14"/>
                  <w:color w:val="0000EE"/>
                  <w:w w:val="98"/>
                </w:rPr>
                <w:t>December 31, 2025).</w:t>
              </w:r>
            </w:hyperlink>
          </w:p>
        </w:tc>
        <w:tc>
          <w:tcPr>
            <w:tcW w:w="6220" w:type="dxa"/>
            <w:vAlign w:val="bottom"/>
            <w:gridSpan w:val="14"/>
          </w:tcPr>
          <w:p>
            <w:pPr>
              <w:spacing w:after="0"/>
              <w:rPr>
                <w:sz w:val="12"/>
                <w:szCs w:val="12"/>
                <w:color w:val="auto"/>
              </w:rPr>
            </w:pPr>
          </w:p>
        </w:tc>
      </w:tr>
      <w:tr>
        <w:trPr>
          <w:trHeight w:val="23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2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8"/>
              </w:rPr>
              <w:t>Opinion of Simpson Thacher &amp; Bartlett LLP.</w:t>
            </w:r>
          </w:p>
        </w:tc>
        <w:tc>
          <w:tcPr>
            <w:tcW w:w="4860" w:type="dxa"/>
            <w:vAlign w:val="bottom"/>
            <w:gridSpan w:val="12"/>
          </w:tcPr>
          <w:p>
            <w:pPr>
              <w:spacing w:after="0"/>
              <w:rPr>
                <w:sz w:val="20"/>
                <w:szCs w:val="20"/>
                <w:color w:val="auto"/>
              </w:rPr>
            </w:pPr>
          </w:p>
        </w:tc>
      </w:tr>
      <w:tr>
        <w:trPr>
          <w:trHeight w:val="23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7400" w:type="dxa"/>
            <w:vAlign w:val="bottom"/>
            <w:gridSpan w:val="17"/>
          </w:tcPr>
          <w:p>
            <w:pPr>
              <w:spacing w:after="0"/>
              <w:rPr>
                <w:rFonts w:ascii="Times New Roman" w:cs="Times New Roman" w:eastAsia="Times New Roman" w:hAnsi="Times New Roman"/>
                <w:sz w:val="14"/>
                <w:szCs w:val="14"/>
                <w:color w:val="0000EE"/>
              </w:rPr>
            </w:pPr>
            <w:hyperlink r:id="rId59">
              <w:r>
                <w:rPr>
                  <w:rFonts w:ascii="Times New Roman" w:cs="Times New Roman" w:eastAsia="Times New Roman" w:hAnsi="Times New Roman"/>
                  <w:sz w:val="14"/>
                  <w:szCs w:val="14"/>
                  <w:color w:val="0000EE"/>
                </w:rPr>
                <w:t>Exchange Support Agreement, dated as of October 29, 2026, by and among Xerox Corporation, Xerox Holdings Corporation, the</w:t>
              </w:r>
            </w:hyperlink>
          </w:p>
        </w:tc>
      </w:tr>
      <w:tr>
        <w:trPr>
          <w:trHeight w:val="20"/>
        </w:trPr>
        <w:tc>
          <w:tcPr>
            <w:tcW w:w="11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1140" w:type="dxa"/>
            <w:vAlign w:val="bottom"/>
          </w:tcPr>
          <w:p>
            <w:pPr>
              <w:spacing w:after="0"/>
              <w:rPr>
                <w:sz w:val="12"/>
                <w:szCs w:val="12"/>
                <w:color w:val="auto"/>
              </w:rPr>
            </w:pPr>
          </w:p>
        </w:tc>
        <w:tc>
          <w:tcPr>
            <w:tcW w:w="7400" w:type="dxa"/>
            <w:vAlign w:val="bottom"/>
            <w:tcBorders>
              <w:bottom w:val="single" w:sz="8" w:color="0000EE"/>
            </w:tcBorders>
            <w:gridSpan w:val="17"/>
          </w:tcPr>
          <w:p>
            <w:pPr>
              <w:spacing w:after="0" w:line="149" w:lineRule="exact"/>
              <w:rPr>
                <w:rFonts w:ascii="Times New Roman" w:cs="Times New Roman" w:eastAsia="Times New Roman" w:hAnsi="Times New Roman"/>
                <w:sz w:val="14"/>
                <w:szCs w:val="14"/>
                <w:color w:val="0000EE"/>
                <w:w w:val="99"/>
              </w:rPr>
            </w:pPr>
            <w:hyperlink r:id="rId59">
              <w:r>
                <w:rPr>
                  <w:rFonts w:ascii="Times New Roman" w:cs="Times New Roman" w:eastAsia="Times New Roman" w:hAnsi="Times New Roman"/>
                  <w:sz w:val="14"/>
                  <w:szCs w:val="14"/>
                  <w:color w:val="0000EE"/>
                  <w:w w:val="99"/>
                </w:rPr>
                <w:t>other company parties thereto and the consenting holders party thereto (including the form of Exchange Agreement attached thereto</w:t>
              </w:r>
            </w:hyperlink>
          </w:p>
        </w:tc>
      </w:tr>
      <w:tr>
        <w:trPr>
          <w:trHeight w:val="149"/>
        </w:trPr>
        <w:tc>
          <w:tcPr>
            <w:tcW w:w="1140" w:type="dxa"/>
            <w:vAlign w:val="bottom"/>
          </w:tcPr>
          <w:p>
            <w:pPr>
              <w:spacing w:after="0"/>
              <w:rPr>
                <w:sz w:val="12"/>
                <w:szCs w:val="12"/>
                <w:color w:val="auto"/>
              </w:rPr>
            </w:pPr>
          </w:p>
        </w:tc>
        <w:tc>
          <w:tcPr>
            <w:tcW w:w="7020" w:type="dxa"/>
            <w:vAlign w:val="bottom"/>
            <w:tcBorders>
              <w:bottom w:val="single" w:sz="8" w:color="0000EE"/>
            </w:tcBorders>
            <w:gridSpan w:val="13"/>
          </w:tcPr>
          <w:p>
            <w:pPr>
              <w:spacing w:after="0" w:line="149" w:lineRule="exact"/>
              <w:rPr>
                <w:rFonts w:ascii="Times New Roman" w:cs="Times New Roman" w:eastAsia="Times New Roman" w:hAnsi="Times New Roman"/>
                <w:sz w:val="14"/>
                <w:szCs w:val="14"/>
                <w:color w:val="0000EE"/>
                <w:w w:val="99"/>
              </w:rPr>
            </w:pPr>
            <w:hyperlink r:id="rId59">
              <w:r>
                <w:rPr>
                  <w:rFonts w:ascii="Times New Roman" w:cs="Times New Roman" w:eastAsia="Times New Roman" w:hAnsi="Times New Roman"/>
                  <w:sz w:val="14"/>
                  <w:szCs w:val="14"/>
                  <w:color w:val="0000EE"/>
                  <w:w w:val="99"/>
                </w:rPr>
                <w:t>as Exhibit B) (incorporated by reference to Exhibit 10.1 to Xerox Holdings Corporation’s Current Report on Form 8-K dated</w:t>
              </w:r>
            </w:hyperlink>
          </w:p>
        </w:tc>
        <w:tc>
          <w:tcPr>
            <w:tcW w:w="380" w:type="dxa"/>
            <w:vAlign w:val="bottom"/>
            <w:gridSpan w:val="4"/>
          </w:tcPr>
          <w:p>
            <w:pPr>
              <w:spacing w:after="0"/>
              <w:rPr>
                <w:sz w:val="12"/>
                <w:szCs w:val="12"/>
                <w:color w:val="auto"/>
              </w:rPr>
            </w:pPr>
          </w:p>
        </w:tc>
      </w:tr>
      <w:tr>
        <w:trPr>
          <w:trHeight w:val="149"/>
        </w:trPr>
        <w:tc>
          <w:tcPr>
            <w:tcW w:w="1140" w:type="dxa"/>
            <w:vAlign w:val="bottom"/>
          </w:tcPr>
          <w:p>
            <w:pPr>
              <w:spacing w:after="0"/>
              <w:rPr>
                <w:sz w:val="12"/>
                <w:szCs w:val="12"/>
                <w:color w:val="auto"/>
              </w:rPr>
            </w:pPr>
          </w:p>
        </w:tc>
        <w:tc>
          <w:tcPr>
            <w:tcW w:w="2360" w:type="dxa"/>
            <w:vAlign w:val="bottom"/>
            <w:tcBorders>
              <w:bottom w:val="single" w:sz="8" w:color="0000EE"/>
            </w:tcBorders>
            <w:gridSpan w:val="4"/>
          </w:tcPr>
          <w:p>
            <w:pPr>
              <w:spacing w:after="0" w:line="149" w:lineRule="exact"/>
              <w:rPr>
                <w:rFonts w:ascii="Times New Roman" w:cs="Times New Roman" w:eastAsia="Times New Roman" w:hAnsi="Times New Roman"/>
                <w:sz w:val="14"/>
                <w:szCs w:val="14"/>
                <w:color w:val="0000EE"/>
                <w:w w:val="99"/>
              </w:rPr>
            </w:pPr>
            <w:hyperlink r:id="rId59">
              <w:r>
                <w:rPr>
                  <w:rFonts w:ascii="Times New Roman" w:cs="Times New Roman" w:eastAsia="Times New Roman" w:hAnsi="Times New Roman"/>
                  <w:sz w:val="14"/>
                  <w:szCs w:val="14"/>
                  <w:color w:val="0000EE"/>
                  <w:w w:val="99"/>
                </w:rPr>
                <w:t>October 29, 2026 (Film No: 261497604)).</w:t>
              </w:r>
            </w:hyperlink>
          </w:p>
        </w:tc>
        <w:tc>
          <w:tcPr>
            <w:tcW w:w="5040" w:type="dxa"/>
            <w:vAlign w:val="bottom"/>
            <w:gridSpan w:val="13"/>
          </w:tcPr>
          <w:p>
            <w:pPr>
              <w:spacing w:after="0"/>
              <w:rPr>
                <w:sz w:val="12"/>
                <w:szCs w:val="12"/>
                <w:color w:val="auto"/>
              </w:rPr>
            </w:pPr>
          </w:p>
        </w:tc>
      </w:tr>
      <w:tr>
        <w:trPr>
          <w:trHeight w:val="23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740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Consent of PricewaterhouseCoopers LLP, independent registered public accounting firm of Xerox Holdings Corporation.</w:t>
            </w:r>
          </w:p>
        </w:tc>
      </w:tr>
      <w:tr>
        <w:trPr>
          <w:trHeight w:val="23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47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9"/>
              </w:rPr>
              <w:t>Consent of BDO USA, P.C., independent auditors of Lexmark International II, LLC.</w:t>
            </w:r>
          </w:p>
        </w:tc>
        <w:tc>
          <w:tcPr>
            <w:tcW w:w="2060" w:type="dxa"/>
            <w:vAlign w:val="bottom"/>
            <w:tcBorders>
              <w:top w:val="single" w:sz="8" w:color="0000EE"/>
            </w:tcBorders>
            <w:gridSpan w:val="4"/>
          </w:tcPr>
          <w:p>
            <w:pPr>
              <w:spacing w:after="0"/>
              <w:rPr>
                <w:sz w:val="20"/>
                <w:szCs w:val="20"/>
                <w:color w:val="auto"/>
              </w:rPr>
            </w:pPr>
          </w:p>
        </w:tc>
        <w:tc>
          <w:tcPr>
            <w:tcW w:w="600" w:type="dxa"/>
            <w:vAlign w:val="bottom"/>
            <w:gridSpan w:val="5"/>
          </w:tcPr>
          <w:p>
            <w:pPr>
              <w:spacing w:after="0"/>
              <w:rPr>
                <w:sz w:val="20"/>
                <w:szCs w:val="20"/>
                <w:color w:val="auto"/>
              </w:rPr>
            </w:pPr>
          </w:p>
        </w:tc>
      </w:tr>
      <w:tr>
        <w:trPr>
          <w:trHeight w:val="23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740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Consent of Simpson Thacher &amp; Bartlett LLP (included in Exhibit 5.1).</w:t>
            </w:r>
          </w:p>
        </w:tc>
      </w:tr>
      <w:tr>
        <w:trPr>
          <w:trHeight w:val="20"/>
        </w:trPr>
        <w:tc>
          <w:tcPr>
            <w:tcW w:w="11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r>
      <w:tr>
        <w:trPr>
          <w:trHeight w:val="23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7400" w:type="dxa"/>
            <w:vAlign w:val="bottom"/>
            <w:gridSpan w:val="17"/>
          </w:tcPr>
          <w:p>
            <w:pPr>
              <w:spacing w:after="0"/>
              <w:rPr>
                <w:sz w:val="20"/>
                <w:szCs w:val="20"/>
                <w:color w:val="auto"/>
              </w:rPr>
            </w:pPr>
            <w:r>
              <w:rPr>
                <w:rFonts w:ascii="Times New Roman" w:cs="Times New Roman" w:eastAsia="Times New Roman" w:hAnsi="Times New Roman"/>
                <w:sz w:val="14"/>
                <w:szCs w:val="14"/>
                <w:color w:val="0000EE"/>
              </w:rPr>
              <w:t>Power of Attorney (included on the signature pages to this registration statement).</w:t>
            </w:r>
          </w:p>
        </w:tc>
      </w:tr>
      <w:tr>
        <w:trPr>
          <w:trHeight w:val="233"/>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46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Filing Fee Table.</w:t>
            </w:r>
          </w:p>
        </w:tc>
        <w:tc>
          <w:tcPr>
            <w:tcW w:w="2800" w:type="dxa"/>
            <w:vAlign w:val="bottom"/>
            <w:gridSpan w:val="10"/>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  Filed herewith.</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8" w:lineRule="exact"/>
        <w:rPr>
          <w:sz w:val="20"/>
          <w:szCs w:val="20"/>
          <w:color w:val="auto"/>
        </w:rPr>
      </w:pPr>
    </w:p>
    <w:p>
      <w:pPr>
        <w:ind w:left="1340" w:right="219" w:firstLine="344"/>
        <w:spacing w:after="0" w:line="268"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certifies that it has reasonable grounds to believe that it meets all the requirements for filing on Form S-3 and has duly caused this registration statement to be signed on its behalf by the undersigned, thereunto duly authorized, in the City of Norwalk, State of Connecticut, on October 29, 2026.</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XEROX HOLDINGS CORPORATION</w:t>
      </w:r>
    </w:p>
    <w:p>
      <w:pPr>
        <w:spacing w:after="0" w:line="210" w:lineRule="exact"/>
        <w:rPr>
          <w:sz w:val="20"/>
          <w:szCs w:val="20"/>
          <w:color w:val="auto"/>
        </w:rPr>
      </w:pPr>
    </w:p>
    <w:tbl>
      <w:tblPr>
        <w:tblLayout w:type="fixed"/>
        <w:tblInd w:w="1340" w:type="dxa"/>
        <w:tblCellMar>
          <w:top w:w="0" w:type="dxa"/>
          <w:left w:w="0" w:type="dxa"/>
          <w:bottom w:w="0" w:type="dxa"/>
          <w:right w:w="0" w:type="dxa"/>
        </w:tblCellMar>
      </w:tblPr>
      <w:tr>
        <w:trPr>
          <w:trHeight w:val="183"/>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Louie J. Pastor</w:t>
            </w:r>
          </w:p>
        </w:tc>
      </w:tr>
      <w:tr>
        <w:trPr>
          <w:trHeight w:val="155"/>
        </w:trPr>
        <w:tc>
          <w:tcPr>
            <w:tcW w:w="4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Name:</w:t>
            </w:r>
          </w:p>
        </w:tc>
        <w:tc>
          <w:tcPr>
            <w:tcW w:w="29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Louie J. Pastor</w:t>
            </w:r>
          </w:p>
        </w:tc>
      </w:tr>
      <w:tr>
        <w:trPr>
          <w:trHeight w:val="169"/>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83"/>
        </w:trPr>
        <w:tc>
          <w:tcPr>
            <w:tcW w:w="48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8" w:lineRule="exact"/>
        <w:rPr>
          <w:sz w:val="20"/>
          <w:szCs w:val="20"/>
          <w:color w:val="auto"/>
        </w:rPr>
      </w:pPr>
    </w:p>
    <w:p>
      <w:pPr>
        <w:ind w:left="1340" w:right="259" w:firstLine="344"/>
        <w:spacing w:after="0" w:line="256" w:lineRule="auto"/>
        <w:rPr>
          <w:sz w:val="20"/>
          <w:szCs w:val="20"/>
          <w:color w:val="auto"/>
        </w:rPr>
      </w:pPr>
      <w:r>
        <w:rPr>
          <w:rFonts w:ascii="Times New Roman" w:cs="Times New Roman" w:eastAsia="Times New Roman" w:hAnsi="Times New Roman"/>
          <w:sz w:val="14"/>
          <w:szCs w:val="14"/>
          <w:color w:val="auto"/>
        </w:rPr>
        <w:t>KNOW ALL BY THESE PRESENTS that each individual whose signature appears below constitutes and appoints Louie J. Pastor, Chuck Butler, John G. Bruno and Flor M. Colón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and to file the same, with all exhibits thereto, and all documents in connection therewith, with the SEC,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44" w:lineRule="exact"/>
        <w:rPr>
          <w:sz w:val="20"/>
          <w:szCs w:val="20"/>
          <w:color w:val="auto"/>
        </w:rPr>
      </w:pPr>
    </w:p>
    <w:p>
      <w:pPr>
        <w:ind w:left="1340" w:right="239" w:firstLine="344"/>
        <w:spacing w:after="0" w:line="268" w:lineRule="auto"/>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by the following persons in the capacities and on the dates indicated. This document may be executed in counterparts that when so executed shall constitute one registration statement, notwithstanding that all of the undersigned are not signatories to the original of the same counterpart.</w:t>
      </w:r>
    </w:p>
    <w:p>
      <w:pPr>
        <w:spacing w:after="0" w:line="152" w:lineRule="exact"/>
        <w:rPr>
          <w:sz w:val="20"/>
          <w:szCs w:val="20"/>
          <w:color w:val="auto"/>
        </w:rPr>
      </w:pPr>
    </w:p>
    <w:tbl>
      <w:tblPr>
        <w:tblLayout w:type="fixed"/>
        <w:tblInd w:w="1340" w:type="dxa"/>
        <w:tblCellMar>
          <w:top w:w="0" w:type="dxa"/>
          <w:left w:w="0" w:type="dxa"/>
          <w:bottom w:w="0" w:type="dxa"/>
          <w:right w:w="0" w:type="dxa"/>
        </w:tblCellMar>
      </w:tblPr>
      <w:tr>
        <w:trPr>
          <w:trHeight w:val="146"/>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Signatures</w:t>
            </w:r>
          </w:p>
        </w:tc>
        <w:tc>
          <w:tcPr>
            <w:tcW w:w="80" w:type="dxa"/>
            <w:vAlign w:val="bottom"/>
          </w:tcPr>
          <w:p>
            <w:pPr>
              <w:spacing w:after="0"/>
              <w:rPr>
                <w:sz w:val="12"/>
                <w:szCs w:val="12"/>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80" w:type="dxa"/>
            <w:vAlign w:val="bottom"/>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r>
      <w:tr>
        <w:trPr>
          <w:trHeight w:val="317"/>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Louie J. Pastor</w:t>
            </w:r>
          </w:p>
        </w:tc>
        <w:tc>
          <w:tcPr>
            <w:tcW w:w="8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Chief Executive Officer and 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29, 2026</w:t>
            </w:r>
          </w:p>
        </w:tc>
      </w:tr>
      <w:tr>
        <w:trPr>
          <w:trHeight w:val="176"/>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Louie J. Pastor</w:t>
            </w:r>
          </w:p>
        </w:tc>
        <w:tc>
          <w:tcPr>
            <w:tcW w:w="80" w:type="dxa"/>
            <w:vAlign w:val="bottom"/>
          </w:tcPr>
          <w:p>
            <w:pPr>
              <w:spacing w:after="0"/>
              <w:rPr>
                <w:sz w:val="15"/>
                <w:szCs w:val="15"/>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360" w:type="dxa"/>
            <w:vAlign w:val="bottom"/>
          </w:tcPr>
          <w:p>
            <w:pPr>
              <w:spacing w:after="0"/>
              <w:rPr>
                <w:sz w:val="15"/>
                <w:szCs w:val="15"/>
                <w:color w:val="auto"/>
              </w:rPr>
            </w:pPr>
          </w:p>
        </w:tc>
      </w:tr>
      <w:tr>
        <w:trPr>
          <w:trHeight w:val="331"/>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Chuck Butler</w:t>
            </w:r>
          </w:p>
        </w:tc>
        <w:tc>
          <w:tcPr>
            <w:tcW w:w="8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Executive Vice President and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29, 2026</w:t>
            </w:r>
          </w:p>
        </w:tc>
      </w:tr>
      <w:tr>
        <w:trPr>
          <w:trHeight w:val="134"/>
        </w:trPr>
        <w:tc>
          <w:tcPr>
            <w:tcW w:w="32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Chuck Butler</w:t>
            </w:r>
          </w:p>
        </w:tc>
        <w:tc>
          <w:tcPr>
            <w:tcW w:w="80" w:type="dxa"/>
            <w:vAlign w:val="bottom"/>
          </w:tcPr>
          <w:p>
            <w:pPr>
              <w:spacing w:after="0"/>
              <w:rPr>
                <w:sz w:val="11"/>
                <w:szCs w:val="11"/>
                <w:color w:val="auto"/>
              </w:rPr>
            </w:pPr>
          </w:p>
        </w:tc>
        <w:tc>
          <w:tcPr>
            <w:tcW w:w="38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4"/>
                <w:szCs w:val="14"/>
                <w:color w:val="auto"/>
              </w:rPr>
              <w:t>Chief Financial Officer</w:t>
            </w:r>
          </w:p>
        </w:tc>
        <w:tc>
          <w:tcPr>
            <w:tcW w:w="1360" w:type="dxa"/>
            <w:vAlign w:val="bottom"/>
          </w:tcPr>
          <w:p>
            <w:pPr>
              <w:spacing w:after="0"/>
              <w:rPr>
                <w:sz w:val="11"/>
                <w:szCs w:val="11"/>
                <w:color w:val="auto"/>
              </w:rPr>
            </w:pPr>
          </w:p>
        </w:tc>
      </w:tr>
      <w:tr>
        <w:trPr>
          <w:trHeight w:val="183"/>
        </w:trPr>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360" w:type="dxa"/>
            <w:vAlign w:val="bottom"/>
          </w:tcPr>
          <w:p>
            <w:pPr>
              <w:spacing w:after="0"/>
              <w:rPr>
                <w:sz w:val="15"/>
                <w:szCs w:val="15"/>
                <w:color w:val="auto"/>
              </w:rPr>
            </w:pPr>
          </w:p>
        </w:tc>
      </w:tr>
      <w:tr>
        <w:trPr>
          <w:trHeight w:val="34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William Twomey</w:t>
            </w:r>
          </w:p>
        </w:tc>
        <w:tc>
          <w:tcPr>
            <w:tcW w:w="8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Vice President and Chief Accounting Officer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29, 2026</w:t>
            </w:r>
          </w:p>
        </w:tc>
      </w:tr>
      <w:tr>
        <w:trPr>
          <w:trHeight w:val="176"/>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William Twomey</w:t>
            </w:r>
          </w:p>
        </w:tc>
        <w:tc>
          <w:tcPr>
            <w:tcW w:w="80" w:type="dxa"/>
            <w:vAlign w:val="bottom"/>
          </w:tcPr>
          <w:p>
            <w:pPr>
              <w:spacing w:after="0"/>
              <w:rPr>
                <w:sz w:val="15"/>
                <w:szCs w:val="15"/>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(Principal Accounting Officer)</w:t>
            </w:r>
          </w:p>
        </w:tc>
        <w:tc>
          <w:tcPr>
            <w:tcW w:w="1360" w:type="dxa"/>
            <w:vAlign w:val="bottom"/>
          </w:tcPr>
          <w:p>
            <w:pPr>
              <w:spacing w:after="0"/>
              <w:rPr>
                <w:sz w:val="15"/>
                <w:szCs w:val="15"/>
                <w:color w:val="auto"/>
              </w:rPr>
            </w:pPr>
          </w:p>
        </w:tc>
      </w:tr>
      <w:tr>
        <w:trPr>
          <w:trHeight w:val="331"/>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John G. Bruno</w:t>
            </w:r>
          </w:p>
        </w:tc>
        <w:tc>
          <w:tcPr>
            <w:tcW w:w="8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29, 2026</w:t>
            </w:r>
          </w:p>
        </w:tc>
      </w:tr>
      <w:tr>
        <w:trPr>
          <w:trHeight w:val="176"/>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John G. Bruno</w:t>
            </w:r>
          </w:p>
        </w:tc>
        <w:tc>
          <w:tcPr>
            <w:tcW w:w="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31"/>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Tami A. Erwin</w:t>
            </w:r>
          </w:p>
        </w:tc>
        <w:tc>
          <w:tcPr>
            <w:tcW w:w="8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29, 2026</w:t>
            </w:r>
          </w:p>
        </w:tc>
      </w:tr>
      <w:tr>
        <w:trPr>
          <w:trHeight w:val="176"/>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Tami A. Erwin</w:t>
            </w:r>
          </w:p>
        </w:tc>
        <w:tc>
          <w:tcPr>
            <w:tcW w:w="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31"/>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Priscilla Hung</w:t>
            </w:r>
          </w:p>
        </w:tc>
        <w:tc>
          <w:tcPr>
            <w:tcW w:w="8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29, 2026</w:t>
            </w:r>
          </w:p>
        </w:tc>
      </w:tr>
      <w:tr>
        <w:trPr>
          <w:trHeight w:val="176"/>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Priscilla Hung</w:t>
            </w:r>
          </w:p>
        </w:tc>
        <w:tc>
          <w:tcPr>
            <w:tcW w:w="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31"/>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Scott Letier</w:t>
            </w:r>
          </w:p>
        </w:tc>
        <w:tc>
          <w:tcPr>
            <w:tcW w:w="8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29, 2026</w:t>
            </w:r>
          </w:p>
        </w:tc>
      </w:tr>
      <w:tr>
        <w:trPr>
          <w:trHeight w:val="176"/>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Scott Letier</w:t>
            </w:r>
          </w:p>
        </w:tc>
        <w:tc>
          <w:tcPr>
            <w:tcW w:w="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31"/>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Nichelle Maynard-Elliott</w:t>
            </w:r>
          </w:p>
        </w:tc>
        <w:tc>
          <w:tcPr>
            <w:tcW w:w="8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29, 2026</w:t>
            </w:r>
          </w:p>
        </w:tc>
      </w:tr>
      <w:tr>
        <w:trPr>
          <w:trHeight w:val="176"/>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Nichelle Maynard-Elliott</w:t>
            </w:r>
          </w:p>
        </w:tc>
        <w:tc>
          <w:tcPr>
            <w:tcW w:w="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31"/>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Amy Schwetz</w:t>
            </w:r>
          </w:p>
        </w:tc>
        <w:tc>
          <w:tcPr>
            <w:tcW w:w="8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Director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October 29, 2026</w:t>
            </w:r>
          </w:p>
        </w:tc>
      </w:tr>
      <w:tr>
        <w:trPr>
          <w:trHeight w:val="176"/>
        </w:trPr>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Amy Schwetz</w:t>
            </w:r>
          </w:p>
        </w:tc>
        <w:tc>
          <w:tcPr>
            <w:tcW w:w="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ectPr>
          <w:pgSz w:w="11900" w:h="16838" w:orient="portrait"/>
          <w:cols w:equalWidth="0" w:num="1">
            <w:col w:w="10159"/>
          </w:cols>
          <w:pgMar w:left="300" w:top="386" w:right="1440" w:bottom="1440" w:gutter="0" w:footer="0" w:header="0"/>
        </w:sectPr>
      </w:pPr>
    </w:p>
    <w:bookmarkStart w:id="25" w:name="page26"/>
    <w:bookmarkEnd w:id="25"/>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Simpson Thacher &amp; Bartlett </w:t>
      </w:r>
      <w:r>
        <w:rPr>
          <w:rFonts w:ascii="Times New Roman" w:cs="Times New Roman" w:eastAsia="Times New Roman" w:hAnsi="Times New Roman"/>
          <w:sz w:val="11"/>
          <w:szCs w:val="11"/>
          <w:color w:val="auto"/>
        </w:rPr>
        <w:t>LLP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425 </w:t>
      </w:r>
      <w:r>
        <w:rPr>
          <w:rFonts w:ascii="Times New Roman" w:cs="Times New Roman" w:eastAsia="Times New Roman" w:hAnsi="Times New Roman"/>
          <w:sz w:val="11"/>
          <w:szCs w:val="11"/>
          <w:color w:val="auto"/>
        </w:rPr>
        <w:t>LEXINGTON AVENUE</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NEW YORK</w:t>
      </w: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 xml:space="preserve"> NY </w:t>
      </w:r>
      <w:r>
        <w:rPr>
          <w:rFonts w:ascii="Times New Roman" w:cs="Times New Roman" w:eastAsia="Times New Roman" w:hAnsi="Times New Roman"/>
          <w:sz w:val="14"/>
          <w:szCs w:val="14"/>
          <w:color w:val="auto"/>
        </w:rPr>
        <w:t>10017-3954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118745</wp:posOffset>
            </wp:positionV>
            <wp:extent cx="115125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1151255" cy="6985"/>
                    </a:xfrm>
                    <a:prstGeom prst="rect">
                      <a:avLst/>
                    </a:prstGeom>
                    <a:noFill/>
                  </pic:spPr>
                </pic:pic>
              </a:graphicData>
            </a:graphic>
          </wp:anchor>
        </w:drawing>
      </w:r>
    </w:p>
    <w:p>
      <w:pPr>
        <w:spacing w:after="0" w:line="24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2"/>
          <w:szCs w:val="12"/>
          <w:color w:val="auto"/>
        </w:rPr>
        <w:t>TELEPHONE</w:t>
      </w:r>
      <w:r>
        <w:rPr>
          <w:rFonts w:ascii="Times New Roman" w:cs="Times New Roman" w:eastAsia="Times New Roman" w:hAnsi="Times New Roman"/>
          <w:sz w:val="14"/>
          <w:szCs w:val="14"/>
          <w:color w:val="auto"/>
        </w:rPr>
        <w:t>: +1-415-426-7300</w:t>
      </w:r>
    </w:p>
    <w:p>
      <w:pPr>
        <w:spacing w:after="0" w:line="2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2"/>
          <w:szCs w:val="12"/>
          <w:color w:val="auto"/>
        </w:rPr>
        <w:t>FACSIMILE</w:t>
      </w:r>
      <w:r>
        <w:rPr>
          <w:rFonts w:ascii="Times New Roman" w:cs="Times New Roman" w:eastAsia="Times New Roman" w:hAnsi="Times New Roman"/>
          <w:sz w:val="14"/>
          <w:szCs w:val="14"/>
          <w:color w:val="auto"/>
        </w:rPr>
        <w:t>: +1-415-426-7301</w:t>
      </w:r>
    </w:p>
    <w:p>
      <w:pPr>
        <w:spacing w:after="0" w:line="183" w:lineRule="exact"/>
        <w:rPr>
          <w:sz w:val="20"/>
          <w:szCs w:val="20"/>
          <w:color w:val="auto"/>
        </w:rPr>
      </w:pPr>
    </w:p>
    <w:p>
      <w:pPr>
        <w:ind w:left="200"/>
        <w:spacing w:after="0"/>
        <w:tabs>
          <w:tab w:leader="none" w:pos="7900" w:val="left"/>
        </w:tabs>
        <w:rPr>
          <w:sz w:val="20"/>
          <w:szCs w:val="20"/>
          <w:color w:val="auto"/>
        </w:rPr>
      </w:pPr>
      <w:r>
        <w:rPr>
          <w:rFonts w:ascii="Times New Roman" w:cs="Times New Roman" w:eastAsia="Times New Roman" w:hAnsi="Times New Roman"/>
          <w:sz w:val="14"/>
          <w:szCs w:val="14"/>
          <w:color w:val="auto"/>
        </w:rPr>
        <w:t>Direct Dial Number</w:t>
      </w:r>
      <w:r>
        <w:rPr>
          <w:sz w:val="20"/>
          <w:szCs w:val="20"/>
          <w:color w:val="auto"/>
        </w:rPr>
        <w:tab/>
      </w:r>
      <w:r>
        <w:rPr>
          <w:rFonts w:ascii="Times New Roman" w:cs="Times New Roman" w:eastAsia="Times New Roman" w:hAnsi="Times New Roman"/>
          <w:sz w:val="14"/>
          <w:szCs w:val="14"/>
          <w:color w:val="auto"/>
        </w:rPr>
        <w:t>E-mail Address</w:t>
      </w:r>
    </w:p>
    <w:p>
      <w:pPr>
        <w:spacing w:after="0" w:line="176"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October 29, 2026</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Xerox Holdings Corporation</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401 Merritt 7</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Norwalk, Connecticut 06851</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 the Addressee Stated Above:</w:t>
      </w:r>
    </w:p>
    <w:p>
      <w:pPr>
        <w:spacing w:after="0" w:line="92" w:lineRule="exact"/>
        <w:rPr>
          <w:sz w:val="20"/>
          <w:szCs w:val="20"/>
          <w:color w:val="auto"/>
        </w:rPr>
      </w:pPr>
    </w:p>
    <w:p>
      <w:pPr>
        <w:ind w:left="200" w:right="259" w:firstLine="344"/>
        <w:spacing w:after="0" w:line="256" w:lineRule="auto"/>
        <w:rPr>
          <w:sz w:val="20"/>
          <w:szCs w:val="20"/>
          <w:color w:val="auto"/>
        </w:rPr>
      </w:pPr>
      <w:r>
        <w:rPr>
          <w:rFonts w:ascii="Times New Roman" w:cs="Times New Roman" w:eastAsia="Times New Roman" w:hAnsi="Times New Roman"/>
          <w:sz w:val="14"/>
          <w:szCs w:val="14"/>
          <w:color w:val="auto"/>
        </w:rPr>
        <w:t>We have acted as counsel to Xerox Holdings Corporation, a New York corporation (the “Company”), in connection with the Registration Statement on Form S-3 (the “Registration Statement”) filed by the Company with the Securities and Exchange Commission (the “Commission”) under the Securities Act of 1933, as amended (the “Act”), relating to the sale by certain selling stockholders identified in the Registration Statement (the “Selling Stockholders”) of an aggregate of 3,872,062 shares of Common Stock, par value $1.00 per share (the “Shares”) issuable to the Selling Stockholders upon exchange of such Selling Stockholders’ holdings of the Company’s 5.500% Senior Notes due 2028 (the “2028 Notes”) in accordance with the terms of the Exchange Support Agreement (including the form of Exchange Agreement to be entered into between the Company, the Selling Stockholders and certain subsidiaries of the Company), dated as of October 29, 2026, among the Company, the Selling Stockholders and certain subsidiaries of the Company (the “Exchange Support Agreement”).</w:t>
      </w:r>
    </w:p>
    <w:p>
      <w:pPr>
        <w:sectPr>
          <w:pgSz w:w="11900" w:h="16838" w:orient="portrait"/>
          <w:cols w:equalWidth="0" w:num="1">
            <w:col w:w="9019"/>
          </w:cols>
          <w:pgMar w:left="1440" w:top="123" w:right="1440" w:bottom="1440" w:gutter="0" w:footer="0" w:header="0"/>
        </w:sectPr>
      </w:pPr>
    </w:p>
    <w:bookmarkStart w:id="26" w:name="page27"/>
    <w:bookmarkEnd w:id="26"/>
    <w:p>
      <w:pPr>
        <w:ind w:left="200" w:right="239" w:firstLine="344"/>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090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We have examined the Registration Statement, the Restated Certificate of Incorporation of the Company, the Amended and Restated By-Laws of the Company and the Exchange Support Agreement (including the form of Exchange Agreement), each of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42" w:lineRule="exact"/>
        <w:rPr>
          <w:sz w:val="20"/>
          <w:szCs w:val="20"/>
          <w:color w:val="auto"/>
        </w:rPr>
      </w:pPr>
    </w:p>
    <w:p>
      <w:pPr>
        <w:jc w:val="both"/>
        <w:ind w:left="200" w:right="299" w:firstLine="344"/>
        <w:spacing w:after="0" w:line="268" w:lineRule="auto"/>
        <w:rPr>
          <w:sz w:val="20"/>
          <w:szCs w:val="20"/>
          <w:color w:val="auto"/>
        </w:rPr>
      </w:pPr>
      <w:r>
        <w:rPr>
          <w:rFonts w:ascii="Times New Roman" w:cs="Times New Roman" w:eastAsia="Times New Roman" w:hAnsi="Times New Roman"/>
          <w:sz w:val="14"/>
          <w:szCs w:val="14"/>
          <w:color w:val="auto"/>
        </w:rPr>
        <w:t>In rendering the opinion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135" w:lineRule="exact"/>
        <w:rPr>
          <w:sz w:val="20"/>
          <w:szCs w:val="20"/>
          <w:color w:val="auto"/>
        </w:rPr>
      </w:pPr>
    </w:p>
    <w:p>
      <w:pPr>
        <w:jc w:val="both"/>
        <w:ind w:left="200" w:right="279" w:firstLine="344"/>
        <w:spacing w:after="0" w:line="268" w:lineRule="auto"/>
        <w:rPr>
          <w:sz w:val="20"/>
          <w:szCs w:val="20"/>
          <w:color w:val="auto"/>
        </w:rPr>
      </w:pPr>
      <w:r>
        <w:rPr>
          <w:rFonts w:ascii="Times New Roman" w:cs="Times New Roman" w:eastAsia="Times New Roman" w:hAnsi="Times New Roman"/>
          <w:sz w:val="14"/>
          <w:szCs w:val="14"/>
          <w:color w:val="auto"/>
        </w:rPr>
        <w:t>Based upon the foregoing, and subject to the qualifications, assumptions and limitations stated herein, we are of the opinion that, when the Shares are issued in exchange for the 2028 Notes in accordance with the terms set forth in the Exchange Support Agreement, the Shares will be validly issued, fully paid and nonassessable.</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We do not express any opinion herein concerning any law other than the law of the State of New York.</w:t>
      </w:r>
    </w:p>
    <w:p>
      <w:pPr>
        <w:spacing w:after="0" w:line="176" w:lineRule="exact"/>
        <w:rPr>
          <w:sz w:val="20"/>
          <w:szCs w:val="20"/>
          <w:color w:val="auto"/>
        </w:rPr>
      </w:pPr>
    </w:p>
    <w:p>
      <w:pPr>
        <w:ind w:left="200" w:right="619" w:firstLine="344"/>
        <w:spacing w:after="0" w:line="284" w:lineRule="auto"/>
        <w:rPr>
          <w:sz w:val="20"/>
          <w:szCs w:val="20"/>
          <w:color w:val="auto"/>
        </w:rPr>
      </w:pPr>
      <w:r>
        <w:rPr>
          <w:rFonts w:ascii="Times New Roman" w:cs="Times New Roman" w:eastAsia="Times New Roman" w:hAnsi="Times New Roman"/>
          <w:sz w:val="14"/>
          <w:szCs w:val="14"/>
          <w:color w:val="auto"/>
        </w:rPr>
        <w:t>We hereby consent to the filing of this opinion letter as Exhibit 5 to the Registration Statement and to the use of our name under the caption “Validity of the Securities” in the prospectus included in the Registration Statement.</w:t>
      </w:r>
    </w:p>
    <w:p>
      <w:pPr>
        <w:spacing w:after="0" w:line="14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Simpson Thacher &amp; Bartlett LLP</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SIMPSON THACHER &amp; BARTLETT LLP</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1" w:right="1440" w:bottom="1440" w:gutter="0" w:footer="0" w:header="0"/>
        </w:sectPr>
      </w:pPr>
    </w:p>
    <w:bookmarkStart w:id="27" w:name="page28"/>
    <w:bookmarkEnd w:id="27"/>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6" w:lineRule="exact"/>
        <w:rPr>
          <w:sz w:val="20"/>
          <w:szCs w:val="20"/>
          <w:color w:val="auto"/>
        </w:rPr>
      </w:pPr>
    </w:p>
    <w:p>
      <w:pPr>
        <w:ind w:left="200" w:right="399"/>
        <w:spacing w:after="0" w:line="262"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S-3 of Xerox Holdings Corporation of our report dated March 16, 2026 relating to the financial statements, the financial statement schedule, and the effectiveness of internal control over financial reporting, which appears in the Xerox Holdings Corporation’s Annual Report on Form 10-K for the year ended December 31, 2025. We also consent to the reference to us under the heading “Experts” in such Registration Statement.</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Stamford, Connecticut</w:t>
      </w:r>
    </w:p>
    <w:p>
      <w:pPr>
        <w:spacing w:after="0" w:line="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October 29, 2026</w:t>
      </w:r>
    </w:p>
    <w:p>
      <w:pPr>
        <w:sectPr>
          <w:pgSz w:w="11900" w:h="16838" w:orient="portrait"/>
          <w:cols w:equalWidth="0" w:num="1">
            <w:col w:w="9019"/>
          </w:cols>
          <w:pgMar w:left="1440" w:top="123" w:right="1440" w:bottom="1440" w:gutter="0" w:footer="0" w:header="0"/>
        </w:sectPr>
      </w:pPr>
    </w:p>
    <w:bookmarkStart w:id="28" w:name="page29"/>
    <w:bookmarkEnd w:id="28"/>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Consent of Independent Auditor</w:t>
      </w:r>
    </w:p>
    <w:p>
      <w:pPr>
        <w:spacing w:after="0" w:line="162" w:lineRule="exact"/>
        <w:rPr>
          <w:sz w:val="20"/>
          <w:szCs w:val="20"/>
          <w:color w:val="auto"/>
        </w:rPr>
      </w:pPr>
    </w:p>
    <w:p>
      <w:pPr>
        <w:jc w:val="both"/>
        <w:ind w:left="200" w:right="319"/>
        <w:spacing w:after="0" w:line="268"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Prospectus constituting a part of this Registration Statement of Xerox Holdings Corporation of our report dated February 28, 2025, relating to the consolidated financial statements of Lexmark International II, LLC, appearing in Xerox Holdings Corporation’s Current Report on Form 8-K/A filed on July 30, 2025.</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We also consent to the reference to us under the caption “Experts” in the Prospectus.</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 BDO USA, P.C.</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Cincinnati, Ohio</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October 29, 2026</w:t>
      </w:r>
    </w:p>
    <w:p>
      <w:pPr>
        <w:sectPr>
          <w:pgSz w:w="11900" w:h="16838" w:orient="portrait"/>
          <w:cols w:equalWidth="0" w:num="1">
            <w:col w:w="9019"/>
          </w:cols>
          <w:pgMar w:left="1440" w:top="123" w:right="1440" w:bottom="1440" w:gutter="0" w:footer="0" w:header="0"/>
        </w:sectPr>
      </w:pPr>
    </w:p>
    <w:bookmarkStart w:id="29" w:name="page30"/>
    <w:bookmarkEnd w:id="29"/>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Xerox Holdings Corp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 w:type="dxa"/>
            <w:vAlign w:val="bottom"/>
            <w:tcBorders>
              <w:bottom w:val="single" w:sz="8" w:color="auto"/>
            </w:tcBorders>
          </w:tcPr>
          <w:p>
            <w:pPr>
              <w:spacing w:after="0"/>
              <w:rPr>
                <w:sz w:val="23"/>
                <w:szCs w:val="23"/>
                <w:color w:val="auto"/>
              </w:rPr>
            </w:pPr>
          </w:p>
        </w:tc>
        <w:tc>
          <w:tcPr>
            <w:tcW w:w="4500" w:type="dxa"/>
            <w:vAlign w:val="bottom"/>
            <w:tcBorders>
              <w:bottom w:val="single" w:sz="8" w:color="auto"/>
            </w:tcBorders>
            <w:gridSpan w:val="11"/>
          </w:tcPr>
          <w:p>
            <w:pPr>
              <w:spacing w:after="0"/>
              <w:rPr>
                <w:sz w:val="20"/>
                <w:szCs w:val="20"/>
                <w:color w:val="auto"/>
              </w:rPr>
            </w:pPr>
            <w:r>
              <w:rPr>
                <w:rFonts w:ascii="Arial" w:cs="Arial" w:eastAsia="Arial" w:hAnsi="Arial"/>
                <w:sz w:val="17"/>
                <w:szCs w:val="17"/>
                <w:b w:val="1"/>
                <w:bCs w:val="1"/>
                <w:color w:val="auto"/>
                <w:w w:val="98"/>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4"/>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7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8"/>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6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4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60" w:type="dxa"/>
            <w:vAlign w:val="bottom"/>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74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4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Price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Unit</w:t>
            </w:r>
          </w:p>
        </w:tc>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20" w:type="dxa"/>
            <w:vAlign w:val="bottom"/>
            <w:gridSpan w:val="6"/>
          </w:tcPr>
          <w:p>
            <w:pPr>
              <w:ind w:left="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line="191"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line="189" w:lineRule="exact"/>
              <w:rPr>
                <w:sz w:val="20"/>
                <w:szCs w:val="20"/>
                <w:color w:val="auto"/>
              </w:rPr>
            </w:pPr>
            <w:r>
              <w:rPr>
                <w:rFonts w:ascii="Arial" w:cs="Arial" w:eastAsia="Arial" w:hAnsi="Arial"/>
                <w:sz w:val="17"/>
                <w:szCs w:val="17"/>
                <w:color w:val="auto"/>
              </w:rPr>
              <w:t>Stock of</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line="189" w:lineRule="exact"/>
              <w:rPr>
                <w:sz w:val="20"/>
                <w:szCs w:val="20"/>
                <w:color w:val="auto"/>
              </w:rPr>
            </w:pPr>
            <w:r>
              <w:rPr>
                <w:rFonts w:ascii="Arial" w:cs="Arial" w:eastAsia="Arial" w:hAnsi="Arial"/>
                <w:sz w:val="17"/>
                <w:szCs w:val="17"/>
                <w:color w:val="auto"/>
              </w:rPr>
              <w:t>Xerox</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0" w:type="dxa"/>
            <w:vAlign w:val="bottom"/>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auto"/>
              </w:rPr>
              <w:t>1 Equity</w:t>
            </w:r>
          </w:p>
        </w:tc>
        <w:tc>
          <w:tcPr>
            <w:tcW w:w="20" w:type="dxa"/>
            <w:vAlign w:val="bottom"/>
          </w:tcPr>
          <w:p>
            <w:pPr>
              <w:spacing w:after="0"/>
              <w:rPr>
                <w:sz w:val="16"/>
                <w:szCs w:val="16"/>
                <w:color w:val="auto"/>
              </w:rPr>
            </w:pPr>
          </w:p>
        </w:tc>
        <w:tc>
          <w:tcPr>
            <w:tcW w:w="960" w:type="dxa"/>
            <w:vAlign w:val="bottom"/>
          </w:tcPr>
          <w:p>
            <w:pPr>
              <w:spacing w:after="0" w:line="189" w:lineRule="exact"/>
              <w:rPr>
                <w:sz w:val="20"/>
                <w:szCs w:val="20"/>
                <w:color w:val="auto"/>
              </w:rPr>
            </w:pPr>
            <w:r>
              <w:rPr>
                <w:rFonts w:ascii="Arial" w:cs="Arial" w:eastAsia="Arial" w:hAnsi="Arial"/>
                <w:sz w:val="17"/>
                <w:szCs w:val="17"/>
                <w:color w:val="auto"/>
              </w:rPr>
              <w:t>Holdings</w:t>
            </w:r>
          </w:p>
        </w:tc>
        <w:tc>
          <w:tcPr>
            <w:tcW w:w="2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7"/>
                <w:szCs w:val="17"/>
                <w:color w:val="auto"/>
                <w:w w:val="97"/>
              </w:rPr>
              <w:t>457(a)</w:t>
            </w:r>
          </w:p>
        </w:tc>
        <w:tc>
          <w:tcPr>
            <w:tcW w:w="900" w:type="dxa"/>
            <w:vAlign w:val="bottom"/>
            <w:gridSpan w:val="2"/>
            <w:vMerge w:val="restart"/>
          </w:tcPr>
          <w:p>
            <w:pPr>
              <w:jc w:val="right"/>
              <w:spacing w:after="0"/>
              <w:rPr>
                <w:sz w:val="20"/>
                <w:szCs w:val="20"/>
                <w:color w:val="auto"/>
              </w:rPr>
            </w:pPr>
            <w:r>
              <w:rPr>
                <w:rFonts w:ascii="Arial" w:cs="Arial" w:eastAsia="Arial" w:hAnsi="Arial"/>
                <w:sz w:val="17"/>
                <w:szCs w:val="17"/>
                <w:color w:val="auto"/>
              </w:rPr>
              <w:t>3,872,062</w:t>
            </w: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auto"/>
              </w:rPr>
              <w:t>$ 2.54</w:t>
            </w:r>
          </w:p>
        </w:tc>
        <w:tc>
          <w:tcPr>
            <w:tcW w:w="10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vMerge w:val="restart"/>
          </w:tcPr>
          <w:p>
            <w:pPr>
              <w:ind w:left="40"/>
              <w:spacing w:after="0"/>
              <w:rPr>
                <w:sz w:val="20"/>
                <w:szCs w:val="20"/>
                <w:color w:val="auto"/>
              </w:rPr>
            </w:pPr>
            <w:r>
              <w:rPr>
                <w:rFonts w:ascii="Arial" w:cs="Arial" w:eastAsia="Arial" w:hAnsi="Arial"/>
                <w:sz w:val="17"/>
                <w:szCs w:val="17"/>
                <w:color w:val="auto"/>
                <w:w w:val="98"/>
              </w:rPr>
              <w:t>0.000087</w:t>
            </w:r>
          </w:p>
        </w:tc>
        <w:tc>
          <w:tcPr>
            <w:tcW w:w="1020" w:type="dxa"/>
            <w:vAlign w:val="bottom"/>
            <w:gridSpan w:val="2"/>
            <w:vMerge w:val="restart"/>
          </w:tcPr>
          <w:p>
            <w:pPr>
              <w:jc w:val="right"/>
              <w:spacing w:after="0"/>
              <w:rPr>
                <w:sz w:val="20"/>
                <w:szCs w:val="20"/>
                <w:color w:val="auto"/>
              </w:rPr>
            </w:pPr>
            <w:r>
              <w:rPr>
                <w:rFonts w:ascii="Arial" w:cs="Arial" w:eastAsia="Arial" w:hAnsi="Arial"/>
                <w:sz w:val="17"/>
                <w:szCs w:val="17"/>
                <w:color w:val="auto"/>
              </w:rPr>
              <w:t>$ 855.65</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7"/>
                <w:szCs w:val="17"/>
                <w:color w:val="auto"/>
              </w:rPr>
              <w:t>Corporation,</w:t>
            </w:r>
          </w:p>
        </w:tc>
        <w:tc>
          <w:tcPr>
            <w:tcW w:w="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9,835,037.48</w:t>
            </w:r>
          </w:p>
        </w:tc>
        <w:tc>
          <w:tcPr>
            <w:tcW w:w="76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-2007235</wp:posOffset>
            </wp:positionV>
            <wp:extent cx="7213600" cy="40354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213600" cy="4035425"/>
                    </a:xfrm>
                    <a:prstGeom prst="rect">
                      <a:avLst/>
                    </a:prstGeom>
                    <a:noFill/>
                  </pic:spPr>
                </pic:pic>
              </a:graphicData>
            </a:graphic>
          </wp:anchor>
        </w:drawing>
      </w:r>
    </w:p>
    <w:p>
      <w:pPr>
        <w:ind w:left="1720"/>
        <w:spacing w:after="0" w:line="232" w:lineRule="auto"/>
        <w:rPr>
          <w:sz w:val="20"/>
          <w:szCs w:val="20"/>
          <w:color w:val="auto"/>
        </w:rPr>
      </w:pPr>
      <w:r>
        <w:rPr>
          <w:rFonts w:ascii="Arial" w:cs="Arial" w:eastAsia="Arial" w:hAnsi="Arial"/>
          <w:sz w:val="17"/>
          <w:szCs w:val="17"/>
          <w:color w:val="auto"/>
        </w:rPr>
        <w:t>par value</w:t>
      </w:r>
    </w:p>
    <w:p>
      <w:pPr>
        <w:ind w:left="1720"/>
        <w:spacing w:after="0" w:line="233" w:lineRule="auto"/>
        <w:rPr>
          <w:sz w:val="20"/>
          <w:szCs w:val="20"/>
          <w:color w:val="auto"/>
        </w:rPr>
      </w:pPr>
      <w:r>
        <w:rPr>
          <w:rFonts w:ascii="Arial" w:cs="Arial" w:eastAsia="Arial" w:hAnsi="Arial"/>
          <w:sz w:val="17"/>
          <w:szCs w:val="17"/>
          <w:color w:val="auto"/>
        </w:rPr>
        <w:t>$1.00 per</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share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Fees</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Carry Forward Securities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Carry</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Forward</w:t>
      </w:r>
    </w:p>
    <w:p>
      <w:pPr>
        <w:ind w:left="40"/>
        <w:spacing w:after="0"/>
        <w:rPr>
          <w:sz w:val="20"/>
          <w:szCs w:val="20"/>
          <w:color w:val="auto"/>
        </w:rPr>
      </w:pPr>
      <w:r>
        <w:rPr>
          <w:rFonts w:ascii="Arial" w:cs="Arial" w:eastAsia="Arial" w:hAnsi="Arial"/>
          <w:sz w:val="17"/>
          <w:szCs w:val="17"/>
          <w:color w:val="auto"/>
        </w:rPr>
        <w:t>Securities</w:t>
      </w:r>
    </w:p>
    <w:p>
      <w:pPr>
        <w:spacing w:after="0" w:line="15" w:lineRule="exact"/>
        <w:rPr>
          <w:sz w:val="20"/>
          <w:szCs w:val="20"/>
          <w:color w:val="auto"/>
        </w:rPr>
      </w:pPr>
    </w:p>
    <w:tbl>
      <w:tblPr>
        <w:tblLayout w:type="fixed"/>
        <w:tblInd w:w="2500" w:type="dxa"/>
        <w:tblCellMar>
          <w:top w:w="0" w:type="dxa"/>
          <w:left w:w="0" w:type="dxa"/>
          <w:bottom w:w="0" w:type="dxa"/>
          <w:right w:w="0" w:type="dxa"/>
        </w:tblCellMar>
      </w:tblPr>
      <w:tr>
        <w:trPr>
          <w:trHeight w:val="195"/>
        </w:trPr>
        <w:tc>
          <w:tcPr>
            <w:tcW w:w="2480" w:type="dxa"/>
            <w:vAlign w:val="bottom"/>
          </w:tcPr>
          <w:p>
            <w:pPr>
              <w:jc w:val="right"/>
              <w:ind w:right="356"/>
              <w:spacing w:after="0"/>
              <w:rPr>
                <w:sz w:val="20"/>
                <w:szCs w:val="20"/>
                <w:color w:val="auto"/>
              </w:rPr>
            </w:pPr>
            <w:r>
              <w:rPr>
                <w:rFonts w:ascii="Arial" w:cs="Arial" w:eastAsia="Arial" w:hAnsi="Arial"/>
                <w:sz w:val="17"/>
                <w:szCs w:val="17"/>
                <w:color w:val="auto"/>
              </w:rPr>
              <w:t>Total Offering Amounts:</w:t>
            </w:r>
          </w:p>
        </w:tc>
        <w:tc>
          <w:tcPr>
            <w:tcW w:w="1980" w:type="dxa"/>
            <w:vAlign w:val="bottom"/>
          </w:tcPr>
          <w:p>
            <w:pPr>
              <w:jc w:val="right"/>
              <w:ind w:right="476"/>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$ 855.65</w:t>
            </w:r>
          </w:p>
        </w:tc>
      </w:tr>
      <w:tr>
        <w:trPr>
          <w:trHeight w:val="223"/>
        </w:trPr>
        <w:tc>
          <w:tcPr>
            <w:tcW w:w="2480" w:type="dxa"/>
            <w:vAlign w:val="bottom"/>
          </w:tcPr>
          <w:p>
            <w:pPr>
              <w:spacing w:after="0"/>
              <w:rPr>
                <w:sz w:val="19"/>
                <w:szCs w:val="19"/>
                <w:color w:val="auto"/>
              </w:rPr>
            </w:pPr>
          </w:p>
        </w:tc>
        <w:tc>
          <w:tcPr>
            <w:tcW w:w="1980" w:type="dxa"/>
            <w:vAlign w:val="bottom"/>
          </w:tcPr>
          <w:p>
            <w:pPr>
              <w:jc w:val="right"/>
              <w:ind w:right="476"/>
              <w:spacing w:after="0"/>
              <w:rPr>
                <w:sz w:val="20"/>
                <w:szCs w:val="20"/>
                <w:color w:val="auto"/>
              </w:rPr>
            </w:pPr>
            <w:r>
              <w:rPr>
                <w:rFonts w:ascii="Arial" w:cs="Arial" w:eastAsia="Arial" w:hAnsi="Arial"/>
                <w:sz w:val="17"/>
                <w:szCs w:val="17"/>
                <w:color w:val="auto"/>
              </w:rPr>
              <w:t>9,835,037.48</w:t>
            </w:r>
          </w:p>
        </w:tc>
        <w:tc>
          <w:tcPr>
            <w:tcW w:w="1220" w:type="dxa"/>
            <w:vAlign w:val="bottom"/>
          </w:tcPr>
          <w:p>
            <w:pPr>
              <w:spacing w:after="0"/>
              <w:rPr>
                <w:sz w:val="19"/>
                <w:szCs w:val="19"/>
                <w:color w:val="auto"/>
              </w:rPr>
            </w:pPr>
          </w:p>
        </w:tc>
      </w:tr>
      <w:tr>
        <w:trPr>
          <w:trHeight w:val="232"/>
        </w:trPr>
        <w:tc>
          <w:tcPr>
            <w:tcW w:w="2480" w:type="dxa"/>
            <w:vAlign w:val="bottom"/>
          </w:tcPr>
          <w:p>
            <w:pPr>
              <w:jc w:val="right"/>
              <w:ind w:right="356"/>
              <w:spacing w:after="0"/>
              <w:rPr>
                <w:sz w:val="20"/>
                <w:szCs w:val="20"/>
                <w:color w:val="auto"/>
              </w:rPr>
            </w:pPr>
            <w:r>
              <w:rPr>
                <w:rFonts w:ascii="Arial" w:cs="Arial" w:eastAsia="Arial" w:hAnsi="Arial"/>
                <w:sz w:val="17"/>
                <w:szCs w:val="17"/>
                <w:color w:val="auto"/>
                <w:w w:val="97"/>
              </w:rPr>
              <w:t>Total Fees Previously Paid:</w:t>
            </w:r>
          </w:p>
        </w:tc>
        <w:tc>
          <w:tcPr>
            <w:tcW w:w="19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2"/>
        </w:trPr>
        <w:tc>
          <w:tcPr>
            <w:tcW w:w="2480" w:type="dxa"/>
            <w:vAlign w:val="bottom"/>
          </w:tcPr>
          <w:p>
            <w:pPr>
              <w:jc w:val="right"/>
              <w:ind w:right="356"/>
              <w:spacing w:after="0"/>
              <w:rPr>
                <w:sz w:val="20"/>
                <w:szCs w:val="20"/>
                <w:color w:val="auto"/>
              </w:rPr>
            </w:pPr>
            <w:r>
              <w:rPr>
                <w:rFonts w:ascii="Arial" w:cs="Arial" w:eastAsia="Arial" w:hAnsi="Arial"/>
                <w:sz w:val="17"/>
                <w:szCs w:val="17"/>
                <w:color w:val="auto"/>
              </w:rPr>
              <w:t>Total Fee Offsets:</w:t>
            </w:r>
          </w:p>
        </w:tc>
        <w:tc>
          <w:tcPr>
            <w:tcW w:w="19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2"/>
        </w:trPr>
        <w:tc>
          <w:tcPr>
            <w:tcW w:w="2480" w:type="dxa"/>
            <w:vAlign w:val="bottom"/>
          </w:tcPr>
          <w:p>
            <w:pPr>
              <w:jc w:val="right"/>
              <w:ind w:right="356"/>
              <w:spacing w:after="0"/>
              <w:rPr>
                <w:sz w:val="20"/>
                <w:szCs w:val="20"/>
                <w:color w:val="auto"/>
              </w:rPr>
            </w:pPr>
            <w:r>
              <w:rPr>
                <w:rFonts w:ascii="Arial" w:cs="Arial" w:eastAsia="Arial" w:hAnsi="Arial"/>
                <w:sz w:val="17"/>
                <w:szCs w:val="17"/>
                <w:color w:val="auto"/>
              </w:rPr>
              <w:t>Net Fee Due:</w:t>
            </w:r>
          </w:p>
        </w:tc>
        <w:tc>
          <w:tcPr>
            <w:tcW w:w="19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$ 855.65</w:t>
            </w:r>
          </w:p>
        </w:tc>
      </w:tr>
    </w:tbl>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0" w:lineRule="exact"/>
        <w:rPr>
          <w:sz w:val="20"/>
          <w:szCs w:val="20"/>
          <w:color w:val="auto"/>
        </w:rPr>
      </w:pPr>
    </w:p>
    <w:p>
      <w:pPr>
        <w:ind w:left="220" w:right="100" w:hanging="184"/>
        <w:spacing w:after="0" w:line="230" w:lineRule="auto"/>
        <w:tabs>
          <w:tab w:leader="none" w:pos="220" w:val="left"/>
        </w:tabs>
        <w:numPr>
          <w:ilvl w:val="0"/>
          <w:numId w:val="15"/>
        </w:numPr>
        <w:rPr>
          <w:rFonts w:ascii="Arial" w:cs="Arial" w:eastAsia="Arial" w:hAnsi="Arial"/>
          <w:sz w:val="21"/>
          <w:szCs w:val="21"/>
          <w:color w:val="auto"/>
          <w:vertAlign w:val="superscript"/>
        </w:rPr>
      </w:pPr>
      <w:r>
        <w:rPr>
          <w:rFonts w:ascii="Arial" w:cs="Arial" w:eastAsia="Arial" w:hAnsi="Arial"/>
          <w:sz w:val="17"/>
          <w:szCs w:val="17"/>
          <w:color w:val="auto"/>
        </w:rPr>
        <w:t>1) The registrant is hereby registering up to 3,872,062 shares of common stock of Xerox Holdings Corporation, par value $1.00 per share (the "Common Stock"), to be offered and sold by the selling stockholders. 2) Pursuant to Rule 416 under the Securities Act of 1933 (the "Securities Act"), as amended, this Registration Statement also covers such additional number of our Common Stock as may be issuable from time to time as a result of stock splits, stock dividends, capitalizations or similar events. 3) Estimated solely for the purpose of calculating the registration fee. Pursuant to Rule 457(c) under the Securities Act, the registration fee has been calculated based upon the average of the high and low prices, as reported by the Nasdaq Global Select Market, for our Common Stock on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62230</wp:posOffset>
            </wp:positionV>
            <wp:extent cx="714756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8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40" w:type="dxa"/>
            <w:vAlign w:val="bottom"/>
            <w:shd w:val="clear" w:color="auto" w:fill="9ADAF6"/>
          </w:tcPr>
          <w:p>
            <w:pPr>
              <w:jc w:val="center"/>
              <w:ind w:right="256"/>
              <w:spacing w:after="0" w:line="16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2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40" w:type="dxa"/>
            <w:vAlign w:val="bottom"/>
            <w:gridSpan w:val="3"/>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60" w:type="dxa"/>
            <w:vAlign w:val="bottom"/>
            <w:gridSpan w:val="3"/>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36"/>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4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6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3"/>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1"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280"/>
              <w:spacing w:after="0"/>
              <w:rPr>
                <w:sz w:val="20"/>
                <w:szCs w:val="20"/>
                <w:color w:val="auto"/>
              </w:rPr>
            </w:pPr>
            <w:r>
              <w:rPr>
                <w:rFonts w:ascii="Arial" w:cs="Arial" w:eastAsia="Arial" w:hAnsi="Arial"/>
                <w:sz w:val="17"/>
                <w:szCs w:val="17"/>
                <w:b w:val="1"/>
                <w:bCs w:val="1"/>
                <w:color w:val="auto"/>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1"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1860" w:type="dxa"/>
            <w:vAlign w:val="bottom"/>
            <w:gridSpan w:val="5"/>
            <w:shd w:val="clear" w:color="auto" w:fill="9ADAF6"/>
          </w:tcPr>
          <w:p>
            <w:pPr>
              <w:jc w:val="center"/>
              <w:ind w:right="76"/>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4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restart"/>
            <w:shd w:val="clear" w:color="auto" w:fill="9ADAF6"/>
          </w:tcPr>
          <w:p>
            <w:pPr>
              <w:jc w:val="center"/>
              <w:ind w:right="76"/>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216"/>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62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8"/>
    </w:lvl>
  </w:abstractNum>
  <w:abstractNum w:abstractNumId="4">
    <w:nsid w:val="4DB127F8"/>
    <w:multiLevelType w:val="hybridMultilevel"/>
    <w:lvl w:ilvl="0">
      <w:lvlJc w:val="left"/>
      <w:lvlText w:val="(%1)"/>
      <w:numFmt w:val="decimal"/>
      <w:start w:val="19"/>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
    <w:nsid w:val="3352255A"/>
    <w:multiLevelType w:val="hybridMultilevel"/>
    <w:lvl w:ilvl="0">
      <w:lvlJc w:val="left"/>
      <w:lvlText w:val="(%1)"/>
      <w:numFmt w:val="lowerRoman"/>
      <w:start w:val="3"/>
    </w:lvl>
  </w:abstractNum>
  <w:abstractNum w:abstractNumId="11">
    <w:nsid w:val="109CF92E"/>
    <w:multiLevelType w:val="hybridMultilevel"/>
    <w:lvl w:ilvl="0">
      <w:lvlJc w:val="left"/>
      <w:lvlText w:val="(%1)"/>
      <w:numFmt w:val="decimal"/>
      <w:start w:val="2"/>
    </w:lvl>
    <w:lvl w:ilvl="1">
      <w:lvlJc w:val="left"/>
      <w:lvlText w:val="(%2)"/>
      <w:numFmt w:val="lowerRoman"/>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2"/>
    </w:lvl>
    <w:lvl w:ilvl="1">
      <w:lvlJc w:val="left"/>
      <w:lvlText w:val="%2"/>
      <w:numFmt w:val="lowerRoman"/>
      <w:start w:val="1"/>
    </w:lvl>
  </w:abstractNum>
  <w:abstractNum w:abstractNumId="14">
    <w:nsid w:val="1BEFD79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40" Type="http://schemas.openxmlformats.org/officeDocument/2006/relationships/hyperlink" Target="http://www.sec.gov/ix?doc=/Archives/edgar/data/108772/000177045026000009/xrx-20251231.htm" TargetMode="External"/><Relationship Id="rId41" Type="http://schemas.openxmlformats.org/officeDocument/2006/relationships/hyperlink" Target="http://www.sec.gov/ix?doc=/Archives/edgar/data/108772/000177045026000020/xrx-20260407.htm" TargetMode="External"/><Relationship Id="rId42" Type="http://schemas.openxmlformats.org/officeDocument/2006/relationships/hyperlink" Target="http://www.sec.gov/ix?doc=/Archives/edgar/data/108772/000177045026000030/xrx-20260331.htm" TargetMode="External"/><Relationship Id="rId43" Type="http://schemas.openxmlformats.org/officeDocument/2006/relationships/hyperlink" Target="http://www.sec.gov/ix?doc=/Archives/edgar/data/108772/000177045026000040/xrx-20260630.htm" TargetMode="External"/><Relationship Id="rId44" Type="http://schemas.openxmlformats.org/officeDocument/2006/relationships/hyperlink" Target="http://www.sec.gov/ix?doc=/Archives/edgar/data/108772/000119312526047741/d715884d8k.htm" TargetMode="External"/><Relationship Id="rId45" Type="http://schemas.openxmlformats.org/officeDocument/2006/relationships/hyperlink" Target="http://www.sec.gov/ix?doc=/Archives/edgar/data/108772/000119312526053333/d74418d8k.htm" TargetMode="External"/><Relationship Id="rId46" Type="http://schemas.openxmlformats.org/officeDocument/2006/relationships/hyperlink" Target="http://www.sec.gov/ix?doc=/Archives/edgar/data/108772/000119312526140584/d40139d8k.htm" TargetMode="External"/><Relationship Id="rId47" Type="http://schemas.openxmlformats.org/officeDocument/2006/relationships/hyperlink" Target="http://www.sec.gov/ix?doc=/Archives/edgar/data/1770450/000119312526241888/d152056d8k.htm" TargetMode="External"/><Relationship Id="rId48" Type="http://schemas.openxmlformats.org/officeDocument/2006/relationships/hyperlink" Target="http://www.sec.gov/ix?doc=/Archives/edgar/data/108772/000119312526294480/d111689d8k.htm" TargetMode="External"/><Relationship Id="rId49" Type="http://schemas.openxmlformats.org/officeDocument/2006/relationships/hyperlink" Target="http://www.sec.gov/ix?doc=/Archives/edgar/data/108772/000119312526437046/d18274d8k.htm" TargetMode="External"/><Relationship Id="rId50" Type="http://schemas.openxmlformats.org/officeDocument/2006/relationships/hyperlink" Target="http://www.sec.gov/Archives/edgar/data/1770450/000119312521276925/d189027d8a12b.htm" TargetMode="External"/><Relationship Id="rId56" Type="http://schemas.openxmlformats.org/officeDocument/2006/relationships/hyperlink" Target="http://www.sec.gov/Archives/edgar/data/1770450/000119312519208837/d767474dex32.htm" TargetMode="External"/><Relationship Id="rId57" Type="http://schemas.openxmlformats.org/officeDocument/2006/relationships/hyperlink" Target="http://www.sec.gov/Archives/edgar/data/1770450/000177045022000010/xrx-123121xex3b2xeroxholdi.htm" TargetMode="External"/><Relationship Id="rId58" Type="http://schemas.openxmlformats.org/officeDocument/2006/relationships/hyperlink" Target="http://www.sec.gov/Archives/edgar/data/1770450/000177045025000010/xrx-123124xex4fdescription.htm" TargetMode="External"/><Relationship Id="rId59" Type="http://schemas.openxmlformats.org/officeDocument/2006/relationships/hyperlink" Target="http://www.sec.gov/Archives/edgar/data/108772/000119312526437046/d1827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2026-10-30T05:15:38Z</dcterms:created>
  <dcterms:modified xsi:type="dcterms:W3CDTF">2026-10-30T05:15:38Z</dcterms:modified>
</cp:coreProperties>
</file>