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ind w:left="108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8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8-K</w:t>
      </w:r>
    </w:p>
    <w:p>
      <w:pPr>
        <w:spacing w:after="0" w:line="53" w:lineRule="exact"/>
        <w:rPr>
          <w:sz w:val="24"/>
          <w:szCs w:val="24"/>
          <w:color w:val="auto"/>
        </w:rPr>
      </w:pPr>
    </w:p>
    <w:p>
      <w:pPr>
        <w:ind w:left="12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2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July 30, 2019</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262890</wp:posOffset>
            </wp:positionV>
            <wp:extent cx="1209040"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XEROX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 w:lineRule="exact"/>
        <w:rPr>
          <w:sz w:val="24"/>
          <w:szCs w:val="24"/>
          <w:color w:val="auto"/>
        </w:rPr>
      </w:pPr>
    </w:p>
    <w:p>
      <w:pPr>
        <w:ind w:left="11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200" w:lineRule="exact"/>
        <w:rPr>
          <w:sz w:val="24"/>
          <w:szCs w:val="24"/>
          <w:color w:val="auto"/>
        </w:rPr>
      </w:pPr>
    </w:p>
    <w:p>
      <w:pPr>
        <w:spacing w:after="0" w:line="272"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3140" w:type="dxa"/>
            <w:vAlign w:val="bottom"/>
          </w:tcPr>
          <w:p>
            <w:pPr>
              <w:jc w:val="center"/>
              <w:ind w:right="790"/>
              <w:spacing w:after="0"/>
              <w:rPr>
                <w:sz w:val="20"/>
                <w:szCs w:val="20"/>
                <w:color w:val="auto"/>
              </w:rPr>
            </w:pPr>
            <w:r>
              <w:rPr>
                <w:rFonts w:ascii="Arial" w:cs="Arial" w:eastAsia="Arial" w:hAnsi="Arial"/>
                <w:sz w:val="18"/>
                <w:szCs w:val="18"/>
                <w:b w:val="1"/>
                <w:bCs w:val="1"/>
                <w:color w:val="auto"/>
                <w:w w:val="99"/>
              </w:rPr>
              <w:t>New York</w:t>
            </w:r>
          </w:p>
        </w:tc>
        <w:tc>
          <w:tcPr>
            <w:tcW w:w="4260" w:type="dxa"/>
            <w:vAlign w:val="bottom"/>
          </w:tcPr>
          <w:p>
            <w:pPr>
              <w:jc w:val="right"/>
              <w:ind w:right="1690"/>
              <w:spacing w:after="0"/>
              <w:rPr>
                <w:sz w:val="20"/>
                <w:szCs w:val="20"/>
                <w:color w:val="auto"/>
              </w:rPr>
            </w:pPr>
            <w:r>
              <w:rPr>
                <w:rFonts w:ascii="Arial" w:cs="Arial" w:eastAsia="Arial" w:hAnsi="Arial"/>
                <w:sz w:val="18"/>
                <w:szCs w:val="18"/>
                <w:b w:val="1"/>
                <w:bCs w:val="1"/>
                <w:color w:val="auto"/>
              </w:rPr>
              <w:t>001-04471</w:t>
            </w: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w w:val="99"/>
              </w:rPr>
              <w:t>16-0468020</w:t>
            </w:r>
          </w:p>
        </w:tc>
      </w:tr>
      <w:tr>
        <w:trPr>
          <w:trHeight w:val="220"/>
        </w:trPr>
        <w:tc>
          <w:tcPr>
            <w:tcW w:w="3140" w:type="dxa"/>
            <w:vAlign w:val="bottom"/>
          </w:tcPr>
          <w:p>
            <w:pPr>
              <w:jc w:val="center"/>
              <w:ind w:right="790"/>
              <w:spacing w:after="0"/>
              <w:rPr>
                <w:sz w:val="20"/>
                <w:szCs w:val="20"/>
                <w:color w:val="auto"/>
              </w:rPr>
            </w:pPr>
            <w:r>
              <w:rPr>
                <w:rFonts w:ascii="Arial" w:cs="Arial" w:eastAsia="Arial" w:hAnsi="Arial"/>
                <w:sz w:val="18"/>
                <w:szCs w:val="18"/>
                <w:b w:val="1"/>
                <w:bCs w:val="1"/>
                <w:color w:val="auto"/>
              </w:rPr>
              <w:t>(State or other jurisdiction</w:t>
            </w:r>
          </w:p>
        </w:tc>
        <w:tc>
          <w:tcPr>
            <w:tcW w:w="4260" w:type="dxa"/>
            <w:vAlign w:val="bottom"/>
          </w:tcPr>
          <w:p>
            <w:pPr>
              <w:jc w:val="center"/>
              <w:ind w:right="70"/>
              <w:spacing w:after="0"/>
              <w:rPr>
                <w:sz w:val="20"/>
                <w:szCs w:val="20"/>
                <w:color w:val="auto"/>
              </w:rPr>
            </w:pPr>
            <w:r>
              <w:rPr>
                <w:rFonts w:ascii="Arial" w:cs="Arial" w:eastAsia="Arial" w:hAnsi="Arial"/>
                <w:sz w:val="18"/>
                <w:szCs w:val="18"/>
                <w:b w:val="1"/>
                <w:bCs w:val="1"/>
                <w:color w:val="auto"/>
              </w:rPr>
              <w:t>(Commission File Number)</w:t>
            </w: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rPr>
              <w:t>(IRS Employer</w:t>
            </w:r>
          </w:p>
        </w:tc>
      </w:tr>
      <w:tr>
        <w:trPr>
          <w:trHeight w:val="239"/>
        </w:trPr>
        <w:tc>
          <w:tcPr>
            <w:tcW w:w="3140" w:type="dxa"/>
            <w:vAlign w:val="bottom"/>
          </w:tcPr>
          <w:p>
            <w:pPr>
              <w:jc w:val="center"/>
              <w:ind w:right="810"/>
              <w:spacing w:after="0"/>
              <w:rPr>
                <w:sz w:val="20"/>
                <w:szCs w:val="20"/>
                <w:color w:val="auto"/>
              </w:rPr>
            </w:pPr>
            <w:r>
              <w:rPr>
                <w:rFonts w:ascii="Arial" w:cs="Arial" w:eastAsia="Arial" w:hAnsi="Arial"/>
                <w:sz w:val="18"/>
                <w:szCs w:val="18"/>
                <w:b w:val="1"/>
                <w:bCs w:val="1"/>
                <w:color w:val="auto"/>
                <w:w w:val="99"/>
              </w:rPr>
              <w:t>of incorporation)</w:t>
            </w:r>
          </w:p>
        </w:tc>
        <w:tc>
          <w:tcPr>
            <w:tcW w:w="4260" w:type="dxa"/>
            <w:vAlign w:val="bottom"/>
          </w:tcPr>
          <w:p>
            <w:pPr>
              <w:spacing w:after="0"/>
              <w:rPr>
                <w:sz w:val="20"/>
                <w:szCs w:val="20"/>
                <w:color w:val="auto"/>
              </w:rPr>
            </w:pP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w w:val="99"/>
              </w:rPr>
              <w:t>Identification No.)</w:t>
            </w:r>
          </w:p>
        </w:tc>
      </w:tr>
    </w:tbl>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 Merritt 7</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Norwalk, Connecticut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06851-1056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(203) 968-3000</w:t>
      </w:r>
    </w:p>
    <w:p>
      <w:pPr>
        <w:spacing w:after="0" w:line="32" w:lineRule="exact"/>
        <w:rPr>
          <w:sz w:val="24"/>
          <w:szCs w:val="24"/>
          <w:color w:val="auto"/>
        </w:rPr>
      </w:pPr>
    </w:p>
    <w:p>
      <w:pPr>
        <w:ind w:left="114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62"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472" w:right="2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36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9" w:lineRule="exact"/>
        <w:rPr>
          <w:sz w:val="24"/>
          <w:szCs w:val="24"/>
          <w:color w:val="auto"/>
        </w:rPr>
      </w:pPr>
    </w:p>
    <w:p>
      <w:pPr>
        <w:ind w:left="980"/>
        <w:spacing w:after="0"/>
        <w:tabs>
          <w:tab w:leader="none" w:pos="3620" w:val="left"/>
        </w:tabs>
        <w:rPr>
          <w:sz w:val="20"/>
          <w:szCs w:val="20"/>
          <w:color w:val="auto"/>
        </w:rPr>
      </w:pPr>
      <w:r>
        <w:rPr>
          <w:rFonts w:ascii="Arial" w:cs="Arial" w:eastAsia="Arial" w:hAnsi="Arial"/>
          <w:sz w:val="16"/>
          <w:szCs w:val="16"/>
          <w:color w:val="auto"/>
        </w:rPr>
        <w:t>Trading Symbol</w:t>
      </w:r>
      <w:r>
        <w:rPr>
          <w:sz w:val="20"/>
          <w:szCs w:val="20"/>
          <w:color w:val="auto"/>
        </w:rPr>
        <w:tab/>
      </w:r>
      <w:r>
        <w:rPr>
          <w:rFonts w:ascii="Arial" w:cs="Arial" w:eastAsia="Arial" w:hAnsi="Arial"/>
          <w:sz w:val="16"/>
          <w:szCs w:val="16"/>
          <w:color w:val="auto"/>
        </w:rPr>
        <w:t>Name of each exchange on which registered</w:t>
      </w:r>
    </w:p>
    <w:p>
      <w:pPr>
        <w:spacing w:after="0" w:line="56" w:lineRule="exact"/>
        <w:rPr>
          <w:sz w:val="24"/>
          <w:szCs w:val="24"/>
          <w:color w:val="auto"/>
        </w:rPr>
      </w:pPr>
    </w:p>
    <w:p>
      <w:pPr>
        <w:sectPr>
          <w:pgSz w:w="11900" w:h="16838" w:orient="portrait"/>
          <w:cols w:equalWidth="0" w:num="2">
            <w:col w:w="3000" w:space="720"/>
            <w:col w:w="7700"/>
          </w:cols>
          <w:pgMar w:left="240" w:top="47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Common Stock, $1 par value</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Arial" w:cs="Arial" w:eastAsia="Arial" w:hAnsi="Arial"/>
          <w:sz w:val="17"/>
          <w:szCs w:val="17"/>
          <w:color w:val="auto"/>
        </w:rPr>
        <w:t>XRX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New York Stock Exchange</w:t>
      </w:r>
    </w:p>
    <w:p>
      <w:pPr>
        <w:spacing w:after="0" w:line="75" w:lineRule="exact"/>
        <w:rPr>
          <w:sz w:val="24"/>
          <w:szCs w:val="24"/>
          <w:color w:val="auto"/>
        </w:rPr>
      </w:pPr>
    </w:p>
    <w:p>
      <w:pPr>
        <w:sectPr>
          <w:pgSz w:w="11900" w:h="16838" w:orient="portrait"/>
          <w:cols w:equalWidth="0" w:num="3">
            <w:col w:w="4360" w:space="720"/>
            <w:col w:w="2120" w:space="720"/>
            <w:col w:w="3500"/>
          </w:cols>
          <w:pgMar w:left="240" w:top="472" w:right="239" w:bottom="1440" w:gutter="0" w:footer="0" w:header="0"/>
          <w:type w:val="continuous"/>
        </w:sectPr>
      </w:pPr>
    </w:p>
    <w:p>
      <w:pPr>
        <w:ind w:left="7960"/>
        <w:spacing w:after="0"/>
        <w:rPr>
          <w:sz w:val="20"/>
          <w:szCs w:val="20"/>
          <w:color w:val="auto"/>
        </w:rPr>
      </w:pPr>
      <w:r>
        <w:rPr>
          <w:rFonts w:ascii="Arial" w:cs="Arial" w:eastAsia="Arial" w:hAnsi="Arial"/>
          <w:sz w:val="18"/>
          <w:szCs w:val="18"/>
          <w:color w:val="auto"/>
        </w:rPr>
        <w:t>Chicago Stock Exchange</w:t>
      </w:r>
    </w:p>
    <w:p>
      <w:pPr>
        <w:sectPr>
          <w:pgSz w:w="11900" w:h="16838" w:orient="portrait"/>
          <w:cols w:equalWidth="0" w:num="1">
            <w:col w:w="11420"/>
          </w:cols>
          <w:pgMar w:left="240" w:top="472" w:right="239" w:bottom="1440" w:gutter="0" w:footer="0" w:header="0"/>
          <w:type w:val="continuous"/>
        </w:sect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12(g) of the Act:</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3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81" w:lineRule="exact"/>
        <w:rPr>
          <w:sz w:val="20"/>
          <w:szCs w:val="20"/>
          <w:color w:val="auto"/>
        </w:rPr>
      </w:pPr>
    </w:p>
    <w:p>
      <w:pPr>
        <w:ind w:right="260"/>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July 30, 2019, Registrant released its second quarter 2019 earnings and is furnishing to the Securities and Exchange Commission ("SEC") a copy of the earnings press release as Exhibit 99.1 to this Report under Item 2.02 of Form 8-K.</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Exhibit 99.1 to this Report contains certain financial measures that are considered “non-GAAP financial measures” as defined in the SEC rules. Exhibit 99.1 to this Report also contains the reconciliation of these non-GAAP financial measures to their most directly comparable financial measures calculated and presented in accordance with generally accepted accounting principles, as well as the reasons why Registrant’s management believes that presentation of the non-GAAP financial measures provides useful information to investors regarding Registrant’s results of operations and, to the extent material, a statement disclosing any other additional purposes for which Registrant’s management uses the non-GAAP financial measures.</w:t>
      </w:r>
    </w:p>
    <w:p>
      <w:pPr>
        <w:spacing w:after="0" w:line="16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information contained in Item 2.02 of this Report and in Exhibit 99.1 to this Report shall not be deemed “filed” with the Commission for purposes of Section 18 of the Exchange Act of 1934, as amended, or otherwise subject to the liability of that section.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400" w:type="dxa"/>
            <w:vAlign w:val="bottom"/>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40" w:type="dxa"/>
            <w:vAlign w:val="bottom"/>
            <w:tcBorders>
              <w:bottom w:val="single" w:sz="8" w:color="0000FF"/>
            </w:tcBorders>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860" w:type="dxa"/>
            <w:vAlign w:val="bottom"/>
          </w:tcPr>
          <w:p>
            <w:pPr>
              <w:spacing w:after="0"/>
              <w:rPr>
                <w:sz w:val="18"/>
                <w:szCs w:val="18"/>
                <w:color w:val="auto"/>
              </w:rPr>
            </w:pPr>
          </w:p>
        </w:tc>
        <w:tc>
          <w:tcPr>
            <w:tcW w:w="6400" w:type="dxa"/>
            <w:vAlign w:val="bottom"/>
          </w:tcPr>
          <w:p>
            <w:pPr>
              <w:ind w:left="260"/>
              <w:spacing w:after="0"/>
              <w:rPr>
                <w:sz w:val="20"/>
                <w:szCs w:val="20"/>
                <w:color w:val="auto"/>
              </w:rPr>
            </w:pPr>
            <w:r>
              <w:rPr>
                <w:rFonts w:ascii="Arial" w:cs="Arial" w:eastAsia="Arial" w:hAnsi="Arial"/>
                <w:sz w:val="18"/>
                <w:szCs w:val="18"/>
                <w:color w:val="auto"/>
                <w:w w:val="99"/>
              </w:rPr>
              <w:t>Registrant’s second quarter 2019 earnings press release dated July 30, 2019</w:t>
            </w:r>
          </w:p>
        </w:tc>
      </w:tr>
    </w:tbl>
    <w:p>
      <w:pPr>
        <w:sectPr>
          <w:pgSz w:w="11900" w:h="16838" w:orient="portrait"/>
          <w:cols w:equalWidth="0" w:num="1">
            <w:col w:w="11380"/>
          </w:cols>
          <w:pgMar w:left="240" w:top="1440" w:right="27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Forward-Looking Statements</w:t>
      </w:r>
    </w:p>
    <w:p>
      <w:pPr>
        <w:spacing w:after="0" w:line="13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filing,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potential termination or restructuring of our relationship with Fujifilm Holdings Corporation; the proposed holding company reorganization; the occurrence and timing of any closing of the proposed holding company reorganization; the shared services arrangements entered into by the Company as part of Project Own It; any potential strategic transaction involving our customer financing business and/or related assets; and other factors that are set forth in the “Risk Factors” section, the “Legal Proceedings” section, the “Management’s Discussion and Analysis of Financial Condition and Results of Operations” section and other sections of our 2018 Annual Report on Form 10-K, as well as in our Quarterly Reports on Form 10-Q and our Current Reports on Form 8-K filed with the SEC. 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ectPr>
          <w:pgSz w:w="11900" w:h="16838" w:orient="portrait"/>
          <w:cols w:equalWidth="0" w:num="1">
            <w:col w:w="11420"/>
          </w:cols>
          <w:pgMar w:left="240" w:top="679" w:right="2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20"/>
          <w:szCs w:val="20"/>
          <w:b w:val="1"/>
          <w:bCs w:val="1"/>
          <w:color w:val="auto"/>
        </w:rPr>
        <w:t>SIGNATURES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authorized this Report to be signed on its behalf by the undersigned duly authorized.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2019</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XEROX CORPORATION</w:t>
      </w:r>
    </w:p>
    <w:p>
      <w:pPr>
        <w:spacing w:after="0" w:line="28"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Joseph H. Mancini,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28575</wp:posOffset>
            </wp:positionV>
            <wp:extent cx="2950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6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Joseph H. Mancini, Jr.</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Vice President and Chief Accounting Officer</w:t>
      </w:r>
    </w:p>
    <w:p>
      <w:pPr>
        <w:sectPr>
          <w:pgSz w:w="11900" w:h="16838" w:orient="portrait"/>
          <w:cols w:equalWidth="0" w:num="1">
            <w:col w:w="11280"/>
          </w:cols>
          <w:pgMar w:left="240" w:top="571"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1"/>
        </w:trPr>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0" w:type="dxa"/>
            <w:vAlign w:val="bottom"/>
          </w:tcPr>
          <w:p>
            <w:pPr>
              <w:ind w:left="3380"/>
              <w:spacing w:after="0"/>
              <w:rPr>
                <w:sz w:val="20"/>
                <w:szCs w:val="20"/>
                <w:color w:val="auto"/>
              </w:rPr>
            </w:pPr>
            <w:r>
              <w:rPr>
                <w:rFonts w:ascii="Arial" w:cs="Arial" w:eastAsia="Arial" w:hAnsi="Arial"/>
                <w:sz w:val="20"/>
                <w:szCs w:val="20"/>
                <w:b w:val="1"/>
                <w:bCs w:val="1"/>
                <w:color w:val="auto"/>
              </w:rPr>
              <w:t>EXHIBIT INDEX</w:t>
            </w:r>
          </w:p>
        </w:tc>
      </w:tr>
      <w:tr>
        <w:trPr>
          <w:trHeight w:val="597"/>
        </w:trPr>
        <w:tc>
          <w:tcPr>
            <w:tcW w:w="1620" w:type="dxa"/>
            <w:vAlign w:val="bottom"/>
            <w:gridSpan w:val="4"/>
          </w:tcPr>
          <w:p>
            <w:pPr>
              <w:ind w:left="4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520" w:type="dxa"/>
            <w:vAlign w:val="bottom"/>
            <w:tcBorders>
              <w:top w:val="single" w:sz="8" w:color="auto"/>
            </w:tcBorders>
            <w:gridSpan w:val="2"/>
          </w:tcPr>
          <w:p>
            <w:pPr>
              <w:jc w:val="right"/>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Registrant’s second quarter 2019 earnings press release dated July 30, 2019</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571" w:right="239" w:bottom="1440" w:gutter="0" w:footer="0" w:header="0"/>
        </w:sectPr>
      </w:pPr>
    </w:p>
    <w:bookmarkStart w:id="5" w:name="page6"/>
    <w:bookmarkEnd w:id="5"/>
    <w:p>
      <w:pPr>
        <w:ind w:left="9100"/>
        <w:spacing w:after="0"/>
        <w:rPr>
          <w:sz w:val="20"/>
          <w:szCs w:val="20"/>
          <w:color w:val="auto"/>
        </w:rPr>
      </w:pPr>
      <w:r>
        <w:rPr>
          <w:rFonts w:ascii="Arial" w:cs="Arial" w:eastAsia="Arial" w:hAnsi="Arial"/>
          <w:sz w:val="18"/>
          <w:szCs w:val="18"/>
          <w:b w:val="1"/>
          <w:bCs w:val="1"/>
          <w:color w:val="auto"/>
        </w:rPr>
        <w:t>Exhibit 99.1</w:t>
      </w:r>
    </w:p>
    <w:p>
      <w:pPr>
        <w:spacing w:after="0" w:line="300" w:lineRule="exact"/>
        <w:rPr>
          <w:sz w:val="20"/>
          <w:szCs w:val="20"/>
          <w:color w:val="auto"/>
        </w:rPr>
      </w:pPr>
    </w:p>
    <w:p>
      <w:pPr>
        <w:spacing w:after="0"/>
        <w:rPr>
          <w:sz w:val="20"/>
          <w:szCs w:val="20"/>
          <w:color w:val="auto"/>
        </w:rPr>
      </w:pPr>
      <w:r>
        <w:rPr>
          <w:rFonts w:ascii="Arial" w:cs="Arial" w:eastAsia="Arial" w:hAnsi="Arial"/>
          <w:sz w:val="36"/>
          <w:szCs w:val="36"/>
          <w:color w:val="auto"/>
        </w:rPr>
        <w:t>News from Xerox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3810</wp:posOffset>
            </wp:positionV>
            <wp:extent cx="120078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785" cy="240030"/>
                    </a:xfrm>
                    <a:prstGeom prst="rect">
                      <a:avLst/>
                    </a:prstGeom>
                    <a:noFill/>
                  </pic:spPr>
                </pic:pic>
              </a:graphicData>
            </a:graphic>
          </wp:anchor>
        </w:drawing>
      </w:r>
    </w:p>
    <w:p>
      <w:pPr>
        <w:spacing w:after="0" w:line="202" w:lineRule="exact"/>
        <w:rPr>
          <w:sz w:val="20"/>
          <w:szCs w:val="20"/>
          <w:color w:val="auto"/>
        </w:rPr>
      </w:pPr>
    </w:p>
    <w:p>
      <w:pPr>
        <w:ind w:left="10320"/>
        <w:spacing w:after="0"/>
        <w:rPr>
          <w:sz w:val="20"/>
          <w:szCs w:val="20"/>
          <w:color w:val="auto"/>
        </w:rPr>
      </w:pPr>
      <w:r>
        <w:rPr>
          <w:rFonts w:ascii="Arial" w:cs="Arial" w:eastAsia="Arial" w:hAnsi="Arial"/>
          <w:sz w:val="18"/>
          <w:szCs w:val="18"/>
          <w:color w:val="909295"/>
        </w:rPr>
        <w:t>For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909295"/>
        </w:rPr>
        <w:t>Immediate Release</w:t>
      </w:r>
    </w:p>
    <w:p>
      <w:pPr>
        <w:spacing w:after="0" w:line="123" w:lineRule="exact"/>
        <w:rPr>
          <w:sz w:val="20"/>
          <w:szCs w:val="20"/>
          <w:color w:val="auto"/>
        </w:rPr>
      </w:pPr>
    </w:p>
    <w:p>
      <w:pPr>
        <w:ind w:left="7140"/>
        <w:spacing w:after="0"/>
        <w:rPr>
          <w:sz w:val="20"/>
          <w:szCs w:val="20"/>
          <w:color w:val="auto"/>
        </w:rPr>
      </w:pPr>
      <w:r>
        <w:rPr>
          <w:rFonts w:ascii="Arial" w:cs="Arial" w:eastAsia="Arial" w:hAnsi="Arial"/>
          <w:sz w:val="14"/>
          <w:szCs w:val="14"/>
          <w:color w:val="909295"/>
        </w:rPr>
        <w:t>Xerox Corporation</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14"/>
          <w:szCs w:val="14"/>
          <w:color w:val="909295"/>
        </w:rPr>
        <w:t>201 Merritt 7</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14"/>
          <w:szCs w:val="14"/>
          <w:color w:val="909295"/>
        </w:rPr>
        <w:t>Norwalk, CT 06851-1056</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14"/>
          <w:szCs w:val="14"/>
          <w:color w:val="909295"/>
        </w:rPr>
        <w:t>tel+1-203-968-3000</w:t>
      </w:r>
    </w:p>
    <w:p>
      <w:pPr>
        <w:spacing w:after="0" w:line="295" w:lineRule="exact"/>
        <w:rPr>
          <w:sz w:val="20"/>
          <w:szCs w:val="20"/>
          <w:color w:val="auto"/>
        </w:rPr>
      </w:pPr>
    </w:p>
    <w:p>
      <w:pPr>
        <w:ind w:right="620"/>
        <w:spacing w:after="0" w:line="261" w:lineRule="auto"/>
        <w:rPr>
          <w:sz w:val="20"/>
          <w:szCs w:val="20"/>
          <w:color w:val="auto"/>
        </w:rPr>
      </w:pPr>
      <w:r>
        <w:rPr>
          <w:rFonts w:ascii="Arial" w:cs="Arial" w:eastAsia="Arial" w:hAnsi="Arial"/>
          <w:sz w:val="25"/>
          <w:szCs w:val="25"/>
          <w:color w:val="auto"/>
        </w:rPr>
        <w:t>Xerox Announces Second-Quarter Results, Delivers Increased Cash Flow, Earnings Growth and Margin Expansion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Second-Quarter 2019 Financial Summary:</w:t>
      </w:r>
    </w:p>
    <w:p>
      <w:pPr>
        <w:spacing w:after="0" w:line="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$313 million of operating cash flow, up $78 million year-over-year, and $297 million of free cash flow, up $94 million year-over-year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earnings per share (EPS) of $0.77, up $0.35 year-over-year, and adjusted EPS of $0.99, up $0.19 year-over-year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operating margin of 12.7 percent, up 170 basis points year-over-year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$2.3 billion of revenue in the quarter, a decrease of 8.8 percent in actual currency, or 7.2 percent in constant currency, year-over-year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Adjusting full-year revenue guidance to approximately 6 percent down at constant currency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Maintaining full-year guidance for EPS, adjusted operating margin and free cash flow</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$300 million of share repurchases year-to-date, expecting at least $600 million in total for the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NORWALK, Conn., July 30, 2019 - Today </w:t>
      </w:r>
      <w:r>
        <w:rPr>
          <w:rFonts w:ascii="Arial" w:cs="Arial" w:eastAsia="Arial" w:hAnsi="Arial"/>
          <w:sz w:val="18"/>
          <w:szCs w:val="18"/>
          <w:u w:val="single" w:color="auto"/>
          <w:color w:val="D92130"/>
        </w:rPr>
        <w:t>Xerox</w:t>
      </w:r>
      <w:r>
        <w:rPr>
          <w:rFonts w:ascii="Arial" w:cs="Arial" w:eastAsia="Arial" w:hAnsi="Arial"/>
          <w:sz w:val="18"/>
          <w:szCs w:val="18"/>
          <w:color w:val="auto"/>
        </w:rPr>
        <w:t xml:space="preserve"> (NYSE: XRX) announced its second-quarter 2019 financial results.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 we delivered improvements in EPS, adjusted operating margin and free cash flow largely underpinned by our enterprise-wide transformation initiative, Project Own It. These results have enabled us to increase planned investments for the second half of the year to support our revenue roadmap while maintaining our full-year guidance for EPS, adjusted operating margin and free cash flow,” said Xerox Vice Chairman and CEO John Visentin.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6629400" cy="1989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29400" cy="19894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jc w:val="center"/>
              <w:ind w:left="248"/>
              <w:spacing w:after="0"/>
              <w:rPr>
                <w:sz w:val="20"/>
                <w:szCs w:val="20"/>
                <w:color w:val="auto"/>
              </w:rPr>
            </w:pPr>
            <w:r>
              <w:rPr>
                <w:rFonts w:ascii="Arial" w:cs="Arial" w:eastAsia="Arial" w:hAnsi="Arial"/>
                <w:sz w:val="14"/>
                <w:szCs w:val="14"/>
                <w:b w:val="1"/>
                <w:bCs w:val="1"/>
                <w:color w:val="D92130"/>
              </w:rPr>
              <w:t>B/(W)</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E6E6E6"/>
            </w:tcBorders>
          </w:tcPr>
          <w:p>
            <w:pPr>
              <w:ind w:left="40"/>
              <w:spacing w:after="0"/>
              <w:rPr>
                <w:sz w:val="20"/>
                <w:szCs w:val="20"/>
                <w:color w:val="auto"/>
              </w:rPr>
            </w:pPr>
            <w:r>
              <w:rPr>
                <w:rFonts w:ascii="Arial" w:cs="Arial" w:eastAsia="Arial" w:hAnsi="Arial"/>
                <w:sz w:val="14"/>
                <w:szCs w:val="14"/>
                <w:b w:val="1"/>
                <w:bCs w:val="1"/>
                <w:color w:val="D92130"/>
              </w:rPr>
              <w:t>(in millions, except per share data)</w:t>
            </w:r>
          </w:p>
        </w:tc>
        <w:tc>
          <w:tcPr>
            <w:tcW w:w="1680" w:type="dxa"/>
            <w:vAlign w:val="bottom"/>
            <w:tcBorders>
              <w:bottom w:val="single" w:sz="8" w:color="E6E6E6"/>
            </w:tcBorders>
          </w:tcPr>
          <w:p>
            <w:pPr>
              <w:jc w:val="center"/>
              <w:spacing w:after="0"/>
              <w:rPr>
                <w:sz w:val="20"/>
                <w:szCs w:val="20"/>
                <w:color w:val="auto"/>
              </w:rPr>
            </w:pPr>
            <w:r>
              <w:rPr>
                <w:rFonts w:ascii="Arial" w:cs="Arial" w:eastAsia="Arial" w:hAnsi="Arial"/>
                <w:sz w:val="14"/>
                <w:szCs w:val="14"/>
                <w:b w:val="1"/>
                <w:bCs w:val="1"/>
                <w:color w:val="D92130"/>
              </w:rPr>
              <w:t>Q2 2019</w:t>
            </w:r>
          </w:p>
        </w:tc>
        <w:tc>
          <w:tcPr>
            <w:tcW w:w="1460" w:type="dxa"/>
            <w:vAlign w:val="bottom"/>
            <w:tcBorders>
              <w:bottom w:val="single" w:sz="8" w:color="E6E6E6"/>
            </w:tcBorders>
          </w:tcPr>
          <w:p>
            <w:pPr>
              <w:jc w:val="center"/>
              <w:ind w:left="148"/>
              <w:spacing w:after="0"/>
              <w:rPr>
                <w:sz w:val="20"/>
                <w:szCs w:val="20"/>
                <w:color w:val="auto"/>
              </w:rPr>
            </w:pPr>
            <w:r>
              <w:rPr>
                <w:rFonts w:ascii="Arial" w:cs="Arial" w:eastAsia="Arial" w:hAnsi="Arial"/>
                <w:sz w:val="14"/>
                <w:szCs w:val="14"/>
                <w:b w:val="1"/>
                <w:bCs w:val="1"/>
                <w:color w:val="D92130"/>
              </w:rPr>
              <w:t>Q2 2018</w:t>
            </w:r>
          </w:p>
        </w:tc>
        <w:tc>
          <w:tcPr>
            <w:tcW w:w="1460" w:type="dxa"/>
            <w:vAlign w:val="bottom"/>
            <w:tcBorders>
              <w:bottom w:val="single" w:sz="8" w:color="E6E6E6"/>
            </w:tcBorders>
          </w:tcPr>
          <w:p>
            <w:pPr>
              <w:jc w:val="center"/>
              <w:ind w:left="248"/>
              <w:spacing w:after="0"/>
              <w:rPr>
                <w:sz w:val="20"/>
                <w:szCs w:val="20"/>
                <w:color w:val="auto"/>
              </w:rPr>
            </w:pPr>
            <w:r>
              <w:rPr>
                <w:rFonts w:ascii="Arial" w:cs="Arial" w:eastAsia="Arial" w:hAnsi="Arial"/>
                <w:sz w:val="14"/>
                <w:szCs w:val="14"/>
                <w:b w:val="1"/>
                <w:bCs w:val="1"/>
                <w:color w:val="D92130"/>
              </w:rPr>
              <w:t>YOY</w:t>
            </w:r>
          </w:p>
        </w:tc>
        <w:tc>
          <w:tcPr>
            <w:tcW w:w="1560" w:type="dxa"/>
            <w:vAlign w:val="bottom"/>
            <w:tcBorders>
              <w:bottom w:val="single" w:sz="8" w:color="E6E6E6"/>
            </w:tcBorders>
          </w:tcPr>
          <w:p>
            <w:pPr>
              <w:jc w:val="center"/>
              <w:ind w:left="48"/>
              <w:spacing w:after="0"/>
              <w:rPr>
                <w:sz w:val="20"/>
                <w:szCs w:val="20"/>
                <w:color w:val="auto"/>
              </w:rPr>
            </w:pPr>
            <w:r>
              <w:rPr>
                <w:rFonts w:ascii="Arial" w:cs="Arial" w:eastAsia="Arial" w:hAnsi="Arial"/>
                <w:sz w:val="14"/>
                <w:szCs w:val="14"/>
                <w:b w:val="1"/>
                <w:bCs w:val="1"/>
                <w:color w:val="D92130"/>
              </w:rPr>
              <w:t>% Change YOY</w:t>
            </w:r>
          </w:p>
        </w:tc>
        <w:tc>
          <w:tcPr>
            <w:tcW w:w="0" w:type="dxa"/>
            <w:vAlign w:val="bottom"/>
          </w:tcPr>
          <w:p>
            <w:pPr>
              <w:spacing w:after="0"/>
              <w:rPr>
                <w:sz w:val="1"/>
                <w:szCs w:val="1"/>
                <w:color w:val="auto"/>
              </w:rPr>
            </w:pPr>
          </w:p>
        </w:tc>
      </w:tr>
      <w:tr>
        <w:trPr>
          <w:trHeight w:val="175"/>
        </w:trPr>
        <w:tc>
          <w:tcPr>
            <w:tcW w:w="4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$ 2,289</w:t>
            </w:r>
          </w:p>
        </w:tc>
        <w:tc>
          <w:tcPr>
            <w:tcW w:w="146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rPr>
              <w:t>$ 2,510</w:t>
            </w:r>
          </w:p>
        </w:tc>
        <w:tc>
          <w:tcPr>
            <w:tcW w:w="146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rPr>
              <w:t>$ (221)</w:t>
            </w:r>
          </w:p>
        </w:tc>
        <w:tc>
          <w:tcPr>
            <w:tcW w:w="1560" w:type="dxa"/>
            <w:vAlign w:val="bottom"/>
          </w:tcPr>
          <w:p>
            <w:pPr>
              <w:jc w:val="center"/>
              <w:ind w:left="28"/>
              <w:spacing w:after="0"/>
              <w:rPr>
                <w:sz w:val="20"/>
                <w:szCs w:val="20"/>
                <w:color w:val="auto"/>
              </w:rPr>
            </w:pPr>
            <w:r>
              <w:rPr>
                <w:rFonts w:ascii="Arial" w:cs="Arial" w:eastAsia="Arial" w:hAnsi="Arial"/>
                <w:sz w:val="14"/>
                <w:szCs w:val="14"/>
                <w:b w:val="1"/>
                <w:bCs w:val="1"/>
                <w:color w:val="auto"/>
              </w:rPr>
              <w:t>(8.8)% AC</w:t>
            </w:r>
          </w:p>
        </w:tc>
        <w:tc>
          <w:tcPr>
            <w:tcW w:w="0" w:type="dxa"/>
            <w:vAlign w:val="bottom"/>
          </w:tcPr>
          <w:p>
            <w:pPr>
              <w:spacing w:after="0"/>
              <w:rPr>
                <w:sz w:val="1"/>
                <w:szCs w:val="1"/>
                <w:color w:val="auto"/>
              </w:rPr>
            </w:pPr>
          </w:p>
        </w:tc>
      </w:tr>
      <w:tr>
        <w:trPr>
          <w:trHeight w:val="202"/>
        </w:trPr>
        <w:tc>
          <w:tcPr>
            <w:tcW w:w="4280" w:type="dxa"/>
            <w:vAlign w:val="bottom"/>
            <w:tcBorders>
              <w:bottom w:val="single" w:sz="8" w:color="E6E6E6"/>
            </w:tcBorders>
            <w:vMerge w:val="continue"/>
          </w:tcPr>
          <w:p>
            <w:pPr>
              <w:spacing w:after="0"/>
              <w:rPr>
                <w:sz w:val="17"/>
                <w:szCs w:val="17"/>
                <w:color w:val="auto"/>
              </w:rPr>
            </w:pPr>
          </w:p>
        </w:tc>
        <w:tc>
          <w:tcPr>
            <w:tcW w:w="1680" w:type="dxa"/>
            <w:vAlign w:val="bottom"/>
            <w:tcBorders>
              <w:bottom w:val="single" w:sz="8" w:color="E6E6E6"/>
            </w:tcBorders>
            <w:vMerge w:val="continue"/>
          </w:tcPr>
          <w:p>
            <w:pPr>
              <w:spacing w:after="0"/>
              <w:rPr>
                <w:sz w:val="17"/>
                <w:szCs w:val="17"/>
                <w:color w:val="auto"/>
              </w:rPr>
            </w:pPr>
          </w:p>
        </w:tc>
        <w:tc>
          <w:tcPr>
            <w:tcW w:w="1460" w:type="dxa"/>
            <w:vAlign w:val="bottom"/>
            <w:tcBorders>
              <w:bottom w:val="single" w:sz="8" w:color="E6E6E6"/>
            </w:tcBorders>
            <w:vMerge w:val="continue"/>
          </w:tcPr>
          <w:p>
            <w:pPr>
              <w:spacing w:after="0"/>
              <w:rPr>
                <w:sz w:val="17"/>
                <w:szCs w:val="17"/>
                <w:color w:val="auto"/>
              </w:rPr>
            </w:pPr>
          </w:p>
        </w:tc>
        <w:tc>
          <w:tcPr>
            <w:tcW w:w="1460" w:type="dxa"/>
            <w:vAlign w:val="bottom"/>
            <w:tcBorders>
              <w:bottom w:val="single" w:sz="8" w:color="E6E6E6"/>
            </w:tcBorders>
            <w:vMerge w:val="continue"/>
          </w:tcPr>
          <w:p>
            <w:pPr>
              <w:spacing w:after="0"/>
              <w:rPr>
                <w:sz w:val="17"/>
                <w:szCs w:val="17"/>
                <w:color w:val="auto"/>
              </w:rPr>
            </w:pPr>
          </w:p>
        </w:tc>
        <w:tc>
          <w:tcPr>
            <w:tcW w:w="1560" w:type="dxa"/>
            <w:vAlign w:val="bottom"/>
            <w:tcBorders>
              <w:bottom w:val="single" w:sz="8" w:color="E6E6E6"/>
            </w:tcBorders>
          </w:tcPr>
          <w:p>
            <w:pPr>
              <w:jc w:val="center"/>
              <w:ind w:left="48"/>
              <w:spacing w:after="0"/>
              <w:rPr>
                <w:sz w:val="20"/>
                <w:szCs w:val="20"/>
                <w:color w:val="auto"/>
              </w:rPr>
            </w:pPr>
            <w:r>
              <w:rPr>
                <w:rFonts w:ascii="Arial" w:cs="Arial" w:eastAsia="Arial" w:hAnsi="Arial"/>
                <w:sz w:val="14"/>
                <w:szCs w:val="14"/>
                <w:b w:val="1"/>
                <w:bCs w:val="1"/>
                <w:color w:val="auto"/>
              </w:rPr>
              <w:t>(7.2)% CC</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69"/>
        </w:trPr>
        <w:tc>
          <w:tcPr>
            <w:tcW w:w="428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4"/>
                <w:szCs w:val="14"/>
                <w:color w:val="auto"/>
              </w:rPr>
              <w:t>Gross Margin</w:t>
            </w:r>
          </w:p>
        </w:tc>
        <w:tc>
          <w:tcPr>
            <w:tcW w:w="16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39.2%</w:t>
            </w:r>
          </w:p>
        </w:tc>
        <w:tc>
          <w:tcPr>
            <w:tcW w:w="1460" w:type="dxa"/>
            <w:vAlign w:val="bottom"/>
            <w:tcBorders>
              <w:bottom w:val="single" w:sz="8" w:color="F2F2F2"/>
            </w:tcBorders>
            <w:shd w:val="clear" w:color="auto" w:fill="F2F2F2"/>
          </w:tcPr>
          <w:p>
            <w:pPr>
              <w:jc w:val="center"/>
              <w:ind w:left="148"/>
              <w:spacing w:after="0"/>
              <w:rPr>
                <w:sz w:val="20"/>
                <w:szCs w:val="20"/>
                <w:color w:val="auto"/>
              </w:rPr>
            </w:pPr>
            <w:r>
              <w:rPr>
                <w:rFonts w:ascii="Arial" w:cs="Arial" w:eastAsia="Arial" w:hAnsi="Arial"/>
                <w:sz w:val="14"/>
                <w:szCs w:val="14"/>
                <w:color w:val="auto"/>
              </w:rPr>
              <w:t>39.9%</w:t>
            </w:r>
          </w:p>
        </w:tc>
        <w:tc>
          <w:tcPr>
            <w:tcW w:w="1460" w:type="dxa"/>
            <w:vAlign w:val="bottom"/>
            <w:tcBorders>
              <w:bottom w:val="single" w:sz="8" w:color="F2F2F2"/>
            </w:tcBorders>
            <w:shd w:val="clear" w:color="auto" w:fill="F2F2F2"/>
          </w:tcPr>
          <w:p>
            <w:pPr>
              <w:jc w:val="center"/>
              <w:ind w:left="248"/>
              <w:spacing w:after="0"/>
              <w:rPr>
                <w:sz w:val="20"/>
                <w:szCs w:val="20"/>
                <w:color w:val="auto"/>
              </w:rPr>
            </w:pPr>
            <w:r>
              <w:rPr>
                <w:rFonts w:ascii="Arial" w:cs="Arial" w:eastAsia="Arial" w:hAnsi="Arial"/>
                <w:sz w:val="14"/>
                <w:szCs w:val="14"/>
                <w:color w:val="auto"/>
              </w:rPr>
              <w:t>(70) bps</w:t>
            </w:r>
          </w:p>
        </w:tc>
        <w:tc>
          <w:tcPr>
            <w:tcW w:w="156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280" w:type="dxa"/>
            <w:vAlign w:val="bottom"/>
            <w:tcBorders>
              <w:top w:val="single" w:sz="8" w:color="E6E6E6"/>
              <w:bottom w:val="single" w:sz="8" w:color="F2F2F2"/>
            </w:tcBorders>
            <w:shd w:val="clear" w:color="auto" w:fill="F2F2F2"/>
          </w:tcPr>
          <w:p>
            <w:pPr>
              <w:ind w:left="320"/>
              <w:spacing w:after="0"/>
              <w:rPr>
                <w:sz w:val="20"/>
                <w:szCs w:val="20"/>
                <w:color w:val="auto"/>
              </w:rPr>
            </w:pPr>
            <w:r>
              <w:rPr>
                <w:rFonts w:ascii="Arial" w:cs="Arial" w:eastAsia="Arial" w:hAnsi="Arial"/>
                <w:sz w:val="14"/>
                <w:szCs w:val="14"/>
                <w:color w:val="auto"/>
              </w:rPr>
              <w:t>RD&amp;E %</w:t>
            </w:r>
          </w:p>
        </w:tc>
        <w:tc>
          <w:tcPr>
            <w:tcW w:w="1680" w:type="dxa"/>
            <w:vAlign w:val="bottom"/>
            <w:tcBorders>
              <w:top w:val="single" w:sz="8" w:color="E6E6E6"/>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3.8%</w:t>
            </w:r>
          </w:p>
        </w:tc>
        <w:tc>
          <w:tcPr>
            <w:tcW w:w="1460" w:type="dxa"/>
            <w:vAlign w:val="bottom"/>
            <w:tcBorders>
              <w:top w:val="single" w:sz="8" w:color="E6E6E6"/>
              <w:bottom w:val="single" w:sz="8" w:color="F2F2F2"/>
            </w:tcBorders>
            <w:shd w:val="clear" w:color="auto" w:fill="F2F2F2"/>
          </w:tcPr>
          <w:p>
            <w:pPr>
              <w:jc w:val="center"/>
              <w:ind w:left="148"/>
              <w:spacing w:after="0"/>
              <w:rPr>
                <w:sz w:val="20"/>
                <w:szCs w:val="20"/>
                <w:color w:val="auto"/>
              </w:rPr>
            </w:pPr>
            <w:r>
              <w:rPr>
                <w:rFonts w:ascii="Arial" w:cs="Arial" w:eastAsia="Arial" w:hAnsi="Arial"/>
                <w:sz w:val="14"/>
                <w:szCs w:val="14"/>
                <w:color w:val="auto"/>
              </w:rPr>
              <w:t>4.0%</w:t>
            </w:r>
          </w:p>
        </w:tc>
        <w:tc>
          <w:tcPr>
            <w:tcW w:w="1460" w:type="dxa"/>
            <w:vAlign w:val="bottom"/>
            <w:tcBorders>
              <w:top w:val="single" w:sz="8" w:color="E6E6E6"/>
              <w:bottom w:val="single" w:sz="8" w:color="F2F2F2"/>
            </w:tcBorders>
            <w:shd w:val="clear" w:color="auto" w:fill="F2F2F2"/>
          </w:tcPr>
          <w:p>
            <w:pPr>
              <w:jc w:val="center"/>
              <w:ind w:left="248"/>
              <w:spacing w:after="0"/>
              <w:rPr>
                <w:sz w:val="20"/>
                <w:szCs w:val="20"/>
                <w:color w:val="auto"/>
              </w:rPr>
            </w:pPr>
            <w:r>
              <w:rPr>
                <w:rFonts w:ascii="Arial" w:cs="Arial" w:eastAsia="Arial" w:hAnsi="Arial"/>
                <w:sz w:val="14"/>
                <w:szCs w:val="14"/>
                <w:color w:val="auto"/>
                <w:w w:val="99"/>
              </w:rPr>
              <w:t>20 bps</w:t>
            </w:r>
          </w:p>
        </w:tc>
        <w:tc>
          <w:tcPr>
            <w:tcW w:w="1560" w:type="dxa"/>
            <w:vAlign w:val="bottom"/>
            <w:tcBorders>
              <w:top w:val="single" w:sz="8" w:color="E6E6E6"/>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280" w:type="dxa"/>
            <w:vAlign w:val="bottom"/>
            <w:tcBorders>
              <w:top w:val="single" w:sz="8" w:color="E6E6E6"/>
              <w:bottom w:val="single" w:sz="8" w:color="F2F2F2"/>
            </w:tcBorders>
            <w:shd w:val="clear" w:color="auto" w:fill="F2F2F2"/>
          </w:tcPr>
          <w:p>
            <w:pPr>
              <w:ind w:left="320"/>
              <w:spacing w:after="0"/>
              <w:rPr>
                <w:sz w:val="20"/>
                <w:szCs w:val="20"/>
                <w:color w:val="auto"/>
              </w:rPr>
            </w:pPr>
            <w:r>
              <w:rPr>
                <w:rFonts w:ascii="Arial" w:cs="Arial" w:eastAsia="Arial" w:hAnsi="Arial"/>
                <w:sz w:val="14"/>
                <w:szCs w:val="14"/>
                <w:color w:val="auto"/>
              </w:rPr>
              <w:t>SAG %</w:t>
            </w:r>
          </w:p>
        </w:tc>
        <w:tc>
          <w:tcPr>
            <w:tcW w:w="1680" w:type="dxa"/>
            <w:vAlign w:val="bottom"/>
            <w:tcBorders>
              <w:top w:val="single" w:sz="8" w:color="E6E6E6"/>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22.7%</w:t>
            </w:r>
          </w:p>
        </w:tc>
        <w:tc>
          <w:tcPr>
            <w:tcW w:w="1460" w:type="dxa"/>
            <w:vAlign w:val="bottom"/>
            <w:tcBorders>
              <w:top w:val="single" w:sz="8" w:color="E6E6E6"/>
              <w:bottom w:val="single" w:sz="8" w:color="F2F2F2"/>
            </w:tcBorders>
            <w:shd w:val="clear" w:color="auto" w:fill="F2F2F2"/>
          </w:tcPr>
          <w:p>
            <w:pPr>
              <w:jc w:val="center"/>
              <w:ind w:left="148"/>
              <w:spacing w:after="0"/>
              <w:rPr>
                <w:sz w:val="20"/>
                <w:szCs w:val="20"/>
                <w:color w:val="auto"/>
              </w:rPr>
            </w:pPr>
            <w:r>
              <w:rPr>
                <w:rFonts w:ascii="Arial" w:cs="Arial" w:eastAsia="Arial" w:hAnsi="Arial"/>
                <w:sz w:val="14"/>
                <w:szCs w:val="14"/>
                <w:color w:val="auto"/>
              </w:rPr>
              <w:t>24.9%</w:t>
            </w:r>
          </w:p>
        </w:tc>
        <w:tc>
          <w:tcPr>
            <w:tcW w:w="1460" w:type="dxa"/>
            <w:vAlign w:val="bottom"/>
            <w:tcBorders>
              <w:top w:val="single" w:sz="8" w:color="E6E6E6"/>
              <w:bottom w:val="single" w:sz="8" w:color="F2F2F2"/>
            </w:tcBorders>
            <w:shd w:val="clear" w:color="auto" w:fill="F2F2F2"/>
          </w:tcPr>
          <w:p>
            <w:pPr>
              <w:jc w:val="center"/>
              <w:ind w:left="248"/>
              <w:spacing w:after="0"/>
              <w:rPr>
                <w:sz w:val="20"/>
                <w:szCs w:val="20"/>
                <w:color w:val="auto"/>
              </w:rPr>
            </w:pPr>
            <w:r>
              <w:rPr>
                <w:rFonts w:ascii="Arial" w:cs="Arial" w:eastAsia="Arial" w:hAnsi="Arial"/>
                <w:sz w:val="14"/>
                <w:szCs w:val="14"/>
                <w:color w:val="auto"/>
              </w:rPr>
              <w:t>220 bps</w:t>
            </w:r>
          </w:p>
        </w:tc>
        <w:tc>
          <w:tcPr>
            <w:tcW w:w="1560" w:type="dxa"/>
            <w:vAlign w:val="bottom"/>
            <w:tcBorders>
              <w:top w:val="single" w:sz="8" w:color="E6E6E6"/>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4280" w:type="dxa"/>
            <w:vAlign w:val="bottom"/>
            <w:tcBorders>
              <w:top w:val="single" w:sz="8" w:color="E6E6E6"/>
              <w:bottom w:val="single" w:sz="8" w:color="E6E6E6"/>
            </w:tcBorders>
          </w:tcPr>
          <w:p>
            <w:pPr>
              <w:ind w:left="40"/>
              <w:spacing w:after="0"/>
              <w:rPr>
                <w:sz w:val="20"/>
                <w:szCs w:val="20"/>
                <w:color w:val="auto"/>
              </w:rPr>
            </w:pPr>
            <w:r>
              <w:rPr>
                <w:rFonts w:ascii="Arial" w:cs="Arial" w:eastAsia="Arial" w:hAnsi="Arial"/>
                <w:sz w:val="14"/>
                <w:szCs w:val="14"/>
                <w:b w:val="1"/>
                <w:bCs w:val="1"/>
                <w:color w:val="auto"/>
              </w:rPr>
              <w:t>Pre-Tax Income</w:t>
            </w:r>
          </w:p>
        </w:tc>
        <w:tc>
          <w:tcPr>
            <w:tcW w:w="1680" w:type="dxa"/>
            <w:vAlign w:val="bottom"/>
            <w:tcBorders>
              <w:top w:val="single" w:sz="8" w:color="E6E6E6"/>
              <w:bottom w:val="single" w:sz="8" w:color="E6E6E6"/>
            </w:tcBorders>
          </w:tcPr>
          <w:p>
            <w:pPr>
              <w:jc w:val="center"/>
              <w:spacing w:after="0"/>
              <w:rPr>
                <w:sz w:val="20"/>
                <w:szCs w:val="20"/>
                <w:color w:val="auto"/>
              </w:rPr>
            </w:pPr>
            <w:r>
              <w:rPr>
                <w:rFonts w:ascii="Arial" w:cs="Arial" w:eastAsia="Arial" w:hAnsi="Arial"/>
                <w:sz w:val="14"/>
                <w:szCs w:val="14"/>
                <w:b w:val="1"/>
                <w:bCs w:val="1"/>
                <w:color w:val="auto"/>
              </w:rPr>
              <w:t>$ 200</w:t>
            </w:r>
          </w:p>
        </w:tc>
        <w:tc>
          <w:tcPr>
            <w:tcW w:w="1460" w:type="dxa"/>
            <w:vAlign w:val="bottom"/>
            <w:tcBorders>
              <w:top w:val="single" w:sz="8" w:color="E6E6E6"/>
              <w:bottom w:val="single" w:sz="8" w:color="E6E6E6"/>
            </w:tcBorders>
          </w:tcPr>
          <w:p>
            <w:pPr>
              <w:jc w:val="center"/>
              <w:ind w:left="148"/>
              <w:spacing w:after="0"/>
              <w:rPr>
                <w:sz w:val="20"/>
                <w:szCs w:val="20"/>
                <w:color w:val="auto"/>
              </w:rPr>
            </w:pPr>
            <w:r>
              <w:rPr>
                <w:rFonts w:ascii="Arial" w:cs="Arial" w:eastAsia="Arial" w:hAnsi="Arial"/>
                <w:sz w:val="14"/>
                <w:szCs w:val="14"/>
                <w:b w:val="1"/>
                <w:bCs w:val="1"/>
                <w:color w:val="auto"/>
              </w:rPr>
              <w:t>$ 133</w:t>
            </w:r>
          </w:p>
        </w:tc>
        <w:tc>
          <w:tcPr>
            <w:tcW w:w="1460" w:type="dxa"/>
            <w:vAlign w:val="bottom"/>
            <w:tcBorders>
              <w:top w:val="single" w:sz="8" w:color="E6E6E6"/>
              <w:bottom w:val="single" w:sz="8" w:color="E6E6E6"/>
            </w:tcBorders>
          </w:tcPr>
          <w:p>
            <w:pPr>
              <w:jc w:val="center"/>
              <w:ind w:left="228"/>
              <w:spacing w:after="0"/>
              <w:rPr>
                <w:sz w:val="20"/>
                <w:szCs w:val="20"/>
                <w:color w:val="auto"/>
              </w:rPr>
            </w:pPr>
            <w:r>
              <w:rPr>
                <w:rFonts w:ascii="Arial" w:cs="Arial" w:eastAsia="Arial" w:hAnsi="Arial"/>
                <w:sz w:val="14"/>
                <w:szCs w:val="14"/>
                <w:b w:val="1"/>
                <w:bCs w:val="1"/>
                <w:color w:val="auto"/>
              </w:rPr>
              <w:t>$ 67</w:t>
            </w:r>
          </w:p>
        </w:tc>
        <w:tc>
          <w:tcPr>
            <w:tcW w:w="1560" w:type="dxa"/>
            <w:vAlign w:val="bottom"/>
            <w:tcBorders>
              <w:top w:val="single" w:sz="8" w:color="E6E6E6"/>
              <w:bottom w:val="single" w:sz="8" w:color="E6E6E6"/>
            </w:tcBorders>
          </w:tcPr>
          <w:p>
            <w:pPr>
              <w:jc w:val="center"/>
              <w:ind w:left="28"/>
              <w:spacing w:after="0"/>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275"/>
        </w:trPr>
        <w:tc>
          <w:tcPr>
            <w:tcW w:w="428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4"/>
                <w:szCs w:val="14"/>
                <w:color w:val="auto"/>
              </w:rPr>
              <w:t>Pre-Tax Income Margin</w:t>
            </w:r>
          </w:p>
        </w:tc>
        <w:tc>
          <w:tcPr>
            <w:tcW w:w="16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8.7%</w:t>
            </w:r>
          </w:p>
        </w:tc>
        <w:tc>
          <w:tcPr>
            <w:tcW w:w="1460" w:type="dxa"/>
            <w:vAlign w:val="bottom"/>
            <w:tcBorders>
              <w:bottom w:val="single" w:sz="8" w:color="F2F2F2"/>
            </w:tcBorders>
            <w:shd w:val="clear" w:color="auto" w:fill="F2F2F2"/>
          </w:tcPr>
          <w:p>
            <w:pPr>
              <w:jc w:val="center"/>
              <w:ind w:left="148"/>
              <w:spacing w:after="0"/>
              <w:rPr>
                <w:sz w:val="20"/>
                <w:szCs w:val="20"/>
                <w:color w:val="auto"/>
              </w:rPr>
            </w:pPr>
            <w:r>
              <w:rPr>
                <w:rFonts w:ascii="Arial" w:cs="Arial" w:eastAsia="Arial" w:hAnsi="Arial"/>
                <w:sz w:val="14"/>
                <w:szCs w:val="14"/>
                <w:color w:val="auto"/>
              </w:rPr>
              <w:t>5.3%</w:t>
            </w:r>
          </w:p>
        </w:tc>
        <w:tc>
          <w:tcPr>
            <w:tcW w:w="146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4"/>
                <w:szCs w:val="14"/>
                <w:color w:val="auto"/>
              </w:rPr>
              <w:t>340 bps</w:t>
            </w:r>
          </w:p>
        </w:tc>
        <w:tc>
          <w:tcPr>
            <w:tcW w:w="156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E6E6E6"/>
              <w:bottom w:val="single" w:sz="8" w:color="E6E6E6"/>
            </w:tcBorders>
          </w:tcPr>
          <w:p>
            <w:pPr>
              <w:ind w:left="40"/>
              <w:spacing w:after="0"/>
              <w:rPr>
                <w:sz w:val="20"/>
                <w:szCs w:val="20"/>
                <w:color w:val="auto"/>
              </w:rPr>
            </w:pPr>
            <w:r>
              <w:rPr>
                <w:rFonts w:ascii="Arial" w:cs="Arial" w:eastAsia="Arial" w:hAnsi="Arial"/>
                <w:sz w:val="14"/>
                <w:szCs w:val="14"/>
                <w:b w:val="1"/>
                <w:bCs w:val="1"/>
                <w:color w:val="auto"/>
              </w:rPr>
              <w:t>Operating Income - Adjusted</w:t>
            </w:r>
            <w:r>
              <w:rPr>
                <w:rFonts w:ascii="Arial" w:cs="Arial" w:eastAsia="Arial" w:hAnsi="Arial"/>
                <w:sz w:val="17"/>
                <w:szCs w:val="17"/>
                <w:b w:val="1"/>
                <w:bCs w:val="1"/>
                <w:color w:val="auto"/>
                <w:vertAlign w:val="superscript"/>
              </w:rPr>
              <w:t>1</w:t>
            </w:r>
          </w:p>
        </w:tc>
        <w:tc>
          <w:tcPr>
            <w:tcW w:w="1680" w:type="dxa"/>
            <w:vAlign w:val="bottom"/>
            <w:tcBorders>
              <w:top w:val="single" w:sz="8" w:color="E6E6E6"/>
              <w:bottom w:val="single" w:sz="8" w:color="E6E6E6"/>
            </w:tcBorders>
          </w:tcPr>
          <w:p>
            <w:pPr>
              <w:jc w:val="center"/>
              <w:spacing w:after="0"/>
              <w:rPr>
                <w:sz w:val="20"/>
                <w:szCs w:val="20"/>
                <w:color w:val="auto"/>
              </w:rPr>
            </w:pPr>
            <w:r>
              <w:rPr>
                <w:rFonts w:ascii="Arial" w:cs="Arial" w:eastAsia="Arial" w:hAnsi="Arial"/>
                <w:sz w:val="14"/>
                <w:szCs w:val="14"/>
                <w:b w:val="1"/>
                <w:bCs w:val="1"/>
                <w:color w:val="auto"/>
              </w:rPr>
              <w:t>$ 290</w:t>
            </w:r>
          </w:p>
        </w:tc>
        <w:tc>
          <w:tcPr>
            <w:tcW w:w="1460" w:type="dxa"/>
            <w:vAlign w:val="bottom"/>
            <w:tcBorders>
              <w:top w:val="single" w:sz="8" w:color="E6E6E6"/>
              <w:bottom w:val="single" w:sz="8" w:color="E6E6E6"/>
            </w:tcBorders>
          </w:tcPr>
          <w:p>
            <w:pPr>
              <w:jc w:val="center"/>
              <w:ind w:left="148"/>
              <w:spacing w:after="0"/>
              <w:rPr>
                <w:sz w:val="20"/>
                <w:szCs w:val="20"/>
                <w:color w:val="auto"/>
              </w:rPr>
            </w:pPr>
            <w:r>
              <w:rPr>
                <w:rFonts w:ascii="Arial" w:cs="Arial" w:eastAsia="Arial" w:hAnsi="Arial"/>
                <w:sz w:val="14"/>
                <w:szCs w:val="14"/>
                <w:b w:val="1"/>
                <w:bCs w:val="1"/>
                <w:color w:val="auto"/>
              </w:rPr>
              <w:t>$ 276</w:t>
            </w:r>
          </w:p>
        </w:tc>
        <w:tc>
          <w:tcPr>
            <w:tcW w:w="1460" w:type="dxa"/>
            <w:vAlign w:val="bottom"/>
            <w:tcBorders>
              <w:top w:val="single" w:sz="8" w:color="E6E6E6"/>
              <w:bottom w:val="single" w:sz="8" w:color="E6E6E6"/>
            </w:tcBorders>
          </w:tcPr>
          <w:p>
            <w:pPr>
              <w:jc w:val="center"/>
              <w:ind w:left="228"/>
              <w:spacing w:after="0"/>
              <w:rPr>
                <w:sz w:val="20"/>
                <w:szCs w:val="20"/>
                <w:color w:val="auto"/>
              </w:rPr>
            </w:pPr>
            <w:r>
              <w:rPr>
                <w:rFonts w:ascii="Arial" w:cs="Arial" w:eastAsia="Arial" w:hAnsi="Arial"/>
                <w:sz w:val="14"/>
                <w:szCs w:val="14"/>
                <w:color w:val="auto"/>
              </w:rPr>
              <w:t>$ 14</w:t>
            </w:r>
          </w:p>
        </w:tc>
        <w:tc>
          <w:tcPr>
            <w:tcW w:w="1560" w:type="dxa"/>
            <w:vAlign w:val="bottom"/>
            <w:tcBorders>
              <w:top w:val="single" w:sz="8" w:color="E6E6E6"/>
              <w:bottom w:val="single" w:sz="8" w:color="E6E6E6"/>
            </w:tcBorders>
          </w:tcPr>
          <w:p>
            <w:pPr>
              <w:jc w:val="center"/>
              <w:ind w:left="28"/>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E6E6E6"/>
            </w:tcBorders>
            <w:shd w:val="clear" w:color="auto" w:fill="F2F2F2"/>
          </w:tcPr>
          <w:p>
            <w:pPr>
              <w:ind w:left="280"/>
              <w:spacing w:after="0"/>
              <w:rPr>
                <w:sz w:val="20"/>
                <w:szCs w:val="20"/>
                <w:color w:val="auto"/>
              </w:rPr>
            </w:pPr>
            <w:r>
              <w:rPr>
                <w:rFonts w:ascii="Arial" w:cs="Arial" w:eastAsia="Arial" w:hAnsi="Arial"/>
                <w:sz w:val="14"/>
                <w:szCs w:val="14"/>
                <w:color w:val="auto"/>
              </w:rPr>
              <w:t>Operating Margin - Adjusted</w:t>
            </w:r>
            <w:r>
              <w:rPr>
                <w:rFonts w:ascii="Arial" w:cs="Arial" w:eastAsia="Arial" w:hAnsi="Arial"/>
                <w:sz w:val="17"/>
                <w:szCs w:val="17"/>
                <w:color w:val="auto"/>
                <w:vertAlign w:val="superscript"/>
              </w:rPr>
              <w:t>1</w:t>
            </w:r>
          </w:p>
        </w:tc>
        <w:tc>
          <w:tcPr>
            <w:tcW w:w="1680" w:type="dxa"/>
            <w:vAlign w:val="bottom"/>
            <w:tcBorders>
              <w:bottom w:val="single" w:sz="8" w:color="E6E6E6"/>
            </w:tcBorders>
            <w:shd w:val="clear" w:color="auto" w:fill="F2F2F2"/>
          </w:tcPr>
          <w:p>
            <w:pPr>
              <w:jc w:val="center"/>
              <w:spacing w:after="0"/>
              <w:rPr>
                <w:sz w:val="20"/>
                <w:szCs w:val="20"/>
                <w:color w:val="auto"/>
              </w:rPr>
            </w:pPr>
            <w:r>
              <w:rPr>
                <w:rFonts w:ascii="Arial" w:cs="Arial" w:eastAsia="Arial" w:hAnsi="Arial"/>
                <w:sz w:val="14"/>
                <w:szCs w:val="14"/>
                <w:color w:val="auto"/>
              </w:rPr>
              <w:t>12.7%</w:t>
            </w:r>
          </w:p>
        </w:tc>
        <w:tc>
          <w:tcPr>
            <w:tcW w:w="1460" w:type="dxa"/>
            <w:vAlign w:val="bottom"/>
            <w:tcBorders>
              <w:bottom w:val="single" w:sz="8" w:color="E6E6E6"/>
            </w:tcBorders>
            <w:shd w:val="clear" w:color="auto" w:fill="F2F2F2"/>
          </w:tcPr>
          <w:p>
            <w:pPr>
              <w:jc w:val="center"/>
              <w:ind w:left="148"/>
              <w:spacing w:after="0"/>
              <w:rPr>
                <w:sz w:val="20"/>
                <w:szCs w:val="20"/>
                <w:color w:val="auto"/>
              </w:rPr>
            </w:pPr>
            <w:r>
              <w:rPr>
                <w:rFonts w:ascii="Arial" w:cs="Arial" w:eastAsia="Arial" w:hAnsi="Arial"/>
                <w:sz w:val="14"/>
                <w:szCs w:val="14"/>
                <w:color w:val="auto"/>
              </w:rPr>
              <w:t>11.0%</w:t>
            </w:r>
          </w:p>
        </w:tc>
        <w:tc>
          <w:tcPr>
            <w:tcW w:w="1460" w:type="dxa"/>
            <w:vAlign w:val="bottom"/>
            <w:tcBorders>
              <w:bottom w:val="single" w:sz="8" w:color="E6E6E6"/>
            </w:tcBorders>
            <w:shd w:val="clear" w:color="auto" w:fill="F2F2F2"/>
          </w:tcPr>
          <w:p>
            <w:pPr>
              <w:jc w:val="center"/>
              <w:ind w:left="248"/>
              <w:spacing w:after="0"/>
              <w:rPr>
                <w:sz w:val="20"/>
                <w:szCs w:val="20"/>
                <w:color w:val="auto"/>
              </w:rPr>
            </w:pPr>
            <w:r>
              <w:rPr>
                <w:rFonts w:ascii="Arial" w:cs="Arial" w:eastAsia="Arial" w:hAnsi="Arial"/>
                <w:sz w:val="14"/>
                <w:szCs w:val="14"/>
                <w:color w:val="auto"/>
              </w:rPr>
              <w:t>170 bps</w:t>
            </w:r>
          </w:p>
        </w:tc>
        <w:tc>
          <w:tcPr>
            <w:tcW w:w="1560" w:type="dxa"/>
            <w:vAlign w:val="bottom"/>
            <w:tcBorders>
              <w:bottom w:val="single" w:sz="8" w:color="E6E6E6"/>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4280" w:type="dxa"/>
            <w:vAlign w:val="bottom"/>
            <w:tcBorders>
              <w:bottom w:val="single" w:sz="8" w:color="E6E6E6"/>
            </w:tcBorders>
          </w:tcPr>
          <w:p>
            <w:pPr>
              <w:ind w:left="40"/>
              <w:spacing w:after="0"/>
              <w:rPr>
                <w:sz w:val="20"/>
                <w:szCs w:val="20"/>
                <w:color w:val="auto"/>
              </w:rPr>
            </w:pPr>
            <w:r>
              <w:rPr>
                <w:rFonts w:ascii="Arial" w:cs="Arial" w:eastAsia="Arial" w:hAnsi="Arial"/>
                <w:sz w:val="14"/>
                <w:szCs w:val="14"/>
                <w:b w:val="1"/>
                <w:bCs w:val="1"/>
                <w:color w:val="auto"/>
              </w:rPr>
              <w:t>GAAP EPS</w:t>
            </w:r>
          </w:p>
        </w:tc>
        <w:tc>
          <w:tcPr>
            <w:tcW w:w="1680" w:type="dxa"/>
            <w:vAlign w:val="bottom"/>
            <w:tcBorders>
              <w:bottom w:val="single" w:sz="8" w:color="E6E6E6"/>
            </w:tcBorders>
          </w:tcPr>
          <w:p>
            <w:pPr>
              <w:jc w:val="center"/>
              <w:spacing w:after="0"/>
              <w:rPr>
                <w:sz w:val="20"/>
                <w:szCs w:val="20"/>
                <w:color w:val="auto"/>
              </w:rPr>
            </w:pPr>
            <w:r>
              <w:rPr>
                <w:rFonts w:ascii="Arial" w:cs="Arial" w:eastAsia="Arial" w:hAnsi="Arial"/>
                <w:sz w:val="14"/>
                <w:szCs w:val="14"/>
                <w:b w:val="1"/>
                <w:bCs w:val="1"/>
                <w:color w:val="auto"/>
              </w:rPr>
              <w:t>$ 0.77</w:t>
            </w:r>
          </w:p>
        </w:tc>
        <w:tc>
          <w:tcPr>
            <w:tcW w:w="1460" w:type="dxa"/>
            <w:vAlign w:val="bottom"/>
            <w:tcBorders>
              <w:bottom w:val="single" w:sz="8" w:color="E6E6E6"/>
            </w:tcBorders>
          </w:tcPr>
          <w:p>
            <w:pPr>
              <w:jc w:val="center"/>
              <w:ind w:left="148"/>
              <w:spacing w:after="0"/>
              <w:rPr>
                <w:sz w:val="20"/>
                <w:szCs w:val="20"/>
                <w:color w:val="auto"/>
              </w:rPr>
            </w:pPr>
            <w:r>
              <w:rPr>
                <w:rFonts w:ascii="Arial" w:cs="Arial" w:eastAsia="Arial" w:hAnsi="Arial"/>
                <w:sz w:val="14"/>
                <w:szCs w:val="14"/>
                <w:b w:val="1"/>
                <w:bCs w:val="1"/>
                <w:color w:val="auto"/>
              </w:rPr>
              <w:t>$ 0.42</w:t>
            </w:r>
          </w:p>
        </w:tc>
        <w:tc>
          <w:tcPr>
            <w:tcW w:w="1460" w:type="dxa"/>
            <w:vAlign w:val="bottom"/>
            <w:tcBorders>
              <w:bottom w:val="single" w:sz="8" w:color="E6E6E6"/>
            </w:tcBorders>
          </w:tcPr>
          <w:p>
            <w:pPr>
              <w:jc w:val="center"/>
              <w:ind w:left="228"/>
              <w:spacing w:after="0"/>
              <w:rPr>
                <w:sz w:val="20"/>
                <w:szCs w:val="20"/>
                <w:color w:val="auto"/>
              </w:rPr>
            </w:pPr>
            <w:r>
              <w:rPr>
                <w:rFonts w:ascii="Arial" w:cs="Arial" w:eastAsia="Arial" w:hAnsi="Arial"/>
                <w:sz w:val="14"/>
                <w:szCs w:val="14"/>
                <w:b w:val="1"/>
                <w:bCs w:val="1"/>
                <w:color w:val="auto"/>
              </w:rPr>
              <w:t>$ 0.35</w:t>
            </w:r>
          </w:p>
        </w:tc>
        <w:tc>
          <w:tcPr>
            <w:tcW w:w="1560" w:type="dxa"/>
            <w:vAlign w:val="bottom"/>
            <w:tcBorders>
              <w:bottom w:val="single" w:sz="8" w:color="E6E6E6"/>
            </w:tcBorders>
          </w:tcPr>
          <w:p>
            <w:pPr>
              <w:jc w:val="center"/>
              <w:ind w:left="28"/>
              <w:spacing w:after="0"/>
              <w:rPr>
                <w:sz w:val="20"/>
                <w:szCs w:val="20"/>
                <w:color w:val="auto"/>
              </w:rPr>
            </w:pPr>
            <w:r>
              <w:rPr>
                <w:rFonts w:ascii="Arial" w:cs="Arial" w:eastAsia="Arial" w:hAnsi="Arial"/>
                <w:sz w:val="14"/>
                <w:szCs w:val="14"/>
                <w:b w:val="1"/>
                <w:bCs w:val="1"/>
                <w:color w:val="auto"/>
              </w:rPr>
              <w:t>83%</w:t>
            </w:r>
          </w:p>
        </w:tc>
        <w:tc>
          <w:tcPr>
            <w:tcW w:w="0" w:type="dxa"/>
            <w:vAlign w:val="bottom"/>
          </w:tcPr>
          <w:p>
            <w:pPr>
              <w:spacing w:after="0"/>
              <w:rPr>
                <w:sz w:val="1"/>
                <w:szCs w:val="1"/>
                <w:color w:val="auto"/>
              </w:rPr>
            </w:pPr>
          </w:p>
        </w:tc>
      </w:tr>
      <w:tr>
        <w:trPr>
          <w:trHeight w:val="226"/>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EPS - Adjusted</w:t>
            </w:r>
            <w:r>
              <w:rPr>
                <w:rFonts w:ascii="Arial" w:cs="Arial" w:eastAsia="Arial" w:hAnsi="Arial"/>
                <w:sz w:val="17"/>
                <w:szCs w:val="17"/>
                <w:b w:val="1"/>
                <w:bCs w:val="1"/>
                <w:color w:val="auto"/>
                <w:vertAlign w:val="superscript"/>
              </w:rPr>
              <w:t>1</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$ 0.99</w:t>
            </w:r>
          </w:p>
        </w:tc>
        <w:tc>
          <w:tcPr>
            <w:tcW w:w="1460" w:type="dxa"/>
            <w:vAlign w:val="bottom"/>
          </w:tcPr>
          <w:p>
            <w:pPr>
              <w:jc w:val="center"/>
              <w:ind w:left="148"/>
              <w:spacing w:after="0"/>
              <w:rPr>
                <w:sz w:val="20"/>
                <w:szCs w:val="20"/>
                <w:color w:val="auto"/>
              </w:rPr>
            </w:pPr>
            <w:r>
              <w:rPr>
                <w:rFonts w:ascii="Arial" w:cs="Arial" w:eastAsia="Arial" w:hAnsi="Arial"/>
                <w:sz w:val="14"/>
                <w:szCs w:val="14"/>
                <w:b w:val="1"/>
                <w:bCs w:val="1"/>
                <w:color w:val="auto"/>
              </w:rPr>
              <w:t>$ 0.80</w:t>
            </w:r>
          </w:p>
        </w:tc>
        <w:tc>
          <w:tcPr>
            <w:tcW w:w="1460" w:type="dxa"/>
            <w:vAlign w:val="bottom"/>
          </w:tcPr>
          <w:p>
            <w:pPr>
              <w:jc w:val="center"/>
              <w:ind w:left="228"/>
              <w:spacing w:after="0"/>
              <w:rPr>
                <w:sz w:val="20"/>
                <w:szCs w:val="20"/>
                <w:color w:val="auto"/>
              </w:rPr>
            </w:pPr>
            <w:r>
              <w:rPr>
                <w:rFonts w:ascii="Arial" w:cs="Arial" w:eastAsia="Arial" w:hAnsi="Arial"/>
                <w:sz w:val="14"/>
                <w:szCs w:val="14"/>
                <w:b w:val="1"/>
                <w:bCs w:val="1"/>
                <w:color w:val="auto"/>
              </w:rPr>
              <w:t>$ 0.19</w:t>
            </w:r>
          </w:p>
        </w:tc>
        <w:tc>
          <w:tcPr>
            <w:tcW w:w="1560" w:type="dxa"/>
            <w:vAlign w:val="bottom"/>
          </w:tcPr>
          <w:p>
            <w:pPr>
              <w:jc w:val="center"/>
              <w:ind w:left="28"/>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(1) Refer to the “Non-GAAP Financial Measures” section of this release for a discussion of these non-GAAP measures and their reconciliation to the reported GAAP measures.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1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Key Business Highlights:</w:t>
      </w:r>
    </w:p>
    <w:p>
      <w:pPr>
        <w:spacing w:after="0" w:line="3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in revenue-generating initiatives including, but not limited to:</w:t>
      </w:r>
    </w:p>
    <w:p>
      <w:pPr>
        <w:spacing w:after="0" w:line="9" w:lineRule="exact"/>
        <w:rPr>
          <w:rFonts w:ascii="Arial" w:cs="Arial" w:eastAsia="Arial" w:hAnsi="Arial"/>
          <w:sz w:val="18"/>
          <w:szCs w:val="18"/>
          <w:color w:val="auto"/>
        </w:rPr>
      </w:pPr>
    </w:p>
    <w:p>
      <w:pPr>
        <w:ind w:left="720" w:right="220" w:hanging="334"/>
        <w:spacing w:after="0" w:line="250"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Adding new revenue streams for software and services targeting small and medium-sized businesses through partnerships with HP and American Express</w:t>
      </w:r>
    </w:p>
    <w:p>
      <w:pPr>
        <w:ind w:left="720" w:right="480" w:hanging="334"/>
        <w:spacing w:after="0" w:line="250"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Expanding Xerox Business Solutions’ (XBS) IT Services capabilities to capitalize on this growing $95 billion market in the United States</w:t>
      </w:r>
    </w:p>
    <w:p>
      <w:pPr>
        <w:ind w:left="720" w:right="560" w:hanging="334"/>
        <w:spacing w:after="0" w:line="250"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Acquiring two new multi-brand dealers, Rabbit Office Automation and Heritage Business Systems, to grow XBS’ foothold in key markets</w:t>
      </w:r>
    </w:p>
    <w:p>
      <w:pPr>
        <w:ind w:left="720" w:right="440" w:hanging="334"/>
        <w:spacing w:after="0" w:line="250"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Launching new products such as the </w:t>
      </w:r>
      <w:r>
        <w:rPr>
          <w:rFonts w:ascii="Arial" w:cs="Arial" w:eastAsia="Arial" w:hAnsi="Arial"/>
          <w:sz w:val="18"/>
          <w:szCs w:val="18"/>
          <w:i w:val="1"/>
          <w:iCs w:val="1"/>
          <w:color w:val="auto"/>
        </w:rPr>
        <w:t>Xerox Baltoro™ HF Inkjet Press</w:t>
      </w:r>
      <w:r>
        <w:rPr>
          <w:rFonts w:ascii="Arial" w:cs="Arial" w:eastAsia="Arial" w:hAnsi="Arial"/>
          <w:sz w:val="18"/>
          <w:szCs w:val="18"/>
          <w:color w:val="auto"/>
        </w:rPr>
        <w:t xml:space="preserve"> and the Xerox Adaptive CMYK Plus Technology to capture incremental production volume</w:t>
      </w: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and renewed several multi-year contracts with Fortune 500 and public sector clients such as Morgan Stanley, the Commonwealth of Massachusetts and the County of San Diego</w:t>
      </w:r>
    </w:p>
    <w:p>
      <w:pPr>
        <w:ind w:left="340" w:right="88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track to drive gross savings in 2019 of at least $640 million under Project Own It, Xerox’s enterprise-wide initiative to simplify operations, drive continuous improvement and free up capital to reinvest in the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Xerox</w:t>
      </w:r>
    </w:p>
    <w:p>
      <w:pPr>
        <w:spacing w:after="0" w:line="3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 xml:space="preserve">In the era of intelligent work, we’re not just thinking about the future, we’re making it. </w:t>
      </w:r>
      <w:r>
        <w:rPr>
          <w:rFonts w:ascii="Arial" w:cs="Arial" w:eastAsia="Arial" w:hAnsi="Arial"/>
          <w:sz w:val="18"/>
          <w:szCs w:val="18"/>
          <w:u w:val="single" w:color="auto"/>
          <w:color w:val="D92130"/>
        </w:rPr>
        <w:t>Xerox Corporation</w:t>
      </w:r>
      <w:r>
        <w:rPr>
          <w:rFonts w:ascii="Arial" w:cs="Arial" w:eastAsia="Arial" w:hAnsi="Arial"/>
          <w:sz w:val="18"/>
          <w:szCs w:val="18"/>
          <w:color w:val="auto"/>
        </w:rPr>
        <w:t xml:space="preserve"> is a technology leader focused on the intersection of digital and physical. We use automation and next-generation personalization to redefine productivity, drive growth and make the world more secure. Every day, our innovative technologies and intelligent work solutions-Powered by Xerox </w:t>
      </w:r>
      <w:r>
        <w:rPr>
          <w:rFonts w:ascii="Arial" w:cs="Arial" w:eastAsia="Arial" w:hAnsi="Arial"/>
          <w:sz w:val="21"/>
          <w:szCs w:val="21"/>
          <w:color w:val="auto"/>
          <w:vertAlign w:val="superscript"/>
        </w:rPr>
        <w:t>®</w:t>
      </w:r>
      <w:r>
        <w:rPr>
          <w:rFonts w:ascii="Arial" w:cs="Arial" w:eastAsia="Arial" w:hAnsi="Arial"/>
          <w:sz w:val="18"/>
          <w:szCs w:val="18"/>
          <w:color w:val="auto"/>
        </w:rPr>
        <w:t xml:space="preserve">-help people communicate and work better. Discover more at </w:t>
      </w:r>
      <w:r>
        <w:rPr>
          <w:rFonts w:ascii="Arial" w:cs="Arial" w:eastAsia="Arial" w:hAnsi="Arial"/>
          <w:sz w:val="18"/>
          <w:szCs w:val="18"/>
          <w:u w:val="single" w:color="auto"/>
          <w:color w:val="D92130"/>
        </w:rPr>
        <w:t>www.xerox.com</w:t>
      </w:r>
      <w:r>
        <w:rPr>
          <w:rFonts w:ascii="Arial" w:cs="Arial" w:eastAsia="Arial" w:hAnsi="Arial"/>
          <w:sz w:val="18"/>
          <w:szCs w:val="18"/>
          <w:color w:val="auto"/>
        </w:rPr>
        <w:t xml:space="preserve"> and follow us on Twitter at </w:t>
      </w:r>
      <w:r>
        <w:rPr>
          <w:rFonts w:ascii="Arial" w:cs="Arial" w:eastAsia="Arial" w:hAnsi="Arial"/>
          <w:sz w:val="18"/>
          <w:szCs w:val="18"/>
          <w:u w:val="single" w:color="auto"/>
          <w:color w:val="D92130"/>
        </w:rPr>
        <w:t>@Xerox</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This release refers to the following non-GAAP financial measures for the second quarter 2019 and 2018 and full-year 2019 guidance:</w:t>
      </w:r>
    </w:p>
    <w:p>
      <w:pPr>
        <w:spacing w:after="0" w:line="9" w:lineRule="exact"/>
        <w:rPr>
          <w:sz w:val="20"/>
          <w:szCs w:val="20"/>
          <w:color w:val="auto"/>
        </w:rPr>
      </w:pPr>
    </w:p>
    <w:p>
      <w:pPr>
        <w:ind w:left="340" w:right="7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EPS, which excludes restructuring and related costs (including our share of Fuji Xerox restructuring), the amortization of intangible assets, transaction and related costs, net, and non-service retirement-related costs.</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operating margin and income, which exclude the EPS adjustments noted above as well as the remainder of other expenses, net.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Constant currency (CC) revenue growth, which excludes the effects of currency translation.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which is cash flow from operations less capital expenditures.</w:t>
      </w:r>
    </w:p>
    <w:p>
      <w:pPr>
        <w:spacing w:after="0" w:line="2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Refer to the “Non-GAAP Financial Measures” section of this release for a discussion of these non-GAAP measures and their reconciliation to the reported GAAP measures.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60" w:right="279" w:bottom="1440" w:gutter="0" w:footer="0" w:header="0"/>
        </w:sectPr>
      </w:pPr>
    </w:p>
    <w:bookmarkStart w:id="7" w:name="page8"/>
    <w:bookmarkEnd w:id="7"/>
    <w:p>
      <w:pPr>
        <w:spacing w:after="0" w:line="251" w:lineRule="auto"/>
        <w:rPr>
          <w:sz w:val="20"/>
          <w:szCs w:val="20"/>
          <w:color w:val="auto"/>
        </w:rPr>
      </w:pPr>
      <w:r>
        <w:rPr>
          <w:rFonts w:ascii="Arial" w:cs="Arial" w:eastAsia="Arial" w:hAnsi="Arial"/>
          <w:sz w:val="18"/>
          <w:szCs w:val="18"/>
          <w:color w:val="auto"/>
        </w:rPr>
        <w:t>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potential termination or restructuring of our relationship with Fujifilm Holdings Corporation; the proposed holding company reorganization; the occurrence and timing of any closing of the proposed holding company reorganization; the shared services arrangements entered into by the Company as part of Project Own It; any potential strategic transaction involving our customer financing business and/or related assets; and other factors that are set forth in the “Risk Factors” section, the “Legal Proceedings” section, the “Management’s Discussion and Analysis of Financial Condition and Results of Operations” section and other sections of our 2018 Annual Report on Form 10-K, as well as in our Quarterly Reports on Form 10-Q and our Current Reports on Form 8-K filed with the SEC. 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-XXX-</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Caroline Gransee-Linsey, Xerox, +1-203-849-2359, </w:t>
      </w:r>
      <w:r>
        <w:rPr>
          <w:rFonts w:ascii="Arial" w:cs="Arial" w:eastAsia="Arial" w:hAnsi="Arial"/>
          <w:sz w:val="18"/>
          <w:szCs w:val="18"/>
          <w:u w:val="single" w:color="auto"/>
          <w:color w:val="D92130"/>
        </w:rPr>
        <w:t>Caroline.Gransee-Linsey@xerox.com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Ann Pettrone, Xerox, +1-203-849-2590, </w:t>
      </w:r>
      <w:r>
        <w:rPr>
          <w:rFonts w:ascii="Arial" w:cs="Arial" w:eastAsia="Arial" w:hAnsi="Arial"/>
          <w:sz w:val="18"/>
          <w:szCs w:val="18"/>
          <w:u w:val="single" w:color="auto"/>
          <w:color w:val="D92130"/>
        </w:rPr>
        <w:t>Ann.Pettrone@xerox.com</w:t>
      </w:r>
    </w:p>
    <w:p>
      <w:pPr>
        <w:spacing w:after="0" w:line="203"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To receive RSS news feeds,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D92130"/>
        </w:rPr>
        <w:t>https://www.news.xerox.com</w:t>
      </w:r>
      <w:r>
        <w:rPr>
          <w:rFonts w:ascii="Arial" w:cs="Arial" w:eastAsia="Arial" w:hAnsi="Arial"/>
          <w:sz w:val="18"/>
          <w:szCs w:val="18"/>
          <w:color w:val="auto"/>
        </w:rPr>
        <w:t>. For open commentary, industry perspectives and views,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D92130"/>
        </w:rPr>
        <w:t>http://twitter.com/xerox,</w:t>
      </w:r>
      <w:r>
        <w:rPr>
          <w:rFonts w:ascii="Arial" w:cs="Arial" w:eastAsia="Arial" w:hAnsi="Arial"/>
          <w:sz w:val="18"/>
          <w:szCs w:val="18"/>
          <w:color w:val="D92130"/>
        </w:rPr>
        <w:t xml:space="preserve"> </w:t>
      </w:r>
      <w:r>
        <w:rPr>
          <w:rFonts w:ascii="Arial" w:cs="Arial" w:eastAsia="Arial" w:hAnsi="Arial"/>
          <w:sz w:val="18"/>
          <w:szCs w:val="18"/>
          <w:u w:val="single" w:color="auto"/>
          <w:color w:val="0000FF"/>
        </w:rPr>
        <w:t>http://www.facebook.com/XeroxCorp</w:t>
      </w:r>
      <w:r>
        <w:rPr>
          <w:rFonts w:ascii="Arial" w:cs="Arial" w:eastAsia="Arial" w:hAnsi="Arial"/>
          <w:sz w:val="18"/>
          <w:szCs w:val="18"/>
          <w:color w:val="000000"/>
        </w:rPr>
        <w:t>,</w:t>
      </w:r>
      <w:r>
        <w:rPr>
          <w:rFonts w:ascii="Arial" w:cs="Arial" w:eastAsia="Arial" w:hAnsi="Arial"/>
          <w:sz w:val="18"/>
          <w:szCs w:val="18"/>
          <w:color w:val="D92130"/>
        </w:rPr>
        <w:t xml:space="preserve"> </w:t>
      </w:r>
      <w:r>
        <w:rPr>
          <w:rFonts w:ascii="Arial" w:cs="Arial" w:eastAsia="Arial" w:hAnsi="Arial"/>
          <w:sz w:val="18"/>
          <w:szCs w:val="18"/>
          <w:u w:val="single" w:color="auto"/>
          <w:color w:val="D92130"/>
        </w:rPr>
        <w:t>https://www.instagram.com/xerox/</w:t>
      </w:r>
      <w:r>
        <w:rPr>
          <w:rFonts w:ascii="Arial" w:cs="Arial" w:eastAsia="Arial" w:hAnsi="Arial"/>
          <w:sz w:val="18"/>
          <w:szCs w:val="18"/>
          <w:color w:val="000000"/>
        </w:rPr>
        <w:t>,</w:t>
      </w:r>
      <w:r>
        <w:rPr>
          <w:rFonts w:ascii="Arial" w:cs="Arial" w:eastAsia="Arial" w:hAnsi="Arial"/>
          <w:sz w:val="18"/>
          <w:szCs w:val="18"/>
          <w:color w:val="D92130"/>
        </w:rPr>
        <w:t xml:space="preserve"> </w:t>
      </w:r>
      <w:r>
        <w:rPr>
          <w:rFonts w:ascii="Arial" w:cs="Arial" w:eastAsia="Arial" w:hAnsi="Arial"/>
          <w:sz w:val="18"/>
          <w:szCs w:val="18"/>
          <w:u w:val="single" w:color="auto"/>
          <w:color w:val="D92130"/>
        </w:rPr>
        <w:t>http://www.linkedin.com/company/xerox</w:t>
      </w:r>
      <w:r>
        <w:rPr>
          <w:rFonts w:ascii="Arial" w:cs="Arial" w:eastAsia="Arial" w:hAnsi="Arial"/>
          <w:sz w:val="18"/>
          <w:szCs w:val="18"/>
          <w:color w:val="000000"/>
        </w:rPr>
        <w:t>,</w:t>
      </w:r>
      <w:r>
        <w:rPr>
          <w:rFonts w:ascii="Arial" w:cs="Arial" w:eastAsia="Arial" w:hAnsi="Arial"/>
          <w:sz w:val="18"/>
          <w:szCs w:val="18"/>
          <w:color w:val="D92130"/>
        </w:rPr>
        <w:t xml:space="preserve"> </w:t>
      </w:r>
      <w:r>
        <w:rPr>
          <w:rFonts w:ascii="Arial" w:cs="Arial" w:eastAsia="Arial" w:hAnsi="Arial"/>
          <w:sz w:val="18"/>
          <w:szCs w:val="18"/>
          <w:u w:val="single" w:color="auto"/>
          <w:color w:val="D92130"/>
        </w:rPr>
        <w:t>http://www.youtube.com/XeroxCorp</w:t>
      </w:r>
      <w:r>
        <w:rPr>
          <w:rFonts w:ascii="Arial" w:cs="Arial" w:eastAsia="Arial" w:hAnsi="Arial"/>
          <w:sz w:val="18"/>
          <w:szCs w:val="18"/>
          <w:color w:val="000000"/>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Xerox</w:t>
      </w:r>
      <w:r>
        <w:rPr>
          <w:rFonts w:ascii="Arial" w:cs="Arial" w:eastAsia="Arial" w:hAnsi="Arial"/>
          <w:sz w:val="21"/>
          <w:szCs w:val="21"/>
          <w:color w:val="auto"/>
          <w:vertAlign w:val="superscript"/>
        </w:rPr>
        <w:t>®</w:t>
      </w:r>
      <w:r>
        <w:rPr>
          <w:rFonts w:ascii="Arial" w:cs="Arial" w:eastAsia="Arial" w:hAnsi="Arial"/>
          <w:sz w:val="18"/>
          <w:szCs w:val="18"/>
          <w:color w:val="auto"/>
        </w:rPr>
        <w:t>, Baltoro™ and Powered by Xerox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trademarks of Xerox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8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DA2031"/>
        </w:rPr>
        <w:t>XEROX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INCOME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ind w:left="26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528"/>
              <w:spacing w:after="0"/>
              <w:rPr>
                <w:sz w:val="20"/>
                <w:szCs w:val="20"/>
                <w:color w:val="auto"/>
              </w:rPr>
            </w:pPr>
            <w:r>
              <w:rPr>
                <w:rFonts w:ascii="Arial" w:cs="Arial" w:eastAsia="Arial" w:hAnsi="Arial"/>
                <w:sz w:val="14"/>
                <w:szCs w:val="14"/>
                <w:color w:val="auto"/>
              </w:rPr>
              <w:t>Six Months Ended</w:t>
            </w:r>
          </w:p>
        </w:tc>
      </w:tr>
      <w:tr>
        <w:trPr>
          <w:trHeight w:val="178"/>
        </w:trPr>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5"/>
                <w:szCs w:val="15"/>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per-share data)</w:t>
            </w:r>
          </w:p>
        </w:tc>
        <w:tc>
          <w:tcPr>
            <w:tcW w:w="140" w:type="dxa"/>
            <w:vAlign w:val="bottom"/>
            <w:tcBorders>
              <w:bottom w:val="single" w:sz="8" w:color="E5E5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E5E5E5"/>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2018</w:t>
            </w:r>
          </w:p>
        </w:tc>
      </w:tr>
      <w:tr>
        <w:trPr>
          <w:trHeight w:val="270"/>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E5E5E5"/>
          </w:tcPr>
          <w:p>
            <w:pPr>
              <w:spacing w:after="0"/>
              <w:rPr>
                <w:sz w:val="23"/>
                <w:szCs w:val="23"/>
                <w:color w:val="auto"/>
              </w:rPr>
            </w:pPr>
          </w:p>
        </w:tc>
        <w:tc>
          <w:tcPr>
            <w:tcW w:w="9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8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240" w:type="dxa"/>
            <w:vAlign w:val="bottom"/>
            <w:shd w:val="clear" w:color="auto" w:fill="E5E5E5"/>
          </w:tcPr>
          <w:p>
            <w:pPr>
              <w:spacing w:after="0"/>
              <w:rPr>
                <w:sz w:val="23"/>
                <w:szCs w:val="23"/>
                <w:color w:val="auto"/>
              </w:rPr>
            </w:pPr>
          </w:p>
        </w:tc>
        <w:tc>
          <w:tcPr>
            <w:tcW w:w="88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800" w:type="dxa"/>
            <w:vAlign w:val="bottom"/>
            <w:shd w:val="clear" w:color="auto" w:fill="E5E5E5"/>
          </w:tcPr>
          <w:p>
            <w:pPr>
              <w:spacing w:after="0"/>
              <w:rPr>
                <w:sz w:val="23"/>
                <w:szCs w:val="23"/>
                <w:color w:val="auto"/>
              </w:rPr>
            </w:pPr>
          </w:p>
        </w:tc>
      </w:tr>
      <w:tr>
        <w:trPr>
          <w:trHeight w:val="270"/>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Sales</w:t>
            </w:r>
            <w:r>
              <w:rPr>
                <w:rFonts w:ascii="Arial" w:cs="Arial" w:eastAsia="Arial" w:hAnsi="Arial"/>
                <w:sz w:val="17"/>
                <w:szCs w:val="17"/>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825</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1,575</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1,772</w:t>
            </w:r>
          </w:p>
        </w:tc>
      </w:tr>
      <w:tr>
        <w:trPr>
          <w:trHeight w:val="270"/>
        </w:trPr>
        <w:tc>
          <w:tcPr>
            <w:tcW w:w="654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Services, maintenance and rentals</w:t>
            </w:r>
            <w:r>
              <w:rPr>
                <w:rFonts w:ascii="Arial" w:cs="Arial" w:eastAsia="Arial" w:hAnsi="Arial"/>
                <w:sz w:val="17"/>
                <w:szCs w:val="17"/>
                <w:color w:val="auto"/>
                <w:vertAlign w:val="superscript"/>
              </w:rPr>
              <w:t>(1)</w:t>
            </w:r>
          </w:p>
        </w:tc>
        <w:tc>
          <w:tcPr>
            <w:tcW w:w="260" w:type="dxa"/>
            <w:vAlign w:val="bottom"/>
            <w:shd w:val="clear" w:color="auto" w:fill="E5E5E5"/>
          </w:tcPr>
          <w:p>
            <w:pPr>
              <w:spacing w:after="0"/>
              <w:rPr>
                <w:sz w:val="23"/>
                <w:szCs w:val="23"/>
                <w:color w:val="auto"/>
              </w:rPr>
            </w:pP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1,403</w:t>
            </w: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1,515</w:t>
            </w:r>
          </w:p>
        </w:tc>
        <w:tc>
          <w:tcPr>
            <w:tcW w:w="120" w:type="dxa"/>
            <w:vAlign w:val="bottom"/>
            <w:shd w:val="clear" w:color="auto" w:fill="E5E5E5"/>
          </w:tcPr>
          <w:p>
            <w:pPr>
              <w:spacing w:after="0"/>
              <w:rPr>
                <w:sz w:val="23"/>
                <w:szCs w:val="23"/>
                <w:color w:val="auto"/>
              </w:rPr>
            </w:pPr>
          </w:p>
        </w:tc>
        <w:tc>
          <w:tcPr>
            <w:tcW w:w="240" w:type="dxa"/>
            <w:vAlign w:val="bottom"/>
            <w:shd w:val="clear" w:color="auto" w:fill="E5E5E5"/>
          </w:tcPr>
          <w:p>
            <w:pPr>
              <w:spacing w:after="0"/>
              <w:rPr>
                <w:sz w:val="23"/>
                <w:szCs w:val="23"/>
                <w:color w:val="auto"/>
              </w:rPr>
            </w:pPr>
          </w:p>
        </w:tc>
        <w:tc>
          <w:tcPr>
            <w:tcW w:w="8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2,796</w:t>
            </w:r>
          </w:p>
        </w:tc>
        <w:tc>
          <w:tcPr>
            <w:tcW w:w="10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8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3,034</w:t>
            </w:r>
          </w:p>
        </w:tc>
      </w:tr>
      <w:tr>
        <w:trPr>
          <w:trHeight w:val="264"/>
        </w:trPr>
        <w:tc>
          <w:tcPr>
            <w:tcW w:w="654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color w:val="auto"/>
              </w:rPr>
              <w:t>Financing</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E5E5E5"/>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w:t>
            </w:r>
          </w:p>
        </w:tc>
      </w:tr>
      <w:tr>
        <w:trPr>
          <w:trHeight w:val="256"/>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Revenues</w:t>
            </w:r>
          </w:p>
        </w:tc>
        <w:tc>
          <w:tcPr>
            <w:tcW w:w="260" w:type="dxa"/>
            <w:vAlign w:val="bottom"/>
            <w:tcBorders>
              <w:bottom w:val="single" w:sz="8" w:color="auto"/>
            </w:tcBorders>
            <w:shd w:val="clear" w:color="auto" w:fill="E5E5E5"/>
          </w:tcPr>
          <w:p>
            <w:pPr>
              <w:spacing w:after="0"/>
              <w:rPr>
                <w:sz w:val="22"/>
                <w:szCs w:val="22"/>
                <w:color w:val="auto"/>
              </w:rPr>
            </w:pPr>
          </w:p>
        </w:tc>
        <w:tc>
          <w:tcPr>
            <w:tcW w:w="9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2,289</w:t>
            </w:r>
          </w:p>
        </w:tc>
        <w:tc>
          <w:tcPr>
            <w:tcW w:w="120" w:type="dxa"/>
            <w:vAlign w:val="bottom"/>
            <w:shd w:val="clear" w:color="auto" w:fill="E5E5E5"/>
          </w:tcPr>
          <w:p>
            <w:pPr>
              <w:spacing w:after="0"/>
              <w:rPr>
                <w:sz w:val="22"/>
                <w:szCs w:val="22"/>
                <w:color w:val="auto"/>
              </w:rPr>
            </w:pPr>
          </w:p>
        </w:tc>
        <w:tc>
          <w:tcPr>
            <w:tcW w:w="320" w:type="dxa"/>
            <w:vAlign w:val="bottom"/>
            <w:tcBorders>
              <w:bottom w:val="single" w:sz="8" w:color="auto"/>
            </w:tcBorders>
            <w:shd w:val="clear" w:color="auto" w:fill="E5E5E5"/>
          </w:tcPr>
          <w:p>
            <w:pPr>
              <w:spacing w:after="0"/>
              <w:rPr>
                <w:sz w:val="22"/>
                <w:szCs w:val="22"/>
                <w:color w:val="auto"/>
              </w:rPr>
            </w:pPr>
          </w:p>
        </w:tc>
        <w:tc>
          <w:tcPr>
            <w:tcW w:w="8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2,510</w:t>
            </w:r>
          </w:p>
        </w:tc>
        <w:tc>
          <w:tcPr>
            <w:tcW w:w="120" w:type="dxa"/>
            <w:vAlign w:val="bottom"/>
            <w:shd w:val="clear" w:color="auto" w:fill="E5E5E5"/>
          </w:tcPr>
          <w:p>
            <w:pPr>
              <w:spacing w:after="0"/>
              <w:rPr>
                <w:sz w:val="22"/>
                <w:szCs w:val="22"/>
                <w:color w:val="auto"/>
              </w:rPr>
            </w:pPr>
          </w:p>
        </w:tc>
        <w:tc>
          <w:tcPr>
            <w:tcW w:w="240" w:type="dxa"/>
            <w:vAlign w:val="bottom"/>
            <w:tcBorders>
              <w:bottom w:val="single" w:sz="8" w:color="auto"/>
            </w:tcBorders>
            <w:shd w:val="clear" w:color="auto" w:fill="E5E5E5"/>
          </w:tcPr>
          <w:p>
            <w:pPr>
              <w:spacing w:after="0"/>
              <w:rPr>
                <w:sz w:val="22"/>
                <w:szCs w:val="22"/>
                <w:color w:val="auto"/>
              </w:rPr>
            </w:pPr>
          </w:p>
        </w:tc>
        <w:tc>
          <w:tcPr>
            <w:tcW w:w="8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4,495</w:t>
            </w:r>
          </w:p>
        </w:tc>
        <w:tc>
          <w:tcPr>
            <w:tcW w:w="100" w:type="dxa"/>
            <w:vAlign w:val="bottom"/>
            <w:shd w:val="clear" w:color="auto" w:fill="E5E5E5"/>
          </w:tcPr>
          <w:p>
            <w:pPr>
              <w:spacing w:after="0"/>
              <w:rPr>
                <w:sz w:val="22"/>
                <w:szCs w:val="22"/>
                <w:color w:val="auto"/>
              </w:rPr>
            </w:pPr>
          </w:p>
        </w:tc>
        <w:tc>
          <w:tcPr>
            <w:tcW w:w="320" w:type="dxa"/>
            <w:vAlign w:val="bottom"/>
            <w:tcBorders>
              <w:bottom w:val="single" w:sz="8" w:color="auto"/>
            </w:tcBorders>
            <w:shd w:val="clear" w:color="auto" w:fill="E5E5E5"/>
          </w:tcPr>
          <w:p>
            <w:pPr>
              <w:spacing w:after="0"/>
              <w:rPr>
                <w:sz w:val="22"/>
                <w:szCs w:val="22"/>
                <w:color w:val="auto"/>
              </w:rPr>
            </w:pPr>
          </w:p>
        </w:tc>
        <w:tc>
          <w:tcPr>
            <w:tcW w:w="8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4,945</w:t>
            </w:r>
          </w:p>
        </w:tc>
      </w:tr>
      <w:tr>
        <w:trPr>
          <w:trHeight w:val="258"/>
        </w:trPr>
        <w:tc>
          <w:tcPr>
            <w:tcW w:w="654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654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Cost of sales</w:t>
            </w:r>
            <w:r>
              <w:rPr>
                <w:rFonts w:ascii="Arial" w:cs="Arial" w:eastAsia="Arial" w:hAnsi="Arial"/>
                <w:sz w:val="17"/>
                <w:szCs w:val="17"/>
                <w:color w:val="auto"/>
                <w:vertAlign w:val="superscript"/>
              </w:rPr>
              <w:t>(1)</w:t>
            </w:r>
          </w:p>
        </w:tc>
        <w:tc>
          <w:tcPr>
            <w:tcW w:w="260" w:type="dxa"/>
            <w:vAlign w:val="bottom"/>
            <w:shd w:val="clear" w:color="auto" w:fill="E5E5E5"/>
          </w:tcPr>
          <w:p>
            <w:pPr>
              <w:spacing w:after="0"/>
              <w:rPr>
                <w:sz w:val="24"/>
                <w:szCs w:val="24"/>
                <w:color w:val="auto"/>
              </w:rPr>
            </w:pP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E5E5E5"/>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8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1,016</w:t>
            </w:r>
          </w:p>
        </w:tc>
        <w:tc>
          <w:tcPr>
            <w:tcW w:w="10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8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1,125</w:t>
            </w:r>
          </w:p>
        </w:tc>
      </w:tr>
      <w:tr>
        <w:trPr>
          <w:trHeight w:val="270"/>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Cost of services, maintenance and rentals</w:t>
            </w:r>
            <w:r>
              <w:rPr>
                <w:rFonts w:ascii="Arial" w:cs="Arial" w:eastAsia="Arial" w:hAnsi="Arial"/>
                <w:sz w:val="17"/>
                <w:szCs w:val="17"/>
                <w:color w:val="auto"/>
                <w:vertAlign w:val="superscript"/>
              </w:rPr>
              <w:t>(1)</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1,782</w:t>
            </w:r>
          </w:p>
        </w:tc>
      </w:tr>
      <w:tr>
        <w:trPr>
          <w:trHeight w:val="270"/>
        </w:trPr>
        <w:tc>
          <w:tcPr>
            <w:tcW w:w="654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Cost of financing</w:t>
            </w:r>
          </w:p>
        </w:tc>
        <w:tc>
          <w:tcPr>
            <w:tcW w:w="260" w:type="dxa"/>
            <w:vAlign w:val="bottom"/>
            <w:shd w:val="clear" w:color="auto" w:fill="E5E5E5"/>
          </w:tcPr>
          <w:p>
            <w:pPr>
              <w:spacing w:after="0"/>
              <w:rPr>
                <w:sz w:val="23"/>
                <w:szCs w:val="23"/>
                <w:color w:val="auto"/>
              </w:rPr>
            </w:pP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E5E5E5"/>
          </w:tcPr>
          <w:p>
            <w:pPr>
              <w:spacing w:after="0"/>
              <w:rPr>
                <w:sz w:val="23"/>
                <w:szCs w:val="23"/>
                <w:color w:val="auto"/>
              </w:rPr>
            </w:pPr>
          </w:p>
        </w:tc>
        <w:tc>
          <w:tcPr>
            <w:tcW w:w="240" w:type="dxa"/>
            <w:vAlign w:val="bottom"/>
            <w:shd w:val="clear" w:color="auto" w:fill="E5E5E5"/>
          </w:tcPr>
          <w:p>
            <w:pPr>
              <w:spacing w:after="0"/>
              <w:rPr>
                <w:sz w:val="23"/>
                <w:szCs w:val="23"/>
                <w:color w:val="auto"/>
              </w:rPr>
            </w:pPr>
          </w:p>
        </w:tc>
        <w:tc>
          <w:tcPr>
            <w:tcW w:w="8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8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67</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Research, development and engineering expenses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201</w:t>
            </w:r>
          </w:p>
        </w:tc>
      </w:tr>
      <w:tr>
        <w:trPr>
          <w:trHeight w:val="276"/>
        </w:trPr>
        <w:tc>
          <w:tcPr>
            <w:tcW w:w="654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Selling, administrative and general expenses</w:t>
            </w:r>
          </w:p>
        </w:tc>
        <w:tc>
          <w:tcPr>
            <w:tcW w:w="260" w:type="dxa"/>
            <w:vAlign w:val="bottom"/>
            <w:shd w:val="clear" w:color="auto" w:fill="E5E5E5"/>
          </w:tcPr>
          <w:p>
            <w:pPr>
              <w:spacing w:after="0"/>
              <w:rPr>
                <w:sz w:val="24"/>
                <w:szCs w:val="24"/>
                <w:color w:val="auto"/>
              </w:rPr>
            </w:pP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519</w:t>
            </w:r>
          </w:p>
        </w:tc>
        <w:tc>
          <w:tcPr>
            <w:tcW w:w="12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624</w:t>
            </w:r>
          </w:p>
        </w:tc>
        <w:tc>
          <w:tcPr>
            <w:tcW w:w="120" w:type="dxa"/>
            <w:vAlign w:val="bottom"/>
            <w:shd w:val="clear" w:color="auto" w:fill="E5E5E5"/>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8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1,067</w:t>
            </w:r>
          </w:p>
        </w:tc>
        <w:tc>
          <w:tcPr>
            <w:tcW w:w="10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8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1,252</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62</w:t>
            </w:r>
          </w:p>
        </w:tc>
      </w:tr>
      <w:tr>
        <w:trPr>
          <w:trHeight w:val="276"/>
        </w:trPr>
        <w:tc>
          <w:tcPr>
            <w:tcW w:w="654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shd w:val="clear" w:color="auto" w:fill="E5E5E5"/>
          </w:tcPr>
          <w:p>
            <w:pPr>
              <w:spacing w:after="0"/>
              <w:rPr>
                <w:sz w:val="24"/>
                <w:szCs w:val="24"/>
                <w:color w:val="auto"/>
              </w:rPr>
            </w:pP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E5E5E5"/>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8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8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Transaction and related costs, net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96</w:t>
            </w:r>
          </w:p>
        </w:tc>
      </w:tr>
      <w:tr>
        <w:trPr>
          <w:trHeight w:val="276"/>
        </w:trPr>
        <w:tc>
          <w:tcPr>
            <w:tcW w:w="654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Other expenses, net</w:t>
            </w:r>
          </w:p>
        </w:tc>
        <w:tc>
          <w:tcPr>
            <w:tcW w:w="260" w:type="dxa"/>
            <w:vAlign w:val="bottom"/>
            <w:tcBorders>
              <w:bottom w:val="single" w:sz="8" w:color="auto"/>
            </w:tcBorders>
            <w:shd w:val="clear" w:color="auto" w:fill="E5E5E5"/>
          </w:tcPr>
          <w:p>
            <w:pPr>
              <w:spacing w:after="0"/>
              <w:rPr>
                <w:sz w:val="24"/>
                <w:szCs w:val="24"/>
                <w:color w:val="auto"/>
              </w:rPr>
            </w:pPr>
          </w:p>
        </w:tc>
        <w:tc>
          <w:tcPr>
            <w:tcW w:w="9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spacing w:after="0"/>
              <w:rPr>
                <w:sz w:val="24"/>
                <w:szCs w:val="24"/>
                <w:color w:val="auto"/>
              </w:rPr>
            </w:pPr>
          </w:p>
        </w:tc>
        <w:tc>
          <w:tcPr>
            <w:tcW w:w="8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E5E5E5"/>
          </w:tcPr>
          <w:p>
            <w:pPr>
              <w:spacing w:after="0"/>
              <w:rPr>
                <w:sz w:val="24"/>
                <w:szCs w:val="24"/>
                <w:color w:val="auto"/>
              </w:rPr>
            </w:pPr>
          </w:p>
        </w:tc>
        <w:tc>
          <w:tcPr>
            <w:tcW w:w="240" w:type="dxa"/>
            <w:vAlign w:val="bottom"/>
            <w:tcBorders>
              <w:bottom w:val="single" w:sz="8" w:color="auto"/>
            </w:tcBorders>
            <w:shd w:val="clear" w:color="auto" w:fill="E5E5E5"/>
          </w:tcPr>
          <w:p>
            <w:pPr>
              <w:spacing w:after="0"/>
              <w:rPr>
                <w:sz w:val="24"/>
                <w:szCs w:val="24"/>
                <w:color w:val="auto"/>
              </w:rPr>
            </w:pPr>
          </w:p>
        </w:tc>
        <w:tc>
          <w:tcPr>
            <w:tcW w:w="8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spacing w:after="0"/>
              <w:rPr>
                <w:sz w:val="24"/>
                <w:szCs w:val="24"/>
                <w:color w:val="auto"/>
              </w:rPr>
            </w:pPr>
          </w:p>
        </w:tc>
        <w:tc>
          <w:tcPr>
            <w:tcW w:w="8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69</w:t>
            </w:r>
          </w:p>
        </w:tc>
      </w:tr>
      <w:tr>
        <w:trPr>
          <w:trHeight w:val="244"/>
        </w:trPr>
        <w:tc>
          <w:tcPr>
            <w:tcW w:w="654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2,089</w:t>
            </w:r>
          </w:p>
        </w:tc>
        <w:tc>
          <w:tcPr>
            <w:tcW w:w="12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2,377</w:t>
            </w:r>
          </w:p>
        </w:tc>
        <w:tc>
          <w:tcPr>
            <w:tcW w:w="120" w:type="dxa"/>
            <w:vAlign w:val="bottom"/>
            <w:tcBorders>
              <w:bottom w:val="single" w:sz="8" w:color="E5E5E5"/>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4,212</w:t>
            </w:r>
          </w:p>
        </w:tc>
        <w:tc>
          <w:tcPr>
            <w:tcW w:w="10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4,678</w:t>
            </w:r>
          </w:p>
        </w:tc>
      </w:tr>
      <w:tr>
        <w:trPr>
          <w:trHeight w:val="256"/>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Income before Income Taxes &amp; Equity Income</w:t>
            </w:r>
            <w:r>
              <w:rPr>
                <w:rFonts w:ascii="Arial" w:cs="Arial" w:eastAsia="Arial" w:hAnsi="Arial"/>
                <w:sz w:val="17"/>
                <w:szCs w:val="17"/>
                <w:b w:val="1"/>
                <w:bCs w:val="1"/>
                <w:color w:val="auto"/>
                <w:vertAlign w:val="superscript"/>
              </w:rPr>
              <w:t>(2)</w:t>
            </w:r>
          </w:p>
        </w:tc>
        <w:tc>
          <w:tcPr>
            <w:tcW w:w="260" w:type="dxa"/>
            <w:vAlign w:val="bottom"/>
            <w:shd w:val="clear" w:color="auto" w:fill="E5E5E5"/>
          </w:tcPr>
          <w:p>
            <w:pPr>
              <w:spacing w:after="0"/>
              <w:rPr>
                <w:sz w:val="22"/>
                <w:szCs w:val="22"/>
                <w:color w:val="auto"/>
              </w:rPr>
            </w:pP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c>
          <w:tcPr>
            <w:tcW w:w="8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8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267</w:t>
            </w:r>
          </w:p>
        </w:tc>
      </w:tr>
      <w:tr>
        <w:trPr>
          <w:trHeight w:val="264"/>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Income tax expense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78</w:t>
            </w:r>
          </w:p>
        </w:tc>
      </w:tr>
      <w:tr>
        <w:trPr>
          <w:trHeight w:val="276"/>
        </w:trPr>
        <w:tc>
          <w:tcPr>
            <w:tcW w:w="654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Equity in net income (loss) of unconsolidated affiliates</w:t>
            </w:r>
          </w:p>
        </w:tc>
        <w:tc>
          <w:tcPr>
            <w:tcW w:w="260" w:type="dxa"/>
            <w:vAlign w:val="bottom"/>
            <w:tcBorders>
              <w:bottom w:val="single" w:sz="8" w:color="auto"/>
            </w:tcBorders>
            <w:shd w:val="clear" w:color="auto" w:fill="E5E5E5"/>
          </w:tcPr>
          <w:p>
            <w:pPr>
              <w:spacing w:after="0"/>
              <w:rPr>
                <w:sz w:val="24"/>
                <w:szCs w:val="24"/>
                <w:color w:val="auto"/>
              </w:rPr>
            </w:pPr>
          </w:p>
        </w:tc>
        <w:tc>
          <w:tcPr>
            <w:tcW w:w="9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spacing w:after="0"/>
              <w:rPr>
                <w:sz w:val="24"/>
                <w:szCs w:val="24"/>
                <w:color w:val="auto"/>
              </w:rPr>
            </w:pPr>
          </w:p>
        </w:tc>
        <w:tc>
          <w:tcPr>
            <w:tcW w:w="8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E5E5E5"/>
          </w:tcPr>
          <w:p>
            <w:pPr>
              <w:spacing w:after="0"/>
              <w:rPr>
                <w:sz w:val="24"/>
                <w:szCs w:val="24"/>
                <w:color w:val="auto"/>
              </w:rPr>
            </w:pPr>
          </w:p>
        </w:tc>
        <w:tc>
          <w:tcPr>
            <w:tcW w:w="240" w:type="dxa"/>
            <w:vAlign w:val="bottom"/>
            <w:tcBorders>
              <w:bottom w:val="single" w:sz="8" w:color="auto"/>
            </w:tcBorders>
            <w:shd w:val="clear" w:color="auto" w:fill="E5E5E5"/>
          </w:tcPr>
          <w:p>
            <w:pPr>
              <w:spacing w:after="0"/>
              <w:rPr>
                <w:sz w:val="24"/>
                <w:szCs w:val="24"/>
                <w:color w:val="auto"/>
              </w:rPr>
            </w:pPr>
          </w:p>
        </w:tc>
        <w:tc>
          <w:tcPr>
            <w:tcW w:w="8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spacing w:after="0"/>
              <w:rPr>
                <w:sz w:val="24"/>
                <w:szCs w:val="24"/>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(49)</w:t>
            </w:r>
          </w:p>
        </w:tc>
      </w:tr>
      <w:tr>
        <w:trPr>
          <w:trHeight w:val="244"/>
        </w:trPr>
        <w:tc>
          <w:tcPr>
            <w:tcW w:w="654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76"/>
        </w:trPr>
        <w:tc>
          <w:tcPr>
            <w:tcW w:w="654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Less: Net income attributable to noncontrolling interests</w:t>
            </w:r>
          </w:p>
        </w:tc>
        <w:tc>
          <w:tcPr>
            <w:tcW w:w="260" w:type="dxa"/>
            <w:vAlign w:val="bottom"/>
            <w:tcBorders>
              <w:bottom w:val="single" w:sz="8" w:color="auto"/>
            </w:tcBorders>
            <w:shd w:val="clear" w:color="auto" w:fill="E5E5E5"/>
          </w:tcPr>
          <w:p>
            <w:pPr>
              <w:spacing w:after="0"/>
              <w:rPr>
                <w:sz w:val="24"/>
                <w:szCs w:val="24"/>
                <w:color w:val="auto"/>
              </w:rPr>
            </w:pPr>
          </w:p>
        </w:tc>
        <w:tc>
          <w:tcPr>
            <w:tcW w:w="9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spacing w:after="0"/>
              <w:rPr>
                <w:sz w:val="24"/>
                <w:szCs w:val="24"/>
                <w:color w:val="auto"/>
              </w:rPr>
            </w:pPr>
          </w:p>
        </w:tc>
        <w:tc>
          <w:tcPr>
            <w:tcW w:w="8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24"/>
                <w:szCs w:val="24"/>
                <w:color w:val="auto"/>
              </w:rPr>
            </w:pPr>
          </w:p>
        </w:tc>
        <w:tc>
          <w:tcPr>
            <w:tcW w:w="240" w:type="dxa"/>
            <w:vAlign w:val="bottom"/>
            <w:tcBorders>
              <w:bottom w:val="single" w:sz="8" w:color="auto"/>
            </w:tcBorders>
            <w:shd w:val="clear" w:color="auto" w:fill="E5E5E5"/>
          </w:tcPr>
          <w:p>
            <w:pPr>
              <w:spacing w:after="0"/>
              <w:rPr>
                <w:sz w:val="24"/>
                <w:szCs w:val="24"/>
                <w:color w:val="auto"/>
              </w:rPr>
            </w:pPr>
          </w:p>
        </w:tc>
        <w:tc>
          <w:tcPr>
            <w:tcW w:w="8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spacing w:after="0"/>
              <w:rPr>
                <w:sz w:val="24"/>
                <w:szCs w:val="24"/>
                <w:color w:val="auto"/>
              </w:rPr>
            </w:pPr>
          </w:p>
        </w:tc>
        <w:tc>
          <w:tcPr>
            <w:tcW w:w="8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5</w:t>
            </w:r>
          </w:p>
        </w:tc>
      </w:tr>
      <w:tr>
        <w:trPr>
          <w:trHeight w:val="277"/>
        </w:trPr>
        <w:tc>
          <w:tcPr>
            <w:tcW w:w="654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Net Income Attributable to Xerox</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Borders>
              <w:bottom w:val="single" w:sz="8" w:color="E5E5E5"/>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Borders>
              <w:bottom w:val="single" w:sz="8" w:color="E5E5E5"/>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E5E5E5"/>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w:t>
            </w:r>
          </w:p>
        </w:tc>
      </w:tr>
      <w:tr>
        <w:trPr>
          <w:trHeight w:val="251"/>
        </w:trPr>
        <w:tc>
          <w:tcPr>
            <w:tcW w:w="640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9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82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800" w:type="dxa"/>
            <w:vAlign w:val="bottom"/>
            <w:shd w:val="clear" w:color="auto" w:fill="E5E5E5"/>
          </w:tcPr>
          <w:p>
            <w:pPr>
              <w:spacing w:after="0"/>
              <w:rPr>
                <w:sz w:val="21"/>
                <w:szCs w:val="21"/>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Basic Earnings per Share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0.50</w:t>
            </w:r>
          </w:p>
        </w:tc>
      </w:tr>
      <w:tr>
        <w:trPr>
          <w:trHeight w:val="276"/>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Diluted Earnings per Share</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0.77</w:t>
            </w:r>
          </w:p>
        </w:tc>
        <w:tc>
          <w:tcPr>
            <w:tcW w:w="120" w:type="dxa"/>
            <w:vAlign w:val="bottom"/>
            <w:shd w:val="clear" w:color="auto" w:fill="E5E5E5"/>
          </w:tcPr>
          <w:p>
            <w:pPr>
              <w:spacing w:after="0"/>
              <w:rPr>
                <w:sz w:val="24"/>
                <w:szCs w:val="24"/>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0.42</w:t>
            </w:r>
          </w:p>
        </w:tc>
        <w:tc>
          <w:tcPr>
            <w:tcW w:w="120" w:type="dxa"/>
            <w:vAlign w:val="bottom"/>
            <w:shd w:val="clear" w:color="auto" w:fill="E5E5E5"/>
          </w:tcPr>
          <w:p>
            <w:pPr>
              <w:spacing w:after="0"/>
              <w:rPr>
                <w:sz w:val="24"/>
                <w:szCs w:val="24"/>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E5E5E5"/>
          </w:tcPr>
          <w:p>
            <w:pPr>
              <w:spacing w:after="0"/>
              <w:rPr>
                <w:sz w:val="24"/>
                <w:szCs w:val="24"/>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0.50</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____________________________</w:t>
      </w:r>
    </w:p>
    <w:p>
      <w:pPr>
        <w:spacing w:after="0" w:line="107"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i w:val="1"/>
          <w:iCs w:val="1"/>
          <w:color w:val="auto"/>
        </w:rPr>
      </w:pPr>
      <w:r>
        <w:rPr>
          <w:rFonts w:ascii="Arial" w:cs="Arial" w:eastAsia="Arial" w:hAnsi="Arial"/>
          <w:sz w:val="13"/>
          <w:szCs w:val="13"/>
          <w:i w:val="1"/>
          <w:iCs w:val="1"/>
          <w:color w:val="auto"/>
        </w:rPr>
        <w:t>Certain prior year amounts have been conformed to the current year presentation. See Appendix III for this change in presentation.</w:t>
      </w:r>
    </w:p>
    <w:p>
      <w:pPr>
        <w:spacing w:after="0" w:line="53" w:lineRule="exact"/>
        <w:rPr>
          <w:rFonts w:ascii="Arial" w:cs="Arial" w:eastAsia="Arial" w:hAnsi="Arial"/>
          <w:sz w:val="9"/>
          <w:szCs w:val="9"/>
          <w:i w:val="1"/>
          <w:iCs w:val="1"/>
          <w:color w:val="auto"/>
        </w:rPr>
      </w:pPr>
    </w:p>
    <w:p>
      <w:pPr>
        <w:ind w:left="160" w:hanging="152"/>
        <w:spacing w:after="0"/>
        <w:tabs>
          <w:tab w:leader="none" w:pos="160" w:val="left"/>
        </w:tabs>
        <w:numPr>
          <w:ilvl w:val="0"/>
          <w:numId w:val="5"/>
        </w:numPr>
        <w:rPr>
          <w:rFonts w:ascii="Arial" w:cs="Arial" w:eastAsia="Arial" w:hAnsi="Arial"/>
          <w:sz w:val="9"/>
          <w:szCs w:val="9"/>
          <w:i w:val="1"/>
          <w:iCs w:val="1"/>
          <w:color w:val="auto"/>
        </w:rPr>
      </w:pPr>
      <w:r>
        <w:rPr>
          <w:rFonts w:ascii="Arial" w:cs="Arial" w:eastAsia="Arial" w:hAnsi="Arial"/>
          <w:sz w:val="13"/>
          <w:szCs w:val="13"/>
          <w:i w:val="1"/>
          <w:iCs w:val="1"/>
          <w:color w:val="auto"/>
        </w:rPr>
        <w:t>Referred to as “Pre-Tax Income” throughout the remainder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4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DA2031"/>
        </w:rPr>
        <w:t>XEROX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COMPREHENSIVE INCOME (LOSS)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5"/>
          </w:tcPr>
          <w:p>
            <w:pPr>
              <w:ind w:left="5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78"/>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5"/>
                <w:szCs w:val="15"/>
                <w:color w:val="auto"/>
              </w:rPr>
            </w:pPr>
          </w:p>
        </w:tc>
      </w:tr>
      <w:tr>
        <w:trPr>
          <w:trHeight w:val="264"/>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E5E5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r>
      <w:tr>
        <w:trPr>
          <w:trHeight w:val="256"/>
        </w:trPr>
        <w:tc>
          <w:tcPr>
            <w:tcW w:w="51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E5E5E5"/>
          </w:tcPr>
          <w:p>
            <w:pPr>
              <w:spacing w:after="0"/>
              <w:rPr>
                <w:sz w:val="22"/>
                <w:szCs w:val="22"/>
                <w:color w:val="auto"/>
              </w:rPr>
            </w:pPr>
          </w:p>
        </w:tc>
        <w:tc>
          <w:tcPr>
            <w:tcW w:w="4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E5E5E5"/>
          </w:tcPr>
          <w:p>
            <w:pPr>
              <w:spacing w:after="0"/>
              <w:rPr>
                <w:sz w:val="22"/>
                <w:szCs w:val="22"/>
                <w:color w:val="auto"/>
              </w:rPr>
            </w:pPr>
          </w:p>
        </w:tc>
        <w:tc>
          <w:tcPr>
            <w:tcW w:w="5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140</w:t>
            </w:r>
          </w:p>
        </w:tc>
      </w:tr>
      <w:tr>
        <w:trPr>
          <w:trHeight w:val="264"/>
        </w:trPr>
        <w:tc>
          <w:tcPr>
            <w:tcW w:w="514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color w:val="auto"/>
              </w:rPr>
              <w:t>Less: Net income attributable to noncontrolling interests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E5E5E5"/>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5E5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E5E5E5"/>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r>
      <w:tr>
        <w:trPr>
          <w:trHeight w:val="250"/>
        </w:trPr>
        <w:tc>
          <w:tcPr>
            <w:tcW w:w="514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Net Income Attributable to Xerox</w:t>
            </w:r>
          </w:p>
        </w:tc>
        <w:tc>
          <w:tcPr>
            <w:tcW w:w="340" w:type="dxa"/>
            <w:vAlign w:val="bottom"/>
            <w:tcBorders>
              <w:bottom w:val="single" w:sz="8" w:color="auto"/>
            </w:tcBorders>
            <w:shd w:val="clear" w:color="auto" w:fill="E5E5E5"/>
          </w:tcPr>
          <w:p>
            <w:pPr>
              <w:spacing w:after="0"/>
              <w:rPr>
                <w:sz w:val="21"/>
                <w:szCs w:val="21"/>
                <w:color w:val="auto"/>
              </w:rPr>
            </w:pPr>
          </w:p>
        </w:tc>
        <w:tc>
          <w:tcPr>
            <w:tcW w:w="11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E5E5E5"/>
          </w:tcPr>
          <w:p>
            <w:pPr>
              <w:spacing w:after="0"/>
              <w:rPr>
                <w:sz w:val="21"/>
                <w:szCs w:val="21"/>
                <w:color w:val="auto"/>
              </w:rPr>
            </w:pPr>
          </w:p>
        </w:tc>
        <w:tc>
          <w:tcPr>
            <w:tcW w:w="400" w:type="dxa"/>
            <w:vAlign w:val="bottom"/>
            <w:tcBorders>
              <w:bottom w:val="single" w:sz="8" w:color="auto"/>
            </w:tcBorders>
            <w:shd w:val="clear" w:color="auto" w:fill="E5E5E5"/>
          </w:tcPr>
          <w:p>
            <w:pPr>
              <w:spacing w:after="0"/>
              <w:rPr>
                <w:sz w:val="21"/>
                <w:szCs w:val="21"/>
                <w:color w:val="auto"/>
              </w:rPr>
            </w:pPr>
          </w:p>
        </w:tc>
        <w:tc>
          <w:tcPr>
            <w:tcW w:w="11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spacing w:after="0"/>
              <w:rPr>
                <w:sz w:val="21"/>
                <w:szCs w:val="21"/>
                <w:color w:val="auto"/>
              </w:rPr>
            </w:pPr>
          </w:p>
        </w:tc>
        <w:tc>
          <w:tcPr>
            <w:tcW w:w="11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E5E5E5"/>
          </w:tcPr>
          <w:p>
            <w:pPr>
              <w:spacing w:after="0"/>
              <w:rPr>
                <w:sz w:val="21"/>
                <w:szCs w:val="21"/>
                <w:color w:val="auto"/>
              </w:rPr>
            </w:pPr>
          </w:p>
        </w:tc>
        <w:tc>
          <w:tcPr>
            <w:tcW w:w="540" w:type="dxa"/>
            <w:vAlign w:val="bottom"/>
            <w:tcBorders>
              <w:bottom w:val="single" w:sz="8" w:color="auto"/>
            </w:tcBorders>
            <w:shd w:val="clear" w:color="auto" w:fill="E5E5E5"/>
          </w:tcPr>
          <w:p>
            <w:pPr>
              <w:spacing w:after="0"/>
              <w:rPr>
                <w:sz w:val="21"/>
                <w:szCs w:val="21"/>
                <w:color w:val="auto"/>
              </w:rPr>
            </w:pPr>
          </w:p>
        </w:tc>
        <w:tc>
          <w:tcPr>
            <w:tcW w:w="9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135</w:t>
            </w:r>
          </w:p>
        </w:tc>
      </w:tr>
      <w:tr>
        <w:trPr>
          <w:trHeight w:val="243"/>
        </w:trPr>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4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Other Comprehensive (Loss) Income, Net</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110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540" w:type="dxa"/>
            <w:vAlign w:val="bottom"/>
            <w:shd w:val="clear" w:color="auto" w:fill="E5E5E5"/>
          </w:tcPr>
          <w:p>
            <w:pPr>
              <w:spacing w:after="0"/>
              <w:rPr>
                <w:sz w:val="23"/>
                <w:szCs w:val="23"/>
                <w:color w:val="auto"/>
              </w:rPr>
            </w:pPr>
          </w:p>
        </w:tc>
        <w:tc>
          <w:tcPr>
            <w:tcW w:w="920" w:type="dxa"/>
            <w:vAlign w:val="bottom"/>
            <w:shd w:val="clear" w:color="auto" w:fill="E5E5E5"/>
          </w:tcPr>
          <w:p>
            <w:pPr>
              <w:spacing w:after="0"/>
              <w:rPr>
                <w:sz w:val="23"/>
                <w:szCs w:val="23"/>
                <w:color w:val="auto"/>
              </w:rPr>
            </w:pPr>
          </w:p>
        </w:tc>
      </w:tr>
      <w:tr>
        <w:trPr>
          <w:trHeight w:val="264"/>
        </w:trPr>
        <w:tc>
          <w:tcPr>
            <w:tcW w:w="5140" w:type="dxa"/>
            <w:vAlign w:val="bottom"/>
            <w:gridSpan w:val="2"/>
          </w:tcPr>
          <w:p>
            <w:pPr>
              <w:ind w:left="380"/>
              <w:spacing w:after="0"/>
              <w:rPr>
                <w:sz w:val="20"/>
                <w:szCs w:val="20"/>
                <w:color w:val="auto"/>
              </w:rPr>
            </w:pPr>
            <w:r>
              <w:rPr>
                <w:rFonts w:ascii="Arial" w:cs="Arial" w:eastAsia="Arial" w:hAnsi="Arial"/>
                <w:sz w:val="14"/>
                <w:szCs w:val="14"/>
                <w:color w:val="auto"/>
              </w:rPr>
              <w:t>Translation adjustments, net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276"/>
        </w:trPr>
        <w:tc>
          <w:tcPr>
            <w:tcW w:w="514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Unrealized (losses) gains, net</w:t>
            </w:r>
          </w:p>
        </w:tc>
        <w:tc>
          <w:tcPr>
            <w:tcW w:w="340" w:type="dxa"/>
            <w:vAlign w:val="bottom"/>
            <w:shd w:val="clear" w:color="auto" w:fill="E5E5E5"/>
          </w:tcPr>
          <w:p>
            <w:pPr>
              <w:spacing w:after="0"/>
              <w:rPr>
                <w:sz w:val="24"/>
                <w:szCs w:val="24"/>
                <w:color w:val="auto"/>
              </w:rPr>
            </w:pPr>
          </w:p>
        </w:tc>
        <w:tc>
          <w:tcPr>
            <w:tcW w:w="128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24"/>
                <w:szCs w:val="24"/>
                <w:color w:val="auto"/>
              </w:rPr>
            </w:pPr>
          </w:p>
        </w:tc>
        <w:tc>
          <w:tcPr>
            <w:tcW w:w="540" w:type="dxa"/>
            <w:vAlign w:val="bottom"/>
            <w:shd w:val="clear" w:color="auto" w:fill="E5E5E5"/>
          </w:tcPr>
          <w:p>
            <w:pPr>
              <w:spacing w:after="0"/>
              <w:rPr>
                <w:sz w:val="24"/>
                <w:szCs w:val="24"/>
                <w:color w:val="auto"/>
              </w:rPr>
            </w:pP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14</w:t>
            </w:r>
          </w:p>
        </w:tc>
      </w:tr>
      <w:tr>
        <w:trPr>
          <w:trHeight w:val="264"/>
        </w:trPr>
        <w:tc>
          <w:tcPr>
            <w:tcW w:w="514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color w:val="auto"/>
              </w:rPr>
              <w:t>Changes in defined benefit plans, net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E5E5E5"/>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E5E5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E5E5E5"/>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w:t>
            </w:r>
          </w:p>
        </w:tc>
      </w:tr>
      <w:tr>
        <w:trPr>
          <w:trHeight w:val="250"/>
        </w:trPr>
        <w:tc>
          <w:tcPr>
            <w:tcW w:w="514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Other Comprehensive Income (Loss), Net Attributable to Xerox</w:t>
            </w:r>
          </w:p>
        </w:tc>
        <w:tc>
          <w:tcPr>
            <w:tcW w:w="340" w:type="dxa"/>
            <w:vAlign w:val="bottom"/>
            <w:tcBorders>
              <w:bottom w:val="single" w:sz="8" w:color="auto"/>
            </w:tcBorders>
            <w:shd w:val="clear" w:color="auto" w:fill="E5E5E5"/>
          </w:tcPr>
          <w:p>
            <w:pPr>
              <w:spacing w:after="0"/>
              <w:rPr>
                <w:sz w:val="21"/>
                <w:szCs w:val="21"/>
                <w:color w:val="auto"/>
              </w:rPr>
            </w:pPr>
          </w:p>
        </w:tc>
        <w:tc>
          <w:tcPr>
            <w:tcW w:w="11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E5E5E5"/>
          </w:tcPr>
          <w:p>
            <w:pPr>
              <w:spacing w:after="0"/>
              <w:rPr>
                <w:sz w:val="21"/>
                <w:szCs w:val="21"/>
                <w:color w:val="auto"/>
              </w:rPr>
            </w:pPr>
          </w:p>
        </w:tc>
        <w:tc>
          <w:tcPr>
            <w:tcW w:w="400" w:type="dxa"/>
            <w:vAlign w:val="bottom"/>
            <w:tcBorders>
              <w:bottom w:val="single" w:sz="8" w:color="auto"/>
            </w:tcBorders>
            <w:shd w:val="clear" w:color="auto" w:fill="E5E5E5"/>
          </w:tcPr>
          <w:p>
            <w:pPr>
              <w:spacing w:after="0"/>
              <w:rPr>
                <w:sz w:val="21"/>
                <w:szCs w:val="21"/>
                <w:color w:val="auto"/>
              </w:rPr>
            </w:pPr>
          </w:p>
        </w:tc>
        <w:tc>
          <w:tcPr>
            <w:tcW w:w="11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spacing w:after="0"/>
              <w:rPr>
                <w:sz w:val="21"/>
                <w:szCs w:val="21"/>
                <w:color w:val="auto"/>
              </w:rPr>
            </w:pPr>
          </w:p>
        </w:tc>
        <w:tc>
          <w:tcPr>
            <w:tcW w:w="11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E5E5E5"/>
          </w:tcPr>
          <w:p>
            <w:pPr>
              <w:spacing w:after="0"/>
              <w:rPr>
                <w:sz w:val="21"/>
                <w:szCs w:val="21"/>
                <w:color w:val="auto"/>
              </w:rPr>
            </w:pPr>
          </w:p>
        </w:tc>
        <w:tc>
          <w:tcPr>
            <w:tcW w:w="540" w:type="dxa"/>
            <w:vAlign w:val="bottom"/>
            <w:tcBorders>
              <w:bottom w:val="single" w:sz="8" w:color="auto"/>
            </w:tcBorders>
            <w:shd w:val="clear" w:color="auto" w:fill="E5E5E5"/>
          </w:tcPr>
          <w:p>
            <w:pPr>
              <w:spacing w:after="0"/>
              <w:rPr>
                <w:sz w:val="21"/>
                <w:szCs w:val="21"/>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(24)</w:t>
            </w:r>
          </w:p>
        </w:tc>
      </w:tr>
      <w:tr>
        <w:trPr>
          <w:trHeight w:val="243"/>
        </w:trPr>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4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Comprehensive Income (Loss), Net</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11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E5E5E5"/>
          </w:tcPr>
          <w:p>
            <w:pPr>
              <w:spacing w:after="0"/>
              <w:rPr>
                <w:sz w:val="23"/>
                <w:szCs w:val="23"/>
                <w:color w:val="auto"/>
              </w:rPr>
            </w:pPr>
          </w:p>
        </w:tc>
        <w:tc>
          <w:tcPr>
            <w:tcW w:w="540" w:type="dxa"/>
            <w:vAlign w:val="bottom"/>
            <w:shd w:val="clear" w:color="auto" w:fill="E5E5E5"/>
          </w:tcPr>
          <w:p>
            <w:pPr>
              <w:spacing w:after="0"/>
              <w:rPr>
                <w:sz w:val="23"/>
                <w:szCs w:val="23"/>
                <w:color w:val="auto"/>
              </w:rPr>
            </w:pP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116</w:t>
            </w:r>
          </w:p>
        </w:tc>
      </w:tr>
      <w:tr>
        <w:trPr>
          <w:trHeight w:val="194"/>
        </w:trPr>
        <w:tc>
          <w:tcPr>
            <w:tcW w:w="5140" w:type="dxa"/>
            <w:vAlign w:val="bottom"/>
            <w:gridSpan w:val="2"/>
          </w:tcPr>
          <w:p>
            <w:pPr>
              <w:ind w:left="380"/>
              <w:spacing w:after="0"/>
              <w:rPr>
                <w:sz w:val="20"/>
                <w:szCs w:val="20"/>
                <w:color w:val="auto"/>
              </w:rPr>
            </w:pPr>
            <w:r>
              <w:rPr>
                <w:rFonts w:ascii="Arial" w:cs="Arial" w:eastAsia="Arial" w:hAnsi="Arial"/>
                <w:sz w:val="14"/>
                <w:szCs w:val="14"/>
                <w:color w:val="auto"/>
              </w:rPr>
              <w:t>Less: Comprehensive income, net attributable to noncontrolling</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8"/>
        </w:trPr>
        <w:tc>
          <w:tcPr>
            <w:tcW w:w="514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color w:val="auto"/>
              </w:rPr>
              <w:t>interests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E5E5E5"/>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5E5E5"/>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E5E5E5"/>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r>
      <w:tr>
        <w:trPr>
          <w:trHeight w:val="243"/>
        </w:trPr>
        <w:tc>
          <w:tcPr>
            <w:tcW w:w="514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Comprehensive Income (Loss), Net Attributable to Xerox</w:t>
            </w:r>
          </w:p>
        </w:tc>
        <w:tc>
          <w:tcPr>
            <w:tcW w:w="34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E5E5E5"/>
            </w:tcBorders>
            <w:shd w:val="clear" w:color="auto" w:fill="E5E5E5"/>
          </w:tcPr>
          <w:p>
            <w:pPr>
              <w:spacing w:after="0"/>
              <w:rPr>
                <w:sz w:val="21"/>
                <w:szCs w:val="21"/>
                <w:color w:val="auto"/>
              </w:rPr>
            </w:pPr>
          </w:p>
        </w:tc>
        <w:tc>
          <w:tcPr>
            <w:tcW w:w="40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E5E5E5"/>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359</w:t>
            </w:r>
          </w:p>
        </w:tc>
        <w:tc>
          <w:tcPr>
            <w:tcW w:w="120" w:type="dxa"/>
            <w:vAlign w:val="bottom"/>
            <w:tcBorders>
              <w:bottom w:val="single" w:sz="8" w:color="E5E5E5"/>
            </w:tcBorders>
            <w:shd w:val="clear" w:color="auto" w:fill="E5E5E5"/>
          </w:tcPr>
          <w:p>
            <w:pPr>
              <w:spacing w:after="0"/>
              <w:rPr>
                <w:sz w:val="21"/>
                <w:szCs w:val="21"/>
                <w:color w:val="auto"/>
              </w:rPr>
            </w:pPr>
          </w:p>
        </w:tc>
        <w:tc>
          <w:tcPr>
            <w:tcW w:w="540" w:type="dxa"/>
            <w:vAlign w:val="bottom"/>
            <w:tcBorders>
              <w:bottom w:val="single" w:sz="8" w:color="auto"/>
            </w:tcBorders>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111</w:t>
            </w: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9"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DA2031"/>
        </w:rPr>
        <w:t>XEROX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BALANCE SHEETS (UNAUDITED)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share data in thousands)</w:t>
            </w:r>
          </w:p>
        </w:tc>
        <w:tc>
          <w:tcPr>
            <w:tcW w:w="12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June 30, 2019</w:t>
            </w:r>
          </w:p>
        </w:tc>
        <w:tc>
          <w:tcPr>
            <w:tcW w:w="12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204"/>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E5E5E5"/>
          </w:tcPr>
          <w:p>
            <w:pPr>
              <w:spacing w:after="0"/>
              <w:rPr>
                <w:sz w:val="17"/>
                <w:szCs w:val="17"/>
                <w:color w:val="auto"/>
              </w:rPr>
            </w:pPr>
          </w:p>
        </w:tc>
        <w:tc>
          <w:tcPr>
            <w:tcW w:w="14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5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780" w:type="dxa"/>
            <w:vAlign w:val="bottom"/>
            <w:shd w:val="clear" w:color="auto" w:fill="E5E5E5"/>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260" w:type="dxa"/>
            <w:vAlign w:val="bottom"/>
            <w:shd w:val="clear" w:color="auto" w:fill="E5E5E5"/>
          </w:tcPr>
          <w:p>
            <w:pPr>
              <w:spacing w:after="0"/>
              <w:rPr>
                <w:sz w:val="5"/>
                <w:szCs w:val="5"/>
                <w:color w:val="auto"/>
              </w:rPr>
            </w:pPr>
          </w:p>
        </w:tc>
        <w:tc>
          <w:tcPr>
            <w:tcW w:w="1460" w:type="dxa"/>
            <w:vAlign w:val="bottom"/>
            <w:shd w:val="clear" w:color="auto" w:fill="E5E5E5"/>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160" w:type="dxa"/>
            <w:vAlign w:val="bottom"/>
            <w:shd w:val="clear" w:color="auto" w:fill="E5E5E5"/>
          </w:tcPr>
          <w:p>
            <w:pPr>
              <w:spacing w:after="0"/>
              <w:rPr>
                <w:sz w:val="5"/>
                <w:szCs w:val="5"/>
                <w:color w:val="auto"/>
              </w:rPr>
            </w:pPr>
          </w:p>
        </w:tc>
        <w:tc>
          <w:tcPr>
            <w:tcW w:w="152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Accounts receivable, net</w:t>
            </w:r>
          </w:p>
        </w:tc>
        <w:tc>
          <w:tcPr>
            <w:tcW w:w="2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1,256</w:t>
            </w:r>
          </w:p>
        </w:tc>
        <w:tc>
          <w:tcPr>
            <w:tcW w:w="12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Billed portion of finance receivables, net</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Finance receivables, net</w:t>
            </w:r>
          </w:p>
        </w:tc>
        <w:tc>
          <w:tcPr>
            <w:tcW w:w="2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1,177</w:t>
            </w:r>
          </w:p>
        </w:tc>
        <w:tc>
          <w:tcPr>
            <w:tcW w:w="12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788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270"/>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E5E5E5"/>
          </w:tcPr>
          <w:p>
            <w:pPr>
              <w:spacing w:after="0"/>
              <w:rPr>
                <w:sz w:val="23"/>
                <w:szCs w:val="23"/>
                <w:color w:val="auto"/>
              </w:rPr>
            </w:pPr>
          </w:p>
        </w:tc>
        <w:tc>
          <w:tcPr>
            <w:tcW w:w="14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E5E5E5"/>
          </w:tcPr>
          <w:p>
            <w:pPr>
              <w:spacing w:after="0"/>
              <w:rPr>
                <w:sz w:val="23"/>
                <w:szCs w:val="23"/>
                <w:color w:val="auto"/>
              </w:rPr>
            </w:pPr>
          </w:p>
        </w:tc>
        <w:tc>
          <w:tcPr>
            <w:tcW w:w="160" w:type="dxa"/>
            <w:vAlign w:val="bottom"/>
            <w:tcBorders>
              <w:bottom w:val="single" w:sz="8" w:color="auto"/>
            </w:tcBorders>
            <w:shd w:val="clear" w:color="auto" w:fill="E5E5E5"/>
          </w:tcPr>
          <w:p>
            <w:pPr>
              <w:spacing w:after="0"/>
              <w:rPr>
                <w:sz w:val="23"/>
                <w:szCs w:val="23"/>
                <w:color w:val="auto"/>
              </w:rPr>
            </w:pP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50"/>
        </w:trPr>
        <w:tc>
          <w:tcPr>
            <w:tcW w:w="7900" w:type="dxa"/>
            <w:vAlign w:val="bottom"/>
            <w:gridSpan w:val="2"/>
          </w:tcPr>
          <w:p>
            <w:pPr>
              <w:ind w:left="38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4,237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4,695</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Finance receivables due after one year, net</w:t>
            </w:r>
          </w:p>
        </w:tc>
        <w:tc>
          <w:tcPr>
            <w:tcW w:w="2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2,064</w:t>
            </w:r>
          </w:p>
        </w:tc>
        <w:tc>
          <w:tcPr>
            <w:tcW w:w="12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2,149</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Equipment on operating leases, net</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Land, buildings and equipment, net</w:t>
            </w:r>
          </w:p>
        </w:tc>
        <w:tc>
          <w:tcPr>
            <w:tcW w:w="2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Investments in affiliates, at equity</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1,472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Intangible assets, net</w:t>
            </w:r>
          </w:p>
        </w:tc>
        <w:tc>
          <w:tcPr>
            <w:tcW w:w="2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3,887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3,867</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Deferred tax assets</w:t>
            </w:r>
          </w:p>
        </w:tc>
        <w:tc>
          <w:tcPr>
            <w:tcW w:w="2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1,219</w:t>
            </w:r>
          </w:p>
        </w:tc>
        <w:tc>
          <w:tcPr>
            <w:tcW w:w="120" w:type="dxa"/>
            <w:vAlign w:val="bottom"/>
            <w:tcBorders>
              <w:bottom w:val="single" w:sz="8" w:color="E5E5E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E5E5E5"/>
            </w:tcBorders>
            <w:gridSpan w:val="2"/>
            <w:shd w:val="clear" w:color="auto" w:fill="E5E5E5"/>
          </w:tcPr>
          <w:p>
            <w:pPr>
              <w:ind w:left="38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14,684</w:t>
            </w:r>
          </w:p>
        </w:tc>
        <w:tc>
          <w:tcPr>
            <w:tcW w:w="12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14,874</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90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Short-term debt and current portion of long-term debt</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866</w:t>
            </w:r>
          </w:p>
        </w:tc>
        <w:tc>
          <w:tcPr>
            <w:tcW w:w="120" w:type="dxa"/>
            <w:vAlign w:val="bottom"/>
            <w:shd w:val="clear" w:color="auto" w:fill="E5E5E5"/>
          </w:tcPr>
          <w:p>
            <w:pPr>
              <w:spacing w:after="0"/>
              <w:rPr>
                <w:sz w:val="24"/>
                <w:szCs w:val="24"/>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1,052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Accrued compensation and benefits costs</w:t>
            </w:r>
          </w:p>
        </w:tc>
        <w:tc>
          <w:tcPr>
            <w:tcW w:w="2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946</w:t>
            </w:r>
          </w:p>
        </w:tc>
        <w:tc>
          <w:tcPr>
            <w:tcW w:w="120" w:type="dxa"/>
            <w:vAlign w:val="bottom"/>
            <w:tcBorders>
              <w:bottom w:val="single" w:sz="8" w:color="E5E5E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56"/>
        </w:trPr>
        <w:tc>
          <w:tcPr>
            <w:tcW w:w="790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E5E5E5"/>
          </w:tcPr>
          <w:p>
            <w:pPr>
              <w:spacing w:after="0"/>
              <w:rPr>
                <w:sz w:val="22"/>
                <w:szCs w:val="22"/>
                <w:color w:val="auto"/>
              </w:rPr>
            </w:pPr>
          </w:p>
        </w:tc>
        <w:tc>
          <w:tcPr>
            <w:tcW w:w="14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3,176</w:t>
            </w:r>
          </w:p>
        </w:tc>
        <w:tc>
          <w:tcPr>
            <w:tcW w:w="12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3,251</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3,962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4,269</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Pension and other benefit liabilities</w:t>
            </w:r>
          </w:p>
        </w:tc>
        <w:tc>
          <w:tcPr>
            <w:tcW w:w="2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1,502</w:t>
            </w:r>
          </w:p>
        </w:tc>
        <w:tc>
          <w:tcPr>
            <w:tcW w:w="12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Post-retirement medical benefits</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shd w:val="clear" w:color="auto" w:fill="E5E5E5"/>
          </w:tcPr>
          <w:p>
            <w:pPr>
              <w:spacing w:after="0"/>
              <w:rPr>
                <w:sz w:val="24"/>
                <w:szCs w:val="24"/>
                <w:color w:val="auto"/>
              </w:rPr>
            </w:pPr>
          </w:p>
        </w:tc>
        <w:tc>
          <w:tcPr>
            <w:tcW w:w="14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E5E5E5"/>
          </w:tcPr>
          <w:p>
            <w:pPr>
              <w:spacing w:after="0"/>
              <w:rPr>
                <w:sz w:val="24"/>
                <w:szCs w:val="24"/>
                <w:color w:val="auto"/>
              </w:rPr>
            </w:pPr>
          </w:p>
        </w:tc>
        <w:tc>
          <w:tcPr>
            <w:tcW w:w="160" w:type="dxa"/>
            <w:vAlign w:val="bottom"/>
            <w:tcBorders>
              <w:bottom w:val="single" w:sz="8" w:color="auto"/>
            </w:tcBorders>
            <w:shd w:val="clear" w:color="auto" w:fill="E5E5E5"/>
          </w:tcPr>
          <w:p>
            <w:pPr>
              <w:spacing w:after="0"/>
              <w:rPr>
                <w:sz w:val="24"/>
                <w:szCs w:val="24"/>
                <w:color w:val="auto"/>
              </w:rPr>
            </w:pP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9,478</w:t>
            </w:r>
          </w:p>
        </w:tc>
        <w:tc>
          <w:tcPr>
            <w:tcW w:w="120" w:type="dxa"/>
            <w:vAlign w:val="bottom"/>
            <w:tcBorders>
              <w:bottom w:val="single" w:sz="8" w:color="E5E5E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9,621</w:t>
            </w:r>
          </w:p>
        </w:tc>
        <w:tc>
          <w:tcPr>
            <w:tcW w:w="0" w:type="dxa"/>
            <w:vAlign w:val="bottom"/>
          </w:tcPr>
          <w:p>
            <w:pPr>
              <w:spacing w:after="0"/>
              <w:rPr>
                <w:sz w:val="1"/>
                <w:szCs w:val="1"/>
                <w:color w:val="auto"/>
              </w:rPr>
            </w:pPr>
          </w:p>
        </w:tc>
      </w:tr>
      <w:tr>
        <w:trPr>
          <w:trHeight w:val="243"/>
        </w:trPr>
        <w:tc>
          <w:tcPr>
            <w:tcW w:w="77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46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5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Convertible Preferred Stock</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E5E5E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43"/>
        </w:trPr>
        <w:tc>
          <w:tcPr>
            <w:tcW w:w="77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46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5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3,124</w:t>
            </w:r>
          </w:p>
        </w:tc>
        <w:tc>
          <w:tcPr>
            <w:tcW w:w="12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3,321</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Treasury stock, at cost</w:t>
            </w:r>
          </w:p>
        </w:tc>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Retained earnings</w:t>
            </w:r>
          </w:p>
        </w:tc>
        <w:tc>
          <w:tcPr>
            <w:tcW w:w="2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5,391</w:t>
            </w:r>
          </w:p>
        </w:tc>
        <w:tc>
          <w:tcPr>
            <w:tcW w:w="12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5,072</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(3,647)</w:t>
            </w:r>
          </w:p>
        </w:tc>
        <w:tc>
          <w:tcPr>
            <w:tcW w:w="120" w:type="dxa"/>
            <w:vAlign w:val="bottom"/>
            <w:tcBorders>
              <w:bottom w:val="single" w:sz="8" w:color="E5E5E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(3,565)</w:t>
            </w:r>
          </w:p>
        </w:tc>
        <w:tc>
          <w:tcPr>
            <w:tcW w:w="0" w:type="dxa"/>
            <w:vAlign w:val="bottom"/>
          </w:tcPr>
          <w:p>
            <w:pPr>
              <w:spacing w:after="0"/>
              <w:rPr>
                <w:sz w:val="1"/>
                <w:szCs w:val="1"/>
                <w:color w:val="auto"/>
              </w:rPr>
            </w:pPr>
          </w:p>
        </w:tc>
      </w:tr>
      <w:tr>
        <w:trPr>
          <w:trHeight w:val="256"/>
        </w:trPr>
        <w:tc>
          <w:tcPr>
            <w:tcW w:w="790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Xerox shareholders’ equity</w:t>
            </w:r>
          </w:p>
        </w:tc>
        <w:tc>
          <w:tcPr>
            <w:tcW w:w="260" w:type="dxa"/>
            <w:vAlign w:val="bottom"/>
            <w:shd w:val="clear" w:color="auto" w:fill="E5E5E5"/>
          </w:tcPr>
          <w:p>
            <w:pPr>
              <w:spacing w:after="0"/>
              <w:rPr>
                <w:sz w:val="22"/>
                <w:szCs w:val="22"/>
                <w:color w:val="auto"/>
              </w:rPr>
            </w:pPr>
          </w:p>
        </w:tc>
        <w:tc>
          <w:tcPr>
            <w:tcW w:w="14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4,962</w:t>
            </w:r>
          </w:p>
        </w:tc>
        <w:tc>
          <w:tcPr>
            <w:tcW w:w="12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5,005</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E5E5E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56"/>
        </w:trPr>
        <w:tc>
          <w:tcPr>
            <w:tcW w:w="7900" w:type="dxa"/>
            <w:vAlign w:val="bottom"/>
            <w:gridSpan w:val="2"/>
            <w:shd w:val="clear" w:color="auto" w:fill="E5E5E5"/>
          </w:tcPr>
          <w:p>
            <w:pPr>
              <w:ind w:left="380"/>
              <w:spacing w:after="0"/>
              <w:rPr>
                <w:sz w:val="20"/>
                <w:szCs w:val="20"/>
                <w:color w:val="auto"/>
              </w:rPr>
            </w:pPr>
            <w:r>
              <w:rPr>
                <w:rFonts w:ascii="Arial" w:cs="Arial" w:eastAsia="Arial" w:hAnsi="Arial"/>
                <w:sz w:val="14"/>
                <w:szCs w:val="14"/>
                <w:b w:val="1"/>
                <w:bCs w:val="1"/>
                <w:color w:val="auto"/>
              </w:rPr>
              <w:t>Total Equity</w:t>
            </w:r>
          </w:p>
        </w:tc>
        <w:tc>
          <w:tcPr>
            <w:tcW w:w="260" w:type="dxa"/>
            <w:vAlign w:val="bottom"/>
            <w:tcBorders>
              <w:bottom w:val="single" w:sz="8" w:color="auto"/>
            </w:tcBorders>
            <w:shd w:val="clear" w:color="auto" w:fill="E5E5E5"/>
          </w:tcPr>
          <w:p>
            <w:pPr>
              <w:spacing w:after="0"/>
              <w:rPr>
                <w:sz w:val="22"/>
                <w:szCs w:val="22"/>
                <w:color w:val="auto"/>
              </w:rPr>
            </w:pPr>
          </w:p>
        </w:tc>
        <w:tc>
          <w:tcPr>
            <w:tcW w:w="14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4,992</w:t>
            </w:r>
          </w:p>
        </w:tc>
        <w:tc>
          <w:tcPr>
            <w:tcW w:w="120" w:type="dxa"/>
            <w:vAlign w:val="bottom"/>
            <w:shd w:val="clear" w:color="auto" w:fill="E5E5E5"/>
          </w:tcPr>
          <w:p>
            <w:pPr>
              <w:spacing w:after="0"/>
              <w:rPr>
                <w:sz w:val="22"/>
                <w:szCs w:val="22"/>
                <w:color w:val="auto"/>
              </w:rPr>
            </w:pPr>
          </w:p>
        </w:tc>
        <w:tc>
          <w:tcPr>
            <w:tcW w:w="160" w:type="dxa"/>
            <w:vAlign w:val="bottom"/>
            <w:tcBorders>
              <w:bottom w:val="single" w:sz="8" w:color="auto"/>
            </w:tcBorders>
            <w:shd w:val="clear" w:color="auto" w:fill="E5E5E5"/>
          </w:tcPr>
          <w:p>
            <w:pPr>
              <w:spacing w:after="0"/>
              <w:rPr>
                <w:sz w:val="22"/>
                <w:szCs w:val="22"/>
                <w:color w:val="auto"/>
              </w:rPr>
            </w:pP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5,039</w:t>
            </w:r>
          </w:p>
        </w:tc>
        <w:tc>
          <w:tcPr>
            <w:tcW w:w="0" w:type="dxa"/>
            <w:vAlign w:val="bottom"/>
          </w:tcPr>
          <w:p>
            <w:pPr>
              <w:spacing w:after="0"/>
              <w:rPr>
                <w:sz w:val="1"/>
                <w:szCs w:val="1"/>
                <w:color w:val="auto"/>
              </w:rPr>
            </w:pPr>
          </w:p>
        </w:tc>
      </w:tr>
      <w:tr>
        <w:trPr>
          <w:trHeight w:val="277"/>
        </w:trPr>
        <w:tc>
          <w:tcPr>
            <w:tcW w:w="790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b w:val="1"/>
                <w:bCs w:val="1"/>
                <w:color w:val="auto"/>
              </w:rPr>
              <w:t>Total Liabilities and Equity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14,684</w:t>
            </w:r>
          </w:p>
        </w:tc>
        <w:tc>
          <w:tcPr>
            <w:tcW w:w="120" w:type="dxa"/>
            <w:vAlign w:val="bottom"/>
            <w:tcBorders>
              <w:bottom w:val="single" w:sz="8" w:color="E5E5E5"/>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14,874</w:t>
            </w:r>
          </w:p>
        </w:tc>
        <w:tc>
          <w:tcPr>
            <w:tcW w:w="0" w:type="dxa"/>
            <w:vAlign w:val="bottom"/>
          </w:tcPr>
          <w:p>
            <w:pPr>
              <w:spacing w:after="0"/>
              <w:rPr>
                <w:sz w:val="1"/>
                <w:szCs w:val="1"/>
                <w:color w:val="auto"/>
              </w:rPr>
            </w:pPr>
          </w:p>
        </w:tc>
      </w:tr>
      <w:tr>
        <w:trPr>
          <w:trHeight w:val="264"/>
        </w:trPr>
        <w:tc>
          <w:tcPr>
            <w:tcW w:w="778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260" w:type="dxa"/>
            <w:vAlign w:val="bottom"/>
            <w:shd w:val="clear" w:color="auto" w:fill="E5E5E5"/>
          </w:tcPr>
          <w:p>
            <w:pPr>
              <w:spacing w:after="0"/>
              <w:rPr>
                <w:sz w:val="22"/>
                <w:szCs w:val="22"/>
                <w:color w:val="auto"/>
              </w:rPr>
            </w:pPr>
          </w:p>
        </w:tc>
        <w:tc>
          <w:tcPr>
            <w:tcW w:w="146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52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Shares of common stock issued</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224,752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231,690</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Treasury stock</w:t>
            </w:r>
          </w:p>
        </w:tc>
        <w:tc>
          <w:tcPr>
            <w:tcW w:w="260" w:type="dxa"/>
            <w:vAlign w:val="bottom"/>
            <w:tcBorders>
              <w:bottom w:val="single" w:sz="8" w:color="auto"/>
            </w:tcBorders>
            <w:shd w:val="clear" w:color="auto" w:fill="E5E5E5"/>
          </w:tcPr>
          <w:p>
            <w:pPr>
              <w:spacing w:after="0"/>
              <w:rPr>
                <w:sz w:val="24"/>
                <w:szCs w:val="24"/>
                <w:color w:val="auto"/>
              </w:rPr>
            </w:pPr>
          </w:p>
        </w:tc>
        <w:tc>
          <w:tcPr>
            <w:tcW w:w="1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(3,965)</w:t>
            </w:r>
          </w:p>
        </w:tc>
        <w:tc>
          <w:tcPr>
            <w:tcW w:w="120" w:type="dxa"/>
            <w:vAlign w:val="bottom"/>
            <w:shd w:val="clear" w:color="auto" w:fill="E5E5E5"/>
          </w:tcPr>
          <w:p>
            <w:pPr>
              <w:spacing w:after="0"/>
              <w:rPr>
                <w:sz w:val="24"/>
                <w:szCs w:val="24"/>
                <w:color w:val="auto"/>
              </w:rPr>
            </w:pPr>
          </w:p>
        </w:tc>
        <w:tc>
          <w:tcPr>
            <w:tcW w:w="160" w:type="dxa"/>
            <w:vAlign w:val="bottom"/>
            <w:tcBorders>
              <w:bottom w:val="single" w:sz="8" w:color="auto"/>
            </w:tcBorders>
            <w:shd w:val="clear" w:color="auto" w:fill="E5E5E5"/>
          </w:tcPr>
          <w:p>
            <w:pPr>
              <w:spacing w:after="0"/>
              <w:rPr>
                <w:sz w:val="24"/>
                <w:szCs w:val="24"/>
                <w:color w:val="auto"/>
              </w:rPr>
            </w:pP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 of Common Stock Outstanding</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220,787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229,623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5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0" w:right="239" w:bottom="584"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DA2031"/>
        </w:rPr>
        <w:t>XEROX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CASH FLOWS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88"/>
              <w:spacing w:after="0"/>
              <w:rPr>
                <w:sz w:val="20"/>
                <w:szCs w:val="20"/>
                <w:color w:val="auto"/>
              </w:rPr>
            </w:pPr>
            <w:r>
              <w:rPr>
                <w:rFonts w:ascii="Arial" w:cs="Arial" w:eastAsia="Arial" w:hAnsi="Arial"/>
                <w:sz w:val="14"/>
                <w:szCs w:val="14"/>
                <w:color w:val="auto"/>
              </w:rPr>
              <w:t>Six Months Ended</w:t>
            </w:r>
          </w:p>
        </w:tc>
      </w:tr>
      <w:tr>
        <w:trPr>
          <w:trHeight w:val="178"/>
        </w:trPr>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5"/>
                <w:szCs w:val="15"/>
                <w:color w:val="auto"/>
              </w:rPr>
            </w:pP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E5E5E5"/>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r>
      <w:tr>
        <w:trPr>
          <w:trHeight w:val="270"/>
        </w:trPr>
        <w:tc>
          <w:tcPr>
            <w:tcW w:w="68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E5E5E5"/>
          </w:tcPr>
          <w:p>
            <w:pPr>
              <w:spacing w:after="0"/>
              <w:rPr>
                <w:sz w:val="23"/>
                <w:szCs w:val="23"/>
                <w:color w:val="auto"/>
              </w:rPr>
            </w:pPr>
          </w:p>
        </w:tc>
        <w:tc>
          <w:tcPr>
            <w:tcW w:w="10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28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200" w:type="dxa"/>
            <w:vAlign w:val="bottom"/>
            <w:shd w:val="clear" w:color="auto" w:fill="E5E5E5"/>
          </w:tcPr>
          <w:p>
            <w:pPr>
              <w:spacing w:after="0"/>
              <w:rPr>
                <w:sz w:val="23"/>
                <w:szCs w:val="23"/>
                <w:color w:val="auto"/>
              </w:rPr>
            </w:pPr>
          </w:p>
        </w:tc>
        <w:tc>
          <w:tcPr>
            <w:tcW w:w="70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640" w:type="dxa"/>
            <w:vAlign w:val="bottom"/>
            <w:shd w:val="clear" w:color="auto" w:fill="E5E5E5"/>
          </w:tcPr>
          <w:p>
            <w:pPr>
              <w:spacing w:after="0"/>
              <w:rPr>
                <w:sz w:val="23"/>
                <w:szCs w:val="23"/>
                <w:color w:val="auto"/>
              </w:rPr>
            </w:pPr>
          </w:p>
        </w:tc>
      </w:tr>
      <w:tr>
        <w:trPr>
          <w:trHeight w:val="264"/>
        </w:trPr>
        <w:tc>
          <w:tcPr>
            <w:tcW w:w="686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22"/>
                <w:szCs w:val="22"/>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76"/>
        </w:trPr>
        <w:tc>
          <w:tcPr>
            <w:tcW w:w="68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Adjustments required to reconcile Net Income to Cash flows from operating activities</w:t>
            </w:r>
          </w:p>
        </w:tc>
        <w:tc>
          <w:tcPr>
            <w:tcW w:w="300" w:type="dxa"/>
            <w:vAlign w:val="bottom"/>
            <w:shd w:val="clear" w:color="auto" w:fill="E5E5E5"/>
          </w:tcPr>
          <w:p>
            <w:pPr>
              <w:spacing w:after="0"/>
              <w:rPr>
                <w:sz w:val="24"/>
                <w:szCs w:val="24"/>
                <w:color w:val="auto"/>
              </w:rPr>
            </w:pPr>
          </w:p>
        </w:tc>
        <w:tc>
          <w:tcPr>
            <w:tcW w:w="100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86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640" w:type="dxa"/>
            <w:vAlign w:val="bottom"/>
            <w:shd w:val="clear" w:color="auto" w:fill="E5E5E5"/>
          </w:tcPr>
          <w:p>
            <w:pPr>
              <w:spacing w:after="0"/>
              <w:rPr>
                <w:sz w:val="24"/>
                <w:szCs w:val="24"/>
                <w:color w:val="auto"/>
              </w:rPr>
            </w:pP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276</w:t>
            </w:r>
          </w:p>
        </w:tc>
      </w:tr>
      <w:tr>
        <w:trPr>
          <w:trHeight w:val="276"/>
        </w:trPr>
        <w:tc>
          <w:tcPr>
            <w:tcW w:w="68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Provisions</w:t>
            </w:r>
          </w:p>
        </w:tc>
        <w:tc>
          <w:tcPr>
            <w:tcW w:w="30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40</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Net gain on sales of businesses and assets</w:t>
            </w:r>
          </w:p>
        </w:tc>
        <w:tc>
          <w:tcPr>
            <w:tcW w:w="3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76"/>
        </w:trPr>
        <w:tc>
          <w:tcPr>
            <w:tcW w:w="68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Undistributed equity in net income of unconsolidated affiliates</w:t>
            </w:r>
          </w:p>
        </w:tc>
        <w:tc>
          <w:tcPr>
            <w:tcW w:w="30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52</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29</w:t>
            </w:r>
          </w:p>
        </w:tc>
      </w:tr>
      <w:tr>
        <w:trPr>
          <w:trHeight w:val="276"/>
        </w:trPr>
        <w:tc>
          <w:tcPr>
            <w:tcW w:w="68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Restructuring and asset impairment charges</w:t>
            </w:r>
          </w:p>
        </w:tc>
        <w:tc>
          <w:tcPr>
            <w:tcW w:w="30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62</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Payments for restructurings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76"/>
        </w:trPr>
        <w:tc>
          <w:tcPr>
            <w:tcW w:w="68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Defined benefit pension cost</w:t>
            </w:r>
          </w:p>
        </w:tc>
        <w:tc>
          <w:tcPr>
            <w:tcW w:w="30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53</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Contributions to defined benefit pension plans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76"/>
        </w:trPr>
        <w:tc>
          <w:tcPr>
            <w:tcW w:w="68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(Increase) decrease in accounts receivable and billed portion of finance receivables</w:t>
            </w:r>
          </w:p>
        </w:tc>
        <w:tc>
          <w:tcPr>
            <w:tcW w:w="30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36</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Decrease (increase) in inventories</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76"/>
        </w:trPr>
        <w:tc>
          <w:tcPr>
            <w:tcW w:w="68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Increase in equipment on operating leases</w:t>
            </w:r>
          </w:p>
        </w:tc>
        <w:tc>
          <w:tcPr>
            <w:tcW w:w="30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(119)</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Decrease in finance receivables</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142</w:t>
            </w:r>
          </w:p>
        </w:tc>
      </w:tr>
      <w:tr>
        <w:trPr>
          <w:trHeight w:val="276"/>
        </w:trPr>
        <w:tc>
          <w:tcPr>
            <w:tcW w:w="68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Decrease in other current and long-term assets</w:t>
            </w:r>
          </w:p>
        </w:tc>
        <w:tc>
          <w:tcPr>
            <w:tcW w:w="30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(Decrease) increase in accounts payable</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43</w:t>
            </w:r>
          </w:p>
        </w:tc>
      </w:tr>
      <w:tr>
        <w:trPr>
          <w:trHeight w:val="276"/>
        </w:trPr>
        <w:tc>
          <w:tcPr>
            <w:tcW w:w="68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Decrease in accrued compensation</w:t>
            </w:r>
          </w:p>
        </w:tc>
        <w:tc>
          <w:tcPr>
            <w:tcW w:w="30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(101)</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Decrease in other current and long-term liabilities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6"/>
        </w:trPr>
        <w:tc>
          <w:tcPr>
            <w:tcW w:w="68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Net change in income tax assets and liabilities</w:t>
            </w:r>
          </w:p>
        </w:tc>
        <w:tc>
          <w:tcPr>
            <w:tcW w:w="30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41</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Net change in derivative assets and liabilities</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70"/>
        </w:trPr>
        <w:tc>
          <w:tcPr>
            <w:tcW w:w="68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Other operating, net</w:t>
            </w:r>
          </w:p>
        </w:tc>
        <w:tc>
          <w:tcPr>
            <w:tcW w:w="300" w:type="dxa"/>
            <w:vAlign w:val="bottom"/>
            <w:tcBorders>
              <w:bottom w:val="single" w:sz="8" w:color="auto"/>
            </w:tcBorders>
            <w:shd w:val="clear" w:color="auto" w:fill="E5E5E5"/>
          </w:tcPr>
          <w:p>
            <w:pPr>
              <w:spacing w:after="0"/>
              <w:rPr>
                <w:sz w:val="23"/>
                <w:szCs w:val="23"/>
                <w:color w:val="auto"/>
              </w:rPr>
            </w:pPr>
          </w:p>
        </w:tc>
        <w:tc>
          <w:tcPr>
            <w:tcW w:w="10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E5E5E5"/>
          </w:tcPr>
          <w:p>
            <w:pPr>
              <w:spacing w:after="0"/>
              <w:rPr>
                <w:sz w:val="23"/>
                <w:szCs w:val="23"/>
                <w:color w:val="auto"/>
              </w:rPr>
            </w:pPr>
          </w:p>
        </w:tc>
        <w:tc>
          <w:tcPr>
            <w:tcW w:w="280" w:type="dxa"/>
            <w:vAlign w:val="bottom"/>
            <w:tcBorders>
              <w:bottom w:val="single" w:sz="8" w:color="auto"/>
            </w:tcBorders>
            <w:shd w:val="clear" w:color="auto" w:fill="E5E5E5"/>
          </w:tcPr>
          <w:p>
            <w:pPr>
              <w:spacing w:after="0"/>
              <w:rPr>
                <w:sz w:val="23"/>
                <w:szCs w:val="23"/>
                <w:color w:val="auto"/>
              </w:rPr>
            </w:pPr>
          </w:p>
        </w:tc>
        <w:tc>
          <w:tcPr>
            <w:tcW w:w="8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E5E5E5"/>
          </w:tcPr>
          <w:p>
            <w:pPr>
              <w:spacing w:after="0"/>
              <w:rPr>
                <w:sz w:val="23"/>
                <w:szCs w:val="23"/>
                <w:color w:val="auto"/>
              </w:rPr>
            </w:pPr>
          </w:p>
        </w:tc>
        <w:tc>
          <w:tcPr>
            <w:tcW w:w="200" w:type="dxa"/>
            <w:vAlign w:val="bottom"/>
            <w:tcBorders>
              <w:bottom w:val="single" w:sz="8" w:color="auto"/>
            </w:tcBorders>
            <w:shd w:val="clear" w:color="auto" w:fill="E5E5E5"/>
          </w:tcPr>
          <w:p>
            <w:pPr>
              <w:spacing w:after="0"/>
              <w:rPr>
                <w:sz w:val="23"/>
                <w:szCs w:val="23"/>
                <w:color w:val="auto"/>
              </w:rPr>
            </w:pPr>
          </w:p>
        </w:tc>
        <w:tc>
          <w:tcPr>
            <w:tcW w:w="7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E5E5E5"/>
          </w:tcPr>
          <w:p>
            <w:pPr>
              <w:spacing w:after="0"/>
              <w:rPr>
                <w:sz w:val="23"/>
                <w:szCs w:val="23"/>
                <w:color w:val="auto"/>
              </w:rPr>
            </w:pPr>
          </w:p>
        </w:tc>
        <w:tc>
          <w:tcPr>
            <w:tcW w:w="260" w:type="dxa"/>
            <w:vAlign w:val="bottom"/>
            <w:tcBorders>
              <w:bottom w:val="single" w:sz="8" w:color="auto"/>
            </w:tcBorders>
            <w:shd w:val="clear" w:color="auto" w:fill="E5E5E5"/>
          </w:tcPr>
          <w:p>
            <w:pPr>
              <w:spacing w:after="0"/>
              <w:rPr>
                <w:sz w:val="23"/>
                <w:szCs w:val="23"/>
                <w:color w:val="auto"/>
              </w:rPr>
            </w:pPr>
          </w:p>
        </w:tc>
        <w:tc>
          <w:tcPr>
            <w:tcW w:w="6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32</w:t>
            </w:r>
          </w:p>
        </w:tc>
      </w:tr>
      <w:tr>
        <w:trPr>
          <w:trHeight w:val="250"/>
        </w:trPr>
        <w:tc>
          <w:tcPr>
            <w:tcW w:w="6860" w:type="dxa"/>
            <w:vAlign w:val="bottom"/>
            <w:gridSpan w:val="2"/>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451</w:t>
            </w:r>
          </w:p>
        </w:tc>
      </w:tr>
      <w:tr>
        <w:trPr>
          <w:trHeight w:val="276"/>
        </w:trPr>
        <w:tc>
          <w:tcPr>
            <w:tcW w:w="68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E5E5E5"/>
          </w:tcPr>
          <w:p>
            <w:pPr>
              <w:spacing w:after="0"/>
              <w:rPr>
                <w:sz w:val="24"/>
                <w:szCs w:val="24"/>
                <w:color w:val="auto"/>
              </w:rPr>
            </w:pPr>
          </w:p>
        </w:tc>
        <w:tc>
          <w:tcPr>
            <w:tcW w:w="100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86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640" w:type="dxa"/>
            <w:vAlign w:val="bottom"/>
            <w:shd w:val="clear" w:color="auto" w:fill="E5E5E5"/>
          </w:tcPr>
          <w:p>
            <w:pPr>
              <w:spacing w:after="0"/>
              <w:rPr>
                <w:sz w:val="24"/>
                <w:szCs w:val="24"/>
                <w:color w:val="auto"/>
              </w:rPr>
            </w:pP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Cost of additions to land, buildings, equipment and software</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6"/>
        </w:trPr>
        <w:tc>
          <w:tcPr>
            <w:tcW w:w="68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Proceeds from sales of businesses and assets</w:t>
            </w:r>
          </w:p>
        </w:tc>
        <w:tc>
          <w:tcPr>
            <w:tcW w:w="300" w:type="dxa"/>
            <w:vAlign w:val="bottom"/>
            <w:shd w:val="clear" w:color="auto" w:fill="E5E5E5"/>
          </w:tcPr>
          <w:p>
            <w:pPr>
              <w:spacing w:after="0"/>
              <w:rPr>
                <w:sz w:val="24"/>
                <w:szCs w:val="24"/>
                <w:color w:val="auto"/>
              </w:rPr>
            </w:pPr>
          </w:p>
        </w:tc>
        <w:tc>
          <w:tcPr>
            <w:tcW w:w="112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24"/>
                <w:szCs w:val="24"/>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Acquisitions, net of cash acquired</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8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Other investing, net</w:t>
            </w:r>
          </w:p>
        </w:tc>
        <w:tc>
          <w:tcPr>
            <w:tcW w:w="300" w:type="dxa"/>
            <w:vAlign w:val="bottom"/>
            <w:shd w:val="clear" w:color="auto" w:fill="E5E5E5"/>
          </w:tcPr>
          <w:p>
            <w:pPr>
              <w:spacing w:after="0"/>
              <w:rPr>
                <w:sz w:val="23"/>
                <w:szCs w:val="23"/>
                <w:color w:val="auto"/>
              </w:rPr>
            </w:pPr>
          </w:p>
        </w:tc>
        <w:tc>
          <w:tcPr>
            <w:tcW w:w="112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23"/>
                <w:szCs w:val="23"/>
                <w:color w:val="auto"/>
              </w:rPr>
            </w:pPr>
          </w:p>
        </w:tc>
        <w:tc>
          <w:tcPr>
            <w:tcW w:w="200" w:type="dxa"/>
            <w:vAlign w:val="bottom"/>
            <w:shd w:val="clear" w:color="auto" w:fill="E5E5E5"/>
          </w:tcPr>
          <w:p>
            <w:pPr>
              <w:spacing w:after="0"/>
              <w:rPr>
                <w:sz w:val="23"/>
                <w:szCs w:val="23"/>
                <w:color w:val="auto"/>
              </w:rPr>
            </w:pPr>
          </w:p>
        </w:tc>
        <w:tc>
          <w:tcPr>
            <w:tcW w:w="800" w:type="dxa"/>
            <w:vAlign w:val="bottom"/>
            <w:gridSpan w:val="2"/>
            <w:shd w:val="clear" w:color="auto" w:fill="E5E5E5"/>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23"/>
                <w:szCs w:val="23"/>
                <w:color w:val="auto"/>
              </w:rPr>
            </w:pPr>
          </w:p>
        </w:tc>
        <w:tc>
          <w:tcPr>
            <w:tcW w:w="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w:t>
            </w:r>
          </w:p>
        </w:tc>
      </w:tr>
      <w:tr>
        <w:trPr>
          <w:trHeight w:val="250"/>
        </w:trPr>
        <w:tc>
          <w:tcPr>
            <w:tcW w:w="6860" w:type="dxa"/>
            <w:vAlign w:val="bottom"/>
            <w:tcBorders>
              <w:bottom w:val="single" w:sz="8" w:color="E5E5E5"/>
            </w:tcBorders>
            <w:gridSpan w:val="2"/>
          </w:tcPr>
          <w:p>
            <w:pPr>
              <w:ind w:left="7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E5E5E5"/>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5E5E5"/>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E5E5E5"/>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70"/>
        </w:trPr>
        <w:tc>
          <w:tcPr>
            <w:tcW w:w="68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E5E5E5"/>
          </w:tcPr>
          <w:p>
            <w:pPr>
              <w:spacing w:after="0"/>
              <w:rPr>
                <w:sz w:val="23"/>
                <w:szCs w:val="23"/>
                <w:color w:val="auto"/>
              </w:rPr>
            </w:pPr>
          </w:p>
        </w:tc>
        <w:tc>
          <w:tcPr>
            <w:tcW w:w="10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28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200" w:type="dxa"/>
            <w:vAlign w:val="bottom"/>
            <w:shd w:val="clear" w:color="auto" w:fill="E5E5E5"/>
          </w:tcPr>
          <w:p>
            <w:pPr>
              <w:spacing w:after="0"/>
              <w:rPr>
                <w:sz w:val="23"/>
                <w:szCs w:val="23"/>
                <w:color w:val="auto"/>
              </w:rPr>
            </w:pPr>
          </w:p>
        </w:tc>
        <w:tc>
          <w:tcPr>
            <w:tcW w:w="70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640" w:type="dxa"/>
            <w:vAlign w:val="bottom"/>
            <w:shd w:val="clear" w:color="auto" w:fill="E5E5E5"/>
          </w:tcPr>
          <w:p>
            <w:pPr>
              <w:spacing w:after="0"/>
              <w:rPr>
                <w:sz w:val="23"/>
                <w:szCs w:val="23"/>
                <w:color w:val="auto"/>
              </w:rPr>
            </w:pP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Net proceeds (payments) on debt</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(306)</w:t>
            </w:r>
          </w:p>
        </w:tc>
      </w:tr>
      <w:tr>
        <w:trPr>
          <w:trHeight w:val="276"/>
        </w:trPr>
        <w:tc>
          <w:tcPr>
            <w:tcW w:w="68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Dividends</w:t>
            </w:r>
          </w:p>
        </w:tc>
        <w:tc>
          <w:tcPr>
            <w:tcW w:w="30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(135)</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Payments to acquire treasury stock, including fees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8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Other financing, net</w:t>
            </w:r>
          </w:p>
        </w:tc>
        <w:tc>
          <w:tcPr>
            <w:tcW w:w="300" w:type="dxa"/>
            <w:vAlign w:val="bottom"/>
            <w:tcBorders>
              <w:bottom w:val="single" w:sz="8" w:color="auto"/>
            </w:tcBorders>
            <w:shd w:val="clear" w:color="auto" w:fill="E5E5E5"/>
          </w:tcPr>
          <w:p>
            <w:pPr>
              <w:spacing w:after="0"/>
              <w:rPr>
                <w:sz w:val="23"/>
                <w:szCs w:val="23"/>
                <w:color w:val="auto"/>
              </w:rPr>
            </w:pPr>
          </w:p>
        </w:tc>
        <w:tc>
          <w:tcPr>
            <w:tcW w:w="10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E5E5E5"/>
          </w:tcPr>
          <w:p>
            <w:pPr>
              <w:spacing w:after="0"/>
              <w:rPr>
                <w:sz w:val="23"/>
                <w:szCs w:val="23"/>
                <w:color w:val="auto"/>
              </w:rPr>
            </w:pPr>
          </w:p>
        </w:tc>
        <w:tc>
          <w:tcPr>
            <w:tcW w:w="280" w:type="dxa"/>
            <w:vAlign w:val="bottom"/>
            <w:tcBorders>
              <w:bottom w:val="single" w:sz="8" w:color="auto"/>
            </w:tcBorders>
            <w:shd w:val="clear" w:color="auto" w:fill="E5E5E5"/>
          </w:tcPr>
          <w:p>
            <w:pPr>
              <w:spacing w:after="0"/>
              <w:rPr>
                <w:sz w:val="23"/>
                <w:szCs w:val="23"/>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23"/>
                <w:szCs w:val="23"/>
                <w:color w:val="auto"/>
              </w:rPr>
            </w:pPr>
          </w:p>
        </w:tc>
        <w:tc>
          <w:tcPr>
            <w:tcW w:w="200" w:type="dxa"/>
            <w:vAlign w:val="bottom"/>
            <w:tcBorders>
              <w:bottom w:val="single" w:sz="8" w:color="auto"/>
            </w:tcBorders>
            <w:shd w:val="clear" w:color="auto" w:fill="E5E5E5"/>
          </w:tcPr>
          <w:p>
            <w:pPr>
              <w:spacing w:after="0"/>
              <w:rPr>
                <w:sz w:val="23"/>
                <w:szCs w:val="23"/>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5E5E5"/>
          </w:tcPr>
          <w:p>
            <w:pPr>
              <w:spacing w:after="0"/>
              <w:rPr>
                <w:sz w:val="23"/>
                <w:szCs w:val="23"/>
                <w:color w:val="auto"/>
              </w:rPr>
            </w:pPr>
          </w:p>
        </w:tc>
        <w:tc>
          <w:tcPr>
            <w:tcW w:w="260" w:type="dxa"/>
            <w:vAlign w:val="bottom"/>
            <w:tcBorders>
              <w:bottom w:val="single" w:sz="8" w:color="auto"/>
            </w:tcBorders>
            <w:shd w:val="clear" w:color="auto" w:fill="E5E5E5"/>
          </w:tcPr>
          <w:p>
            <w:pPr>
              <w:spacing w:after="0"/>
              <w:rPr>
                <w:sz w:val="23"/>
                <w:szCs w:val="23"/>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(15)</w:t>
            </w:r>
          </w:p>
        </w:tc>
      </w:tr>
      <w:tr>
        <w:trPr>
          <w:trHeight w:val="250"/>
        </w:trPr>
        <w:tc>
          <w:tcPr>
            <w:tcW w:w="6860" w:type="dxa"/>
            <w:vAlign w:val="bottom"/>
            <w:tcBorders>
              <w:bottom w:val="single" w:sz="8" w:color="E5E5E5"/>
            </w:tcBorders>
            <w:gridSpan w:val="2"/>
          </w:tcPr>
          <w:p>
            <w:pPr>
              <w:ind w:left="680"/>
              <w:spacing w:after="0"/>
              <w:rPr>
                <w:sz w:val="20"/>
                <w:szCs w:val="20"/>
                <w:color w:val="auto"/>
              </w:rPr>
            </w:pPr>
            <w:r>
              <w:rPr>
                <w:rFonts w:ascii="Arial" w:cs="Arial" w:eastAsia="Arial" w:hAnsi="Arial"/>
                <w:sz w:val="14"/>
                <w:szCs w:val="14"/>
                <w:color w:val="auto"/>
              </w:rPr>
              <w:t>Net cash used in financing activities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E5E5E5"/>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E5E5E5"/>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Borders>
              <w:bottom w:val="single" w:sz="8" w:color="E5E5E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r>
      <w:tr>
        <w:trPr>
          <w:trHeight w:val="243"/>
        </w:trPr>
        <w:tc>
          <w:tcPr>
            <w:tcW w:w="674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300" w:type="dxa"/>
            <w:vAlign w:val="bottom"/>
            <w:tcBorders>
              <w:bottom w:val="single" w:sz="8" w:color="auto"/>
            </w:tcBorders>
            <w:shd w:val="clear" w:color="auto" w:fill="E5E5E5"/>
          </w:tcPr>
          <w:p>
            <w:pPr>
              <w:spacing w:after="0"/>
              <w:rPr>
                <w:sz w:val="21"/>
                <w:szCs w:val="21"/>
                <w:color w:val="auto"/>
              </w:rPr>
            </w:pPr>
          </w:p>
        </w:tc>
        <w:tc>
          <w:tcPr>
            <w:tcW w:w="1000" w:type="dxa"/>
            <w:vAlign w:val="bottom"/>
            <w:tcBorders>
              <w:bottom w:val="single" w:sz="8" w:color="auto"/>
            </w:tcBorders>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80" w:type="dxa"/>
            <w:vAlign w:val="bottom"/>
            <w:tcBorders>
              <w:bottom w:val="single" w:sz="8" w:color="auto"/>
            </w:tcBorders>
            <w:shd w:val="clear" w:color="auto" w:fill="E5E5E5"/>
          </w:tcPr>
          <w:p>
            <w:pPr>
              <w:spacing w:after="0"/>
              <w:rPr>
                <w:sz w:val="21"/>
                <w:szCs w:val="21"/>
                <w:color w:val="auto"/>
              </w:rPr>
            </w:pPr>
          </w:p>
        </w:tc>
        <w:tc>
          <w:tcPr>
            <w:tcW w:w="860" w:type="dxa"/>
            <w:vAlign w:val="bottom"/>
            <w:tcBorders>
              <w:bottom w:val="single" w:sz="8" w:color="auto"/>
            </w:tcBorders>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700" w:type="dxa"/>
            <w:vAlign w:val="bottom"/>
            <w:tcBorders>
              <w:bottom w:val="single" w:sz="8" w:color="auto"/>
            </w:tcBorders>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640" w:type="dxa"/>
            <w:vAlign w:val="bottom"/>
            <w:tcBorders>
              <w:bottom w:val="single" w:sz="8" w:color="auto"/>
            </w:tcBorders>
            <w:shd w:val="clear" w:color="auto" w:fill="E5E5E5"/>
          </w:tcPr>
          <w:p>
            <w:pPr>
              <w:spacing w:after="0"/>
              <w:rPr>
                <w:sz w:val="21"/>
                <w:szCs w:val="21"/>
                <w:color w:val="auto"/>
              </w:rPr>
            </w:pPr>
          </w:p>
        </w:tc>
      </w:tr>
      <w:tr>
        <w:trPr>
          <w:trHeight w:val="244"/>
        </w:trPr>
        <w:tc>
          <w:tcPr>
            <w:tcW w:w="686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E5E5E5"/>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E5E5E5"/>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5E5E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256"/>
        </w:trPr>
        <w:tc>
          <w:tcPr>
            <w:tcW w:w="68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Decrease in cash, cash equivalents and restricted cash</w:t>
            </w:r>
          </w:p>
        </w:tc>
        <w:tc>
          <w:tcPr>
            <w:tcW w:w="300" w:type="dxa"/>
            <w:vAlign w:val="bottom"/>
            <w:shd w:val="clear" w:color="auto" w:fill="E5E5E5"/>
          </w:tcPr>
          <w:p>
            <w:pPr>
              <w:spacing w:after="0"/>
              <w:rPr>
                <w:sz w:val="22"/>
                <w:szCs w:val="22"/>
                <w:color w:val="auto"/>
              </w:rPr>
            </w:pPr>
          </w:p>
        </w:tc>
        <w:tc>
          <w:tcPr>
            <w:tcW w:w="10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E5E5E5"/>
          </w:tcPr>
          <w:p>
            <w:pPr>
              <w:spacing w:after="0"/>
              <w:rPr>
                <w:sz w:val="22"/>
                <w:szCs w:val="22"/>
                <w:color w:val="auto"/>
              </w:rPr>
            </w:pPr>
          </w:p>
        </w:tc>
        <w:tc>
          <w:tcPr>
            <w:tcW w:w="260" w:type="dxa"/>
            <w:vAlign w:val="bottom"/>
            <w:shd w:val="clear" w:color="auto" w:fill="E5E5E5"/>
          </w:tcPr>
          <w:p>
            <w:pPr>
              <w:spacing w:after="0"/>
              <w:rPr>
                <w:sz w:val="22"/>
                <w:szCs w:val="22"/>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w:t>
            </w:r>
          </w:p>
        </w:tc>
      </w:tr>
      <w:tr>
        <w:trPr>
          <w:trHeight w:val="264"/>
        </w:trPr>
        <w:tc>
          <w:tcPr>
            <w:tcW w:w="686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786</w:t>
            </w:r>
          </w:p>
        </w:tc>
        <w:tc>
          <w:tcPr>
            <w:tcW w:w="120" w:type="dxa"/>
            <w:vAlign w:val="bottom"/>
            <w:tcBorders>
              <w:bottom w:val="single" w:sz="8" w:color="E5E5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1,474</w:t>
            </w:r>
          </w:p>
        </w:tc>
        <w:tc>
          <w:tcPr>
            <w:tcW w:w="100" w:type="dxa"/>
            <w:vAlign w:val="bottom"/>
            <w:tcBorders>
              <w:bottom w:val="single" w:sz="8" w:color="E5E5E5"/>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1,148</w:t>
            </w:r>
          </w:p>
        </w:tc>
        <w:tc>
          <w:tcPr>
            <w:tcW w:w="100" w:type="dxa"/>
            <w:vAlign w:val="bottom"/>
            <w:tcBorders>
              <w:bottom w:val="single" w:sz="8" w:color="E5E5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1,368</w:t>
            </w:r>
          </w:p>
        </w:tc>
      </w:tr>
      <w:tr>
        <w:trPr>
          <w:trHeight w:val="243"/>
        </w:trPr>
        <w:tc>
          <w:tcPr>
            <w:tcW w:w="686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0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776</w:t>
            </w:r>
          </w:p>
        </w:tc>
        <w:tc>
          <w:tcPr>
            <w:tcW w:w="120" w:type="dxa"/>
            <w:vAlign w:val="bottom"/>
            <w:tcBorders>
              <w:bottom w:val="single" w:sz="8" w:color="E5E5E5"/>
            </w:tcBorders>
            <w:shd w:val="clear" w:color="auto" w:fill="E5E5E5"/>
          </w:tcPr>
          <w:p>
            <w:pPr>
              <w:spacing w:after="0"/>
              <w:rPr>
                <w:sz w:val="21"/>
                <w:szCs w:val="21"/>
                <w:color w:val="auto"/>
              </w:rPr>
            </w:pPr>
          </w:p>
        </w:tc>
        <w:tc>
          <w:tcPr>
            <w:tcW w:w="28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1,327</w:t>
            </w:r>
          </w:p>
        </w:tc>
        <w:tc>
          <w:tcPr>
            <w:tcW w:w="10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776</w:t>
            </w:r>
          </w:p>
        </w:tc>
        <w:tc>
          <w:tcPr>
            <w:tcW w:w="10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1,327</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0" w:right="2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DA2031"/>
        </w:rPr>
        <w:t>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48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8"/>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 of Total Revenue</w:t>
            </w:r>
          </w:p>
        </w:tc>
      </w:tr>
      <w:tr>
        <w:trPr>
          <w:trHeight w:val="180"/>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E5E5E5"/>
            </w:tcBorders>
          </w:tcPr>
          <w:p>
            <w:pPr>
              <w:spacing w:after="0"/>
              <w:rPr>
                <w:sz w:val="15"/>
                <w:szCs w:val="15"/>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E5E5E5"/>
            </w:tcBorders>
          </w:tcPr>
          <w:p>
            <w:pPr>
              <w:spacing w:after="0"/>
              <w:rPr>
                <w:sz w:val="15"/>
                <w:szCs w:val="15"/>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CC % Change</w:t>
            </w:r>
          </w:p>
        </w:tc>
        <w:tc>
          <w:tcPr>
            <w:tcW w:w="100" w:type="dxa"/>
            <w:vAlign w:val="bottom"/>
            <w:tcBorders>
              <w:bottom w:val="single" w:sz="8" w:color="E5E5E5"/>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r>
      <w:tr>
        <w:trPr>
          <w:trHeight w:val="256"/>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Equipment sales</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561</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E5E5E5"/>
          </w:tcPr>
          <w:p>
            <w:pPr>
              <w:spacing w:after="0"/>
              <w:rPr>
                <w:sz w:val="22"/>
                <w:szCs w:val="22"/>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(9.0)%</w:t>
            </w:r>
          </w:p>
        </w:tc>
        <w:tc>
          <w:tcPr>
            <w:tcW w:w="100" w:type="dxa"/>
            <w:vAlign w:val="bottom"/>
            <w:shd w:val="clear" w:color="auto" w:fill="E5E5E5"/>
          </w:tcPr>
          <w:p>
            <w:pPr>
              <w:spacing w:after="0"/>
              <w:rPr>
                <w:sz w:val="22"/>
                <w:szCs w:val="22"/>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22%</w:t>
            </w:r>
          </w:p>
        </w:tc>
        <w:tc>
          <w:tcPr>
            <w:tcW w:w="100" w:type="dxa"/>
            <w:vAlign w:val="bottom"/>
            <w:shd w:val="clear" w:color="auto" w:fill="E5E5E5"/>
          </w:tcPr>
          <w:p>
            <w:pPr>
              <w:spacing w:after="0"/>
              <w:rPr>
                <w:sz w:val="22"/>
                <w:szCs w:val="22"/>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22%</w:t>
            </w:r>
          </w:p>
        </w:tc>
      </w:tr>
      <w:tr>
        <w:trPr>
          <w:trHeight w:val="264"/>
        </w:trPr>
        <w:tc>
          <w:tcPr>
            <w:tcW w:w="40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Post sale revenue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1,785</w:t>
            </w:r>
          </w:p>
        </w:tc>
        <w:tc>
          <w:tcPr>
            <w:tcW w:w="12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1,949</w:t>
            </w:r>
          </w:p>
        </w:tc>
        <w:tc>
          <w:tcPr>
            <w:tcW w:w="124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E5E5E5"/>
            </w:tcBorders>
          </w:tcPr>
          <w:p>
            <w:pPr>
              <w:spacing w:after="0"/>
              <w:rPr>
                <w:sz w:val="22"/>
                <w:szCs w:val="22"/>
                <w:color w:val="auto"/>
              </w:rPr>
            </w:pPr>
          </w:p>
        </w:tc>
        <w:tc>
          <w:tcPr>
            <w:tcW w:w="114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E5E5E5"/>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E5E5E5"/>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78%</w:t>
            </w:r>
          </w:p>
        </w:tc>
      </w:tr>
      <w:tr>
        <w:trPr>
          <w:trHeight w:val="243"/>
        </w:trPr>
        <w:tc>
          <w:tcPr>
            <w:tcW w:w="402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2,289</w:t>
            </w:r>
          </w:p>
        </w:tc>
        <w:tc>
          <w:tcPr>
            <w:tcW w:w="12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2,510</w:t>
            </w:r>
          </w:p>
        </w:tc>
        <w:tc>
          <w:tcPr>
            <w:tcW w:w="1240" w:type="dxa"/>
            <w:vAlign w:val="bottom"/>
            <w:tcBorders>
              <w:bottom w:val="single" w:sz="8" w:color="E5E5E5"/>
            </w:tcBorders>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76"/>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Reconciliation to Condensed Consolidated Statements</w:t>
            </w:r>
          </w:p>
        </w:tc>
        <w:tc>
          <w:tcPr>
            <w:tcW w:w="26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r>
      <w:tr>
        <w:trPr>
          <w:trHeight w:val="202"/>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of Income:</w:t>
            </w: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Sales</w:t>
            </w:r>
            <w:r>
              <w:rPr>
                <w:rFonts w:ascii="Arial" w:cs="Arial" w:eastAsia="Arial" w:hAnsi="Arial"/>
                <w:sz w:val="17"/>
                <w:szCs w:val="17"/>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825</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927</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Less: Supplies, paper and other sales</w:t>
            </w:r>
            <w:r>
              <w:rPr>
                <w:rFonts w:ascii="Arial" w:cs="Arial" w:eastAsia="Arial" w:hAnsi="Arial"/>
                <w:sz w:val="17"/>
                <w:szCs w:val="17"/>
                <w:color w:val="auto"/>
                <w:vertAlign w:val="superscript"/>
              </w:rPr>
              <w:t>(1)</w:t>
            </w:r>
          </w:p>
        </w:tc>
        <w:tc>
          <w:tcPr>
            <w:tcW w:w="260" w:type="dxa"/>
            <w:vAlign w:val="bottom"/>
            <w:tcBorders>
              <w:bottom w:val="single" w:sz="8" w:color="auto"/>
            </w:tcBorders>
            <w:shd w:val="clear" w:color="auto" w:fill="E5E5E5"/>
          </w:tcPr>
          <w:p>
            <w:pPr>
              <w:spacing w:after="0"/>
              <w:rPr>
                <w:sz w:val="23"/>
                <w:szCs w:val="23"/>
                <w:color w:val="auto"/>
              </w:rPr>
            </w:pPr>
          </w:p>
        </w:tc>
        <w:tc>
          <w:tcPr>
            <w:tcW w:w="9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E5E5E5"/>
          </w:tcPr>
          <w:p>
            <w:pPr>
              <w:spacing w:after="0"/>
              <w:rPr>
                <w:sz w:val="23"/>
                <w:szCs w:val="23"/>
                <w:color w:val="auto"/>
              </w:rPr>
            </w:pPr>
          </w:p>
        </w:tc>
        <w:tc>
          <w:tcPr>
            <w:tcW w:w="320" w:type="dxa"/>
            <w:vAlign w:val="bottom"/>
            <w:tcBorders>
              <w:bottom w:val="single" w:sz="8" w:color="auto"/>
            </w:tcBorders>
            <w:shd w:val="clear" w:color="auto" w:fill="E5E5E5"/>
          </w:tcPr>
          <w:p>
            <w:pPr>
              <w:spacing w:after="0"/>
              <w:rPr>
                <w:sz w:val="23"/>
                <w:szCs w:val="23"/>
                <w:color w:val="auto"/>
              </w:rPr>
            </w:pP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(366)</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spacing w:after="0"/>
              <w:rPr>
                <w:sz w:val="23"/>
                <w:szCs w:val="23"/>
                <w:color w:val="auto"/>
              </w:rPr>
            </w:pPr>
          </w:p>
        </w:tc>
      </w:tr>
      <w:tr>
        <w:trPr>
          <w:trHeight w:val="277"/>
        </w:trPr>
        <w:tc>
          <w:tcPr>
            <w:tcW w:w="40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Equipment Sales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504</w:t>
            </w:r>
          </w:p>
        </w:tc>
        <w:tc>
          <w:tcPr>
            <w:tcW w:w="120" w:type="dxa"/>
            <w:vAlign w:val="bottom"/>
            <w:tcBorders>
              <w:bottom w:val="single" w:sz="8" w:color="E5E5E5"/>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w:t>
            </w:r>
          </w:p>
        </w:tc>
        <w:tc>
          <w:tcPr>
            <w:tcW w:w="124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E5E5E5"/>
            </w:tcBorders>
          </w:tcPr>
          <w:p>
            <w:pPr>
              <w:spacing w:after="0"/>
              <w:rPr>
                <w:sz w:val="24"/>
                <w:szCs w:val="24"/>
                <w:color w:val="auto"/>
              </w:rPr>
            </w:pPr>
          </w:p>
        </w:tc>
        <w:tc>
          <w:tcPr>
            <w:tcW w:w="114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E5E5E5"/>
            </w:tcBorders>
          </w:tcPr>
          <w:p>
            <w:pPr>
              <w:spacing w:after="0"/>
              <w:rPr>
                <w:sz w:val="24"/>
                <w:szCs w:val="24"/>
                <w:color w:val="auto"/>
              </w:rPr>
            </w:pPr>
          </w:p>
        </w:tc>
        <w:tc>
          <w:tcPr>
            <w:tcW w:w="1140" w:type="dxa"/>
            <w:vAlign w:val="bottom"/>
            <w:tcBorders>
              <w:bottom w:val="single" w:sz="8" w:color="E5E5E5"/>
            </w:tcBorders>
          </w:tcPr>
          <w:p>
            <w:pPr>
              <w:spacing w:after="0"/>
              <w:rPr>
                <w:sz w:val="24"/>
                <w:szCs w:val="24"/>
                <w:color w:val="auto"/>
              </w:rPr>
            </w:pPr>
          </w:p>
        </w:tc>
        <w:tc>
          <w:tcPr>
            <w:tcW w:w="100" w:type="dxa"/>
            <w:vAlign w:val="bottom"/>
            <w:tcBorders>
              <w:bottom w:val="single" w:sz="8" w:color="E5E5E5"/>
            </w:tcBorders>
          </w:tcPr>
          <w:p>
            <w:pPr>
              <w:spacing w:after="0"/>
              <w:rPr>
                <w:sz w:val="24"/>
                <w:szCs w:val="24"/>
                <w:color w:val="auto"/>
              </w:rPr>
            </w:pPr>
          </w:p>
        </w:tc>
        <w:tc>
          <w:tcPr>
            <w:tcW w:w="1140" w:type="dxa"/>
            <w:vAlign w:val="bottom"/>
            <w:tcBorders>
              <w:bottom w:val="single" w:sz="8" w:color="E5E5E5"/>
            </w:tcBorders>
          </w:tcPr>
          <w:p>
            <w:pPr>
              <w:spacing w:after="0"/>
              <w:rPr>
                <w:sz w:val="24"/>
                <w:szCs w:val="24"/>
                <w:color w:val="auto"/>
              </w:rPr>
            </w:pPr>
          </w:p>
        </w:tc>
      </w:tr>
      <w:tr>
        <w:trPr>
          <w:trHeight w:val="251"/>
        </w:trPr>
        <w:tc>
          <w:tcPr>
            <w:tcW w:w="39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9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8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Services, maintenance and rentals</w:t>
            </w:r>
            <w:r>
              <w:rPr>
                <w:rFonts w:ascii="Arial" w:cs="Arial" w:eastAsia="Arial" w:hAnsi="Arial"/>
                <w:sz w:val="17"/>
                <w:szCs w:val="17"/>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1,403</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1,515</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Add: Supplies, paper and other sales</w:t>
            </w:r>
            <w:r>
              <w:rPr>
                <w:rFonts w:ascii="Arial" w:cs="Arial" w:eastAsia="Arial" w:hAnsi="Arial"/>
                <w:sz w:val="17"/>
                <w:szCs w:val="17"/>
                <w:color w:val="auto"/>
                <w:vertAlign w:val="superscript"/>
              </w:rPr>
              <w:t>(1)</w:t>
            </w:r>
          </w:p>
        </w:tc>
        <w:tc>
          <w:tcPr>
            <w:tcW w:w="260" w:type="dxa"/>
            <w:vAlign w:val="bottom"/>
            <w:shd w:val="clear" w:color="auto" w:fill="E5E5E5"/>
          </w:tcPr>
          <w:p>
            <w:pPr>
              <w:spacing w:after="0"/>
              <w:rPr>
                <w:sz w:val="23"/>
                <w:szCs w:val="23"/>
                <w:color w:val="auto"/>
              </w:rPr>
            </w:pP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366</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spacing w:after="0"/>
              <w:rPr>
                <w:sz w:val="23"/>
                <w:szCs w:val="23"/>
                <w:color w:val="auto"/>
              </w:rPr>
            </w:pPr>
          </w:p>
        </w:tc>
      </w:tr>
      <w:tr>
        <w:trPr>
          <w:trHeight w:val="264"/>
        </w:trPr>
        <w:tc>
          <w:tcPr>
            <w:tcW w:w="40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Add: Financing</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124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E5E5E5"/>
            </w:tcBorders>
          </w:tcPr>
          <w:p>
            <w:pPr>
              <w:spacing w:after="0"/>
              <w:rPr>
                <w:sz w:val="22"/>
                <w:szCs w:val="22"/>
                <w:color w:val="auto"/>
              </w:rPr>
            </w:pPr>
          </w:p>
        </w:tc>
        <w:tc>
          <w:tcPr>
            <w:tcW w:w="114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E5E5E5"/>
            </w:tcBorders>
          </w:tcPr>
          <w:p>
            <w:pPr>
              <w:spacing w:after="0"/>
              <w:rPr>
                <w:sz w:val="22"/>
                <w:szCs w:val="22"/>
                <w:color w:val="auto"/>
              </w:rPr>
            </w:pPr>
          </w:p>
        </w:tc>
        <w:tc>
          <w:tcPr>
            <w:tcW w:w="1140" w:type="dxa"/>
            <w:vAlign w:val="bottom"/>
            <w:tcBorders>
              <w:bottom w:val="single" w:sz="8" w:color="E5E5E5"/>
            </w:tcBorders>
          </w:tcPr>
          <w:p>
            <w:pPr>
              <w:spacing w:after="0"/>
              <w:rPr>
                <w:sz w:val="22"/>
                <w:szCs w:val="22"/>
                <w:color w:val="auto"/>
              </w:rPr>
            </w:pPr>
          </w:p>
        </w:tc>
        <w:tc>
          <w:tcPr>
            <w:tcW w:w="100" w:type="dxa"/>
            <w:vAlign w:val="bottom"/>
            <w:tcBorders>
              <w:bottom w:val="single" w:sz="8" w:color="E5E5E5"/>
            </w:tcBorders>
          </w:tcPr>
          <w:p>
            <w:pPr>
              <w:spacing w:after="0"/>
              <w:rPr>
                <w:sz w:val="22"/>
                <w:szCs w:val="22"/>
                <w:color w:val="auto"/>
              </w:rPr>
            </w:pPr>
          </w:p>
        </w:tc>
        <w:tc>
          <w:tcPr>
            <w:tcW w:w="1140" w:type="dxa"/>
            <w:vAlign w:val="bottom"/>
            <w:tcBorders>
              <w:bottom w:val="single" w:sz="8" w:color="E5E5E5"/>
            </w:tcBorders>
          </w:tcPr>
          <w:p>
            <w:pPr>
              <w:spacing w:after="0"/>
              <w:rPr>
                <w:sz w:val="22"/>
                <w:szCs w:val="22"/>
                <w:color w:val="auto"/>
              </w:rPr>
            </w:pPr>
          </w:p>
        </w:tc>
      </w:tr>
      <w:tr>
        <w:trPr>
          <w:trHeight w:val="243"/>
        </w:trPr>
        <w:tc>
          <w:tcPr>
            <w:tcW w:w="402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Post Sale Revenue</w:t>
            </w: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1,785</w:t>
            </w:r>
          </w:p>
        </w:tc>
        <w:tc>
          <w:tcPr>
            <w:tcW w:w="12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1,949</w:t>
            </w:r>
          </w:p>
        </w:tc>
        <w:tc>
          <w:tcPr>
            <w:tcW w:w="1240" w:type="dxa"/>
            <w:vAlign w:val="bottom"/>
            <w:tcBorders>
              <w:bottom w:val="single" w:sz="8" w:color="E5E5E5"/>
            </w:tcBorders>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spacing w:after="0"/>
              <w:rPr>
                <w:sz w:val="21"/>
                <w:szCs w:val="2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Americas</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1,504</w:t>
            </w: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1,612</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66%</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64%</w:t>
            </w: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EMEA</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799</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32%</w:t>
            </w:r>
          </w:p>
        </w:tc>
      </w:tr>
      <w:tr>
        <w:trPr>
          <w:trHeight w:val="276"/>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E5E5E5"/>
          </w:tcPr>
          <w:p>
            <w:pPr>
              <w:spacing w:after="0"/>
              <w:rPr>
                <w:sz w:val="24"/>
                <w:szCs w:val="24"/>
                <w:color w:val="auto"/>
              </w:rPr>
            </w:pPr>
          </w:p>
        </w:tc>
        <w:tc>
          <w:tcPr>
            <w:tcW w:w="9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spacing w:after="0"/>
              <w:rPr>
                <w:sz w:val="24"/>
                <w:szCs w:val="24"/>
                <w:color w:val="auto"/>
              </w:rPr>
            </w:pPr>
          </w:p>
        </w:tc>
        <w:tc>
          <w:tcPr>
            <w:tcW w:w="8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99</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E5E5E5"/>
          </w:tcPr>
          <w:p>
            <w:pPr>
              <w:spacing w:after="0"/>
              <w:rPr>
                <w:sz w:val="24"/>
                <w:szCs w:val="24"/>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E5E5E5"/>
          </w:tcPr>
          <w:p>
            <w:pPr>
              <w:spacing w:after="0"/>
              <w:rPr>
                <w:sz w:val="24"/>
                <w:szCs w:val="24"/>
                <w:color w:val="auto"/>
              </w:rPr>
            </w:pPr>
          </w:p>
        </w:tc>
        <w:tc>
          <w:tcPr>
            <w:tcW w:w="11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3%</w:t>
            </w:r>
          </w:p>
        </w:tc>
        <w:tc>
          <w:tcPr>
            <w:tcW w:w="100" w:type="dxa"/>
            <w:vAlign w:val="bottom"/>
            <w:shd w:val="clear" w:color="auto" w:fill="E5E5E5"/>
          </w:tcPr>
          <w:p>
            <w:pPr>
              <w:spacing w:after="0"/>
              <w:rPr>
                <w:sz w:val="24"/>
                <w:szCs w:val="24"/>
                <w:color w:val="auto"/>
              </w:rPr>
            </w:pPr>
          </w:p>
        </w:tc>
        <w:tc>
          <w:tcPr>
            <w:tcW w:w="11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4%</w:t>
            </w:r>
          </w:p>
        </w:tc>
      </w:tr>
      <w:tr>
        <w:trPr>
          <w:trHeight w:val="277"/>
        </w:trPr>
        <w:tc>
          <w:tcPr>
            <w:tcW w:w="40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Total Revenue</w:t>
            </w:r>
            <w:r>
              <w:rPr>
                <w:rFonts w:ascii="Arial" w:cs="Arial" w:eastAsia="Arial" w:hAnsi="Arial"/>
                <w:sz w:val="17"/>
                <w:szCs w:val="17"/>
                <w:b w:val="1"/>
                <w:bCs w:val="1"/>
                <w:color w:val="auto"/>
                <w:vertAlign w:val="superscript"/>
              </w:rPr>
              <w:t>(2)</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2,289</w:t>
            </w:r>
          </w:p>
        </w:tc>
        <w:tc>
          <w:tcPr>
            <w:tcW w:w="120" w:type="dxa"/>
            <w:vAlign w:val="bottom"/>
            <w:tcBorders>
              <w:bottom w:val="single" w:sz="8" w:color="E5E5E5"/>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2,510</w:t>
            </w:r>
          </w:p>
        </w:tc>
        <w:tc>
          <w:tcPr>
            <w:tcW w:w="124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E5E5E5"/>
            </w:tcBorders>
          </w:tcPr>
          <w:p>
            <w:pPr>
              <w:spacing w:after="0"/>
              <w:rPr>
                <w:sz w:val="24"/>
                <w:szCs w:val="24"/>
                <w:color w:val="auto"/>
              </w:rPr>
            </w:pPr>
          </w:p>
        </w:tc>
        <w:tc>
          <w:tcPr>
            <w:tcW w:w="114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E5E5E5"/>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E5E5E5"/>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10"/>
        </w:trPr>
        <w:tc>
          <w:tcPr>
            <w:tcW w:w="39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Memo:</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Xerox Services</w:t>
            </w:r>
            <w:r>
              <w:rPr>
                <w:rFonts w:ascii="Arial" w:cs="Arial" w:eastAsia="Arial" w:hAnsi="Arial"/>
                <w:sz w:val="17"/>
                <w:szCs w:val="17"/>
                <w:color w:val="auto"/>
                <w:vertAlign w:val="superscript"/>
              </w:rPr>
              <w:t>(3)</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853</w:t>
            </w:r>
          </w:p>
        </w:tc>
        <w:tc>
          <w:tcPr>
            <w:tcW w:w="120" w:type="dxa"/>
            <w:vAlign w:val="bottom"/>
            <w:shd w:val="clear" w:color="auto" w:fill="E5E5E5"/>
          </w:tcPr>
          <w:p>
            <w:pPr>
              <w:spacing w:after="0"/>
              <w:rPr>
                <w:sz w:val="24"/>
                <w:szCs w:val="24"/>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913</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E5E5E5"/>
          </w:tcPr>
          <w:p>
            <w:pPr>
              <w:spacing w:after="0"/>
              <w:rPr>
                <w:sz w:val="24"/>
                <w:szCs w:val="24"/>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(4.1)%</w:t>
            </w:r>
          </w:p>
        </w:tc>
        <w:tc>
          <w:tcPr>
            <w:tcW w:w="100" w:type="dxa"/>
            <w:vAlign w:val="bottom"/>
            <w:shd w:val="clear" w:color="auto" w:fill="E5E5E5"/>
          </w:tcPr>
          <w:p>
            <w:pPr>
              <w:spacing w:after="0"/>
              <w:rPr>
                <w:sz w:val="24"/>
                <w:szCs w:val="24"/>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37%</w:t>
            </w:r>
          </w:p>
        </w:tc>
        <w:tc>
          <w:tcPr>
            <w:tcW w:w="100" w:type="dxa"/>
            <w:vAlign w:val="bottom"/>
            <w:shd w:val="clear" w:color="auto" w:fill="E5E5E5"/>
          </w:tcPr>
          <w:p>
            <w:pPr>
              <w:spacing w:after="0"/>
              <w:rPr>
                <w:sz w:val="24"/>
                <w:szCs w:val="24"/>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36%</w:t>
            </w:r>
          </w:p>
        </w:tc>
      </w:tr>
      <w:tr>
        <w:trPr>
          <w:trHeight w:val="130"/>
        </w:trPr>
        <w:tc>
          <w:tcPr>
            <w:tcW w:w="390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ind w:left="340" w:hanging="332"/>
        <w:spacing w:after="0" w:line="205" w:lineRule="auto"/>
        <w:tabs>
          <w:tab w:leader="none" w:pos="340" w:val="left"/>
        </w:tabs>
        <w:numPr>
          <w:ilvl w:val="0"/>
          <w:numId w:val="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Certain prior year amounts have been conformed to the current year presentation. See Appendix III for this change in presentation.</w:t>
      </w:r>
    </w:p>
    <w:p>
      <w:pPr>
        <w:ind w:left="340" w:hanging="332"/>
        <w:spacing w:after="0" w:line="187" w:lineRule="auto"/>
        <w:tabs>
          <w:tab w:leader="none" w:pos="340" w:val="left"/>
        </w:tabs>
        <w:numPr>
          <w:ilvl w:val="0"/>
          <w:numId w:val="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Appendix II for our Geographic Sales Channels and Products and Offerings Definitions.</w:t>
      </w:r>
    </w:p>
    <w:p>
      <w:pPr>
        <w:ind w:left="340" w:right="580" w:hanging="332"/>
        <w:spacing w:after="0" w:line="218" w:lineRule="auto"/>
        <w:tabs>
          <w:tab w:leader="none" w:pos="340" w:val="left"/>
        </w:tabs>
        <w:numPr>
          <w:ilvl w:val="0"/>
          <w:numId w:val="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Excluding equipment revenue, Xerox Services was $753 million and $793 million in the second quarter 2019 and 2018, respectively, representing a decrease of 5.0% including a 2.1-percentage point unfavorable impact from currency.</w:t>
      </w:r>
    </w:p>
    <w:p>
      <w:pPr>
        <w:spacing w:after="0" w:line="14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Second quarter 2019 total revenue decreased 8.8% as compared to second quarter 2018, including a 1.6-percentage point unfavorable impact from currency, and an approximate 0.6-percentage point unfavorable impact from lower OEM sales. Second quarter 2019 total revenue reflected the following:</w:t>
      </w:r>
    </w:p>
    <w:p>
      <w:pPr>
        <w:spacing w:after="0" w:line="126" w:lineRule="exact"/>
        <w:rPr>
          <w:sz w:val="20"/>
          <w:szCs w:val="20"/>
          <w:color w:val="auto"/>
        </w:rPr>
      </w:pPr>
    </w:p>
    <w:p>
      <w:pPr>
        <w:ind w:left="340" w:right="6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Post sale revenue </w:t>
      </w:r>
      <w:r>
        <w:rPr>
          <w:rFonts w:ascii="Arial" w:cs="Arial" w:eastAsia="Arial" w:hAnsi="Arial"/>
          <w:sz w:val="18"/>
          <w:szCs w:val="18"/>
          <w:color w:val="auto"/>
        </w:rPr>
        <w:t>primarily reflects contracted services, equipment maintenance, supplies and financing. These revenues are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not only with the population of devices in the field, which is affected by installs and removals, but also by the page volumes generated from the usage of such devices, and the revenue per printed page. Post sale revenue decreased 8.4% as compared to second quarter 2018, including a 1.8-percentage point unfavorable impact from currency, and reflected the following:</w:t>
      </w:r>
    </w:p>
    <w:p>
      <w:pPr>
        <w:spacing w:after="0" w:line="3" w:lineRule="exact"/>
        <w:rPr>
          <w:rFonts w:ascii="Arial" w:cs="Arial" w:eastAsia="Arial" w:hAnsi="Arial"/>
          <w:sz w:val="18"/>
          <w:szCs w:val="18"/>
          <w:color w:val="auto"/>
        </w:rPr>
      </w:pPr>
    </w:p>
    <w:p>
      <w:pPr>
        <w:ind w:left="980" w:right="20" w:hanging="324"/>
        <w:spacing w:after="0" w:line="24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Services, maintenance and rentals revenue </w:t>
      </w:r>
      <w:r>
        <w:rPr>
          <w:rFonts w:ascii="Arial" w:cs="Arial" w:eastAsia="Arial" w:hAnsi="Arial"/>
          <w:sz w:val="18"/>
          <w:szCs w:val="18"/>
          <w:color w:val="auto"/>
        </w:rPr>
        <w:t>includes rental and maintenance revenue (including bundled supplies)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post sale component of the document services revenue from our Xerox Services offerings. These revenues decreased 7.4% as compared to the second quarter 2018, including a 1.8-percentage point unfavorable impact from currency.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reflected the continuing trend of lower page volumes (including a higher mix of lower usage products), an ongoing competitive price environment, and a lower population of devices, which are partially associated with continued lower Enterprise signings and lower installs in prior periods.</w:t>
      </w:r>
    </w:p>
    <w:p>
      <w:pPr>
        <w:spacing w:after="0" w:line="4" w:lineRule="exact"/>
        <w:rPr>
          <w:rFonts w:ascii="Arial" w:cs="Arial" w:eastAsia="Arial" w:hAnsi="Arial"/>
          <w:sz w:val="18"/>
          <w:szCs w:val="18"/>
          <w:color w:val="auto"/>
        </w:rPr>
      </w:pPr>
    </w:p>
    <w:p>
      <w:pPr>
        <w:ind w:left="980" w:hanging="324"/>
        <w:spacing w:after="0" w:line="244" w:lineRule="auto"/>
        <w:tabs>
          <w:tab w:leader="none" w:pos="98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Supplies, paper and other sales </w:t>
      </w:r>
      <w:r>
        <w:rPr>
          <w:rFonts w:ascii="Arial" w:cs="Arial" w:eastAsia="Arial" w:hAnsi="Arial"/>
          <w:sz w:val="18"/>
          <w:szCs w:val="18"/>
          <w:color w:val="auto"/>
        </w:rPr>
        <w:t>includes unbundled supplies and other sales. These revenues decreased 12.3%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2018, including a 1.4-percentage point unfavorable impact from currency and a 1.8-percentage point unfavorable impact from lower OEM sales. Excluding the impact from OEM sales,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reflected the impact of lower supplies revenues primarily from our developing market regions and from our indirect channel in the U.S. associated with lower page volume trends, as well as timing of sales associated within our two-tier distribution and lower paper sales from developing markets in eastern Europe.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2" w:right="239" w:bottom="1440" w:gutter="0" w:footer="0" w:header="0"/>
        </w:sectPr>
      </w:pPr>
    </w:p>
    <w:bookmarkStart w:id="13" w:name="page14"/>
    <w:bookmarkEnd w:id="13"/>
    <w:p>
      <w:pPr>
        <w:ind w:left="980" w:right="160" w:hanging="324"/>
        <w:spacing w:after="0" w:line="269" w:lineRule="auto"/>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revenue </w:t>
      </w:r>
      <w:r>
        <w:rPr>
          <w:rFonts w:ascii="Arial" w:cs="Arial" w:eastAsia="Arial" w:hAnsi="Arial"/>
          <w:sz w:val="18"/>
          <w:szCs w:val="18"/>
          <w:color w:val="auto"/>
        </w:rPr>
        <w:t>is generated from financed equipment sale transactions. The 10.3% decline in these revenues reflected a</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decline in the finance receivables balance due to lower equipment sales in prior periods and included a 2.1-percentage point unfavorable impact from currency.</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right"/>
              <w:ind w:right="8"/>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color w:val="auto"/>
              </w:rPr>
              <w:t>June 30,</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rPr>
              <w:t>% of Equipment Sales</w:t>
            </w: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E5E5E5"/>
            </w:tcBorders>
          </w:tcPr>
          <w:p>
            <w:pPr>
              <w:spacing w:after="0"/>
              <w:rPr>
                <w:sz w:val="15"/>
                <w:szCs w:val="15"/>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CC % Change</w:t>
            </w:r>
          </w:p>
        </w:tc>
        <w:tc>
          <w:tcPr>
            <w:tcW w:w="100" w:type="dxa"/>
            <w:vAlign w:val="bottom"/>
            <w:tcBorders>
              <w:bottom w:val="single" w:sz="8" w:color="E5E5E5"/>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6"/>
        </w:trPr>
        <w:tc>
          <w:tcPr>
            <w:tcW w:w="47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Entry</w:t>
            </w:r>
          </w:p>
        </w:tc>
        <w:tc>
          <w:tcPr>
            <w:tcW w:w="70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E5E5E5"/>
          </w:tcPr>
          <w:p>
            <w:pPr>
              <w:spacing w:after="0"/>
              <w:rPr>
                <w:sz w:val="22"/>
                <w:szCs w:val="22"/>
                <w:color w:val="auto"/>
              </w:rPr>
            </w:pPr>
          </w:p>
        </w:tc>
        <w:tc>
          <w:tcPr>
            <w:tcW w:w="68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62</w:t>
            </w:r>
          </w:p>
        </w:tc>
        <w:tc>
          <w:tcPr>
            <w:tcW w:w="1140" w:type="dxa"/>
            <w:vAlign w:val="bottom"/>
            <w:gridSpan w:val="2"/>
            <w:shd w:val="clear" w:color="auto" w:fill="E5E5E5"/>
          </w:tcPr>
          <w:p>
            <w:pPr>
              <w:jc w:val="center"/>
              <w:ind w:left="4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E5E5E5"/>
          </w:tcPr>
          <w:p>
            <w:pPr>
              <w:spacing w:after="0"/>
              <w:rPr>
                <w:sz w:val="22"/>
                <w:szCs w:val="22"/>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E5E5E5"/>
          </w:tcPr>
          <w:p>
            <w:pPr>
              <w:spacing w:after="0"/>
              <w:rPr>
                <w:sz w:val="22"/>
                <w:szCs w:val="22"/>
                <w:color w:val="auto"/>
              </w:rPr>
            </w:pP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10%</w:t>
            </w:r>
          </w:p>
        </w:tc>
        <w:tc>
          <w:tcPr>
            <w:tcW w:w="120" w:type="dxa"/>
            <w:vAlign w:val="bottom"/>
            <w:shd w:val="clear" w:color="auto" w:fill="E5E5E5"/>
          </w:tcPr>
          <w:p>
            <w:pPr>
              <w:spacing w:after="0"/>
              <w:rPr>
                <w:sz w:val="22"/>
                <w:szCs w:val="22"/>
                <w:color w:val="auto"/>
              </w:rPr>
            </w:pP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Mid-range</w:t>
            </w:r>
          </w:p>
        </w:tc>
        <w:tc>
          <w:tcPr>
            <w:tcW w:w="70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w w:val="94"/>
              </w:rPr>
              <w:t>350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w w:val="94"/>
              </w:rPr>
              <w:t>390</w:t>
            </w:r>
          </w:p>
        </w:tc>
        <w:tc>
          <w:tcPr>
            <w:tcW w:w="1140" w:type="dxa"/>
            <w:vAlign w:val="bottom"/>
            <w:gridSpan w:val="2"/>
          </w:tcPr>
          <w:p>
            <w:pPr>
              <w:jc w:val="center"/>
              <w:ind w:lef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6"/>
        </w:trPr>
        <w:tc>
          <w:tcPr>
            <w:tcW w:w="47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High-end</w:t>
            </w:r>
          </w:p>
        </w:tc>
        <w:tc>
          <w:tcPr>
            <w:tcW w:w="700" w:type="dxa"/>
            <w:vAlign w:val="bottom"/>
            <w:shd w:val="clear" w:color="auto" w:fill="E5E5E5"/>
          </w:tcPr>
          <w:p>
            <w:pPr>
              <w:spacing w:after="0"/>
              <w:rPr>
                <w:sz w:val="24"/>
                <w:szCs w:val="24"/>
                <w:color w:val="auto"/>
              </w:rPr>
            </w:pPr>
          </w:p>
        </w:tc>
        <w:tc>
          <w:tcPr>
            <w:tcW w:w="3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E5E5E5"/>
          </w:tcPr>
          <w:p>
            <w:pPr>
              <w:spacing w:after="0"/>
              <w:rPr>
                <w:sz w:val="24"/>
                <w:szCs w:val="24"/>
                <w:color w:val="auto"/>
              </w:rPr>
            </w:pPr>
          </w:p>
        </w:tc>
        <w:tc>
          <w:tcPr>
            <w:tcW w:w="680" w:type="dxa"/>
            <w:vAlign w:val="bottom"/>
            <w:shd w:val="clear" w:color="auto" w:fill="E5E5E5"/>
          </w:tcPr>
          <w:p>
            <w:pPr>
              <w:spacing w:after="0"/>
              <w:rPr>
                <w:sz w:val="24"/>
                <w:szCs w:val="24"/>
                <w:color w:val="auto"/>
              </w:rPr>
            </w:pPr>
          </w:p>
        </w:tc>
        <w:tc>
          <w:tcPr>
            <w:tcW w:w="3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w w:val="94"/>
              </w:rPr>
              <w:t>100</w:t>
            </w:r>
          </w:p>
        </w:tc>
        <w:tc>
          <w:tcPr>
            <w:tcW w:w="1140" w:type="dxa"/>
            <w:vAlign w:val="bottom"/>
            <w:gridSpan w:val="2"/>
            <w:shd w:val="clear" w:color="auto" w:fill="E5E5E5"/>
          </w:tcPr>
          <w:p>
            <w:pPr>
              <w:jc w:val="center"/>
              <w:ind w:lef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E5E5E5"/>
          </w:tcPr>
          <w:p>
            <w:pPr>
              <w:spacing w:after="0"/>
              <w:rPr>
                <w:sz w:val="24"/>
                <w:szCs w:val="24"/>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(0.5)%</w:t>
            </w:r>
          </w:p>
        </w:tc>
        <w:tc>
          <w:tcPr>
            <w:tcW w:w="100" w:type="dxa"/>
            <w:vAlign w:val="bottom"/>
            <w:shd w:val="clear" w:color="auto" w:fill="E5E5E5"/>
          </w:tcPr>
          <w:p>
            <w:pPr>
              <w:spacing w:after="0"/>
              <w:rPr>
                <w:sz w:val="24"/>
                <w:szCs w:val="24"/>
                <w:color w:val="auto"/>
              </w:rPr>
            </w:pP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19%</w:t>
            </w:r>
          </w:p>
        </w:tc>
        <w:tc>
          <w:tcPr>
            <w:tcW w:w="120" w:type="dxa"/>
            <w:vAlign w:val="bottom"/>
            <w:shd w:val="clear" w:color="auto" w:fill="E5E5E5"/>
          </w:tcPr>
          <w:p>
            <w:pPr>
              <w:spacing w:after="0"/>
              <w:rPr>
                <w:sz w:val="24"/>
                <w:szCs w:val="24"/>
                <w:color w:val="auto"/>
              </w:rPr>
            </w:pP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Other</w:t>
            </w:r>
          </w:p>
        </w:tc>
        <w:tc>
          <w:tcPr>
            <w:tcW w:w="7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E5E5E5"/>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140" w:type="dxa"/>
            <w:vAlign w:val="bottom"/>
            <w:tcBorders>
              <w:bottom w:val="single" w:sz="8" w:color="E5E5E5"/>
            </w:tcBorders>
            <w:gridSpan w:val="2"/>
          </w:tcPr>
          <w:p>
            <w:pPr>
              <w:jc w:val="center"/>
              <w:ind w:left="48"/>
              <w:spacing w:after="0"/>
              <w:rPr>
                <w:sz w:val="20"/>
                <w:szCs w:val="20"/>
                <w:color w:val="auto"/>
              </w:rPr>
            </w:pPr>
            <w:r>
              <w:rPr>
                <w:rFonts w:ascii="Arial" w:cs="Arial" w:eastAsia="Arial" w:hAnsi="Arial"/>
                <w:sz w:val="14"/>
                <w:szCs w:val="14"/>
                <w:color w:val="auto"/>
              </w:rPr>
              <w:t>(44.4)%</w:t>
            </w:r>
          </w:p>
        </w:tc>
        <w:tc>
          <w:tcPr>
            <w:tcW w:w="100" w:type="dxa"/>
            <w:vAlign w:val="bottom"/>
            <w:tcBorders>
              <w:bottom w:val="single" w:sz="8" w:color="E5E5E5"/>
            </w:tcBorders>
          </w:tcPr>
          <w:p>
            <w:pPr>
              <w:spacing w:after="0"/>
              <w:rPr>
                <w:sz w:val="22"/>
                <w:szCs w:val="22"/>
                <w:color w:val="auto"/>
              </w:rPr>
            </w:pPr>
          </w:p>
        </w:tc>
        <w:tc>
          <w:tcPr>
            <w:tcW w:w="104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(44.4)%</w:t>
            </w:r>
          </w:p>
        </w:tc>
        <w:tc>
          <w:tcPr>
            <w:tcW w:w="100" w:type="dxa"/>
            <w:vAlign w:val="bottom"/>
            <w:tcBorders>
              <w:bottom w:val="single" w:sz="8" w:color="E5E5E5"/>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5E5E5"/>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Equipment Sales</w:t>
            </w:r>
          </w:p>
        </w:tc>
        <w:tc>
          <w:tcPr>
            <w:tcW w:w="700" w:type="dxa"/>
            <w:vAlign w:val="bottom"/>
            <w:tcBorders>
              <w:bottom w:val="single" w:sz="8" w:color="auto"/>
            </w:tcBorders>
            <w:shd w:val="clear" w:color="auto" w:fill="E5E5E5"/>
          </w:tcPr>
          <w:p>
            <w:pPr>
              <w:jc w:val="right"/>
              <w:ind w:right="5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w w:val="94"/>
              </w:rPr>
              <w:t>504</w:t>
            </w:r>
          </w:p>
        </w:tc>
        <w:tc>
          <w:tcPr>
            <w:tcW w:w="100" w:type="dxa"/>
            <w:vAlign w:val="bottom"/>
            <w:tcBorders>
              <w:bottom w:val="single" w:sz="8" w:color="E5E5E5"/>
            </w:tcBorders>
            <w:shd w:val="clear" w:color="auto" w:fill="E5E5E5"/>
          </w:tcPr>
          <w:p>
            <w:pPr>
              <w:spacing w:after="0"/>
              <w:rPr>
                <w:sz w:val="21"/>
                <w:szCs w:val="21"/>
                <w:color w:val="auto"/>
              </w:rPr>
            </w:pPr>
          </w:p>
        </w:tc>
        <w:tc>
          <w:tcPr>
            <w:tcW w:w="680" w:type="dxa"/>
            <w:vAlign w:val="bottom"/>
            <w:tcBorders>
              <w:bottom w:val="single" w:sz="8" w:color="auto"/>
            </w:tcBorders>
            <w:shd w:val="clear" w:color="auto" w:fill="E5E5E5"/>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w w:val="94"/>
              </w:rPr>
              <w:t>561</w:t>
            </w:r>
          </w:p>
        </w:tc>
        <w:tc>
          <w:tcPr>
            <w:tcW w:w="1140" w:type="dxa"/>
            <w:vAlign w:val="bottom"/>
            <w:tcBorders>
              <w:bottom w:val="single" w:sz="8" w:color="E5E5E5"/>
            </w:tcBorders>
            <w:gridSpan w:val="2"/>
            <w:shd w:val="clear" w:color="auto" w:fill="E5E5E5"/>
          </w:tcPr>
          <w:p>
            <w:pPr>
              <w:jc w:val="center"/>
              <w:ind w:left="4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E5E5E5"/>
            </w:tcBorders>
            <w:shd w:val="clear" w:color="auto" w:fill="E5E5E5"/>
          </w:tcPr>
          <w:p>
            <w:pPr>
              <w:spacing w:after="0"/>
              <w:rPr>
                <w:sz w:val="21"/>
                <w:szCs w:val="21"/>
                <w:color w:val="auto"/>
              </w:rPr>
            </w:pPr>
          </w:p>
        </w:tc>
        <w:tc>
          <w:tcPr>
            <w:tcW w:w="10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E5E5E5"/>
            </w:tcBorders>
            <w:shd w:val="clear" w:color="auto" w:fill="E5E5E5"/>
          </w:tcPr>
          <w:p>
            <w:pPr>
              <w:spacing w:after="0"/>
              <w:rPr>
                <w:sz w:val="21"/>
                <w:szCs w:val="21"/>
                <w:color w:val="auto"/>
              </w:rPr>
            </w:pPr>
          </w:p>
        </w:tc>
        <w:tc>
          <w:tcPr>
            <w:tcW w:w="10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E5E5E5"/>
            </w:tcBorders>
            <w:shd w:val="clear" w:color="auto" w:fill="E5E5E5"/>
          </w:tcPr>
          <w:p>
            <w:pPr>
              <w:spacing w:after="0"/>
              <w:rPr>
                <w:sz w:val="21"/>
                <w:szCs w:val="21"/>
                <w:color w:val="auto"/>
              </w:rPr>
            </w:pPr>
          </w:p>
        </w:tc>
        <w:tc>
          <w:tcPr>
            <w:tcW w:w="10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204" w:lineRule="exact"/>
        <w:rPr>
          <w:sz w:val="20"/>
          <w:szCs w:val="20"/>
          <w:color w:val="auto"/>
        </w:rPr>
      </w:pPr>
    </w:p>
    <w:p>
      <w:pPr>
        <w:ind w:left="340" w:right="120" w:hanging="332"/>
        <w:spacing w:after="0" w:line="237" w:lineRule="auto"/>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sales revenue </w:t>
      </w:r>
      <w:r>
        <w:rPr>
          <w:rFonts w:ascii="Arial" w:cs="Arial" w:eastAsia="Arial" w:hAnsi="Arial"/>
          <w:sz w:val="18"/>
          <w:szCs w:val="18"/>
          <w:color w:val="auto"/>
        </w:rPr>
        <w:t>decreased 10.2% as compared to second quarter 2018, including a 1.2-percentage point unfavorable impact</w:t>
      </w:r>
      <w:r>
        <w:rPr>
          <w:rFonts w:ascii="Arial" w:cs="Arial" w:eastAsia="Arial" w:hAnsi="Arial"/>
          <w:sz w:val="18"/>
          <w:szCs w:val="18"/>
          <w:b w:val="1"/>
          <w:bCs w:val="1"/>
          <w:color w:val="auto"/>
        </w:rPr>
        <w:t xml:space="preserve"> </w:t>
      </w:r>
      <w:r>
        <w:rPr>
          <w:rFonts w:ascii="Arial" w:cs="Arial" w:eastAsia="Arial" w:hAnsi="Arial"/>
          <w:sz w:val="18"/>
          <w:szCs w:val="18"/>
          <w:color w:val="auto"/>
        </w:rPr>
        <w:t>from currency as well as the impact of price declines of approximately 5%.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primarily driven by lower sales of our office-centric devices (entry and mid-range products) partially affected by a challenging comparison against the period of highest equipment revenue growth in the prior year.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reflected the following:</w:t>
      </w: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Entry - </w:t>
      </w:r>
      <w:r>
        <w:rPr>
          <w:rFonts w:ascii="Arial" w:cs="Arial" w:eastAsia="Arial" w:hAnsi="Arial"/>
          <w:sz w:val="18"/>
          <w:szCs w:val="18"/>
          <w:color w:val="auto"/>
        </w:rPr>
        <w:t>The decrease reflected primarily lower sales of ConnectKey devices through our indirect channel in the U.S.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Mid-range - </w:t>
      </w:r>
      <w:r>
        <w:rPr>
          <w:rFonts w:ascii="Arial" w:cs="Arial" w:eastAsia="Arial" w:hAnsi="Arial"/>
          <w:sz w:val="18"/>
          <w:szCs w:val="18"/>
          <w:color w:val="auto"/>
        </w:rPr>
        <w:t>The decrease reflected lower sales of Connect Key devices. The majority of the decline was in North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reflecting primarily the continued transitional impact associated with recently implemented organizational changes in our XBS sales organization (as part of our Project Own It transformation actions), which included the transitioning of accounts to implement coverage changes, consolidation of real estate locations and the reduction of management layers. The decrease also reflected lower activity and a lack of large deals in EMEA.</w:t>
      </w:r>
    </w:p>
    <w:p>
      <w:pPr>
        <w:spacing w:after="0" w:line="2" w:lineRule="exact"/>
        <w:rPr>
          <w:rFonts w:ascii="Arial" w:cs="Arial" w:eastAsia="Arial" w:hAnsi="Arial"/>
          <w:sz w:val="18"/>
          <w:szCs w:val="18"/>
          <w:color w:val="auto"/>
        </w:rPr>
      </w:pPr>
    </w:p>
    <w:p>
      <w:pPr>
        <w:ind w:left="980" w:right="300" w:hanging="324"/>
        <w:spacing w:after="0" w:line="256"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High-end - </w:t>
      </w:r>
      <w:r>
        <w:rPr>
          <w:rFonts w:ascii="Arial" w:cs="Arial" w:eastAsia="Arial" w:hAnsi="Arial"/>
          <w:sz w:val="18"/>
          <w:szCs w:val="18"/>
          <w:color w:val="auto"/>
        </w:rPr>
        <w:t>The decrease was led by continued lower sales of black-and-white systems partially offset by higher sales of color</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associated with continued demand for our Iridesse production press and higher installs of our Inkjet cut-sheet systems. Lower sales of our iGen and Versant production systems also contributed to the decline.</w:t>
      </w:r>
    </w:p>
    <w:p>
      <w:pPr>
        <w:spacing w:after="0" w:line="148" w:lineRule="exact"/>
        <w:rPr>
          <w:sz w:val="20"/>
          <w:szCs w:val="20"/>
          <w:color w:val="auto"/>
        </w:rPr>
      </w:pPr>
    </w:p>
    <w:p>
      <w:pPr>
        <w:ind w:right="2280"/>
        <w:spacing w:after="0" w:line="250" w:lineRule="auto"/>
        <w:rPr>
          <w:sz w:val="20"/>
          <w:szCs w:val="20"/>
          <w:color w:val="auto"/>
        </w:rPr>
      </w:pPr>
      <w:r>
        <w:rPr>
          <w:rFonts w:ascii="Arial" w:cs="Arial" w:eastAsia="Arial" w:hAnsi="Arial"/>
          <w:sz w:val="18"/>
          <w:szCs w:val="18"/>
          <w:color w:val="auto"/>
        </w:rPr>
        <w:t>Our rate of revenue decline in the second quarter 2019 was impacted by organizational changes, primarily in North America. While this impact gradually mitigated during the quarter, it still remains and we recognize that the implementation of our strategic initiatives to transform the company for long-term sustainability (including offering, go-to-market, sales coverage and cost structure changes) will continue to impact our revenues in the near term. As a result, we now expect our revenues to decline approximately 6% for the year, excluding an approximate 1.0-</w:t>
      </w:r>
    </w:p>
    <w:p>
      <w:pPr>
        <w:spacing w:after="0" w:line="2"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percentage point unfavorable impact from currency, compared to our previous guidance of approximately a 5% decline, excluding an approximate 1.0-percentage point unfavorable impact from currency.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Installs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Installs reflect new placement of devices only. Revenue associated with equipment installations may be reflected up-front in Equipment sales or over time either through rental income or as part of our Xerox Services revenues (which are both reported within our post sale revenues), depending on the terms and conditions of our agreements with customers. Installs include activity from Xerox Services and Xerox-branded products shipped to our XBS sales unit. Detail by product group (see Appendix II) is shown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Entry</w:t>
      </w:r>
      <w:r>
        <w:rPr>
          <w:rFonts w:ascii="Arial" w:cs="Arial" w:eastAsia="Arial" w:hAnsi="Arial"/>
          <w:sz w:val="21"/>
          <w:szCs w:val="21"/>
          <w:i w:val="1"/>
          <w:iCs w:val="1"/>
          <w:color w:val="auto"/>
          <w:vertAlign w:val="superscript"/>
        </w:rPr>
        <w:t>2</w:t>
      </w:r>
    </w:p>
    <w:p>
      <w:pPr>
        <w:ind w:left="340" w:right="10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 decrease in color multifunction devices reflecting lower installs of ConnectKey devices from our indirect channels in the U.S. and low-end devices from EMEA.</w:t>
      </w:r>
    </w:p>
    <w:p>
      <w:pPr>
        <w:ind w:left="340" w:right="300" w:hanging="332"/>
        <w:spacing w:after="0" w:line="262"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 increase in black-and-white multifunction devices driven by higher activity from our EMEA organization, including low-end devices in developing market regions.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auto"/>
        </w:rPr>
        <w:t>Mid-Range</w:t>
      </w:r>
      <w:r>
        <w:rPr>
          <w:rFonts w:ascii="Arial" w:cs="Arial" w:eastAsia="Arial" w:hAnsi="Arial"/>
          <w:sz w:val="21"/>
          <w:szCs w:val="21"/>
          <w:i w:val="1"/>
          <w:iCs w:val="1"/>
          <w:color w:val="auto"/>
          <w:vertAlign w:val="superscript"/>
        </w:rPr>
        <w:t>3</w:t>
      </w:r>
    </w:p>
    <w:p>
      <w:pPr>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 decrease in mid-range color installs reflecting lower installs of ConnectKey devices. The decrease was significantly impacted by lower activity as a result of the transitional impact associated with recently implemented organizational changes in our XBS sales organization (as part of our Project Own It transformation actions), which included the transitioning of accounts to implement coverage changes, consolidation of real estate locations and the reduction of management layers. The decrease also reflected lower activity and a lack of large deals in EMEA, as well as a challenging comparison against the period with the highest activity growth in the prior year, partially due to the timing of our ConnectKey product launch.</w:t>
      </w:r>
    </w:p>
    <w:p>
      <w:pPr>
        <w:spacing w:after="0" w:line="2" w:lineRule="exact"/>
        <w:rPr>
          <w:rFonts w:ascii="Arial" w:cs="Arial" w:eastAsia="Arial" w:hAnsi="Arial"/>
          <w:sz w:val="18"/>
          <w:szCs w:val="18"/>
          <w:color w:val="auto"/>
        </w:rPr>
      </w:pPr>
    </w:p>
    <w:p>
      <w:pPr>
        <w:ind w:left="340" w:right="80" w:hanging="332"/>
        <w:spacing w:after="0" w:line="262"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 decrease in mid-range black-and-white reflecting lower installs of ConnectKey devices primarily from EMEA. The decline also reflected market trends.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High-End</w:t>
      </w:r>
      <w:r>
        <w:rPr>
          <w:rFonts w:ascii="Arial" w:cs="Arial" w:eastAsia="Arial" w:hAnsi="Arial"/>
          <w:sz w:val="21"/>
          <w:szCs w:val="21"/>
          <w:i w:val="1"/>
          <w:iCs w:val="1"/>
          <w:color w:val="auto"/>
          <w:vertAlign w:val="superscript"/>
        </w:rPr>
        <w:t>3</w:t>
      </w:r>
    </w:p>
    <w:p>
      <w:pPr>
        <w:ind w:left="340" w:right="42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 increase in high-end color installs reflecting continued demand for our Iridesse production press in EMEA and higher installs of our inkjet cut-sheet systems. Lower activity from iGen and Versant production systems provided a partial headwind.</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33% decrease in high-end black-and-white systems reflecting market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1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the “Non-GAAP Financial Measures” section for an explanation of the non-GAAP financial measure.</w:t>
      </w:r>
    </w:p>
    <w:p>
      <w:pPr>
        <w:ind w:left="340" w:hanging="332"/>
        <w:spacing w:after="0" w:line="187" w:lineRule="auto"/>
        <w:tabs>
          <w:tab w:leader="none" w:pos="34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When combined with OEM sales, Entry color multifunction devices decreased 19%, while Entry black-and-white multifunction devices decreased 11%.</w:t>
      </w:r>
    </w:p>
    <w:p>
      <w:pPr>
        <w:ind w:left="340" w:right="40" w:hanging="332"/>
        <w:spacing w:after="0" w:line="218" w:lineRule="auto"/>
        <w:tabs>
          <w:tab w:leader="none" w:pos="34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Mid-range and High-end color installations exclude Fuji Xerox digital front-end sales; including Fuji Xerox digital front-end sales, Mid-range color devices decreased 12%, and High-end color systems increased 1%.</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8" w:right="2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DA2031"/>
        </w:rPr>
        <w:t>Costs, Expenses and Other Income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Summary of Key Financial Ratios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financial ratios used to assess our performance: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color w:val="auto"/>
              </w:rPr>
              <w:t>Three Months Ended June 30,</w:t>
            </w:r>
          </w:p>
        </w:tc>
        <w:tc>
          <w:tcPr>
            <w:tcW w:w="1100" w:type="dxa"/>
            <w:vAlign w:val="bottom"/>
            <w:tcBorders>
              <w:bottom w:val="single" w:sz="8" w:color="auto"/>
            </w:tcBorders>
          </w:tcPr>
          <w:p>
            <w:pPr>
              <w:spacing w:after="0"/>
              <w:rPr>
                <w:sz w:val="15"/>
                <w:szCs w:val="15"/>
                <w:color w:val="auto"/>
              </w:rPr>
            </w:pPr>
          </w:p>
        </w:tc>
      </w:tr>
      <w:tr>
        <w:trPr>
          <w:trHeight w:val="264"/>
        </w:trPr>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E5E5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B/(W)</w:t>
            </w:r>
          </w:p>
        </w:tc>
      </w:tr>
      <w:tr>
        <w:trPr>
          <w:trHeight w:val="256"/>
        </w:trPr>
        <w:tc>
          <w:tcPr>
            <w:tcW w:w="70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897</w:t>
            </w:r>
          </w:p>
        </w:tc>
        <w:tc>
          <w:tcPr>
            <w:tcW w:w="12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1,001</w:t>
            </w:r>
          </w:p>
        </w:tc>
        <w:tc>
          <w:tcPr>
            <w:tcW w:w="100" w:type="dxa"/>
            <w:vAlign w:val="bottom"/>
            <w:shd w:val="clear" w:color="auto" w:fill="E5E5E5"/>
          </w:tcPr>
          <w:p>
            <w:pPr>
              <w:spacing w:after="0"/>
              <w:rPr>
                <w:sz w:val="22"/>
                <w:szCs w:val="22"/>
                <w:color w:val="auto"/>
              </w:rPr>
            </w:pPr>
          </w:p>
        </w:tc>
        <w:tc>
          <w:tcPr>
            <w:tcW w:w="2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(104)</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RD&amp;E</w:t>
            </w:r>
          </w:p>
        </w:tc>
        <w:tc>
          <w:tcPr>
            <w:tcW w:w="32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70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SAG</w:t>
            </w:r>
          </w:p>
        </w:tc>
        <w:tc>
          <w:tcPr>
            <w:tcW w:w="320" w:type="dxa"/>
            <w:vAlign w:val="bottom"/>
            <w:shd w:val="clear" w:color="auto" w:fill="E5E5E5"/>
          </w:tcPr>
          <w:p>
            <w:pPr>
              <w:spacing w:after="0"/>
              <w:rPr>
                <w:sz w:val="24"/>
                <w:szCs w:val="24"/>
                <w:color w:val="auto"/>
              </w:rPr>
            </w:pPr>
          </w:p>
        </w:tc>
        <w:tc>
          <w:tcPr>
            <w:tcW w:w="10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519</w:t>
            </w:r>
          </w:p>
        </w:tc>
        <w:tc>
          <w:tcPr>
            <w:tcW w:w="12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10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105</w:t>
            </w:r>
          </w:p>
        </w:tc>
      </w:tr>
      <w:tr>
        <w:trPr>
          <w:trHeight w:val="284"/>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70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Equipment Gross Margin</w:t>
            </w:r>
          </w:p>
        </w:tc>
        <w:tc>
          <w:tcPr>
            <w:tcW w:w="320" w:type="dxa"/>
            <w:vAlign w:val="bottom"/>
            <w:shd w:val="clear" w:color="auto" w:fill="E5E5E5"/>
          </w:tcPr>
          <w:p>
            <w:pPr>
              <w:spacing w:after="0"/>
              <w:rPr>
                <w:sz w:val="23"/>
                <w:szCs w:val="23"/>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(3.2) pts.</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Post sale Gross Margin</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(0.1) pts.</w:t>
            </w:r>
          </w:p>
        </w:tc>
      </w:tr>
      <w:tr>
        <w:trPr>
          <w:trHeight w:val="276"/>
        </w:trPr>
        <w:tc>
          <w:tcPr>
            <w:tcW w:w="70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Total Gross Margin</w:t>
            </w:r>
          </w:p>
        </w:tc>
        <w:tc>
          <w:tcPr>
            <w:tcW w:w="3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39.2%</w:t>
            </w:r>
          </w:p>
        </w:tc>
        <w:tc>
          <w:tcPr>
            <w:tcW w:w="12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(0.7) pts.</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RD&amp;E as a % of Revenue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0.2 pts.</w:t>
            </w:r>
          </w:p>
        </w:tc>
      </w:tr>
      <w:tr>
        <w:trPr>
          <w:trHeight w:val="276"/>
        </w:trPr>
        <w:tc>
          <w:tcPr>
            <w:tcW w:w="70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SAG as a % of Revenue</w:t>
            </w:r>
          </w:p>
        </w:tc>
        <w:tc>
          <w:tcPr>
            <w:tcW w:w="3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2.2 pts.</w:t>
            </w:r>
          </w:p>
        </w:tc>
      </w:tr>
      <w:tr>
        <w:trPr>
          <w:trHeight w:val="284"/>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70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Pre-tax Income</w:t>
            </w:r>
          </w:p>
        </w:tc>
        <w:tc>
          <w:tcPr>
            <w:tcW w:w="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67</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Pre-tax Income Margin</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3.4 pts.</w:t>
            </w:r>
          </w:p>
        </w:tc>
      </w:tr>
      <w:tr>
        <w:trPr>
          <w:trHeight w:val="290"/>
        </w:trPr>
        <w:tc>
          <w:tcPr>
            <w:tcW w:w="694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10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108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1100" w:type="dxa"/>
            <w:vAlign w:val="bottom"/>
            <w:shd w:val="clear" w:color="auto" w:fill="E5E5E5"/>
          </w:tcPr>
          <w:p>
            <w:pPr>
              <w:spacing w:after="0"/>
              <w:rPr>
                <w:sz w:val="24"/>
                <w:szCs w:val="24"/>
                <w:color w:val="auto"/>
              </w:rPr>
            </w:pPr>
          </w:p>
        </w:tc>
      </w:tr>
      <w:tr>
        <w:trPr>
          <w:trHeight w:val="270"/>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Adjusted</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Operating Profit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3"/>
                <w:szCs w:val="23"/>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0"/>
        </w:trPr>
        <w:tc>
          <w:tcPr>
            <w:tcW w:w="70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Adjusted</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Operating Margin</w:t>
            </w:r>
          </w:p>
        </w:tc>
        <w:tc>
          <w:tcPr>
            <w:tcW w:w="320" w:type="dxa"/>
            <w:vAlign w:val="bottom"/>
            <w:shd w:val="clear" w:color="auto" w:fill="E5E5E5"/>
          </w:tcPr>
          <w:p>
            <w:pPr>
              <w:spacing w:after="0"/>
              <w:rPr>
                <w:sz w:val="23"/>
                <w:szCs w:val="23"/>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1.7 pts.</w:t>
            </w:r>
          </w:p>
        </w:tc>
      </w:tr>
      <w:tr>
        <w:trPr>
          <w:trHeight w:val="130"/>
        </w:trPr>
        <w:tc>
          <w:tcPr>
            <w:tcW w:w="694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37"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“Non-GAAP Financial Measures” section for an explanation of the non-GAAP financial measure.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Margin</w:t>
      </w:r>
    </w:p>
    <w:p>
      <w:pPr>
        <w:spacing w:after="0" w:line="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Second quarter 2019 pre-tax income margin of 8.7% increased 3.4-percentage points as compared to second quarter 2018. The increase was primarily driven by lower Transaction and related costs, net as well as lower operating expenses, primarily reflecting the net benefit from our Project Own It transformation actions, which more than offset the adverse impact of lower revenues.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w:t>
      </w:r>
      <w:r>
        <w:rPr>
          <w:rFonts w:ascii="Arial" w:cs="Arial" w:eastAsia="Arial" w:hAnsi="Arial"/>
          <w:sz w:val="21"/>
          <w:szCs w:val="21"/>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Operating Margin</w:t>
      </w:r>
    </w:p>
    <w:p>
      <w:pPr>
        <w:ind w:right="100"/>
        <w:spacing w:after="0" w:line="242" w:lineRule="auto"/>
        <w:rPr>
          <w:sz w:val="20"/>
          <w:szCs w:val="20"/>
          <w:color w:val="auto"/>
        </w:rPr>
      </w:pPr>
      <w:r>
        <w:rPr>
          <w:rFonts w:ascii="Arial" w:cs="Arial" w:eastAsia="Arial" w:hAnsi="Arial"/>
          <w:sz w:val="18"/>
          <w:szCs w:val="18"/>
          <w:color w:val="auto"/>
        </w:rPr>
        <w:t>Second quarter 2019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operating margin of 12.7% increased by 1.7-percentage points as compared to second quarter 2018 primarily reflecting the impact of SAG reductions and cost productivity associated with our Project Own It transformation actions, which more than offset the pace of revenue decline and an approximate 0.3-percentage point unfavorable impact from transaction currency. The increase also reflected a $ 20 million favorable impact from higher costs in the prior year related to the termination of an IT project and the accelerated depreciation associated with the exit of a surplus real estate facility.</w:t>
      </w:r>
    </w:p>
    <w:p>
      <w:pPr>
        <w:spacing w:after="0"/>
        <w:rPr>
          <w:sz w:val="20"/>
          <w:szCs w:val="20"/>
          <w:color w:val="auto"/>
        </w:rPr>
      </w:pPr>
      <w:r>
        <w:rPr>
          <w:rFonts w:ascii="Arial" w:cs="Arial" w:eastAsia="Arial" w:hAnsi="Arial"/>
          <w:sz w:val="11"/>
          <w:szCs w:val="11"/>
          <w:color w:val="auto"/>
        </w:rPr>
        <w:t>____________________________</w:t>
      </w:r>
    </w:p>
    <w:p>
      <w:pPr>
        <w:ind w:left="140" w:hanging="132"/>
        <w:spacing w:after="0" w:line="231" w:lineRule="auto"/>
        <w:tabs>
          <w:tab w:leader="none" w:pos="140" w:val="left"/>
        </w:tabs>
        <w:numPr>
          <w:ilvl w:val="0"/>
          <w:numId w:val="1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Refer to the Operating Income and Margin reconciliation table in the “Non-GAAP Financial Measures” section.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Second quarter 2019 gross margin of 39.2% decreased by 0.7-percentage points compared to second quarter 2018, due to lower equipment gross margin, which reflected the unfavorable volume and mix impacts of lower sales, primarily from mid-range equipment in our XBS organization, as well as targeted price actions partially offset by cost productivity. The decrease also included the unfavorable impact of transaction currency.</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Second quarter 2019 equipment gross margin of 28.8% decreased by 3.2-percentage points as compared to second quarter 2018, including an approximate 0.8-percentage point unfavorable impact from transaction currency and also reflecting the unfavorable volume and mix impacts of lower sales, primarily from mid-range equipment in our XBS organization, as well as targeted price actions partially offset by cost productivity.</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Second quarter 2019 post sale gross margin of 42.0% decreased by 0.1-percentage points as compared to second quarter 2018 driven by the impact of lower revenues, almost entirely offset by productivity and restructuring savings associated with our Project Own It transformation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auto"/>
        </w:rPr>
        <w:t>Research, Development and Engineering Expenses (RD&amp;E)</w:t>
      </w:r>
    </w:p>
    <w:p>
      <w:pPr>
        <w:spacing w:after="0" w:line="2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Second quarter 2019 RD&amp;E as a percentage of revenue of 3.8% decreased by 0.2-percentage points as compared to second quarter 2018, as expenses declined at a higher rate than revenue, partially due to timing of projects that will ramp later in the year.</w:t>
      </w:r>
    </w:p>
    <w:p>
      <w:pPr>
        <w:spacing w:after="0" w:line="8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RD&amp;E of $88 million decreased $13 million as compared to second quarter 2018 and reflected cost productivity and restructuring savings from our Project Own It transformation 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Administrative and General Expenses (SAG)</w:t>
      </w:r>
    </w:p>
    <w:p>
      <w:pPr>
        <w:spacing w:after="0" w:line="2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SAG as a percentage of revenue of 22.7% decreased by 2.2-percentage points as compared to second quarter 2018, primarily reflecting the benefit from productivity and restructuring associated with our Project Own It transformation actions.</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SAG of $519 million decreased by $105 million as compared to second quarter 2018, reflecting productivity and restructuring savings associated with our Project Own It transformation actions as well as favorable impacts of approximately $9 million from translation currency and $20 million from higher costs in the prior year related to the termination of an IT project and the accelerated depreciation associated with the exit of a surplus real estate facility. Bad debt expense of $12 million was flat compared to second quarter 2018 and on a trailing twelve-month basis (TTM) remained at less than one percent of total receivables.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Related Costs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12121"/>
        </w:rPr>
        <w:t xml:space="preserve">During the second half of 2018, we started our Project Own It transformation initiative. The primary goal of this initiative is to improve productivity by driving end-to-end transformation of our processes and systems to create greater focus, speed, accountability and effectiveness and to reduce costs. We incurred restructuring and related costs of $37 million for the </w:t>
      </w:r>
      <w:r>
        <w:rPr>
          <w:rFonts w:ascii="Arial" w:cs="Arial" w:eastAsia="Arial" w:hAnsi="Arial"/>
          <w:sz w:val="18"/>
          <w:szCs w:val="18"/>
          <w:color w:val="000000"/>
        </w:rPr>
        <w:t>second</w:t>
      </w:r>
      <w:r>
        <w:rPr>
          <w:rFonts w:ascii="Arial" w:cs="Arial" w:eastAsia="Arial" w:hAnsi="Arial"/>
          <w:sz w:val="18"/>
          <w:szCs w:val="18"/>
          <w:color w:val="212121"/>
        </w:rPr>
        <w:t xml:space="preserve"> quarter 2019 primarily related to costs to implement initiatives under our business transformation projects including Project Own It. The following is a breakdown of those costs: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8"/>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4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June 30, 2019</w:t>
            </w:r>
          </w:p>
        </w:tc>
        <w:tc>
          <w:tcPr>
            <w:tcW w:w="0" w:type="dxa"/>
            <w:vAlign w:val="bottom"/>
          </w:tcPr>
          <w:p>
            <w:pPr>
              <w:spacing w:after="0"/>
              <w:rPr>
                <w:sz w:val="1"/>
                <w:szCs w:val="1"/>
                <w:color w:val="auto"/>
              </w:rPr>
            </w:pPr>
          </w:p>
        </w:tc>
      </w:tr>
      <w:tr>
        <w:trPr>
          <w:trHeight w:val="256"/>
        </w:trPr>
        <w:tc>
          <w:tcPr>
            <w:tcW w:w="96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Restructuring Severance </w:t>
            </w:r>
            <w:r>
              <w:rPr>
                <w:rFonts w:ascii="Arial" w:cs="Arial" w:eastAsia="Arial" w:hAnsi="Arial"/>
                <w:sz w:val="17"/>
                <w:szCs w:val="17"/>
                <w:color w:val="auto"/>
                <w:vertAlign w:val="superscript"/>
              </w:rPr>
              <w:t>(1)</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9620" w:type="dxa"/>
            <w:vAlign w:val="bottom"/>
            <w:gridSpan w:val="2"/>
          </w:tcPr>
          <w:p>
            <w:pPr>
              <w:ind w:left="40"/>
              <w:spacing w:after="0"/>
              <w:rPr>
                <w:sz w:val="20"/>
                <w:szCs w:val="20"/>
                <w:color w:val="auto"/>
              </w:rPr>
            </w:pPr>
            <w:r>
              <w:rPr>
                <w:rFonts w:ascii="Arial" w:cs="Arial" w:eastAsia="Arial" w:hAnsi="Arial"/>
                <w:sz w:val="14"/>
                <w:szCs w:val="14"/>
                <w:color w:val="auto"/>
              </w:rPr>
              <w:t xml:space="preserve">Asset Impairments </w:t>
            </w:r>
            <w:r>
              <w:rPr>
                <w:rFonts w:ascii="Arial" w:cs="Arial" w:eastAsia="Arial" w:hAnsi="Arial"/>
                <w:sz w:val="17"/>
                <w:szCs w:val="17"/>
                <w:color w:val="auto"/>
                <w:vertAlign w:val="superscript"/>
              </w:rPr>
              <w:t>(2)</w:t>
            </w:r>
          </w:p>
        </w:tc>
        <w:tc>
          <w:tcPr>
            <w:tcW w:w="160" w:type="dxa"/>
            <w:vAlign w:val="bottom"/>
          </w:tcPr>
          <w:p>
            <w:pPr>
              <w:spacing w:after="0"/>
              <w:rPr>
                <w:sz w:val="23"/>
                <w:szCs w:val="23"/>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96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Other contractual termination costs </w:t>
            </w:r>
            <w:r>
              <w:rPr>
                <w:rFonts w:ascii="Arial" w:cs="Arial" w:eastAsia="Arial" w:hAnsi="Arial"/>
                <w:sz w:val="17"/>
                <w:szCs w:val="17"/>
                <w:color w:val="auto"/>
                <w:vertAlign w:val="superscript"/>
              </w:rPr>
              <w:t>(3)</w:t>
            </w:r>
          </w:p>
        </w:tc>
        <w:tc>
          <w:tcPr>
            <w:tcW w:w="160" w:type="dxa"/>
            <w:vAlign w:val="bottom"/>
            <w:shd w:val="clear" w:color="auto" w:fill="E5E5E5"/>
          </w:tcPr>
          <w:p>
            <w:pPr>
              <w:spacing w:after="0"/>
              <w:rPr>
                <w:sz w:val="23"/>
                <w:szCs w:val="23"/>
                <w:color w:val="auto"/>
              </w:rPr>
            </w:pPr>
          </w:p>
        </w:tc>
        <w:tc>
          <w:tcPr>
            <w:tcW w:w="1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96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 xml:space="preserve">Net reversals </w:t>
            </w:r>
            <w:r>
              <w:rPr>
                <w:rFonts w:ascii="Arial" w:cs="Arial" w:eastAsia="Arial" w:hAnsi="Arial"/>
                <w:sz w:val="17"/>
                <w:szCs w:val="17"/>
                <w:color w:val="auto"/>
                <w:vertAlign w:val="superscript"/>
              </w:rPr>
              <w:t>(4)</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96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Restructuring and asset impairment costs</w:t>
            </w:r>
          </w:p>
        </w:tc>
        <w:tc>
          <w:tcPr>
            <w:tcW w:w="160" w:type="dxa"/>
            <w:vAlign w:val="bottom"/>
            <w:shd w:val="clear" w:color="auto" w:fill="E5E5E5"/>
          </w:tcPr>
          <w:p>
            <w:pPr>
              <w:spacing w:after="0"/>
              <w:rPr>
                <w:sz w:val="21"/>
                <w:szCs w:val="21"/>
                <w:color w:val="auto"/>
              </w:rPr>
            </w:pPr>
          </w:p>
        </w:tc>
        <w:tc>
          <w:tcPr>
            <w:tcW w:w="1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0"/>
        </w:trPr>
        <w:tc>
          <w:tcPr>
            <w:tcW w:w="9620" w:type="dxa"/>
            <w:vAlign w:val="bottom"/>
            <w:gridSpan w:val="2"/>
          </w:tcPr>
          <w:p>
            <w:pPr>
              <w:ind w:left="40"/>
              <w:spacing w:after="0"/>
              <w:rPr>
                <w:sz w:val="20"/>
                <w:szCs w:val="20"/>
                <w:color w:val="auto"/>
              </w:rPr>
            </w:pPr>
            <w:r>
              <w:rPr>
                <w:rFonts w:ascii="Arial" w:cs="Arial" w:eastAsia="Arial" w:hAnsi="Arial"/>
                <w:sz w:val="14"/>
                <w:szCs w:val="14"/>
                <w:color w:val="auto"/>
              </w:rPr>
              <w:t xml:space="preserve">Retention related severance/bonuses </w:t>
            </w:r>
            <w:r>
              <w:rPr>
                <w:rFonts w:ascii="Arial" w:cs="Arial" w:eastAsia="Arial" w:hAnsi="Arial"/>
                <w:sz w:val="17"/>
                <w:szCs w:val="17"/>
                <w:color w:val="auto"/>
                <w:vertAlign w:val="superscript"/>
              </w:rPr>
              <w:t>(5)</w:t>
            </w:r>
          </w:p>
        </w:tc>
        <w:tc>
          <w:tcPr>
            <w:tcW w:w="160" w:type="dxa"/>
            <w:vAlign w:val="bottom"/>
          </w:tcPr>
          <w:p>
            <w:pPr>
              <w:spacing w:after="0"/>
              <w:rPr>
                <w:sz w:val="23"/>
                <w:szCs w:val="23"/>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96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Consulting and other costs </w:t>
            </w:r>
            <w:r>
              <w:rPr>
                <w:rFonts w:ascii="Arial" w:cs="Arial" w:eastAsia="Arial" w:hAnsi="Arial"/>
                <w:sz w:val="17"/>
                <w:szCs w:val="17"/>
                <w:color w:val="auto"/>
                <w:vertAlign w:val="superscript"/>
              </w:rPr>
              <w:t>(6)</w:t>
            </w:r>
          </w:p>
        </w:tc>
        <w:tc>
          <w:tcPr>
            <w:tcW w:w="160" w:type="dxa"/>
            <w:vAlign w:val="bottom"/>
            <w:tcBorders>
              <w:bottom w:val="single" w:sz="8" w:color="auto"/>
            </w:tcBorders>
            <w:shd w:val="clear" w:color="auto" w:fill="E5E5E5"/>
          </w:tcPr>
          <w:p>
            <w:pPr>
              <w:spacing w:after="0"/>
              <w:rPr>
                <w:sz w:val="23"/>
                <w:szCs w:val="23"/>
                <w:color w:val="auto"/>
              </w:rPr>
            </w:pPr>
          </w:p>
        </w:tc>
        <w:tc>
          <w:tcPr>
            <w:tcW w:w="16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37"/>
        </w:trPr>
        <w:tc>
          <w:tcPr>
            <w:tcW w:w="96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9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Reflects headcount reductions of approximately 150 employees worldwide.</w:t>
      </w:r>
    </w:p>
    <w:p>
      <w:pPr>
        <w:ind w:left="340" w:right="60" w:hanging="332"/>
        <w:spacing w:after="0" w:line="211" w:lineRule="auto"/>
        <w:tabs>
          <w:tab w:leader="none" w:pos="340"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Primarily related to the exit and abandonment of leased and owned facilities. The charge includes the accelerated write-off of $8 million for leased right-of-use asset balances and $2 million for owned asset balances upon exit from the facility net of any potential sublease income and other recoveries.</w:t>
      </w:r>
    </w:p>
    <w:p>
      <w:pPr>
        <w:ind w:left="340" w:hanging="332"/>
        <w:spacing w:after="0" w:line="187" w:lineRule="auto"/>
        <w:tabs>
          <w:tab w:leader="none" w:pos="340"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Primarily include additional costs incurred upon the exit from our facilities including decommissioning costs and associated contractual termination costs.</w:t>
      </w:r>
    </w:p>
    <w:p>
      <w:pPr>
        <w:ind w:left="340" w:right="260" w:hanging="332"/>
        <w:spacing w:after="0" w:line="211" w:lineRule="auto"/>
        <w:tabs>
          <w:tab w:leader="none" w:pos="340"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Reflects net reversals for changes in estimated reserves from prior period initiatives as well as $2 million in favorable adjustments from the early termination of prior period impaired leases.</w:t>
      </w:r>
    </w:p>
    <w:p>
      <w:pPr>
        <w:ind w:left="340" w:hanging="332"/>
        <w:spacing w:after="0" w:line="187" w:lineRule="auto"/>
        <w:tabs>
          <w:tab w:leader="none" w:pos="340"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retention related severance and bonuses for employees expected to continue working beyond their minimum notification period before termination.</w:t>
      </w:r>
    </w:p>
    <w:p>
      <w:pPr>
        <w:ind w:left="340" w:hanging="332"/>
        <w:spacing w:after="0" w:line="199" w:lineRule="auto"/>
        <w:tabs>
          <w:tab w:leader="none" w:pos="340"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professional support services associated with our business transformation initiatives.</w:t>
      </w:r>
    </w:p>
    <w:p>
      <w:pPr>
        <w:spacing w:after="0" w:line="201" w:lineRule="exact"/>
        <w:rPr>
          <w:sz w:val="20"/>
          <w:szCs w:val="20"/>
          <w:color w:val="auto"/>
        </w:rPr>
      </w:pPr>
    </w:p>
    <w:p>
      <w:pPr>
        <w:ind w:right="1120"/>
        <w:spacing w:after="0" w:line="262" w:lineRule="auto"/>
        <w:rPr>
          <w:sz w:val="20"/>
          <w:szCs w:val="20"/>
          <w:color w:val="auto"/>
        </w:rPr>
      </w:pPr>
      <w:r>
        <w:rPr>
          <w:rFonts w:ascii="Arial" w:cs="Arial" w:eastAsia="Arial" w:hAnsi="Arial"/>
          <w:sz w:val="18"/>
          <w:szCs w:val="18"/>
          <w:color w:val="auto"/>
        </w:rPr>
        <w:t>Second quarter 2019 actions impacted several functional areas, with approximately 15% focused on gross margin improvements, approximately 80% focused on SAG reductions, and the remainder focused on RD&amp;E optimization.</w:t>
      </w:r>
    </w:p>
    <w:p>
      <w:pPr>
        <w:spacing w:after="0" w:line="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implementation of our Project Own It initiatives as well as other strategic initiatives is expected to result in significant cost savings in 2019 and future years. However, as noted in the discussion on Revenues, the implementation of these initiatives negatively impacted our revenues in the first half of 2019. The impact on our revenues from these initiatives began to moderate late in the second quarter, and we expect to make further progress reducing the impact from these initiatives on our revenues in the second half of 2019. Nevertheless, any expected savings associated with these initiatives may continue to be offset to some extent until initiatives are fully implemented and stabilized.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01" w:right="239" w:bottom="1440" w:gutter="0" w:footer="0" w:header="0"/>
        </w:sectPr>
      </w:pPr>
    </w:p>
    <w:bookmarkStart w:id="17" w:name="page18"/>
    <w:bookmarkEnd w:id="17"/>
    <w:p>
      <w:pPr>
        <w:spacing w:after="0" w:line="254" w:lineRule="auto"/>
        <w:rPr>
          <w:sz w:val="20"/>
          <w:szCs w:val="20"/>
          <w:color w:val="auto"/>
        </w:rPr>
      </w:pPr>
      <w:r>
        <w:rPr>
          <w:rFonts w:ascii="Arial" w:cs="Arial" w:eastAsia="Arial" w:hAnsi="Arial"/>
          <w:sz w:val="18"/>
          <w:szCs w:val="18"/>
          <w:color w:val="auto"/>
        </w:rPr>
        <w:t>Second quarter 2018 restructuring and related costs of $34 million included $40 million of severance costs related to headcount reductions of approximately 550 employees worldwide. These costs were partially offset by $6 million of net reversals for changes in estimated reserves from prior period initiatives. Second quarter 2018 actions impacted several functional areas, with approximately 30% focused on gross margin improvements, approximately 65% on SAG reductions, and the remainder focused on RD&amp;E optimization.</w:t>
      </w:r>
    </w:p>
    <w:p>
      <w:pPr>
        <w:spacing w:after="0" w:line="9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restructuring reserve balance as of June 30, 2019 for all programs was $69 million, of which $67 million is expected to be spent over the next twelve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 and Related Costs, Net</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There were $4 million of Transaction and related costs, net recognized during the second quarter 2019 as compared to $58 million during second quarter 2018. We continue to pursue additional recoveries from insurance carriers and other parties for costs and expenses related to the terminated Fuji transaction and related shareholder litigation and therefore additional recoveries and adjustments may be recorded in future periods, when finalized.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2019 Amortization of intangible assets of $11 million decreased by $1 million compared to second quarter 2018.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Worldwide Employment</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Worldwide employment was approximately 27,900 as of June 30, 2019 and decreased by approximately 4,500 from December 31, 2018. The reduction resulted from net attrition (attrition net of gross hires), of which a large portion is not expected to be backfilled, as well as the impact of organizational changes including employees transferred as part of the shared services arrangement recently entered into with HCL Technologies.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Other Expenses, Net</w:t>
      </w:r>
    </w:p>
    <w:p>
      <w:pPr>
        <w:spacing w:after="0" w:line="194" w:lineRule="exact"/>
        <w:rPr>
          <w:sz w:val="20"/>
          <w:szCs w:val="20"/>
          <w:color w:val="auto"/>
        </w:rPr>
      </w:pPr>
    </w:p>
    <w:p>
      <w:pPr>
        <w:ind w:left="896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color w:val="auto"/>
              </w:rPr>
              <w:t>June 30,</w:t>
            </w:r>
          </w:p>
        </w:tc>
        <w:tc>
          <w:tcPr>
            <w:tcW w:w="1240" w:type="dxa"/>
            <w:vAlign w:val="bottom"/>
            <w:tcBorders>
              <w:bottom w:val="single" w:sz="8" w:color="auto"/>
            </w:tcBorders>
          </w:tcPr>
          <w:p>
            <w:pPr>
              <w:spacing w:after="0"/>
              <w:rPr>
                <w:sz w:val="15"/>
                <w:szCs w:val="15"/>
                <w:color w:val="auto"/>
              </w:rPr>
            </w:pPr>
          </w:p>
        </w:tc>
      </w:tr>
      <w:tr>
        <w:trPr>
          <w:trHeight w:val="264"/>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2018</w:t>
            </w:r>
          </w:p>
        </w:tc>
      </w:tr>
      <w:tr>
        <w:trPr>
          <w:trHeight w:val="256"/>
        </w:trPr>
        <w:tc>
          <w:tcPr>
            <w:tcW w:w="78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Non-financing interest expense</w:t>
            </w:r>
          </w:p>
        </w:tc>
        <w:tc>
          <w:tcPr>
            <w:tcW w:w="4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E5E5E5"/>
          </w:tcPr>
          <w:p>
            <w:pPr>
              <w:spacing w:after="0"/>
              <w:rPr>
                <w:sz w:val="22"/>
                <w:szCs w:val="22"/>
                <w:color w:val="auto"/>
              </w:rPr>
            </w:pPr>
          </w:p>
        </w:tc>
        <w:tc>
          <w:tcPr>
            <w:tcW w:w="46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27</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Non-service retirement-related costs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25</w:t>
            </w:r>
          </w:p>
        </w:tc>
      </w:tr>
      <w:tr>
        <w:trPr>
          <w:trHeight w:val="276"/>
        </w:trPr>
        <w:tc>
          <w:tcPr>
            <w:tcW w:w="78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Interest income</w:t>
            </w:r>
          </w:p>
        </w:tc>
        <w:tc>
          <w:tcPr>
            <w:tcW w:w="400" w:type="dxa"/>
            <w:vAlign w:val="bottom"/>
            <w:shd w:val="clear" w:color="auto" w:fill="E5E5E5"/>
          </w:tcPr>
          <w:p>
            <w:pPr>
              <w:spacing w:after="0"/>
              <w:rPr>
                <w:sz w:val="24"/>
                <w:szCs w:val="24"/>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5E5E5"/>
          </w:tcPr>
          <w:p>
            <w:pPr>
              <w:spacing w:after="0"/>
              <w:rPr>
                <w:sz w:val="24"/>
                <w:szCs w:val="24"/>
                <w:color w:val="auto"/>
              </w:rPr>
            </w:pPr>
          </w:p>
        </w:tc>
        <w:tc>
          <w:tcPr>
            <w:tcW w:w="460" w:type="dxa"/>
            <w:vAlign w:val="bottom"/>
            <w:shd w:val="clear" w:color="auto" w:fill="E5E5E5"/>
          </w:tcPr>
          <w:p>
            <w:pPr>
              <w:spacing w:after="0"/>
              <w:rPr>
                <w:sz w:val="24"/>
                <w:szCs w:val="24"/>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Gains on sales of businesses and assets</w:t>
            </w:r>
          </w:p>
        </w:tc>
        <w:tc>
          <w:tcPr>
            <w:tcW w:w="4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6"/>
        </w:trPr>
        <w:tc>
          <w:tcPr>
            <w:tcW w:w="78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Currency losses, net</w:t>
            </w:r>
          </w:p>
        </w:tc>
        <w:tc>
          <w:tcPr>
            <w:tcW w:w="400" w:type="dxa"/>
            <w:vAlign w:val="bottom"/>
            <w:shd w:val="clear" w:color="auto" w:fill="E5E5E5"/>
          </w:tcPr>
          <w:p>
            <w:pPr>
              <w:spacing w:after="0"/>
              <w:rPr>
                <w:sz w:val="24"/>
                <w:szCs w:val="24"/>
                <w:color w:val="auto"/>
              </w:rPr>
            </w:pPr>
          </w:p>
        </w:tc>
        <w:tc>
          <w:tcPr>
            <w:tcW w:w="142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spacing w:after="0"/>
              <w:rPr>
                <w:sz w:val="24"/>
                <w:szCs w:val="24"/>
                <w:color w:val="auto"/>
              </w:rPr>
            </w:pPr>
          </w:p>
        </w:tc>
        <w:tc>
          <w:tcPr>
            <w:tcW w:w="12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w:t>
            </w:r>
          </w:p>
        </w:tc>
      </w:tr>
      <w:tr>
        <w:trPr>
          <w:trHeight w:val="264"/>
        </w:trPr>
        <w:tc>
          <w:tcPr>
            <w:tcW w:w="788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All other expenses,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E5E5E5"/>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r>
      <w:tr>
        <w:trPr>
          <w:trHeight w:val="243"/>
        </w:trPr>
        <w:tc>
          <w:tcPr>
            <w:tcW w:w="788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Other expenses, net</w:t>
            </w:r>
          </w:p>
        </w:tc>
        <w:tc>
          <w:tcPr>
            <w:tcW w:w="40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E5E5E5"/>
            </w:tcBorders>
            <w:shd w:val="clear" w:color="auto" w:fill="E5E5E5"/>
          </w:tcPr>
          <w:p>
            <w:pPr>
              <w:spacing w:after="0"/>
              <w:rPr>
                <w:sz w:val="21"/>
                <w:szCs w:val="21"/>
                <w:color w:val="auto"/>
              </w:rPr>
            </w:pPr>
          </w:p>
        </w:tc>
        <w:tc>
          <w:tcPr>
            <w:tcW w:w="460" w:type="dxa"/>
            <w:vAlign w:val="bottom"/>
            <w:tcBorders>
              <w:bottom w:val="single" w:sz="8" w:color="auto"/>
            </w:tcBorders>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39</w:t>
            </w: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Non-financing interest expense</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Second quarter 2019 non-financing interest expense of $26 million was $1 million lower than second quarter 2018. When combined with financing interest expense (Cost of financing), total interest expense decreased by $1 million from second quarter 2018 primarily due to a lower debt balance.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Non-service retirement-related costs</w:t>
      </w:r>
    </w:p>
    <w:p>
      <w:pPr>
        <w:spacing w:after="0" w:line="2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Second quarter 2019 non-service retirement-related costs were $15 million lower than second quarter 2018, primarily driven by the favorable impact of a 2018 amendment to our U.S. Retiree Health Plan partially offset by higher losses from pension settlements in the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Gains on sales of businesses and assets</w:t>
      </w:r>
    </w:p>
    <w:p>
      <w:pPr>
        <w:spacing w:after="0" w:line="2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Second quarter 2019 gains on sales of businesses and assets were $16 million lower than second quarter 2018, reflecting the prior year sale of non-core business assets.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Income Taxes</w:t>
      </w:r>
    </w:p>
    <w:p>
      <w:pPr>
        <w:spacing w:after="0" w:line="132"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Second quarter 2019 effective tax rate was 25.0%.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second quarter 2019 effective tax rate was 25.6%. These rates were higher than the U.S. federal statutory tax rate of 21% primarily due to state taxes and the geographical mix of profits. The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Amortization of intangible assets, Transaction and related costs, net, and non-service retirement-related costs.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19" w:right="239" w:bottom="1440" w:gutter="0" w:footer="0" w:header="0"/>
        </w:sectPr>
      </w:pPr>
    </w:p>
    <w:bookmarkStart w:id="18" w:name="page19"/>
    <w:bookmarkEnd w:id="18"/>
    <w:p>
      <w:pPr>
        <w:ind w:right="20"/>
        <w:spacing w:after="0" w:line="246" w:lineRule="auto"/>
        <w:rPr>
          <w:sz w:val="20"/>
          <w:szCs w:val="20"/>
          <w:color w:val="auto"/>
        </w:rPr>
      </w:pPr>
      <w:r>
        <w:rPr>
          <w:rFonts w:ascii="Arial" w:cs="Arial" w:eastAsia="Arial" w:hAnsi="Arial"/>
          <w:sz w:val="17"/>
          <w:szCs w:val="17"/>
          <w:color w:val="auto"/>
        </w:rPr>
        <w:t>Second quarter 2018 effective tax rate was 28.6%. On an adjusted</w:t>
      </w:r>
      <w:r>
        <w:rPr>
          <w:rFonts w:ascii="Arial" w:cs="Arial" w:eastAsia="Arial" w:hAnsi="Arial"/>
          <w:sz w:val="20"/>
          <w:szCs w:val="20"/>
          <w:color w:val="auto"/>
          <w:vertAlign w:val="superscript"/>
        </w:rPr>
        <w:t>1</w:t>
      </w:r>
      <w:r>
        <w:rPr>
          <w:rFonts w:ascii="Arial" w:cs="Arial" w:eastAsia="Arial" w:hAnsi="Arial"/>
          <w:sz w:val="17"/>
          <w:szCs w:val="17"/>
          <w:color w:val="auto"/>
        </w:rPr>
        <w:t xml:space="preserve"> basis, second quarter 2018 effective tax rate was 26.7%. These rates were higher than the U.S. federal statutory tax rate of 21% primarily due to impacts associated with the 2017 Tax Act, as well as state taxes and the geographical mix of profits. The adjusted</w:t>
      </w:r>
      <w:r>
        <w:rPr>
          <w:rFonts w:ascii="Arial" w:cs="Arial" w:eastAsia="Arial" w:hAnsi="Arial"/>
          <w:sz w:val="20"/>
          <w:szCs w:val="20"/>
          <w:color w:val="auto"/>
          <w:vertAlign w:val="superscript"/>
        </w:rPr>
        <w:t>1</w:t>
      </w:r>
      <w:r>
        <w:rPr>
          <w:rFonts w:ascii="Arial" w:cs="Arial" w:eastAsia="Arial" w:hAnsi="Arial"/>
          <w:sz w:val="17"/>
          <w:szCs w:val="17"/>
          <w:color w:val="auto"/>
        </w:rPr>
        <w:t xml:space="preserve"> effective tax rate excludes the tax impacts associated with the following charges: Restructuring and related costs, Amortization of intangible assets, Transaction and related costs, net, and non-service retirement-related costs.</w:t>
      </w:r>
    </w:p>
    <w:p>
      <w:pPr>
        <w:spacing w:after="0" w:line="10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effective tax rate is based on nonrecurring events as well as recurring factors, including the taxation of foreign income. In addition, our effective tax rate will change based on discrete or other nonrecurring events that may not be predictable.</w:t>
      </w:r>
    </w:p>
    <w:p>
      <w:pPr>
        <w:spacing w:after="0" w:line="3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spacing w:after="0" w:line="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Refer to the Effective Tax Rate reconciliation table in the "Non-GAAP Financial Measures" section.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Equity in Net Income of Unconsolidated Affiliates</w:t>
      </w:r>
    </w:p>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Equity in net income of unconsolidated affiliates primarily reflects our 25% share of Fuji Xerox net income. Second quarter 2019 equity income of $34 million increased $15 million compared to second quarter 2018, primarily reflecting the savings from restructuring partially offset by $3 million of higher year-over-year charges related to our share of Fuji Xerox after-tax restructuring and other charges.</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Net Income</w:t>
      </w:r>
    </w:p>
    <w:p>
      <w:pPr>
        <w:spacing w:after="0" w:line="19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Second quarter 2019 net income attributable to Xerox was $181 million, or $0.77 per diluted share.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net income attributable to Xerox was $233 million, or $0.99 per diluted share. Second quarter 2019 adjustments to net income included Restructuring and related costs, Amortization of intangible assets, Transaction and related cost, net, and non-service retirement-related costs.</w:t>
      </w:r>
    </w:p>
    <w:p>
      <w:pPr>
        <w:spacing w:after="0" w:line="10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Second quarter 2018 net income attributable to Xerox was $112 million, or $0.42 per diluted share.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net income attributable to Xerox was $ 213 million, or $0.80 per diluted share. Second quarter 2018 adjustments to net income included Restructuring and related costs, Amortization of intangible assets, Transaction and related costs, net, and non-service retirement-related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Refer to the "Non-GAAP Financial Measures" section for the calculation of adjusted EPS. The calculations of basic and diluted earnings per share are included as Appendix I.</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717" w:right="27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DA2031"/>
        </w:rPr>
        <w:t>Capital Resources and Liquidity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cash equivalents and restricted cash: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5"/>
          </w:tcPr>
          <w:p>
            <w:pPr>
              <w:ind w:left="52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8"/>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E5E5E5"/>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Change</w:t>
            </w:r>
          </w:p>
        </w:tc>
      </w:tr>
      <w:tr>
        <w:trPr>
          <w:trHeight w:val="256"/>
        </w:trPr>
        <w:tc>
          <w:tcPr>
            <w:tcW w:w="6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E5E5E5"/>
          </w:tcPr>
          <w:p>
            <w:pPr>
              <w:spacing w:after="0"/>
              <w:rPr>
                <w:sz w:val="22"/>
                <w:szCs w:val="22"/>
                <w:color w:val="auto"/>
              </w:rPr>
            </w:pPr>
          </w:p>
        </w:tc>
        <w:tc>
          <w:tcPr>
            <w:tcW w:w="4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E5E5E5"/>
          </w:tcPr>
          <w:p>
            <w:pPr>
              <w:spacing w:after="0"/>
              <w:rPr>
                <w:sz w:val="22"/>
                <w:szCs w:val="22"/>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78</w:t>
            </w: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5E5E5"/>
          </w:tcPr>
          <w:p>
            <w:pPr>
              <w:spacing w:after="0"/>
              <w:rPr>
                <w:sz w:val="23"/>
                <w:szCs w:val="23"/>
                <w:color w:val="auto"/>
              </w:rPr>
            </w:pPr>
          </w:p>
        </w:tc>
        <w:tc>
          <w:tcPr>
            <w:tcW w:w="240" w:type="dxa"/>
            <w:vAlign w:val="bottom"/>
            <w:shd w:val="clear" w:color="auto" w:fill="E5E5E5"/>
          </w:tcPr>
          <w:p>
            <w:pPr>
              <w:spacing w:after="0"/>
              <w:rPr>
                <w:sz w:val="23"/>
                <w:szCs w:val="23"/>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w:t>
            </w: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Net cash used in financing activities</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E5E5E5"/>
          </w:tcPr>
          <w:p>
            <w:pPr>
              <w:spacing w:after="0"/>
              <w:rPr>
                <w:sz w:val="23"/>
                <w:szCs w:val="23"/>
                <w:color w:val="auto"/>
              </w:rPr>
            </w:pPr>
          </w:p>
        </w:tc>
        <w:tc>
          <w:tcPr>
            <w:tcW w:w="240" w:type="dxa"/>
            <w:vAlign w:val="bottom"/>
            <w:shd w:val="clear" w:color="auto" w:fill="E5E5E5"/>
          </w:tcPr>
          <w:p>
            <w:pPr>
              <w:spacing w:after="0"/>
              <w:rPr>
                <w:sz w:val="23"/>
                <w:szCs w:val="23"/>
                <w:color w:val="auto"/>
              </w:rPr>
            </w:pPr>
          </w:p>
        </w:tc>
        <w:tc>
          <w:tcPr>
            <w:tcW w:w="12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62</w:t>
            </w: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6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E5E5E5"/>
          </w:tcPr>
          <w:p>
            <w:pPr>
              <w:spacing w:after="0"/>
              <w:rPr>
                <w:sz w:val="22"/>
                <w:szCs w:val="22"/>
                <w:color w:val="auto"/>
              </w:rPr>
            </w:pPr>
          </w:p>
        </w:tc>
        <w:tc>
          <w:tcPr>
            <w:tcW w:w="400" w:type="dxa"/>
            <w:vAlign w:val="bottom"/>
            <w:tcBorders>
              <w:bottom w:val="single" w:sz="8" w:color="auto"/>
            </w:tcBorders>
            <w:shd w:val="clear" w:color="auto" w:fill="E5E5E5"/>
          </w:tcPr>
          <w:p>
            <w:pPr>
              <w:spacing w:after="0"/>
              <w:rPr>
                <w:sz w:val="22"/>
                <w:szCs w:val="22"/>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E5E5E5"/>
          </w:tcPr>
          <w:p>
            <w:pPr>
              <w:spacing w:after="0"/>
              <w:rPr>
                <w:sz w:val="22"/>
                <w:szCs w:val="22"/>
                <w:color w:val="auto"/>
              </w:rPr>
            </w:pPr>
          </w:p>
        </w:tc>
        <w:tc>
          <w:tcPr>
            <w:tcW w:w="240" w:type="dxa"/>
            <w:vAlign w:val="bottom"/>
            <w:tcBorders>
              <w:bottom w:val="single" w:sz="8" w:color="auto"/>
            </w:tcBorders>
            <w:shd w:val="clear" w:color="auto" w:fill="E5E5E5"/>
          </w:tcPr>
          <w:p>
            <w:pPr>
              <w:spacing w:after="0"/>
              <w:rPr>
                <w:sz w:val="22"/>
                <w:szCs w:val="22"/>
                <w:color w:val="auto"/>
              </w:rPr>
            </w:pPr>
          </w:p>
        </w:tc>
        <w:tc>
          <w:tcPr>
            <w:tcW w:w="12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36</w:t>
            </w: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Decrease in cash, cash equivalents and restricted cash</w:t>
            </w:r>
          </w:p>
        </w:tc>
        <w:tc>
          <w:tcPr>
            <w:tcW w:w="34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137</w:t>
            </w:r>
          </w:p>
        </w:tc>
      </w:tr>
      <w:tr>
        <w:trPr>
          <w:trHeight w:val="276"/>
        </w:trPr>
        <w:tc>
          <w:tcPr>
            <w:tcW w:w="6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shd w:val="clear" w:color="auto" w:fill="E5E5E5"/>
          </w:tcPr>
          <w:p>
            <w:pPr>
              <w:spacing w:after="0"/>
              <w:rPr>
                <w:sz w:val="24"/>
                <w:szCs w:val="24"/>
                <w:color w:val="auto"/>
              </w:rPr>
            </w:pPr>
          </w:p>
        </w:tc>
        <w:tc>
          <w:tcPr>
            <w:tcW w:w="11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786</w:t>
            </w:r>
          </w:p>
        </w:tc>
        <w:tc>
          <w:tcPr>
            <w:tcW w:w="120" w:type="dxa"/>
            <w:vAlign w:val="bottom"/>
            <w:shd w:val="clear" w:color="auto" w:fill="E5E5E5"/>
          </w:tcPr>
          <w:p>
            <w:pPr>
              <w:spacing w:after="0"/>
              <w:rPr>
                <w:sz w:val="24"/>
                <w:szCs w:val="24"/>
                <w:color w:val="auto"/>
              </w:rPr>
            </w:pPr>
          </w:p>
        </w:tc>
        <w:tc>
          <w:tcPr>
            <w:tcW w:w="400" w:type="dxa"/>
            <w:vAlign w:val="bottom"/>
            <w:tcBorders>
              <w:bottom w:val="single" w:sz="8" w:color="auto"/>
            </w:tcBorders>
            <w:shd w:val="clear" w:color="auto" w:fill="E5E5E5"/>
          </w:tcPr>
          <w:p>
            <w:pPr>
              <w:spacing w:after="0"/>
              <w:rPr>
                <w:sz w:val="24"/>
                <w:szCs w:val="24"/>
                <w:color w:val="auto"/>
              </w:rPr>
            </w:pPr>
          </w:p>
        </w:tc>
        <w:tc>
          <w:tcPr>
            <w:tcW w:w="10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1,474</w:t>
            </w:r>
          </w:p>
        </w:tc>
        <w:tc>
          <w:tcPr>
            <w:tcW w:w="100" w:type="dxa"/>
            <w:vAlign w:val="bottom"/>
            <w:shd w:val="clear" w:color="auto" w:fill="E5E5E5"/>
          </w:tcPr>
          <w:p>
            <w:pPr>
              <w:spacing w:after="0"/>
              <w:rPr>
                <w:sz w:val="24"/>
                <w:szCs w:val="24"/>
                <w:color w:val="auto"/>
              </w:rPr>
            </w:pPr>
          </w:p>
        </w:tc>
        <w:tc>
          <w:tcPr>
            <w:tcW w:w="240" w:type="dxa"/>
            <w:vAlign w:val="bottom"/>
            <w:tcBorders>
              <w:bottom w:val="single" w:sz="8" w:color="auto"/>
            </w:tcBorders>
            <w:shd w:val="clear" w:color="auto" w:fill="E5E5E5"/>
          </w:tcPr>
          <w:p>
            <w:pPr>
              <w:spacing w:after="0"/>
              <w:rPr>
                <w:sz w:val="24"/>
                <w:szCs w:val="24"/>
                <w:color w:val="auto"/>
              </w:rPr>
            </w:pPr>
          </w:p>
        </w:tc>
        <w:tc>
          <w:tcPr>
            <w:tcW w:w="1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(688)</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27"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Net cash provided by operating activities was $313 million in second quarter 2019. The $78 million increase in operating cash from second quarter 2018 was primarily due to the following:</w:t>
      </w:r>
    </w:p>
    <w:p>
      <w:pPr>
        <w:spacing w:after="0" w:line="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$58 million increase from accrued compensation primarily related to the year-over-year timing of employee incentive payments.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$51 million increase primarily due to lower levels of inventories partially reflecting lower sales volume.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$30 million increase in dividends received from equity investments primarily due to increased net income from Fuji Xerox.</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$21 million increase due to lower placements of equipment on operating leases.</w:t>
      </w:r>
    </w:p>
    <w:p>
      <w:pPr>
        <w:spacing w:after="0" w:line="9" w:lineRule="exact"/>
        <w:rPr>
          <w:rFonts w:ascii="Arial" w:cs="Arial" w:eastAsia="Arial" w:hAnsi="Arial"/>
          <w:sz w:val="18"/>
          <w:szCs w:val="18"/>
          <w:color w:val="auto"/>
        </w:rPr>
      </w:pPr>
    </w:p>
    <w:p>
      <w:pPr>
        <w:ind w:left="340" w:right="42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$17 million increase due to prior year net payments of $17 million for transaction and related costs as compared to none in the second quarter 2019.</w:t>
      </w: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$16 million increase from lower restructuring payments primarily due to timing.</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$48 million decrease due to payments associated with restructuring related costs primarily for our contractual severance obligation incurred as part of the shared service arrangement with HCL Technologies and professional support services associated with our business transformation initiatives.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$32 million decrease from higher net tax payments primarily due to the timing and a prior year tax refund of $10 million in Europe.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$19 million decrease due to a lower net run-off of finance receivables.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$18 million decrease from accounts receivable primarily due to the timing of collections.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27"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Net cash used in investing activities was $54 million in second quarter 2019. The $39 million change from second quarter 2018 was primarily due to the following:</w:t>
      </w:r>
    </w:p>
    <w:p>
      <w:pPr>
        <w:spacing w:after="0" w:line="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$38 million decrease due to two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$16 million decrease primarily due to the sale of non-core business assets in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$16 million increase reflecting lower capital expenditures.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was $277 million in second quarter 2019. The $62 million decrease in the use of cash from second 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 was primarily due to the following:</w:t>
      </w:r>
    </w:p>
    <w:p>
      <w:pPr>
        <w:spacing w:after="0" w:line="9" w:lineRule="exact"/>
        <w:rPr>
          <w:sz w:val="20"/>
          <w:szCs w:val="20"/>
          <w:color w:val="auto"/>
        </w:rPr>
      </w:pPr>
    </w:p>
    <w:p>
      <w:pPr>
        <w:ind w:left="340" w:right="4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$270 million decrease from net debt activity primarily due to payments of $265 million on Senior Notes and $6 million of bridge facility costs in prior year compared to no Senior Notes activity in second quarter 2019.</w:t>
      </w: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$197 million increase due to share repurchases.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Adoption of New Leasing Standard</w:t>
      </w:r>
    </w:p>
    <w:p>
      <w:pPr>
        <w:spacing w:after="0" w:line="134"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On January 1, 2019, we adopted ASU 2016-02, Leases (ASC Topic 842). This update, as well as additional amendments and targeted improvements issued in 2018 and early 2019, supersedes existing lease accounting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2" w:right="239" w:bottom="1440" w:gutter="0" w:footer="0" w:header="0"/>
        </w:sectPr>
      </w:pPr>
    </w:p>
    <w:bookmarkStart w:id="20" w:name="page21"/>
    <w:bookmarkEnd w:id="20"/>
    <w:p>
      <w:pPr>
        <w:ind w:right="100"/>
        <w:spacing w:after="0" w:line="262" w:lineRule="auto"/>
        <w:rPr>
          <w:sz w:val="20"/>
          <w:szCs w:val="20"/>
          <w:color w:val="auto"/>
        </w:rPr>
      </w:pPr>
      <w:r>
        <w:rPr>
          <w:rFonts w:ascii="Arial" w:cs="Arial" w:eastAsia="Arial" w:hAnsi="Arial"/>
          <w:sz w:val="18"/>
          <w:szCs w:val="18"/>
          <w:color w:val="auto"/>
        </w:rPr>
        <w:t>guidance found under ASC 840, Leases (ASC 840) and requires the recognition of right-of-use (ROU) assets and lease obligations by lessees for those leases originally classified as operating leases under prior lease guidance.</w:t>
      </w:r>
    </w:p>
    <w:p>
      <w:pPr>
        <w:spacing w:after="0" w:line="8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Upon adoption, we applied the transition option, whereby prior comparative periods are not retrospectively presented in the Condensed Consolidated Financial Statements. Lessee accounting - the adoption of this update resulted in an increase to assets and related liabilities of approximately $385 million (approximately $440 million undiscounted) primarily related to leases of facilities. Lessor accounting - the adoption of this update resulted in an increase to equipment sales of approximately $8 million in second quarter 2019 as compared to second quarter 2018. The adoption of the new standard did not, nor is it expected to, have a material impact on our results of operations or cash flows.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leases ROU assets, net and operating lease liabilities were reported in the Condensed Consolidated Balance Sheets as follows:</w:t>
      </w:r>
    </w:p>
    <w:p>
      <w:pPr>
        <w:sectPr>
          <w:pgSz w:w="11900" w:h="16838" w:orient="portrait"/>
          <w:cols w:equalWidth="0" w:num="1">
            <w:col w:w="11400"/>
          </w:cols>
          <w:pgMar w:left="240" w:top="719" w:right="259" w:bottom="1440" w:gutter="0" w:footer="0" w:header="0"/>
        </w:sect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(in millions)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4"/>
          <w:szCs w:val="14"/>
          <w:color w:val="auto"/>
        </w:rPr>
        <w:t>Other long-term assets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423"/>
        <w:spacing w:after="0"/>
        <w:rPr>
          <w:sz w:val="20"/>
          <w:szCs w:val="20"/>
          <w:color w:val="auto"/>
        </w:rPr>
      </w:pPr>
      <w:r>
        <w:rPr>
          <w:rFonts w:ascii="Arial" w:cs="Arial" w:eastAsia="Arial" w:hAnsi="Arial"/>
          <w:sz w:val="14"/>
          <w:szCs w:val="14"/>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-6075045</wp:posOffset>
            </wp:positionH>
            <wp:positionV relativeFrom="paragraph">
              <wp:posOffset>14605</wp:posOffset>
            </wp:positionV>
            <wp:extent cx="720344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76" w:lineRule="exact"/>
        <w:rPr>
          <w:sz w:val="20"/>
          <w:szCs w:val="20"/>
          <w:color w:val="auto"/>
        </w:rPr>
      </w:pPr>
    </w:p>
    <w:p>
      <w:pPr>
        <w:ind w:left="1423" w:hanging="1423"/>
        <w:spacing w:after="0"/>
        <w:tabs>
          <w:tab w:leader="none" w:pos="1423" w:val="left"/>
        </w:tabs>
        <w:numPr>
          <w:ilvl w:val="0"/>
          <w:numId w:val="22"/>
        </w:numPr>
        <w:rPr>
          <w:rFonts w:ascii="Arial" w:cs="Arial" w:eastAsia="Arial" w:hAnsi="Arial"/>
          <w:sz w:val="14"/>
          <w:szCs w:val="14"/>
          <w:color w:val="auto"/>
        </w:rPr>
      </w:pPr>
      <w:r>
        <w:rPr>
          <w:rFonts w:ascii="Arial" w:cs="Arial" w:eastAsia="Arial" w:hAnsi="Arial"/>
          <w:sz w:val="14"/>
          <w:szCs w:val="14"/>
          <w:color w:val="auto"/>
        </w:rPr>
        <w:t>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1140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897" w:space="720"/>
            <w:col w:w="1783"/>
          </w:cols>
          <w:pgMar w:left="240" w:top="719" w:right="259" w:bottom="1440" w:gutter="0" w:footer="0" w:header="0"/>
          <w:type w:val="continuous"/>
        </w:sectPr>
      </w:pP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56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current liabilities</w:t>
            </w:r>
          </w:p>
        </w:tc>
        <w:tc>
          <w:tcPr>
            <w:tcW w:w="76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92</w:t>
            </w:r>
          </w:p>
        </w:tc>
      </w:tr>
      <w:tr>
        <w:trPr>
          <w:trHeight w:val="264"/>
        </w:trPr>
        <w:tc>
          <w:tcPr>
            <w:tcW w:w="956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Other long-term liabilities</w:t>
            </w:r>
          </w:p>
        </w:tc>
        <w:tc>
          <w:tcPr>
            <w:tcW w:w="7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w:t>
            </w:r>
          </w:p>
        </w:tc>
      </w:tr>
      <w:tr>
        <w:trPr>
          <w:trHeight w:val="243"/>
        </w:trPr>
        <w:tc>
          <w:tcPr>
            <w:tcW w:w="95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Total Operating lease liabilities</w:t>
            </w:r>
          </w:p>
        </w:tc>
        <w:tc>
          <w:tcPr>
            <w:tcW w:w="760" w:type="dxa"/>
            <w:vAlign w:val="bottom"/>
            <w:tcBorders>
              <w:bottom w:val="single" w:sz="8" w:color="auto"/>
            </w:tcBorders>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346</w:t>
            </w:r>
          </w:p>
        </w:tc>
      </w:tr>
      <w:tr>
        <w:trPr>
          <w:trHeight w:val="20"/>
        </w:trPr>
        <w:tc>
          <w:tcPr>
            <w:tcW w:w="9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Cash, Cash Equivalents and Restricted Cash</w:t>
      </w:r>
    </w:p>
    <w:p>
      <w:pPr>
        <w:spacing w:after="0" w:line="13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Restricted cash primarily relates to escrow cash deposits made in Brazil associated with ongoing litigation. Various litigation matters in Brazil require us to make cash deposits to escrow as a condition of continuing the litigation. Restricted cash amounts are classified in our Condensed Consolidated Balance Sheets based on when the cash is expected to be contractually or judicially released.</w:t>
      </w: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June 30, 2019</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December 31, 2018</w:t>
            </w:r>
          </w:p>
        </w:tc>
      </w:tr>
      <w:tr>
        <w:trPr>
          <w:trHeight w:val="250"/>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1,084</w:t>
            </w:r>
          </w:p>
        </w:tc>
      </w:tr>
      <w:tr>
        <w:trPr>
          <w:trHeight w:val="276"/>
        </w:trPr>
        <w:tc>
          <w:tcPr>
            <w:tcW w:w="762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Restricted cash</w:t>
            </w:r>
          </w:p>
        </w:tc>
        <w:tc>
          <w:tcPr>
            <w:tcW w:w="280" w:type="dxa"/>
            <w:vAlign w:val="bottom"/>
            <w:shd w:val="clear" w:color="auto" w:fill="E5E5E5"/>
          </w:tcPr>
          <w:p>
            <w:pPr>
              <w:spacing w:after="0"/>
              <w:rPr>
                <w:sz w:val="24"/>
                <w:szCs w:val="24"/>
                <w:color w:val="auto"/>
              </w:rPr>
            </w:pPr>
          </w:p>
        </w:tc>
        <w:tc>
          <w:tcPr>
            <w:tcW w:w="154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1620" w:type="dxa"/>
            <w:vAlign w:val="bottom"/>
            <w:shd w:val="clear" w:color="auto" w:fill="E5E5E5"/>
          </w:tcPr>
          <w:p>
            <w:pPr>
              <w:spacing w:after="0"/>
              <w:rPr>
                <w:sz w:val="24"/>
                <w:szCs w:val="24"/>
                <w:color w:val="auto"/>
              </w:rPr>
            </w:pPr>
          </w:p>
        </w:tc>
      </w:tr>
      <w:tr>
        <w:trPr>
          <w:trHeight w:val="264"/>
        </w:trPr>
        <w:tc>
          <w:tcPr>
            <w:tcW w:w="7620" w:type="dxa"/>
            <w:vAlign w:val="bottom"/>
            <w:gridSpan w:val="2"/>
          </w:tcPr>
          <w:p>
            <w:pPr>
              <w:ind w:left="180"/>
              <w:spacing w:after="0"/>
              <w:rPr>
                <w:sz w:val="20"/>
                <w:szCs w:val="20"/>
                <w:color w:val="auto"/>
              </w:rPr>
            </w:pPr>
            <w:r>
              <w:rPr>
                <w:rFonts w:ascii="Arial" w:cs="Arial" w:eastAsia="Arial" w:hAnsi="Arial"/>
                <w:sz w:val="14"/>
                <w:szCs w:val="14"/>
                <w:color w:val="auto"/>
              </w:rPr>
              <w:t>Litigation deposits in Brazil</w:t>
            </w:r>
          </w:p>
        </w:tc>
        <w:tc>
          <w:tcPr>
            <w:tcW w:w="28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61</w:t>
            </w:r>
          </w:p>
        </w:tc>
      </w:tr>
      <w:tr>
        <w:trPr>
          <w:trHeight w:val="270"/>
        </w:trPr>
        <w:tc>
          <w:tcPr>
            <w:tcW w:w="7620" w:type="dxa"/>
            <w:vAlign w:val="bottom"/>
            <w:gridSpan w:val="2"/>
            <w:shd w:val="clear" w:color="auto" w:fill="E5E5E5"/>
          </w:tcPr>
          <w:p>
            <w:pPr>
              <w:ind w:left="180"/>
              <w:spacing w:after="0"/>
              <w:rPr>
                <w:sz w:val="20"/>
                <w:szCs w:val="20"/>
                <w:color w:val="auto"/>
              </w:rPr>
            </w:pPr>
            <w:r>
              <w:rPr>
                <w:rFonts w:ascii="Arial" w:cs="Arial" w:eastAsia="Arial" w:hAnsi="Arial"/>
                <w:sz w:val="14"/>
                <w:szCs w:val="14"/>
                <w:color w:val="auto"/>
              </w:rPr>
              <w:t>Other restricted cash</w:t>
            </w:r>
          </w:p>
        </w:tc>
        <w:tc>
          <w:tcPr>
            <w:tcW w:w="280" w:type="dxa"/>
            <w:vAlign w:val="bottom"/>
            <w:shd w:val="clear" w:color="auto" w:fill="E5E5E5"/>
          </w:tcPr>
          <w:p>
            <w:pPr>
              <w:spacing w:after="0"/>
              <w:rPr>
                <w:sz w:val="23"/>
                <w:szCs w:val="23"/>
                <w:color w:val="auto"/>
              </w:rPr>
            </w:pPr>
          </w:p>
        </w:tc>
        <w:tc>
          <w:tcPr>
            <w:tcW w:w="166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23"/>
                <w:szCs w:val="23"/>
                <w:color w:val="auto"/>
              </w:rPr>
            </w:pPr>
          </w:p>
        </w:tc>
        <w:tc>
          <w:tcPr>
            <w:tcW w:w="16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w:t>
            </w:r>
          </w:p>
        </w:tc>
      </w:tr>
      <w:tr>
        <w:trPr>
          <w:trHeight w:val="250"/>
        </w:trPr>
        <w:tc>
          <w:tcPr>
            <w:tcW w:w="7620" w:type="dxa"/>
            <w:vAlign w:val="bottom"/>
            <w:tcBorders>
              <w:bottom w:val="single" w:sz="8" w:color="E5E5E5"/>
            </w:tcBorders>
            <w:gridSpan w:val="2"/>
          </w:tcPr>
          <w:p>
            <w:pPr>
              <w:ind w:left="180"/>
              <w:spacing w:after="0"/>
              <w:rPr>
                <w:sz w:val="20"/>
                <w:szCs w:val="20"/>
                <w:color w:val="auto"/>
              </w:rPr>
            </w:pPr>
            <w:r>
              <w:rPr>
                <w:rFonts w:ascii="Arial" w:cs="Arial" w:eastAsia="Arial" w:hAnsi="Arial"/>
                <w:sz w:val="14"/>
                <w:szCs w:val="14"/>
                <w:color w:val="auto"/>
              </w:rPr>
              <w:t>Total Restricted cash</w:t>
            </w:r>
          </w:p>
        </w:tc>
        <w:tc>
          <w:tcPr>
            <w:tcW w:w="2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E5E5E5"/>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64</w:t>
            </w:r>
          </w:p>
        </w:tc>
      </w:tr>
      <w:tr>
        <w:trPr>
          <w:trHeight w:val="243"/>
        </w:trPr>
        <w:tc>
          <w:tcPr>
            <w:tcW w:w="76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28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776</w:t>
            </w:r>
          </w:p>
        </w:tc>
        <w:tc>
          <w:tcPr>
            <w:tcW w:w="12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1,148</w:t>
            </w: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was reported in the Condensed Consolidated Balance Sheets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3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June 30, 2019</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250"/>
        </w:trPr>
        <w:tc>
          <w:tcPr>
            <w:tcW w:w="3560" w:type="dxa"/>
            <w:vAlign w:val="bottom"/>
          </w:tcPr>
          <w:p>
            <w:pPr>
              <w:ind w:left="40"/>
              <w:spacing w:after="0"/>
              <w:rPr>
                <w:sz w:val="20"/>
                <w:szCs w:val="20"/>
                <w:color w:val="auto"/>
              </w:rPr>
            </w:pPr>
            <w:r>
              <w:rPr>
                <w:rFonts w:ascii="Arial" w:cs="Arial" w:eastAsia="Arial" w:hAnsi="Arial"/>
                <w:sz w:val="14"/>
                <w:szCs w:val="14"/>
                <w:color w:val="auto"/>
              </w:rPr>
              <w:t>Other current assets</w:t>
            </w:r>
          </w:p>
        </w:tc>
        <w:tc>
          <w:tcPr>
            <w:tcW w:w="4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560" w:type="dxa"/>
            <w:vAlign w:val="bottom"/>
            <w:shd w:val="clear" w:color="auto" w:fill="E5E5E5"/>
          </w:tcPr>
          <w:p>
            <w:pPr>
              <w:ind w:left="40"/>
              <w:spacing w:after="0"/>
              <w:rPr>
                <w:sz w:val="20"/>
                <w:szCs w:val="20"/>
                <w:color w:val="auto"/>
              </w:rPr>
            </w:pPr>
            <w:r>
              <w:rPr>
                <w:rFonts w:ascii="Arial" w:cs="Arial" w:eastAsia="Arial" w:hAnsi="Arial"/>
                <w:sz w:val="14"/>
                <w:szCs w:val="14"/>
                <w:color w:val="auto"/>
              </w:rPr>
              <w:t>Other long-term assets</w:t>
            </w:r>
          </w:p>
        </w:tc>
        <w:tc>
          <w:tcPr>
            <w:tcW w:w="394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280" w:type="dxa"/>
            <w:vAlign w:val="bottom"/>
            <w:tcBorders>
              <w:bottom w:val="single" w:sz="8" w:color="auto"/>
            </w:tcBorders>
            <w:shd w:val="clear" w:color="auto" w:fill="E5E5E5"/>
          </w:tcPr>
          <w:p>
            <w:pPr>
              <w:spacing w:after="0"/>
              <w:rPr>
                <w:sz w:val="24"/>
                <w:szCs w:val="24"/>
                <w:color w:val="auto"/>
              </w:rPr>
            </w:pPr>
          </w:p>
        </w:tc>
        <w:tc>
          <w:tcPr>
            <w:tcW w:w="15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E5E5E5"/>
          </w:tcPr>
          <w:p>
            <w:pPr>
              <w:spacing w:after="0"/>
              <w:rPr>
                <w:sz w:val="24"/>
                <w:szCs w:val="24"/>
                <w:color w:val="auto"/>
              </w:rPr>
            </w:pPr>
          </w:p>
        </w:tc>
        <w:tc>
          <w:tcPr>
            <w:tcW w:w="180" w:type="dxa"/>
            <w:vAlign w:val="bottom"/>
            <w:tcBorders>
              <w:bottom w:val="single" w:sz="8" w:color="auto"/>
            </w:tcBorders>
            <w:shd w:val="clear" w:color="auto" w:fill="E5E5E5"/>
          </w:tcPr>
          <w:p>
            <w:pPr>
              <w:spacing w:after="0"/>
              <w:rPr>
                <w:sz w:val="24"/>
                <w:szCs w:val="24"/>
                <w:color w:val="auto"/>
              </w:rPr>
            </w:pPr>
          </w:p>
        </w:tc>
        <w:tc>
          <w:tcPr>
            <w:tcW w:w="16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4"/>
                <w:szCs w:val="14"/>
                <w:b w:val="1"/>
                <w:bCs w:val="1"/>
                <w:color w:val="auto"/>
              </w:rPr>
              <w:t>Total Restricted cash</w:t>
            </w:r>
          </w:p>
        </w:tc>
        <w:tc>
          <w:tcPr>
            <w:tcW w:w="4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940" w:type="dxa"/>
            <w:vAlign w:val="bottom"/>
            <w:vMerge w:val="restart"/>
          </w:tcPr>
          <w:p>
            <w:pPr>
              <w:jc w:val="right"/>
              <w:ind w:right="160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6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719" w:right="2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2"/>
          <w:szCs w:val="22"/>
          <w:b w:val="1"/>
          <w:bCs w:val="1"/>
          <w:color w:val="DA2031"/>
        </w:rPr>
        <w:t>Debt and Customer Financing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debt:</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June 30, 2019</w:t>
            </w:r>
          </w:p>
        </w:tc>
        <w:tc>
          <w:tcPr>
            <w:tcW w:w="10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Principal debt balance</w:t>
            </w:r>
            <w:r>
              <w:rPr>
                <w:rFonts w:ascii="Arial" w:cs="Arial" w:eastAsia="Arial" w:hAnsi="Arial"/>
                <w:sz w:val="17"/>
                <w:szCs w:val="17"/>
                <w:color w:val="auto"/>
                <w:vertAlign w:val="superscript"/>
              </w:rPr>
              <w:t>(1)</w:t>
            </w: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4,867</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5,281</w:t>
            </w: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Net unamortized discount</w:t>
            </w:r>
          </w:p>
        </w:tc>
        <w:tc>
          <w:tcPr>
            <w:tcW w:w="320" w:type="dxa"/>
            <w:vAlign w:val="bottom"/>
          </w:tcPr>
          <w:p>
            <w:pPr>
              <w:spacing w:after="0"/>
              <w:rPr>
                <w:sz w:val="22"/>
                <w:szCs w:val="22"/>
                <w:color w:val="auto"/>
              </w:rPr>
            </w:pP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6"/>
        </w:trPr>
        <w:tc>
          <w:tcPr>
            <w:tcW w:w="74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Debt issuance costs</w:t>
            </w:r>
          </w:p>
        </w:tc>
        <w:tc>
          <w:tcPr>
            <w:tcW w:w="320" w:type="dxa"/>
            <w:vAlign w:val="bottom"/>
            <w:shd w:val="clear" w:color="auto" w:fill="E5E5E5"/>
          </w:tcPr>
          <w:p>
            <w:pPr>
              <w:spacing w:after="0"/>
              <w:rPr>
                <w:sz w:val="24"/>
                <w:szCs w:val="24"/>
                <w:color w:val="auto"/>
              </w:rPr>
            </w:pPr>
          </w:p>
        </w:tc>
        <w:tc>
          <w:tcPr>
            <w:tcW w:w="16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1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Fair value adjustments</w:t>
            </w:r>
            <w:r>
              <w:rPr>
                <w:rFonts w:ascii="Arial" w:cs="Arial" w:eastAsia="Arial" w:hAnsi="Arial"/>
                <w:sz w:val="17"/>
                <w:szCs w:val="17"/>
                <w:color w:val="auto"/>
                <w:vertAlign w:val="superscript"/>
              </w:rPr>
              <w:t>(2)</w:t>
            </w: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 terminated swaps</w:t>
            </w:r>
          </w:p>
        </w:tc>
        <w:tc>
          <w:tcPr>
            <w:tcW w:w="320" w:type="dxa"/>
            <w:vAlign w:val="bottom"/>
            <w:shd w:val="clear" w:color="auto" w:fill="E5E5E5"/>
          </w:tcPr>
          <w:p>
            <w:pPr>
              <w:spacing w:after="0"/>
              <w:rPr>
                <w:sz w:val="23"/>
                <w:szCs w:val="23"/>
                <w:color w:val="auto"/>
              </w:rPr>
            </w:pPr>
          </w:p>
        </w:tc>
        <w:tc>
          <w:tcPr>
            <w:tcW w:w="16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23"/>
                <w:szCs w:val="23"/>
                <w:color w:val="auto"/>
              </w:rPr>
            </w:pPr>
          </w:p>
        </w:tc>
        <w:tc>
          <w:tcPr>
            <w:tcW w:w="220" w:type="dxa"/>
            <w:vAlign w:val="bottom"/>
            <w:shd w:val="clear" w:color="auto" w:fill="E5E5E5"/>
          </w:tcPr>
          <w:p>
            <w:pPr>
              <w:spacing w:after="0"/>
              <w:rPr>
                <w:sz w:val="23"/>
                <w:szCs w:val="23"/>
                <w:color w:val="auto"/>
              </w:rPr>
            </w:pPr>
          </w:p>
        </w:tc>
        <w:tc>
          <w:tcPr>
            <w:tcW w:w="1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color w:val="auto"/>
              </w:rPr>
              <w:t>- current swaps</w:t>
            </w: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5E5E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Debt</w:t>
            </w:r>
          </w:p>
        </w:tc>
        <w:tc>
          <w:tcPr>
            <w:tcW w:w="3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4,828</w:t>
            </w:r>
          </w:p>
        </w:tc>
        <w:tc>
          <w:tcPr>
            <w:tcW w:w="10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5,230</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Notes Payable of $1 million as of June 30, 2019. There were no Notes Payable as of December 31, 2018.</w:t>
      </w:r>
    </w:p>
    <w:p>
      <w:pPr>
        <w:ind w:left="340" w:right="160" w:hanging="332"/>
        <w:spacing w:after="0" w:line="225" w:lineRule="auto"/>
        <w:tabs>
          <w:tab w:leader="none" w:pos="34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Fair value adjustments include the following: (i) fair value adjustments to debt associated with terminated interest rate swaps, which are being amortized to interest expense over the remaining term of the related notes; and (ii) changes in fair value of hedged debt obligations attributable to movements in benchmark interest rates. Hedge accounting requires hedged debt instruments to be reported inclusive of any fair value adjustment.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Finance Assets and Related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total finance assets, net associated with our lease and finance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June 30, 2019</w:t>
            </w:r>
          </w:p>
        </w:tc>
        <w:tc>
          <w:tcPr>
            <w:tcW w:w="10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Total finance receivables, net</w:t>
            </w:r>
            <w:r>
              <w:rPr>
                <w:rFonts w:ascii="Arial" w:cs="Arial" w:eastAsia="Arial" w:hAnsi="Arial"/>
                <w:sz w:val="17"/>
                <w:szCs w:val="17"/>
                <w:color w:val="auto"/>
                <w:vertAlign w:val="superscript"/>
              </w:rPr>
              <w:t>(1)</w:t>
            </w: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3,349</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3,472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Equipment on operating leases, net</w:t>
            </w: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w:t>
            </w:r>
          </w:p>
        </w:tc>
        <w:tc>
          <w:tcPr>
            <w:tcW w:w="100" w:type="dxa"/>
            <w:vAlign w:val="bottom"/>
            <w:tcBorders>
              <w:bottom w:val="single" w:sz="8" w:color="E5E5E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Finance Assets, net</w:t>
            </w:r>
            <w:r>
              <w:rPr>
                <w:rFonts w:ascii="Arial" w:cs="Arial" w:eastAsia="Arial" w:hAnsi="Arial"/>
                <w:sz w:val="17"/>
                <w:szCs w:val="17"/>
                <w:b w:val="1"/>
                <w:bCs w:val="1"/>
                <w:color w:val="auto"/>
                <w:vertAlign w:val="superscript"/>
              </w:rPr>
              <w:t>(2)</w:t>
            </w:r>
          </w:p>
        </w:tc>
        <w:tc>
          <w:tcPr>
            <w:tcW w:w="3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3,748</w:t>
            </w:r>
          </w:p>
        </w:tc>
        <w:tc>
          <w:tcPr>
            <w:tcW w:w="10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3,914</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i w:val="1"/>
                <w:iCs w:val="1"/>
                <w:color w:val="auto"/>
              </w:rPr>
              <w:t>____________________________</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700" w:hanging="332"/>
        <w:spacing w:after="0" w:line="220" w:lineRule="auto"/>
        <w:tabs>
          <w:tab w:leader="none" w:pos="340" w:val="left"/>
        </w:tabs>
        <w:numPr>
          <w:ilvl w:val="0"/>
          <w:numId w:val="2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(i) Billed portion of finance receivables, net, (ii) Finance receivables, net and (iii) Finance receivables due after one year, net as included in our Condensed Consolidated Balance Sheets.</w:t>
      </w:r>
    </w:p>
    <w:p>
      <w:pPr>
        <w:ind w:left="340" w:hanging="332"/>
        <w:spacing w:after="0" w:line="199" w:lineRule="auto"/>
        <w:tabs>
          <w:tab w:leader="none" w:pos="340" w:val="left"/>
        </w:tabs>
        <w:numPr>
          <w:ilvl w:val="0"/>
          <w:numId w:val="2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change from December 31, 2018 includes an increase of $4 million due to currency.</w:t>
      </w:r>
    </w:p>
    <w:p>
      <w:pPr>
        <w:spacing w:after="0" w:line="30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Based on this leverage, the following represents the breakdown of total debt between financing debt and core debt: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June 30, 2019</w:t>
            </w:r>
          </w:p>
        </w:tc>
        <w:tc>
          <w:tcPr>
            <w:tcW w:w="10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Finance receivables debt</w:t>
            </w:r>
            <w:r>
              <w:rPr>
                <w:rFonts w:ascii="Arial" w:cs="Arial" w:eastAsia="Arial" w:hAnsi="Arial"/>
                <w:sz w:val="17"/>
                <w:szCs w:val="17"/>
                <w:color w:val="auto"/>
                <w:vertAlign w:val="superscript"/>
              </w:rPr>
              <w:t>(1)</w:t>
            </w: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2,930</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Equipment on operating leases debt</w:t>
            </w: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E5E5E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Financing debt</w:t>
            </w:r>
          </w:p>
        </w:tc>
        <w:tc>
          <w:tcPr>
            <w:tcW w:w="320" w:type="dxa"/>
            <w:vAlign w:val="bottom"/>
            <w:shd w:val="clear" w:color="auto" w:fill="E5E5E5"/>
          </w:tcPr>
          <w:p>
            <w:pPr>
              <w:spacing w:after="0"/>
              <w:rPr>
                <w:sz w:val="22"/>
                <w:szCs w:val="22"/>
                <w:color w:val="auto"/>
              </w:rPr>
            </w:pPr>
          </w:p>
        </w:tc>
        <w:tc>
          <w:tcPr>
            <w:tcW w:w="16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3,279</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spacing w:after="0"/>
              <w:rPr>
                <w:sz w:val="22"/>
                <w:szCs w:val="22"/>
                <w:color w:val="auto"/>
              </w:rPr>
            </w:pPr>
          </w:p>
        </w:tc>
        <w:tc>
          <w:tcPr>
            <w:tcW w:w="1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3,425</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Core debt</w:t>
            </w: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1,549</w:t>
            </w:r>
          </w:p>
        </w:tc>
        <w:tc>
          <w:tcPr>
            <w:tcW w:w="100" w:type="dxa"/>
            <w:vAlign w:val="bottom"/>
            <w:tcBorders>
              <w:bottom w:val="single" w:sz="8" w:color="E5E5E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1,805</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Debt</w:t>
            </w:r>
          </w:p>
        </w:tc>
        <w:tc>
          <w:tcPr>
            <w:tcW w:w="3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4,828</w:t>
            </w:r>
          </w:p>
        </w:tc>
        <w:tc>
          <w:tcPr>
            <w:tcW w:w="10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5,230</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Finance receivables debt is the basis for our calculation of "Cost of financing" expense in the Condensed Consolidated Statements of Income.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auto"/>
        </w:rPr>
        <w:t>Sales of Accounts Receivable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sales arrangements may be utilized in the normal course of business as part of our cash and liquidity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sold are generally short-term trade receivables with payment due dates of less than 60 days.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sales activities were as follows:</w:t>
      </w:r>
    </w:p>
    <w:p>
      <w:pPr>
        <w:spacing w:after="0" w:line="177" w:lineRule="exact"/>
        <w:rPr>
          <w:sz w:val="20"/>
          <w:szCs w:val="20"/>
          <w:color w:val="auto"/>
        </w:rPr>
      </w:pPr>
    </w:p>
    <w:p>
      <w:pPr>
        <w:jc w:val="center"/>
        <w:ind w:left="858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jc w:val="center"/>
        <w:ind w:left="8620"/>
        <w:spacing w:after="0"/>
        <w:rPr>
          <w:sz w:val="20"/>
          <w:szCs w:val="20"/>
          <w:color w:val="auto"/>
        </w:rPr>
      </w:pPr>
      <w:r>
        <w:rPr>
          <w:rFonts w:ascii="Arial" w:cs="Arial" w:eastAsia="Arial" w:hAnsi="Arial"/>
          <w:sz w:val="14"/>
          <w:szCs w:val="14"/>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14605</wp:posOffset>
            </wp:positionV>
            <wp:extent cx="18008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2018</w:t>
            </w:r>
          </w:p>
        </w:tc>
      </w:tr>
      <w:tr>
        <w:trPr>
          <w:trHeight w:val="256"/>
        </w:trPr>
        <w:tc>
          <w:tcPr>
            <w:tcW w:w="85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Accounts receivable sales</w:t>
            </w:r>
            <w:r>
              <w:rPr>
                <w:rFonts w:ascii="Arial" w:cs="Arial" w:eastAsia="Arial" w:hAnsi="Arial"/>
                <w:sz w:val="17"/>
                <w:szCs w:val="17"/>
                <w:color w:val="auto"/>
                <w:vertAlign w:val="superscript"/>
              </w:rPr>
              <w:t>(1)</w:t>
            </w:r>
          </w:p>
        </w:tc>
        <w:tc>
          <w:tcPr>
            <w:tcW w:w="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128</w:t>
            </w:r>
          </w:p>
        </w:tc>
      </w:tr>
      <w:tr>
        <w:trPr>
          <w:trHeight w:val="267"/>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Estimated increase to operating cash flows</w:t>
            </w:r>
            <w:r>
              <w:rPr>
                <w:rFonts w:ascii="Arial" w:cs="Arial" w:eastAsia="Arial" w:hAnsi="Arial"/>
                <w:sz w:val="17"/>
                <w:szCs w:val="17"/>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130"/>
        </w:trPr>
        <w:tc>
          <w:tcPr>
            <w:tcW w:w="8460" w:type="dxa"/>
            <w:vAlign w:val="bottom"/>
          </w:tcPr>
          <w:p>
            <w:pPr>
              <w:jc w:val="right"/>
              <w:ind w:right="6695"/>
              <w:spacing w:after="0"/>
              <w:rPr>
                <w:sz w:val="20"/>
                <w:szCs w:val="20"/>
                <w:color w:val="auto"/>
              </w:rPr>
            </w:pPr>
            <w:r>
              <w:rPr>
                <w:rFonts w:ascii="Arial" w:cs="Arial" w:eastAsia="Arial" w:hAnsi="Arial"/>
                <w:sz w:val="11"/>
                <w:szCs w:val="11"/>
                <w:color w:val="auto"/>
                <w:w w:val="98"/>
              </w:rPr>
              <w:t>____________________________</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bl>
    <w:p>
      <w:pPr>
        <w:spacing w:after="0" w:line="40" w:lineRule="exact"/>
        <w:rPr>
          <w:sz w:val="20"/>
          <w:szCs w:val="20"/>
          <w:color w:val="auto"/>
        </w:rPr>
      </w:pPr>
    </w:p>
    <w:p>
      <w:pPr>
        <w:ind w:left="340" w:right="40" w:hanging="332"/>
        <w:spacing w:after="0" w:line="230" w:lineRule="auto"/>
        <w:tabs>
          <w:tab w:leader="none" w:pos="340" w:val="left"/>
        </w:tabs>
        <w:numPr>
          <w:ilvl w:val="0"/>
          <w:numId w:val="2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Customers may also enter into structured-payable arrangements that require us to sell our receivables from that customer to a third-party financial institution, which then makes payments to us to settle the customer's receivable. In these instances, we ensure the sale of the receivables are bankruptcy remote and the payment made to us is without recourse. The activity associated with these arrangements is not reflected in this disclosure as payments under these arrangements have not been material and these are customer directed arrangements.</w:t>
      </w:r>
    </w:p>
    <w:p>
      <w:pPr>
        <w:spacing w:after="0" w:line="1" w:lineRule="exact"/>
        <w:rPr>
          <w:rFonts w:ascii="Arial" w:cs="Arial" w:eastAsia="Arial" w:hAnsi="Arial"/>
          <w:sz w:val="18"/>
          <w:szCs w:val="18"/>
          <w:i w:val="1"/>
          <w:iCs w:val="1"/>
          <w:color w:val="auto"/>
          <w:vertAlign w:val="superscript"/>
        </w:rPr>
      </w:pPr>
    </w:p>
    <w:p>
      <w:pPr>
        <w:ind w:left="340" w:hanging="332"/>
        <w:spacing w:after="0" w:line="199" w:lineRule="auto"/>
        <w:tabs>
          <w:tab w:leader="none" w:pos="340" w:val="left"/>
        </w:tabs>
        <w:numPr>
          <w:ilvl w:val="0"/>
          <w:numId w:val="2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the difference between current and prior period accounts receivable sales adjusted for the effects of currency.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50" w:right="239" w:bottom="1440" w:gutter="0" w:footer="0" w:header="0"/>
        </w:sectPr>
      </w:pPr>
    </w:p>
    <w:bookmarkStart w:id="23" w:name="page24"/>
    <w:bookmarkEnd w:id="23"/>
    <w:p>
      <w:pPr>
        <w:spacing w:after="0"/>
        <w:rPr>
          <w:sz w:val="20"/>
          <w:szCs w:val="20"/>
          <w:color w:val="auto"/>
        </w:rPr>
      </w:pPr>
      <w:r>
        <w:rPr>
          <w:rFonts w:ascii="Arial" w:cs="Arial" w:eastAsia="Arial" w:hAnsi="Arial"/>
          <w:sz w:val="25"/>
          <w:szCs w:val="25"/>
          <w:b w:val="1"/>
          <w:bCs w:val="1"/>
          <w:color w:val="DA2031"/>
        </w:rPr>
        <w:t>Corporate Reorganization</w:t>
      </w:r>
    </w:p>
    <w:p>
      <w:pPr>
        <w:spacing w:after="0" w:line="1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March 6, 2019, the Xerox Board of Directors approved a reorganization (the “Reorganization”) of the Company's corporate structure into a holding company structure, pursuant to which Xerox Corporation will become a direct, wholly-owned subsidiary of a new holding company, Xerox Holdings Corporation. The purpose of the Reorganization is to provide the Company with strategic, operational and financial flexibility. The business operations, directors and executive officers of the Company will not change as a result of the Reorganization.</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Reorganization is intended to be implemented via a tax-free transaction for U.S. federal income tax purposes that will result in each holder of Xerox Corporation’s common stock owning the same number of shares of common stock in Xerox Holdings Corporation and each holder of Xerox Corporation’s preferred stock owning the same number of shares of preferred stock in Xerox Holdings Corporation. It is expected that the directors and executive officers of Xerox Corporation will also serve in the same capacities for Xerox Holdings Corporation and that shares of Xerox Holdings Corporation's common stock will trade on the New York Stock Exchange under Xerox Corporation’s current ticker symbol “XRX.”</w:t>
      </w:r>
    </w:p>
    <w:p>
      <w:pPr>
        <w:spacing w:after="0" w:line="101"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The Reorganization received regulatory approval and was approved by shareholders at the annual shareholders meeting held on May 21, 2019, and is expected to be completed by July 31, 2019. Upon the completion of the Reorganization, it is anticipated that Xerox Holdings Corporation will become a guarantor of Xerox Corporation's existing Credit Facility as well as certain future senior note issuances by Xerox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Shared Services Arrangement with HCL Technologies</w:t>
      </w:r>
    </w:p>
    <w:p>
      <w:pPr>
        <w:spacing w:after="0" w:line="1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March 2019, as part of Project Own It, we entered into a shared services arrangement with HCL Technologies (HCL) pursuant to which we are outsourcing certain global administrative and support functions, including, among others, selected information technology, order to collection and finance functions (excluding accounting). The transition of these functions to HCL is expected to take up to 18 months. HCL is expected to make certain up-front and ongoing investments in software, tools and other technology to consolidate, optimize and automate the transferred functions with the goal of providing improved service levels and significant cost savings. The shared services arrangement with HCL includes a total aggregate spending commitment by us of approximately $1.3 billion over the next 7 years. However, we can terminate the arrangement at any time at our discretion, subject to payment of termination fees that decline over the term or for cause. The spending commitment excludes restructuring and related costs we are expected to incur in connection with the transition of the contemplated functions. See Restructuring and Related Costs within the Costs, Expenses and Other Income section. The transfer of employees in certain countries associated with the HCL arrangement is subject to compliance with works council and other employment regulatory requirements in those countries, which may delay the transfer as well as the expected savings from the arrangement.</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second quarter 2019, we incurred net charges of approximately $30 million associated with this arrangement, which only reflects the cost associated with the employees transferred to date. The cost has been allocated to the various functional expense lines in the Condensed Consolidated Income Statement based on an assessment of the nature and amount of the costs incurred for the various transferred functions prior to their transfer to HCL.</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Potential Customer Financing Transaction</w:t>
      </w:r>
    </w:p>
    <w:p>
      <w:pPr>
        <w:spacing w:after="0" w:line="1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the Company's initiative to simplify and optimize its operations, the Company is currently exploring the possibility and feasibility of a strategic transaction involving its customer financing business and/or related assets. That process includes discussions of various transaction structures with potential counterparties. No decision or commitment has been made by management or the Company's Board of Directors regarding specific terms or potential structures of any such transaction, and there can be no assurance that the process will result in a transaction. If such a transaction were to occur, the use of any potential proceeds received as a result of the transaction would not be finally determined until after an agreement is signed.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60" w:right="239" w:bottom="1440" w:gutter="0" w:footer="0" w:header="0"/>
        </w:sectPr>
      </w:pPr>
    </w:p>
    <w:bookmarkStart w:id="24" w:name="page25"/>
    <w:bookmarkEnd w:id="24"/>
    <w:p>
      <w:pPr>
        <w:spacing w:after="0"/>
        <w:rPr>
          <w:sz w:val="20"/>
          <w:szCs w:val="20"/>
          <w:color w:val="auto"/>
        </w:rPr>
      </w:pPr>
      <w:r>
        <w:rPr>
          <w:rFonts w:ascii="Arial" w:cs="Arial" w:eastAsia="Arial" w:hAnsi="Arial"/>
          <w:sz w:val="25"/>
          <w:szCs w:val="25"/>
          <w:b w:val="1"/>
          <w:bCs w:val="1"/>
          <w:color w:val="DA2031"/>
        </w:rPr>
        <w:t>Forward-Looking Statements</w:t>
      </w:r>
    </w:p>
    <w:p>
      <w:pPr>
        <w:spacing w:after="0" w:line="1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potential termination or restructuring of our relationship with Fujifilm Holdings Corporation; the proposed holding company reorganization; the occurrence and timing of any closing of the proposed holding company reorganization; the shared services arrangements entered into by the Company as part of Project Own It; any potential strategic transaction involving our customer financing business and/or related assets; and other factors that are set forth in the “Risk Factors” section, the “Legal Proceedings” section, the “Management’s Discussion and Analysis of Financial Condition and Results of Operations” section and other sections of our 2018 Annual Report on Form 10-K, as well as in our Quarterly Reports on Form 10-Q and our Current Reports on Form 8-K filed with the SEC. 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2" w:right="239" w:bottom="1440" w:gutter="0" w:footer="0" w:header="0"/>
        </w:sectPr>
      </w:pPr>
    </w:p>
    <w:bookmarkStart w:id="25" w:name="page26"/>
    <w:bookmarkEnd w:id="25"/>
    <w:p>
      <w:pPr>
        <w:spacing w:after="0"/>
        <w:rPr>
          <w:sz w:val="20"/>
          <w:szCs w:val="20"/>
          <w:color w:val="auto"/>
        </w:rPr>
      </w:pPr>
      <w:r>
        <w:rPr>
          <w:rFonts w:ascii="Arial" w:cs="Arial" w:eastAsia="Arial" w:hAnsi="Arial"/>
          <w:sz w:val="25"/>
          <w:szCs w:val="25"/>
          <w:b w:val="1"/>
          <w:bCs w:val="1"/>
          <w:color w:val="DA2031"/>
        </w:rPr>
        <w:t>Non-GAAP Financial Measures</w:t>
      </w:r>
    </w:p>
    <w:p>
      <w:pPr>
        <w:spacing w:after="0" w:line="2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Accordingly, we believe it is necessary to adjust several reported amounts, determined in accordance with GAAP, to exclude the effects of certain items as well as their related income tax effects.</w:t>
      </w:r>
    </w:p>
    <w:p>
      <w:pPr>
        <w:spacing w:after="0" w:line="204"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 xml:space="preserve">A reconciliation of these non-GAAP financial measures to the most directly comparable financial measures calculated and presented in accordance with GAAP are set forth below as well as in the second quarter 2019 presentation slides available at </w:t>
      </w:r>
      <w:r>
        <w:rPr>
          <w:rFonts w:ascii="Arial" w:cs="Arial" w:eastAsia="Arial" w:hAnsi="Arial"/>
          <w:sz w:val="17"/>
          <w:szCs w:val="17"/>
          <w:u w:val="single" w:color="auto"/>
          <w:color w:val="auto"/>
        </w:rPr>
        <w:t>www.xerox.com/investor</w:t>
      </w:r>
      <w:r>
        <w:rPr>
          <w:rFonts w:ascii="Arial" w:cs="Arial" w:eastAsia="Arial" w:hAnsi="Arial"/>
          <w:sz w:val="17"/>
          <w:szCs w:val="17"/>
          <w:color w:val="auto"/>
        </w:rPr>
        <w:t>.</w:t>
      </w:r>
    </w:p>
    <w:p>
      <w:pPr>
        <w:spacing w:after="0" w:line="17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These non-GAAP financial measures should be viewed in addition to, and not as a substitute for, the company’s reported results prepared in accordance with GAAP.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Earnings Measures</w:t>
      </w:r>
    </w:p>
    <w:p>
      <w:pPr>
        <w:spacing w:after="0" w:line="2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and Earnings per share (EPS)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Tax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measures were adjusted for the following items:</w:t>
      </w:r>
    </w:p>
    <w:p>
      <w:pPr>
        <w:spacing w:after="0" w:line="99" w:lineRule="exact"/>
        <w:rPr>
          <w:sz w:val="20"/>
          <w:szCs w:val="20"/>
          <w:color w:val="auto"/>
        </w:rPr>
      </w:pPr>
    </w:p>
    <w:p>
      <w:pPr>
        <w:ind w:left="340" w:right="40" w:hanging="332"/>
        <w:spacing w:after="0" w:line="25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Restructuring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and related costs include restructuring and asset impairment charges as well as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transformation programs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78" w:lineRule="exact"/>
        <w:rPr>
          <w:rFonts w:ascii="Arial" w:cs="Arial" w:eastAsia="Arial" w:hAnsi="Arial"/>
          <w:sz w:val="18"/>
          <w:szCs w:val="18"/>
          <w:color w:val="auto"/>
        </w:rPr>
      </w:pPr>
    </w:p>
    <w:p>
      <w:pPr>
        <w:jc w:val="both"/>
        <w:ind w:left="340" w:right="240" w:hanging="332"/>
        <w:spacing w:after="0" w:line="26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Amortization of intangible assets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intangible assets is driven by our acquisition activity which can vary in size, nature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71" w:lineRule="exact"/>
        <w:rPr>
          <w:rFonts w:ascii="Arial" w:cs="Arial" w:eastAsia="Arial" w:hAnsi="Arial"/>
          <w:sz w:val="18"/>
          <w:szCs w:val="18"/>
          <w:color w:val="auto"/>
        </w:rPr>
      </w:pPr>
    </w:p>
    <w:p>
      <w:pPr>
        <w:ind w:left="340" w:hanging="332"/>
        <w:spacing w:after="0" w:line="25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Transaction and related costs, net: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and related costs, net are expenses incurred in connection with Xerox's planned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Fuji, which was terminated in May 2018, as well as costs and expenses related to the previously disclosed settlement agreement reached with certain shareholders and litigation related to the terminated transaction and other shareholder actions. These costs are considered incremental to our normal operating charges and were incurred or are expected to be incurred solely as a result of the planned combination transaction and the related shareholder settlement agreement and litigation. Accordingly, we are excluding these expenses from our Adjusted Earnings Measures in order to evaluate our performance on a comparable basis.</w:t>
      </w:r>
    </w:p>
    <w:p>
      <w:pPr>
        <w:spacing w:after="0" w:line="74" w:lineRule="exact"/>
        <w:rPr>
          <w:rFonts w:ascii="Arial" w:cs="Arial" w:eastAsia="Arial" w:hAnsi="Arial"/>
          <w:sz w:val="18"/>
          <w:szCs w:val="18"/>
          <w:color w:val="auto"/>
        </w:rPr>
      </w:pPr>
    </w:p>
    <w:p>
      <w:pPr>
        <w:jc w:val="both"/>
        <w:ind w:left="340" w:right="180" w:hanging="332"/>
        <w:spacing w:after="0" w:line="272"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i w:val="1"/>
          <w:iCs w:val="1"/>
          <w:u w:val="single" w:color="auto"/>
          <w:color w:val="auto"/>
        </w:rPr>
        <w:t>Non-service retirement-related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Our defined benefit pension and retiree health costs include several elements impacted by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in plan assets and obligations that are primarily driven by changes in the debt and equity markets as well as those that are predominantly legacy in nature and related to employees who are no longer providing current service to the company (e.g. retirees and ex-employees).</w:t>
      </w:r>
    </w:p>
    <w:p>
      <w:pPr>
        <w:spacing w:after="0" w:line="1" w:lineRule="exact"/>
        <w:rPr>
          <w:rFonts w:ascii="Arial" w:cs="Arial" w:eastAsia="Arial" w:hAnsi="Arial"/>
          <w:sz w:val="17"/>
          <w:szCs w:val="17"/>
          <w:color w:val="auto"/>
        </w:rPr>
      </w:pPr>
    </w:p>
    <w:p>
      <w:pPr>
        <w:ind w:left="340" w:right="40"/>
        <w:spacing w:after="0" w:line="252" w:lineRule="auto"/>
        <w:rPr>
          <w:rFonts w:ascii="Arial" w:cs="Arial" w:eastAsia="Arial" w:hAnsi="Arial"/>
          <w:sz w:val="17"/>
          <w:szCs w:val="17"/>
          <w:color w:val="auto"/>
        </w:rPr>
      </w:pPr>
      <w:r>
        <w:rPr>
          <w:rFonts w:ascii="Arial" w:cs="Arial" w:eastAsia="Arial" w:hAnsi="Arial"/>
          <w:sz w:val="18"/>
          <w:szCs w:val="18"/>
          <w:color w:val="auto"/>
        </w:rPr>
        <w:t>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net. Adjusted earnings will continue to include the service cost elements of our retirement costs, which is related to current employee service as well as the cost of our defined contribution plans.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65" w:right="239" w:bottom="1440" w:gutter="0" w:footer="0" w:header="0"/>
        </w:sectPr>
      </w:pPr>
    </w:p>
    <w:bookmarkStart w:id="26" w:name="page27"/>
    <w:bookmarkEnd w:id="26"/>
    <w:p>
      <w:pPr>
        <w:ind w:left="340" w:right="240" w:hanging="332"/>
        <w:spacing w:after="0" w:line="282"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Restructuring and other charges - Fuji Xerox:</w:t>
      </w:r>
      <w:r>
        <w:rPr>
          <w:rFonts w:ascii="Arial" w:cs="Arial" w:eastAsia="Arial" w:hAnsi="Arial"/>
          <w:sz w:val="18"/>
          <w:szCs w:val="18"/>
          <w:i w:val="1"/>
          <w:iCs w:val="1"/>
          <w:color w:val="auto"/>
        </w:rPr>
        <w:t xml:space="preserve"> </w:t>
      </w:r>
      <w:r>
        <w:rPr>
          <w:rFonts w:ascii="Arial" w:cs="Arial" w:eastAsia="Arial" w:hAnsi="Arial"/>
          <w:sz w:val="18"/>
          <w:szCs w:val="18"/>
          <w:color w:val="auto"/>
        </w:rPr>
        <w:t>We adjust our 25% share of Fuji Xerox’s net income for similar items noted above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and related costs and Transaction and related costs, net based on the same rationale discussed above.</w:t>
      </w:r>
    </w:p>
    <w:p>
      <w:pPr>
        <w:spacing w:after="0" w:line="18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believe the exclusion of these items allows investors to better understand and analyze the results for the period as compared to prior periods and expected future trends in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Operating Income/Margin</w:t>
      </w:r>
    </w:p>
    <w:p>
      <w:pPr>
        <w:spacing w:after="0" w:line="2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We calculate and utilize adjusted operating income and margin measures by adjusting our reported pre-tax income and margin amounts. In addition to the costs and expenses noted as adjustments for our Adjusted Earnings measures, adjusted operating income and margin also exclude the remaining amounts included in Other expenses, net, which are primarily non-financing interest expense and certain other non-operating costs and expenses. We exclude these amounts in order to evaluate our current and past operating performance and to better understand the expected future trends in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Constant Currency</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better understand trends in our business, we believe that it is helpful to adjust revenue to exclude the impact of changes in the translation of foreign currencies into U.S. dollars. We refer to this adjusted revenue as “constant currency.” This impact is calculated by translating current period activity in local currency using the comparable prior year period's currency translation rate. This impact is calculated for all countries where the functional currency is not the U.S. dollar. Management believes the constant currency measure provides investors an additional perspective on revenue trends. Currency impact can be determined as the difference between actual growth rates and constant currency growth rates.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better understand trends in our business, we believe that it is helpful to adjust operating cash flows by subtracting amounts related to capital expenditures. Management believes this measure gives investors an additional perspective on cash flow from operating activities in excess of amounts required for reinvestment. It provides a measure of our ability to fund acquisitions, dividends and share repurchase.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3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Management believes that all of these non-GAAP financial measures provide an additional means of analyzing the current period’s results against the corresponding prior period’s results. 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consolidated financial statements prepared in accordance with GAAP. Our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w:t>
      </w:r>
    </w:p>
    <w:p>
      <w:pPr>
        <w:spacing w:after="0" w:line="4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 reconciliation of these non-GAAP financial measures and the most directly comparable measures calculated and presented in accordance with GAAP are set forth on the following tables:</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025"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Net Income and EPS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jc w:val="right"/>
              <w:ind w:right="68"/>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428"/>
              <w:spacing w:after="0"/>
              <w:rPr>
                <w:sz w:val="20"/>
                <w:szCs w:val="20"/>
                <w:color w:val="auto"/>
              </w:rPr>
            </w:pPr>
            <w:r>
              <w:rPr>
                <w:rFonts w:ascii="Arial" w:cs="Arial" w:eastAsia="Arial" w:hAnsi="Arial"/>
                <w:sz w:val="14"/>
                <w:szCs w:val="14"/>
                <w:color w:val="auto"/>
              </w:rPr>
              <w:t>Three Months Ended</w:t>
            </w:r>
          </w:p>
        </w:tc>
      </w:tr>
      <w:tr>
        <w:trPr>
          <w:trHeight w:val="178"/>
        </w:trPr>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color w:val="auto"/>
              </w:rPr>
              <w:t>June 30, 2019</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 2018</w:t>
            </w:r>
          </w:p>
        </w:tc>
        <w:tc>
          <w:tcPr>
            <w:tcW w:w="700" w:type="dxa"/>
            <w:vAlign w:val="bottom"/>
            <w:tcBorders>
              <w:bottom w:val="single" w:sz="8" w:color="auto"/>
            </w:tcBorders>
          </w:tcPr>
          <w:p>
            <w:pPr>
              <w:spacing w:after="0"/>
              <w:rPr>
                <w:sz w:val="15"/>
                <w:szCs w:val="15"/>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 share amounts)</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EPS</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92"/>
              </w:rPr>
              <w:t>EPS</w:t>
            </w:r>
          </w:p>
        </w:tc>
      </w:tr>
      <w:tr>
        <w:trPr>
          <w:trHeight w:val="256"/>
        </w:trPr>
        <w:tc>
          <w:tcPr>
            <w:tcW w:w="6540" w:type="dxa"/>
            <w:vAlign w:val="bottom"/>
            <w:gridSpan w:val="2"/>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0.77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0.42</w:t>
            </w:r>
          </w:p>
        </w:tc>
      </w:tr>
      <w:tr>
        <w:trPr>
          <w:trHeight w:val="270"/>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shd w:val="clear" w:color="auto" w:fill="E5E5E5"/>
          </w:tcPr>
          <w:p>
            <w:pPr>
              <w:spacing w:after="0"/>
              <w:rPr>
                <w:sz w:val="23"/>
                <w:szCs w:val="23"/>
                <w:color w:val="auto"/>
              </w:rPr>
            </w:pPr>
          </w:p>
        </w:tc>
        <w:tc>
          <w:tcPr>
            <w:tcW w:w="10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74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00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700" w:type="dxa"/>
            <w:vAlign w:val="bottom"/>
            <w:shd w:val="clear" w:color="auto" w:fill="E5E5E5"/>
          </w:tcPr>
          <w:p>
            <w:pPr>
              <w:spacing w:after="0"/>
              <w:rPr>
                <w:sz w:val="23"/>
                <w:szCs w:val="23"/>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Restructuring and related costs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Amortization of intangible assets</w:t>
            </w:r>
          </w:p>
        </w:tc>
        <w:tc>
          <w:tcPr>
            <w:tcW w:w="140" w:type="dxa"/>
            <w:vAlign w:val="bottom"/>
            <w:shd w:val="clear" w:color="auto" w:fill="E5E5E5"/>
          </w:tcPr>
          <w:p>
            <w:pPr>
              <w:spacing w:after="0"/>
              <w:rPr>
                <w:sz w:val="24"/>
                <w:szCs w:val="24"/>
                <w:color w:val="auto"/>
              </w:rPr>
            </w:pPr>
          </w:p>
        </w:tc>
        <w:tc>
          <w:tcPr>
            <w:tcW w:w="10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E5E5E5"/>
          </w:tcPr>
          <w:p>
            <w:pPr>
              <w:spacing w:after="0"/>
              <w:rPr>
                <w:sz w:val="24"/>
                <w:szCs w:val="24"/>
                <w:color w:val="auto"/>
              </w:rPr>
            </w:pPr>
          </w:p>
        </w:tc>
        <w:tc>
          <w:tcPr>
            <w:tcW w:w="740" w:type="dxa"/>
            <w:vAlign w:val="bottom"/>
            <w:shd w:val="clear" w:color="auto" w:fill="E5E5E5"/>
          </w:tcPr>
          <w:p>
            <w:pPr>
              <w:spacing w:after="0"/>
              <w:rPr>
                <w:sz w:val="24"/>
                <w:szCs w:val="24"/>
                <w:color w:val="auto"/>
              </w:rPr>
            </w:pPr>
          </w:p>
        </w:tc>
        <w:tc>
          <w:tcPr>
            <w:tcW w:w="40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5E5E5"/>
          </w:tcPr>
          <w:p>
            <w:pPr>
              <w:spacing w:after="0"/>
              <w:rPr>
                <w:sz w:val="24"/>
                <w:szCs w:val="24"/>
                <w:color w:val="auto"/>
              </w:rPr>
            </w:pPr>
          </w:p>
        </w:tc>
        <w:tc>
          <w:tcPr>
            <w:tcW w:w="42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Transaction and related costs, net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Non-service retirement-related costs</w:t>
            </w:r>
          </w:p>
        </w:tc>
        <w:tc>
          <w:tcPr>
            <w:tcW w:w="140" w:type="dxa"/>
            <w:vAlign w:val="bottom"/>
            <w:shd w:val="clear" w:color="auto" w:fill="E5E5E5"/>
          </w:tcPr>
          <w:p>
            <w:pPr>
              <w:spacing w:after="0"/>
              <w:rPr>
                <w:sz w:val="24"/>
                <w:szCs w:val="24"/>
                <w:color w:val="auto"/>
              </w:rPr>
            </w:pPr>
          </w:p>
        </w:tc>
        <w:tc>
          <w:tcPr>
            <w:tcW w:w="10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E5E5E5"/>
          </w:tcPr>
          <w:p>
            <w:pPr>
              <w:spacing w:after="0"/>
              <w:rPr>
                <w:sz w:val="24"/>
                <w:szCs w:val="24"/>
                <w:color w:val="auto"/>
              </w:rPr>
            </w:pPr>
          </w:p>
        </w:tc>
        <w:tc>
          <w:tcPr>
            <w:tcW w:w="740" w:type="dxa"/>
            <w:vAlign w:val="bottom"/>
            <w:shd w:val="clear" w:color="auto" w:fill="E5E5E5"/>
          </w:tcPr>
          <w:p>
            <w:pPr>
              <w:spacing w:after="0"/>
              <w:rPr>
                <w:sz w:val="24"/>
                <w:szCs w:val="24"/>
                <w:color w:val="auto"/>
              </w:rPr>
            </w:pPr>
          </w:p>
        </w:tc>
        <w:tc>
          <w:tcPr>
            <w:tcW w:w="40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5E5E5"/>
          </w:tcPr>
          <w:p>
            <w:pPr>
              <w:spacing w:after="0"/>
              <w:rPr>
                <w:sz w:val="24"/>
                <w:szCs w:val="24"/>
                <w:color w:val="auto"/>
              </w:rPr>
            </w:pPr>
          </w:p>
        </w:tc>
        <w:tc>
          <w:tcPr>
            <w:tcW w:w="42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r>
      <w:tr>
        <w:trPr>
          <w:trHeight w:val="270"/>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Income tax on adjustments</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Restructuring and other charges - Fuji Xerox</w:t>
            </w:r>
            <w:r>
              <w:rPr>
                <w:rFonts w:ascii="Arial" w:cs="Arial" w:eastAsia="Arial" w:hAnsi="Arial"/>
                <w:sz w:val="17"/>
                <w:szCs w:val="17"/>
                <w:color w:val="auto"/>
                <w:vertAlign w:val="superscript"/>
              </w:rPr>
              <w:t>(3)</w:t>
            </w:r>
          </w:p>
        </w:tc>
        <w:tc>
          <w:tcPr>
            <w:tcW w:w="140" w:type="dxa"/>
            <w:vAlign w:val="bottom"/>
            <w:tcBorders>
              <w:bottom w:val="single" w:sz="8" w:color="auto"/>
            </w:tcBorders>
            <w:shd w:val="clear" w:color="auto" w:fill="E5E5E5"/>
          </w:tcPr>
          <w:p>
            <w:pPr>
              <w:spacing w:after="0"/>
              <w:rPr>
                <w:sz w:val="23"/>
                <w:szCs w:val="23"/>
                <w:color w:val="auto"/>
              </w:rPr>
            </w:pPr>
          </w:p>
        </w:tc>
        <w:tc>
          <w:tcPr>
            <w:tcW w:w="10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E5E5E5"/>
          </w:tcPr>
          <w:p>
            <w:pPr>
              <w:spacing w:after="0"/>
              <w:rPr>
                <w:sz w:val="23"/>
                <w:szCs w:val="23"/>
                <w:color w:val="auto"/>
              </w:rPr>
            </w:pPr>
          </w:p>
        </w:tc>
        <w:tc>
          <w:tcPr>
            <w:tcW w:w="740" w:type="dxa"/>
            <w:vAlign w:val="bottom"/>
            <w:tcBorders>
              <w:bottom w:val="single" w:sz="8" w:color="auto"/>
            </w:tcBorders>
            <w:shd w:val="clear" w:color="auto" w:fill="E5E5E5"/>
          </w:tcPr>
          <w:p>
            <w:pPr>
              <w:spacing w:after="0"/>
              <w:rPr>
                <w:sz w:val="23"/>
                <w:szCs w:val="23"/>
                <w:color w:val="auto"/>
              </w:rPr>
            </w:pPr>
          </w:p>
        </w:tc>
        <w:tc>
          <w:tcPr>
            <w:tcW w:w="400" w:type="dxa"/>
            <w:vAlign w:val="bottom"/>
            <w:tcBorders>
              <w:bottom w:val="single" w:sz="8" w:color="auto"/>
            </w:tcBorders>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20" w:type="dxa"/>
            <w:vAlign w:val="bottom"/>
            <w:tcBorders>
              <w:bottom w:val="single" w:sz="8" w:color="auto"/>
            </w:tcBorders>
            <w:shd w:val="clear" w:color="auto" w:fill="E5E5E5"/>
          </w:tcPr>
          <w:p>
            <w:pPr>
              <w:spacing w:after="0"/>
              <w:rPr>
                <w:sz w:val="23"/>
                <w:szCs w:val="23"/>
                <w:color w:val="auto"/>
              </w:rPr>
            </w:pPr>
          </w:p>
        </w:tc>
        <w:tc>
          <w:tcPr>
            <w:tcW w:w="10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23"/>
                <w:szCs w:val="23"/>
                <w:color w:val="auto"/>
              </w:rPr>
            </w:pPr>
          </w:p>
        </w:tc>
        <w:tc>
          <w:tcPr>
            <w:tcW w:w="420" w:type="dxa"/>
            <w:vAlign w:val="bottom"/>
            <w:tcBorders>
              <w:bottom w:val="single" w:sz="8" w:color="auto"/>
            </w:tcBorders>
            <w:shd w:val="clear" w:color="auto" w:fill="E5E5E5"/>
          </w:tcPr>
          <w:p>
            <w:pPr>
              <w:spacing w:after="0"/>
              <w:rPr>
                <w:sz w:val="23"/>
                <w:szCs w:val="23"/>
                <w:color w:val="auto"/>
              </w:rPr>
            </w:pPr>
          </w:p>
        </w:tc>
        <w:tc>
          <w:tcPr>
            <w:tcW w:w="700" w:type="dxa"/>
            <w:vAlign w:val="bottom"/>
            <w:tcBorders>
              <w:bottom w:val="single" w:sz="8" w:color="auto"/>
            </w:tcBorders>
            <w:shd w:val="clear" w:color="auto" w:fill="E5E5E5"/>
          </w:tcPr>
          <w:p>
            <w:pPr>
              <w:spacing w:after="0"/>
              <w:rPr>
                <w:sz w:val="23"/>
                <w:szCs w:val="23"/>
                <w:color w:val="auto"/>
              </w:rPr>
            </w:pPr>
          </w:p>
        </w:tc>
      </w:tr>
      <w:tr>
        <w:trPr>
          <w:trHeight w:val="277"/>
        </w:trPr>
        <w:tc>
          <w:tcPr>
            <w:tcW w:w="654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tcBorders>
              <w:bottom w:val="single" w:sz="8" w:color="E5E5E5"/>
            </w:tcBorders>
          </w:tcPr>
          <w:p>
            <w:pPr>
              <w:spacing w:after="0"/>
              <w:rPr>
                <w:sz w:val="24"/>
                <w:szCs w:val="24"/>
                <w:color w:val="auto"/>
              </w:rPr>
            </w:pP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0.99</w:t>
            </w:r>
          </w:p>
        </w:tc>
        <w:tc>
          <w:tcPr>
            <w:tcW w:w="120" w:type="dxa"/>
            <w:vAlign w:val="bottom"/>
            <w:tcBorders>
              <w:bottom w:val="single" w:sz="8" w:color="E5E5E5"/>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E5E5E5"/>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0.80</w:t>
            </w:r>
          </w:p>
        </w:tc>
      </w:tr>
      <w:tr>
        <w:trPr>
          <w:trHeight w:val="251"/>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Dividends on preferred stock used in adjusted EPS calculation</w:t>
            </w:r>
            <w:r>
              <w:rPr>
                <w:rFonts w:ascii="Arial" w:cs="Arial" w:eastAsia="Arial" w:hAnsi="Arial"/>
                <w:sz w:val="17"/>
                <w:szCs w:val="17"/>
                <w:color w:val="auto"/>
                <w:vertAlign w:val="superscript"/>
              </w:rPr>
              <w:t>(4)</w:t>
            </w:r>
          </w:p>
        </w:tc>
        <w:tc>
          <w:tcPr>
            <w:tcW w:w="140" w:type="dxa"/>
            <w:vAlign w:val="bottom"/>
            <w:shd w:val="clear" w:color="auto" w:fill="E5E5E5"/>
          </w:tcPr>
          <w:p>
            <w:pPr>
              <w:spacing w:after="0"/>
              <w:rPr>
                <w:sz w:val="21"/>
                <w:szCs w:val="21"/>
                <w:color w:val="auto"/>
              </w:rPr>
            </w:pPr>
          </w:p>
        </w:tc>
        <w:tc>
          <w:tcPr>
            <w:tcW w:w="102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740" w:type="dxa"/>
            <w:vAlign w:val="bottom"/>
            <w:shd w:val="clear" w:color="auto" w:fill="E5E5E5"/>
          </w:tcPr>
          <w:p>
            <w:pPr>
              <w:spacing w:after="0"/>
              <w:rPr>
                <w:sz w:val="21"/>
                <w:szCs w:val="21"/>
                <w:color w:val="auto"/>
              </w:rPr>
            </w:pPr>
          </w:p>
        </w:tc>
        <w:tc>
          <w:tcPr>
            <w:tcW w:w="52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21"/>
                <w:szCs w:val="21"/>
                <w:color w:val="auto"/>
              </w:rPr>
            </w:pPr>
          </w:p>
        </w:tc>
        <w:tc>
          <w:tcPr>
            <w:tcW w:w="10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420" w:type="dxa"/>
            <w:vAlign w:val="bottom"/>
            <w:shd w:val="clear" w:color="auto" w:fill="E5E5E5"/>
          </w:tcPr>
          <w:p>
            <w:pPr>
              <w:spacing w:after="0"/>
              <w:rPr>
                <w:sz w:val="21"/>
                <w:szCs w:val="21"/>
                <w:color w:val="auto"/>
              </w:rPr>
            </w:pPr>
          </w:p>
        </w:tc>
        <w:tc>
          <w:tcPr>
            <w:tcW w:w="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Weighted average shares for adjusted EPS</w:t>
            </w:r>
            <w:r>
              <w:rPr>
                <w:rFonts w:ascii="Arial" w:cs="Arial" w:eastAsia="Arial" w:hAnsi="Arial"/>
                <w:sz w:val="17"/>
                <w:szCs w:val="17"/>
                <w:color w:val="auto"/>
                <w:vertAlign w:val="superscript"/>
              </w:rPr>
              <w:t>(4)</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265</w:t>
            </w:r>
          </w:p>
        </w:tc>
      </w:tr>
      <w:tr>
        <w:trPr>
          <w:trHeight w:val="270"/>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Fully diluted shares at end of period</w:t>
            </w:r>
            <w:r>
              <w:rPr>
                <w:rFonts w:ascii="Arial" w:cs="Arial" w:eastAsia="Arial" w:hAnsi="Arial"/>
                <w:sz w:val="17"/>
                <w:szCs w:val="17"/>
                <w:color w:val="auto"/>
                <w:vertAlign w:val="superscript"/>
              </w:rPr>
              <w:t>(5)</w:t>
            </w:r>
          </w:p>
        </w:tc>
        <w:tc>
          <w:tcPr>
            <w:tcW w:w="140" w:type="dxa"/>
            <w:vAlign w:val="bottom"/>
            <w:shd w:val="clear" w:color="auto" w:fill="E5E5E5"/>
          </w:tcPr>
          <w:p>
            <w:pPr>
              <w:spacing w:after="0"/>
              <w:rPr>
                <w:sz w:val="23"/>
                <w:szCs w:val="23"/>
                <w:color w:val="auto"/>
              </w:rPr>
            </w:pPr>
          </w:p>
        </w:tc>
        <w:tc>
          <w:tcPr>
            <w:tcW w:w="10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740" w:type="dxa"/>
            <w:vAlign w:val="bottom"/>
            <w:shd w:val="clear" w:color="auto" w:fill="E5E5E5"/>
          </w:tcPr>
          <w:p>
            <w:pPr>
              <w:spacing w:after="0"/>
              <w:rPr>
                <w:sz w:val="23"/>
                <w:szCs w:val="23"/>
                <w:color w:val="auto"/>
              </w:rPr>
            </w:pPr>
          </w:p>
        </w:tc>
        <w:tc>
          <w:tcPr>
            <w:tcW w:w="4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00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700" w:type="dxa"/>
            <w:vAlign w:val="bottom"/>
            <w:shd w:val="clear" w:color="auto" w:fill="E5E5E5"/>
          </w:tcPr>
          <w:p>
            <w:pPr>
              <w:spacing w:after="0"/>
              <w:rPr>
                <w:sz w:val="23"/>
                <w:szCs w:val="23"/>
                <w:color w:val="auto"/>
              </w:rPr>
            </w:pPr>
          </w:p>
        </w:tc>
      </w:tr>
      <w:tr>
        <w:trPr>
          <w:trHeight w:val="130"/>
        </w:trPr>
        <w:tc>
          <w:tcPr>
            <w:tcW w:w="640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r>
    </w:tbl>
    <w:p>
      <w:pPr>
        <w:spacing w:after="0" w:line="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and EPS attributable to Xerox.</w:t>
      </w:r>
    </w:p>
    <w:p>
      <w:pPr>
        <w:ind w:left="340" w:hanging="332"/>
        <w:spacing w:after="0" w:line="187" w:lineRule="auto"/>
        <w:tabs>
          <w:tab w:leader="none" w:pos="340"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Effective Tax Rate reconciliation.</w:t>
      </w:r>
    </w:p>
    <w:p>
      <w:pPr>
        <w:ind w:left="340" w:hanging="332"/>
        <w:spacing w:after="0" w:line="187" w:lineRule="auto"/>
        <w:tabs>
          <w:tab w:leader="none" w:pos="340"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Other charges represent costs associated with the terminated combination transaction.</w:t>
      </w:r>
    </w:p>
    <w:p>
      <w:pPr>
        <w:ind w:left="340" w:right="440" w:hanging="332"/>
        <w:spacing w:after="0" w:line="211" w:lineRule="auto"/>
        <w:tabs>
          <w:tab w:leader="none" w:pos="340"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For those periods that exclude the preferred stock dividend, the average shares for the calculations of diluted EPS include 7 million shares associated with our Series B convertible preferred stock, as applicable.</w:t>
      </w:r>
    </w:p>
    <w:p>
      <w:pPr>
        <w:ind w:left="340" w:right="20" w:hanging="332"/>
        <w:spacing w:after="0" w:line="218" w:lineRule="auto"/>
        <w:tabs>
          <w:tab w:leader="none" w:pos="340"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common shares outstanding at June 30, 2019 as well as shares associated with our Series B convertible preferred stock plus potential dilutive common shares as used for the calculation of diluted earnings per share for the second quarter 2019.</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 Tax Rate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color w:val="auto"/>
              </w:rPr>
              <w:t>June 30, 2019</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color w:val="auto"/>
              </w:rPr>
              <w:t>June 30, 2018</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color w:val="auto"/>
              </w:rPr>
              <w:t>Income Tax</w:t>
            </w: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Effective Tax</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color w:val="auto"/>
              </w:rPr>
              <w:t>Income Tax</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Effective Tax</w:t>
            </w:r>
          </w:p>
        </w:tc>
        <w:tc>
          <w:tcPr>
            <w:tcW w:w="0" w:type="dxa"/>
            <w:vAlign w:val="bottom"/>
          </w:tcPr>
          <w:p>
            <w:pPr>
              <w:spacing w:after="0"/>
              <w:rPr>
                <w:sz w:val="1"/>
                <w:szCs w:val="1"/>
                <w:color w:val="auto"/>
              </w:rPr>
            </w:pPr>
          </w:p>
        </w:tc>
      </w:tr>
      <w:tr>
        <w:trPr>
          <w:trHeight w:val="17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Income</w:t>
            </w:r>
          </w:p>
        </w:tc>
        <w:tc>
          <w:tcPr>
            <w:tcW w:w="100" w:type="dxa"/>
            <w:vAlign w:val="bottom"/>
            <w:tcBorders>
              <w:bottom w:val="single" w:sz="8" w:color="E5E5E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E5E5E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Rate</w:t>
            </w:r>
          </w:p>
        </w:tc>
        <w:tc>
          <w:tcPr>
            <w:tcW w:w="120" w:type="dxa"/>
            <w:vAlign w:val="bottom"/>
            <w:tcBorders>
              <w:bottom w:val="single" w:sz="8" w:color="E5E5E5"/>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Pre-Tax Income</w:t>
            </w:r>
          </w:p>
        </w:tc>
        <w:tc>
          <w:tcPr>
            <w:tcW w:w="100" w:type="dxa"/>
            <w:vAlign w:val="bottom"/>
            <w:tcBorders>
              <w:bottom w:val="single" w:sz="8" w:color="E5E5E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E5E5E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Reported</w:t>
            </w: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200</w:t>
            </w:r>
          </w:p>
        </w:tc>
        <w:tc>
          <w:tcPr>
            <w:tcW w:w="240" w:type="dxa"/>
            <w:vAlign w:val="bottom"/>
            <w:gridSpan w:val="2"/>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E5E5E5"/>
          </w:tcPr>
          <w:p>
            <w:pPr>
              <w:spacing w:after="0"/>
              <w:rPr>
                <w:sz w:val="22"/>
                <w:szCs w:val="22"/>
                <w:color w:val="auto"/>
              </w:rPr>
            </w:pP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133</w:t>
            </w:r>
          </w:p>
        </w:tc>
        <w:tc>
          <w:tcPr>
            <w:tcW w:w="240" w:type="dxa"/>
            <w:vAlign w:val="bottom"/>
            <w:gridSpan w:val="2"/>
            <w:shd w:val="clear" w:color="auto" w:fill="E5E5E5"/>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70"/>
        </w:trPr>
        <w:tc>
          <w:tcPr>
            <w:tcW w:w="40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Non-GAAP Adjustments</w:t>
            </w:r>
            <w:r>
              <w:rPr>
                <w:rFonts w:ascii="Arial" w:cs="Arial" w:eastAsia="Arial" w:hAnsi="Arial"/>
                <w:sz w:val="17"/>
                <w:szCs w:val="17"/>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E5E5E5"/>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E5E5E5"/>
            </w:tcBorders>
          </w:tcPr>
          <w:p>
            <w:pPr>
              <w:spacing w:after="0"/>
              <w:rPr>
                <w:sz w:val="23"/>
                <w:szCs w:val="23"/>
                <w:color w:val="auto"/>
              </w:rPr>
            </w:pPr>
          </w:p>
        </w:tc>
        <w:tc>
          <w:tcPr>
            <w:tcW w:w="100" w:type="dxa"/>
            <w:vAlign w:val="bottom"/>
            <w:tcBorders>
              <w:bottom w:val="single" w:sz="8" w:color="E5E5E5"/>
            </w:tcBorders>
          </w:tcPr>
          <w:p>
            <w:pPr>
              <w:spacing w:after="0"/>
              <w:rPr>
                <w:sz w:val="23"/>
                <w:szCs w:val="23"/>
                <w:color w:val="auto"/>
              </w:rPr>
            </w:pPr>
          </w:p>
        </w:tc>
        <w:tc>
          <w:tcPr>
            <w:tcW w:w="1080" w:type="dxa"/>
            <w:vAlign w:val="bottom"/>
            <w:tcBorders>
              <w:bottom w:val="single" w:sz="8" w:color="E5E5E5"/>
            </w:tcBorders>
          </w:tcPr>
          <w:p>
            <w:pPr>
              <w:spacing w:after="0"/>
              <w:rPr>
                <w:sz w:val="23"/>
                <w:szCs w:val="23"/>
                <w:color w:val="auto"/>
              </w:rPr>
            </w:pPr>
          </w:p>
        </w:tc>
        <w:tc>
          <w:tcPr>
            <w:tcW w:w="120" w:type="dxa"/>
            <w:vAlign w:val="bottom"/>
            <w:tcBorders>
              <w:bottom w:val="single" w:sz="8" w:color="E5E5E5"/>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E5E5E5"/>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E5E5E5"/>
            </w:tcBorders>
          </w:tcPr>
          <w:p>
            <w:pPr>
              <w:spacing w:after="0"/>
              <w:rPr>
                <w:sz w:val="23"/>
                <w:szCs w:val="23"/>
                <w:color w:val="auto"/>
              </w:rPr>
            </w:pPr>
          </w:p>
        </w:tc>
        <w:tc>
          <w:tcPr>
            <w:tcW w:w="100" w:type="dxa"/>
            <w:vAlign w:val="bottom"/>
            <w:tcBorders>
              <w:bottom w:val="single" w:sz="8" w:color="E5E5E5"/>
            </w:tcBorders>
          </w:tcPr>
          <w:p>
            <w:pPr>
              <w:spacing w:after="0"/>
              <w:rPr>
                <w:sz w:val="23"/>
                <w:szCs w:val="23"/>
                <w:color w:val="auto"/>
              </w:rPr>
            </w:pPr>
          </w:p>
        </w:tc>
        <w:tc>
          <w:tcPr>
            <w:tcW w:w="1080" w:type="dxa"/>
            <w:vAlign w:val="bottom"/>
            <w:tcBorders>
              <w:bottom w:val="single" w:sz="8" w:color="E5E5E5"/>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7"/>
                <w:szCs w:val="17"/>
                <w:b w:val="1"/>
                <w:bCs w:val="1"/>
                <w:color w:val="auto"/>
                <w:vertAlign w:val="superscript"/>
              </w:rPr>
              <w:t>(2)</w:t>
            </w: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262</w:t>
            </w:r>
          </w:p>
        </w:tc>
        <w:tc>
          <w:tcPr>
            <w:tcW w:w="240" w:type="dxa"/>
            <w:vAlign w:val="bottom"/>
            <w:gridSpan w:val="2"/>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E5E5E5"/>
          </w:tcPr>
          <w:p>
            <w:pPr>
              <w:spacing w:after="0"/>
              <w:rPr>
                <w:sz w:val="20"/>
                <w:szCs w:val="20"/>
                <w:color w:val="auto"/>
              </w:rPr>
            </w:pP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262</w:t>
            </w:r>
          </w:p>
        </w:tc>
        <w:tc>
          <w:tcPr>
            <w:tcW w:w="240" w:type="dxa"/>
            <w:vAlign w:val="bottom"/>
            <w:gridSpan w:val="2"/>
            <w:shd w:val="clear" w:color="auto" w:fill="E5E5E5"/>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
        </w:trPr>
        <w:tc>
          <w:tcPr>
            <w:tcW w:w="3900" w:type="dxa"/>
            <w:vAlign w:val="bottom"/>
            <w:tcBorders>
              <w:top w:val="single" w:sz="8" w:color="E5E5E5"/>
              <w:bottom w:val="single" w:sz="8" w:color="E5E5E5"/>
            </w:tcBorders>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40" w:hanging="132"/>
        <w:spacing w:after="0" w:line="218" w:lineRule="auto"/>
        <w:tabs>
          <w:tab w:leader="none" w:pos="140" w:val="left"/>
        </w:tabs>
        <w:numPr>
          <w:ilvl w:val="0"/>
          <w:numId w:val="3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Refer to Net Income and EPS reconciliation for details.</w:t>
      </w:r>
    </w:p>
    <w:p>
      <w:pPr>
        <w:ind w:left="340" w:right="200" w:hanging="332"/>
        <w:spacing w:after="0" w:line="218" w:lineRule="auto"/>
        <w:tabs>
          <w:tab w:leader="none" w:pos="340" w:val="left"/>
        </w:tabs>
        <w:numPr>
          <w:ilvl w:val="0"/>
          <w:numId w:val="3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tax impact on Adjusted Pre-Tax Income is calculated under the same accounting principles applied to the Reported Pre-Tax Income under ASC 740, which employs an annual effective tax rate method to the results.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 / Margin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rPr>
              <w:t>June 30, 2019</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color w:val="auto"/>
              </w:rPr>
              <w:t>June 30, 2018</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Profit</w:t>
            </w:r>
          </w:p>
        </w:tc>
        <w:tc>
          <w:tcPr>
            <w:tcW w:w="100" w:type="dxa"/>
            <w:vAlign w:val="bottom"/>
            <w:tcBorders>
              <w:bottom w:val="single" w:sz="8" w:color="E5E5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E5E5E5"/>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Margin</w:t>
            </w:r>
          </w:p>
        </w:tc>
        <w:tc>
          <w:tcPr>
            <w:tcW w:w="120" w:type="dxa"/>
            <w:vAlign w:val="bottom"/>
            <w:tcBorders>
              <w:bottom w:val="single" w:sz="8" w:color="E5E5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Profit</w:t>
            </w:r>
          </w:p>
        </w:tc>
        <w:tc>
          <w:tcPr>
            <w:tcW w:w="100" w:type="dxa"/>
            <w:vAlign w:val="bottom"/>
            <w:tcBorders>
              <w:bottom w:val="single" w:sz="8" w:color="E5E5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E5E5E5"/>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200</w:t>
            </w:r>
          </w:p>
        </w:tc>
        <w:tc>
          <w:tcPr>
            <w:tcW w:w="240" w:type="dxa"/>
            <w:vAlign w:val="bottom"/>
            <w:gridSpan w:val="2"/>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2,289</w:t>
            </w:r>
          </w:p>
        </w:tc>
        <w:tc>
          <w:tcPr>
            <w:tcW w:w="12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E5E5E5"/>
          </w:tcPr>
          <w:p>
            <w:pPr>
              <w:spacing w:after="0"/>
              <w:rPr>
                <w:sz w:val="22"/>
                <w:szCs w:val="22"/>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133</w:t>
            </w:r>
          </w:p>
        </w:tc>
        <w:tc>
          <w:tcPr>
            <w:tcW w:w="240" w:type="dxa"/>
            <w:vAlign w:val="bottom"/>
            <w:gridSpan w:val="2"/>
            <w:shd w:val="clear" w:color="auto" w:fill="E5E5E5"/>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2,510</w:t>
            </w:r>
          </w:p>
        </w:tc>
        <w:tc>
          <w:tcPr>
            <w:tcW w:w="12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Restructuring and related costs</w:t>
            </w:r>
          </w:p>
        </w:tc>
        <w:tc>
          <w:tcPr>
            <w:tcW w:w="260" w:type="dxa"/>
            <w:vAlign w:val="bottom"/>
            <w:shd w:val="clear" w:color="auto" w:fill="E5E5E5"/>
          </w:tcPr>
          <w:p>
            <w:pPr>
              <w:spacing w:after="0"/>
              <w:rPr>
                <w:sz w:val="24"/>
                <w:szCs w:val="24"/>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E5E5E5"/>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9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9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5E5E5"/>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9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98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Transaction and related costs, net</w:t>
            </w:r>
          </w:p>
        </w:tc>
        <w:tc>
          <w:tcPr>
            <w:tcW w:w="260" w:type="dxa"/>
            <w:vAlign w:val="bottom"/>
            <w:shd w:val="clear" w:color="auto" w:fill="E5E5E5"/>
          </w:tcPr>
          <w:p>
            <w:pPr>
              <w:spacing w:after="0"/>
              <w:rPr>
                <w:sz w:val="24"/>
                <w:szCs w:val="24"/>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9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9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E5E5E5"/>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9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98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Other expenses, net</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E5E5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E5E5E5"/>
            </w:tcBorders>
          </w:tcPr>
          <w:p>
            <w:pPr>
              <w:spacing w:after="0"/>
              <w:rPr>
                <w:sz w:val="22"/>
                <w:szCs w:val="22"/>
                <w:color w:val="auto"/>
              </w:rPr>
            </w:pPr>
          </w:p>
        </w:tc>
        <w:tc>
          <w:tcPr>
            <w:tcW w:w="200" w:type="dxa"/>
            <w:vAlign w:val="bottom"/>
            <w:tcBorders>
              <w:bottom w:val="single" w:sz="8" w:color="E5E5E5"/>
            </w:tcBorders>
          </w:tcPr>
          <w:p>
            <w:pPr>
              <w:spacing w:after="0"/>
              <w:rPr>
                <w:sz w:val="22"/>
                <w:szCs w:val="22"/>
                <w:color w:val="auto"/>
              </w:rPr>
            </w:pPr>
          </w:p>
        </w:tc>
        <w:tc>
          <w:tcPr>
            <w:tcW w:w="980" w:type="dxa"/>
            <w:vAlign w:val="bottom"/>
            <w:tcBorders>
              <w:bottom w:val="single" w:sz="8" w:color="E5E5E5"/>
            </w:tcBorders>
          </w:tcPr>
          <w:p>
            <w:pPr>
              <w:spacing w:after="0"/>
              <w:rPr>
                <w:sz w:val="22"/>
                <w:szCs w:val="22"/>
                <w:color w:val="auto"/>
              </w:rPr>
            </w:pPr>
          </w:p>
        </w:tc>
        <w:tc>
          <w:tcPr>
            <w:tcW w:w="120" w:type="dxa"/>
            <w:vAlign w:val="bottom"/>
            <w:tcBorders>
              <w:bottom w:val="single" w:sz="8" w:color="E5E5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E5E5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E5E5E5"/>
            </w:tcBorders>
          </w:tcPr>
          <w:p>
            <w:pPr>
              <w:spacing w:after="0"/>
              <w:rPr>
                <w:sz w:val="22"/>
                <w:szCs w:val="22"/>
                <w:color w:val="auto"/>
              </w:rPr>
            </w:pPr>
          </w:p>
        </w:tc>
        <w:tc>
          <w:tcPr>
            <w:tcW w:w="200" w:type="dxa"/>
            <w:vAlign w:val="bottom"/>
            <w:tcBorders>
              <w:bottom w:val="single" w:sz="8" w:color="E5E5E5"/>
            </w:tcBorders>
          </w:tcPr>
          <w:p>
            <w:pPr>
              <w:spacing w:after="0"/>
              <w:rPr>
                <w:sz w:val="22"/>
                <w:szCs w:val="22"/>
                <w:color w:val="auto"/>
              </w:rPr>
            </w:pPr>
          </w:p>
        </w:tc>
        <w:tc>
          <w:tcPr>
            <w:tcW w:w="980" w:type="dxa"/>
            <w:vAlign w:val="bottom"/>
            <w:tcBorders>
              <w:bottom w:val="single" w:sz="8" w:color="E5E5E5"/>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Adjusted</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290</w:t>
            </w:r>
          </w:p>
        </w:tc>
        <w:tc>
          <w:tcPr>
            <w:tcW w:w="240" w:type="dxa"/>
            <w:vAlign w:val="bottom"/>
            <w:gridSpan w:val="2"/>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2,289</w:t>
            </w:r>
          </w:p>
        </w:tc>
        <w:tc>
          <w:tcPr>
            <w:tcW w:w="1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E5E5E5"/>
          </w:tcPr>
          <w:p>
            <w:pPr>
              <w:spacing w:after="0"/>
              <w:rPr>
                <w:sz w:val="21"/>
                <w:szCs w:val="21"/>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276</w:t>
            </w:r>
          </w:p>
        </w:tc>
        <w:tc>
          <w:tcPr>
            <w:tcW w:w="240" w:type="dxa"/>
            <w:vAlign w:val="bottom"/>
            <w:gridSpan w:val="2"/>
            <w:shd w:val="clear" w:color="auto" w:fill="E5E5E5"/>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2,510</w:t>
            </w:r>
          </w:p>
        </w:tc>
        <w:tc>
          <w:tcPr>
            <w:tcW w:w="1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
        </w:trPr>
        <w:tc>
          <w:tcPr>
            <w:tcW w:w="3900" w:type="dxa"/>
            <w:vAlign w:val="bottom"/>
            <w:tcBorders>
              <w:top w:val="single" w:sz="8" w:color="E5E5E5"/>
              <w:bottom w:val="single" w:sz="8" w:color="E5E5E5"/>
            </w:tcBorders>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tcBorders>
          </w:tcPr>
          <w:p>
            <w:pPr>
              <w:spacing w:after="0" w:line="20" w:lineRule="exact"/>
              <w:rPr>
                <w:sz w:val="1"/>
                <w:szCs w:val="1"/>
                <w:color w:val="auto"/>
              </w:rPr>
            </w:pPr>
          </w:p>
        </w:tc>
        <w:tc>
          <w:tcPr>
            <w:tcW w:w="98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tcBorders>
          </w:tcPr>
          <w:p>
            <w:pPr>
              <w:spacing w:after="0" w:line="20" w:lineRule="exact"/>
              <w:rPr>
                <w:sz w:val="1"/>
                <w:szCs w:val="1"/>
                <w:color w:val="auto"/>
              </w:rPr>
            </w:pPr>
          </w:p>
        </w:tc>
        <w:tc>
          <w:tcPr>
            <w:tcW w:w="98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hanging="332"/>
        <w:spacing w:after="0" w:line="205" w:lineRule="auto"/>
        <w:tabs>
          <w:tab w:leader="none" w:pos="340"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Pre-Tax Income and revenue.</w:t>
      </w:r>
    </w:p>
    <w:p>
      <w:pPr>
        <w:sectPr>
          <w:pgSz w:w="11900" w:h="16838" w:orient="portrait"/>
          <w:cols w:equalWidth="0" w:num="1">
            <w:col w:w="11420"/>
          </w:cols>
          <w:pgMar w:left="240" w:top="70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701"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Free Cash Flow reconciliation</w:t>
      </w:r>
    </w:p>
    <w:p>
      <w:pPr>
        <w:spacing w:after="0" w:line="249" w:lineRule="exact"/>
        <w:rPr>
          <w:sz w:val="20"/>
          <w:szCs w:val="20"/>
          <w:color w:val="auto"/>
        </w:rPr>
      </w:pPr>
    </w:p>
    <w:p>
      <w:pPr>
        <w:jc w:val="center"/>
        <w:ind w:left="858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jc w:val="center"/>
        <w:ind w:left="8620"/>
        <w:spacing w:after="0"/>
        <w:rPr>
          <w:sz w:val="20"/>
          <w:szCs w:val="20"/>
          <w:color w:val="auto"/>
        </w:rPr>
      </w:pPr>
      <w:r>
        <w:rPr>
          <w:rFonts w:ascii="Arial" w:cs="Arial" w:eastAsia="Arial" w:hAnsi="Arial"/>
          <w:sz w:val="14"/>
          <w:szCs w:val="14"/>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14605</wp:posOffset>
            </wp:positionV>
            <wp:extent cx="18008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6"/>
        </w:trPr>
        <w:tc>
          <w:tcPr>
            <w:tcW w:w="858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Free Cash Flow</w:t>
            </w:r>
          </w:p>
        </w:tc>
        <w:tc>
          <w:tcPr>
            <w:tcW w:w="32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cash provided by operating activities.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49" w:lineRule="exact"/>
        <w:rPr>
          <w:sz w:val="20"/>
          <w:szCs w:val="20"/>
          <w:color w:val="auto"/>
        </w:rPr>
      </w:pPr>
    </w:p>
    <w:p>
      <w:pPr>
        <w:ind w:left="9740"/>
        <w:spacing w:after="0"/>
        <w:rPr>
          <w:sz w:val="20"/>
          <w:szCs w:val="20"/>
          <w:color w:val="auto"/>
        </w:rPr>
      </w:pPr>
      <w:r>
        <w:rPr>
          <w:rFonts w:ascii="Arial" w:cs="Arial" w:eastAsia="Arial" w:hAnsi="Arial"/>
          <w:sz w:val="14"/>
          <w:szCs w:val="14"/>
          <w:color w:val="auto"/>
        </w:rPr>
        <w:t>FY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14605</wp:posOffset>
            </wp:positionV>
            <wp:extent cx="18008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 share amounts)</w:t>
            </w:r>
          </w:p>
        </w:tc>
        <w:tc>
          <w:tcPr>
            <w:tcW w:w="120" w:type="dxa"/>
            <w:vAlign w:val="bottom"/>
            <w:tcBorders>
              <w:bottom w:val="single" w:sz="8" w:color="E5E5E5"/>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E5E5E5"/>
            </w:tcBorders>
          </w:tcPr>
          <w:p>
            <w:pPr>
              <w:spacing w:after="0"/>
              <w:rPr>
                <w:sz w:val="15"/>
                <w:szCs w:val="15"/>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EPS</w:t>
            </w:r>
          </w:p>
        </w:tc>
      </w:tr>
      <w:tr>
        <w:trPr>
          <w:trHeight w:val="256"/>
        </w:trPr>
        <w:tc>
          <w:tcPr>
            <w:tcW w:w="858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Estimated</w:t>
            </w:r>
            <w:r>
              <w:rPr>
                <w:rFonts w:ascii="Arial" w:cs="Arial" w:eastAsia="Arial" w:hAnsi="Arial"/>
                <w:sz w:val="17"/>
                <w:szCs w:val="17"/>
                <w:b w:val="1"/>
                <w:bCs w:val="1"/>
                <w:color w:val="auto"/>
                <w:vertAlign w:val="superscript"/>
              </w:rPr>
              <w:t>(1)</w:t>
            </w:r>
          </w:p>
        </w:tc>
        <w:tc>
          <w:tcPr>
            <w:tcW w:w="2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E5E5E5"/>
          </w:tcPr>
          <w:p>
            <w:pPr>
              <w:spacing w:after="0"/>
              <w:rPr>
                <w:sz w:val="22"/>
                <w:szCs w:val="22"/>
                <w:color w:val="auto"/>
              </w:rPr>
            </w:pPr>
          </w:p>
        </w:tc>
        <w:tc>
          <w:tcPr>
            <w:tcW w:w="136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~$2.90 - $3.05</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85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Restructuring and related costs</w:t>
            </w:r>
            <w:r>
              <w:rPr>
                <w:rFonts w:ascii="Arial" w:cs="Arial" w:eastAsia="Arial" w:hAnsi="Arial"/>
                <w:sz w:val="17"/>
                <w:szCs w:val="17"/>
                <w:color w:val="auto"/>
                <w:vertAlign w:val="superscript"/>
              </w:rPr>
              <w:t>(2)</w:t>
            </w:r>
          </w:p>
        </w:tc>
        <w:tc>
          <w:tcPr>
            <w:tcW w:w="200" w:type="dxa"/>
            <w:vAlign w:val="bottom"/>
            <w:shd w:val="clear" w:color="auto" w:fill="E5E5E5"/>
          </w:tcPr>
          <w:p>
            <w:pPr>
              <w:spacing w:after="0"/>
              <w:rPr>
                <w:sz w:val="24"/>
                <w:szCs w:val="24"/>
                <w:color w:val="auto"/>
              </w:rPr>
            </w:pPr>
          </w:p>
        </w:tc>
        <w:tc>
          <w:tcPr>
            <w:tcW w:w="11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E5E5E5"/>
          </w:tcPr>
          <w:p>
            <w:pPr>
              <w:spacing w:after="0"/>
              <w:rPr>
                <w:sz w:val="24"/>
                <w:szCs w:val="24"/>
                <w:color w:val="auto"/>
              </w:rPr>
            </w:pPr>
          </w:p>
        </w:tc>
        <w:tc>
          <w:tcPr>
            <w:tcW w:w="1360" w:type="dxa"/>
            <w:vAlign w:val="bottom"/>
            <w:shd w:val="clear" w:color="auto" w:fill="E5E5E5"/>
          </w:tcPr>
          <w:p>
            <w:pPr>
              <w:spacing w:after="0"/>
              <w:rPr>
                <w:sz w:val="24"/>
                <w:szCs w:val="24"/>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85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Non-service retirement-related costs</w:t>
            </w:r>
          </w:p>
        </w:tc>
        <w:tc>
          <w:tcPr>
            <w:tcW w:w="200" w:type="dxa"/>
            <w:vAlign w:val="bottom"/>
            <w:shd w:val="clear" w:color="auto" w:fill="E5E5E5"/>
          </w:tcPr>
          <w:p>
            <w:pPr>
              <w:spacing w:after="0"/>
              <w:rPr>
                <w:sz w:val="24"/>
                <w:szCs w:val="24"/>
                <w:color w:val="auto"/>
              </w:rPr>
            </w:pPr>
          </w:p>
        </w:tc>
        <w:tc>
          <w:tcPr>
            <w:tcW w:w="11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E5E5E5"/>
          </w:tcPr>
          <w:p>
            <w:pPr>
              <w:spacing w:after="0"/>
              <w:rPr>
                <w:sz w:val="24"/>
                <w:szCs w:val="24"/>
                <w:color w:val="auto"/>
              </w:rPr>
            </w:pPr>
          </w:p>
        </w:tc>
        <w:tc>
          <w:tcPr>
            <w:tcW w:w="1360" w:type="dxa"/>
            <w:vAlign w:val="bottom"/>
            <w:shd w:val="clear" w:color="auto" w:fill="E5E5E5"/>
          </w:tcPr>
          <w:p>
            <w:pPr>
              <w:spacing w:after="0"/>
              <w:rPr>
                <w:sz w:val="24"/>
                <w:szCs w:val="24"/>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Income tax on adjustments</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85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Tax Act</w:t>
            </w:r>
          </w:p>
        </w:tc>
        <w:tc>
          <w:tcPr>
            <w:tcW w:w="200" w:type="dxa"/>
            <w:vAlign w:val="bottom"/>
            <w:tcBorders>
              <w:bottom w:val="single" w:sz="8" w:color="auto"/>
            </w:tcBorders>
            <w:shd w:val="clear" w:color="auto" w:fill="E5E5E5"/>
          </w:tcPr>
          <w:p>
            <w:pPr>
              <w:spacing w:after="0"/>
              <w:rPr>
                <w:sz w:val="24"/>
                <w:szCs w:val="24"/>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E5E5E5"/>
          </w:tcPr>
          <w:p>
            <w:pPr>
              <w:spacing w:after="0"/>
              <w:rPr>
                <w:sz w:val="24"/>
                <w:szCs w:val="24"/>
                <w:color w:val="auto"/>
              </w:rPr>
            </w:pPr>
          </w:p>
        </w:tc>
        <w:tc>
          <w:tcPr>
            <w:tcW w:w="1360" w:type="dxa"/>
            <w:vAlign w:val="bottom"/>
            <w:tcBorders>
              <w:bottom w:val="single" w:sz="8" w:color="auto"/>
            </w:tcBorders>
            <w:shd w:val="clear" w:color="auto" w:fill="E5E5E5"/>
          </w:tcPr>
          <w:p>
            <w:pPr>
              <w:spacing w:after="0"/>
              <w:rPr>
                <w:sz w:val="24"/>
                <w:szCs w:val="24"/>
                <w:color w:val="auto"/>
              </w:rPr>
            </w:pPr>
          </w:p>
        </w:tc>
      </w:tr>
      <w:tr>
        <w:trPr>
          <w:trHeight w:val="277"/>
        </w:trPr>
        <w:tc>
          <w:tcPr>
            <w:tcW w:w="858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912</w:t>
            </w:r>
          </w:p>
        </w:tc>
        <w:tc>
          <w:tcPr>
            <w:tcW w:w="120" w:type="dxa"/>
            <w:vAlign w:val="bottom"/>
            <w:tcBorders>
              <w:bottom w:val="single" w:sz="8" w:color="E5E5E5"/>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~$3.80 - $3.95</w:t>
            </w:r>
          </w:p>
        </w:tc>
      </w:tr>
      <w:tr>
        <w:trPr>
          <w:trHeight w:val="264"/>
        </w:trPr>
        <w:tc>
          <w:tcPr>
            <w:tcW w:w="846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116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1360" w:type="dxa"/>
            <w:vAlign w:val="bottom"/>
            <w:shd w:val="clear" w:color="auto" w:fill="E5E5E5"/>
          </w:tcPr>
          <w:p>
            <w:pPr>
              <w:spacing w:after="0"/>
              <w:rPr>
                <w:sz w:val="22"/>
                <w:szCs w:val="22"/>
                <w:color w:val="auto"/>
              </w:rPr>
            </w:pPr>
          </w:p>
        </w:tc>
      </w:tr>
      <w:tr>
        <w:trPr>
          <w:trHeight w:val="258"/>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Weighted average shares for adjusted EPS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 235</w:t>
            </w:r>
          </w:p>
        </w:tc>
      </w:tr>
      <w:tr>
        <w:trPr>
          <w:trHeight w:val="139"/>
        </w:trPr>
        <w:tc>
          <w:tcPr>
            <w:tcW w:w="846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r>
    </w:tbl>
    <w:p>
      <w:pPr>
        <w:spacing w:after="0" w:line="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and EPS attributable to Xerox</w:t>
      </w:r>
    </w:p>
    <w:p>
      <w:pPr>
        <w:ind w:left="340" w:hanging="332"/>
        <w:spacing w:after="0" w:line="199" w:lineRule="auto"/>
        <w:tabs>
          <w:tab w:leader="none" w:pos="340" w:val="left"/>
        </w:tabs>
        <w:numPr>
          <w:ilvl w:val="0"/>
          <w:numId w:val="3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$19 million of Fuji Xerox related costs in first half 2019.</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5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5"/>
          <w:szCs w:val="25"/>
          <w:b w:val="1"/>
          <w:bCs w:val="1"/>
          <w:color w:val="DA2031"/>
        </w:rPr>
        <w:t>APPENDIX I</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DA2031"/>
        </w:rPr>
        <w:t>Xerox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DA2031"/>
        </w:rPr>
        <w:t>Earnings per Common Share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5"/>
          </w:tcPr>
          <w:p>
            <w:pPr>
              <w:ind w:left="5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78"/>
        </w:trPr>
        <w:tc>
          <w:tcPr>
            <w:tcW w:w="5160" w:type="dxa"/>
            <w:vAlign w:val="bottom"/>
            <w:gridSpan w:val="2"/>
          </w:tcPr>
          <w:p>
            <w:pPr>
              <w:ind w:left="40"/>
              <w:spacing w:after="0"/>
              <w:rPr>
                <w:sz w:val="20"/>
                <w:szCs w:val="20"/>
                <w:color w:val="auto"/>
              </w:rPr>
            </w:pPr>
            <w:r>
              <w:rPr>
                <w:rFonts w:ascii="Arial" w:cs="Arial" w:eastAsia="Arial" w:hAnsi="Arial"/>
                <w:sz w:val="13"/>
                <w:szCs w:val="13"/>
                <w:color w:val="auto"/>
              </w:rPr>
              <w:t>(in millions, except per-share data, shares in thousands)</w:t>
            </w:r>
          </w:p>
        </w:tc>
        <w:tc>
          <w:tcPr>
            <w:tcW w:w="340" w:type="dxa"/>
            <w:vAlign w:val="bottom"/>
          </w:tcPr>
          <w:p>
            <w:pPr>
              <w:spacing w:after="0"/>
              <w:rPr>
                <w:sz w:val="15"/>
                <w:szCs w:val="15"/>
                <w:color w:val="auto"/>
              </w:rPr>
            </w:pPr>
          </w:p>
        </w:tc>
        <w:tc>
          <w:tcPr>
            <w:tcW w:w="1680" w:type="dxa"/>
            <w:vAlign w:val="bottom"/>
            <w:gridSpan w:val="3"/>
          </w:tcPr>
          <w:p>
            <w:pPr>
              <w:jc w:val="right"/>
              <w:ind w:right="108"/>
              <w:spacing w:after="0"/>
              <w:rPr>
                <w:sz w:val="20"/>
                <w:szCs w:val="20"/>
                <w:color w:val="auto"/>
              </w:rPr>
            </w:pPr>
            <w:r>
              <w:rPr>
                <w:rFonts w:ascii="Arial" w:cs="Arial" w:eastAsia="Arial" w:hAnsi="Arial"/>
                <w:sz w:val="14"/>
                <w:szCs w:val="14"/>
                <w:color w:val="auto"/>
              </w:rPr>
              <w:t>June 30,</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ind w:right="228"/>
              <w:spacing w:after="0"/>
              <w:rPr>
                <w:sz w:val="20"/>
                <w:szCs w:val="20"/>
                <w:color w:val="auto"/>
              </w:rPr>
            </w:pPr>
            <w:r>
              <w:rPr>
                <w:rFonts w:ascii="Arial" w:cs="Arial" w:eastAsia="Arial" w:hAnsi="Arial"/>
                <w:sz w:val="14"/>
                <w:szCs w:val="14"/>
                <w:color w:val="auto"/>
              </w:rPr>
              <w:t>June 30,</w:t>
            </w:r>
          </w:p>
        </w:tc>
        <w:tc>
          <w:tcPr>
            <w:tcW w:w="920" w:type="dxa"/>
            <w:vAlign w:val="bottom"/>
          </w:tcPr>
          <w:p>
            <w:pPr>
              <w:spacing w:after="0"/>
              <w:rPr>
                <w:sz w:val="15"/>
                <w:szCs w:val="15"/>
                <w:color w:val="auto"/>
              </w:rPr>
            </w:pPr>
          </w:p>
        </w:tc>
      </w:tr>
      <w:tr>
        <w:trPr>
          <w:trHeight w:val="264"/>
        </w:trPr>
        <w:tc>
          <w:tcPr>
            <w:tcW w:w="5040" w:type="dxa"/>
            <w:vAlign w:val="bottom"/>
            <w:tcBorders>
              <w:top w:val="single" w:sz="8" w:color="auto"/>
              <w:bottom w:val="single" w:sz="8" w:color="E5E5E5"/>
            </w:tcBorders>
          </w:tcPr>
          <w:p>
            <w:pPr>
              <w:spacing w:after="0"/>
              <w:rPr>
                <w:sz w:val="22"/>
                <w:szCs w:val="22"/>
                <w:color w:val="auto"/>
              </w:rPr>
            </w:pPr>
          </w:p>
        </w:tc>
        <w:tc>
          <w:tcPr>
            <w:tcW w:w="120" w:type="dxa"/>
            <w:vAlign w:val="bottom"/>
            <w:tcBorders>
              <w:bottom w:val="single" w:sz="8" w:color="E5E5E5"/>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2019</w:t>
            </w:r>
          </w:p>
        </w:tc>
        <w:tc>
          <w:tcPr>
            <w:tcW w:w="120" w:type="dxa"/>
            <w:vAlign w:val="bottom"/>
            <w:tcBorders>
              <w:top w:val="single" w:sz="8" w:color="auto"/>
              <w:bottom w:val="single" w:sz="8" w:color="E5E5E5"/>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E5E5E5"/>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auto"/>
              <w:bottom w:val="single" w:sz="8" w:color="E5E5E5"/>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2018</w:t>
            </w:r>
          </w:p>
        </w:tc>
      </w:tr>
      <w:tr>
        <w:trPr>
          <w:trHeight w:val="270"/>
        </w:trPr>
        <w:tc>
          <w:tcPr>
            <w:tcW w:w="51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Basic Earnings per Share:</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11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540" w:type="dxa"/>
            <w:vAlign w:val="bottom"/>
            <w:shd w:val="clear" w:color="auto" w:fill="E5E5E5"/>
          </w:tcPr>
          <w:p>
            <w:pPr>
              <w:spacing w:after="0"/>
              <w:rPr>
                <w:sz w:val="23"/>
                <w:szCs w:val="23"/>
                <w:color w:val="auto"/>
              </w:rPr>
            </w:pPr>
          </w:p>
        </w:tc>
        <w:tc>
          <w:tcPr>
            <w:tcW w:w="920" w:type="dxa"/>
            <w:vAlign w:val="bottom"/>
            <w:shd w:val="clear" w:color="auto" w:fill="E5E5E5"/>
          </w:tcPr>
          <w:p>
            <w:pPr>
              <w:spacing w:after="0"/>
              <w:rPr>
                <w:sz w:val="23"/>
                <w:szCs w:val="23"/>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 Attributable to Xerox</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2"/>
                <w:szCs w:val="22"/>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135</w:t>
            </w:r>
          </w:p>
        </w:tc>
      </w:tr>
      <w:tr>
        <w:trPr>
          <w:trHeight w:val="270"/>
        </w:trPr>
        <w:tc>
          <w:tcPr>
            <w:tcW w:w="51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Accrued dividends on preferred stock</w:t>
            </w:r>
          </w:p>
        </w:tc>
        <w:tc>
          <w:tcPr>
            <w:tcW w:w="340" w:type="dxa"/>
            <w:vAlign w:val="bottom"/>
            <w:tcBorders>
              <w:bottom w:val="single" w:sz="8" w:color="auto"/>
            </w:tcBorders>
            <w:shd w:val="clear" w:color="auto" w:fill="E5E5E5"/>
          </w:tcPr>
          <w:p>
            <w:pPr>
              <w:spacing w:after="0"/>
              <w:rPr>
                <w:sz w:val="23"/>
                <w:szCs w:val="23"/>
                <w:color w:val="auto"/>
              </w:rPr>
            </w:pPr>
          </w:p>
        </w:tc>
        <w:tc>
          <w:tcPr>
            <w:tcW w:w="11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23"/>
                <w:szCs w:val="23"/>
                <w:color w:val="auto"/>
              </w:rPr>
            </w:pPr>
          </w:p>
        </w:tc>
        <w:tc>
          <w:tcPr>
            <w:tcW w:w="400" w:type="dxa"/>
            <w:vAlign w:val="bottom"/>
            <w:tcBorders>
              <w:bottom w:val="single" w:sz="8" w:color="auto"/>
            </w:tcBorders>
            <w:shd w:val="clear" w:color="auto" w:fill="E5E5E5"/>
          </w:tcPr>
          <w:p>
            <w:pPr>
              <w:spacing w:after="0"/>
              <w:rPr>
                <w:sz w:val="23"/>
                <w:szCs w:val="23"/>
                <w:color w:val="auto"/>
              </w:rPr>
            </w:pPr>
          </w:p>
        </w:tc>
        <w:tc>
          <w:tcPr>
            <w:tcW w:w="11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23"/>
                <w:szCs w:val="23"/>
                <w:color w:val="auto"/>
              </w:rPr>
            </w:pPr>
          </w:p>
        </w:tc>
        <w:tc>
          <w:tcPr>
            <w:tcW w:w="340" w:type="dxa"/>
            <w:vAlign w:val="bottom"/>
            <w:tcBorders>
              <w:bottom w:val="single" w:sz="8" w:color="auto"/>
            </w:tcBorders>
            <w:shd w:val="clear" w:color="auto" w:fill="E5E5E5"/>
          </w:tcPr>
          <w:p>
            <w:pPr>
              <w:spacing w:after="0"/>
              <w:rPr>
                <w:sz w:val="23"/>
                <w:szCs w:val="23"/>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5E5E5"/>
          </w:tcPr>
          <w:p>
            <w:pPr>
              <w:spacing w:after="0"/>
              <w:rPr>
                <w:sz w:val="23"/>
                <w:szCs w:val="23"/>
                <w:color w:val="auto"/>
              </w:rPr>
            </w:pPr>
          </w:p>
        </w:tc>
        <w:tc>
          <w:tcPr>
            <w:tcW w:w="540" w:type="dxa"/>
            <w:vAlign w:val="bottom"/>
            <w:tcBorders>
              <w:bottom w:val="single" w:sz="8" w:color="auto"/>
            </w:tcBorders>
            <w:shd w:val="clear" w:color="auto" w:fill="E5E5E5"/>
          </w:tcPr>
          <w:p>
            <w:pPr>
              <w:spacing w:after="0"/>
              <w:rPr>
                <w:sz w:val="23"/>
                <w:szCs w:val="23"/>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w:t>
            </w:r>
          </w:p>
        </w:tc>
      </w:tr>
      <w:tr>
        <w:trPr>
          <w:trHeight w:val="283"/>
        </w:trPr>
        <w:tc>
          <w:tcPr>
            <w:tcW w:w="516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Adjusted net income available to common shareholders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E5E5E5"/>
            </w:tcBorders>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E5E5E5"/>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w:t>
            </w:r>
          </w:p>
        </w:tc>
        <w:tc>
          <w:tcPr>
            <w:tcW w:w="100" w:type="dxa"/>
            <w:vAlign w:val="bottom"/>
            <w:tcBorders>
              <w:bottom w:val="single" w:sz="8" w:color="E5E5E5"/>
            </w:tcBorders>
          </w:tcPr>
          <w:p>
            <w:pPr>
              <w:spacing w:after="0"/>
              <w:rPr>
                <w:sz w:val="24"/>
                <w:szCs w:val="24"/>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w:t>
            </w:r>
          </w:p>
        </w:tc>
      </w:tr>
      <w:tr>
        <w:trPr>
          <w:trHeight w:val="224"/>
        </w:trPr>
        <w:tc>
          <w:tcPr>
            <w:tcW w:w="51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E5E5E5"/>
          </w:tcPr>
          <w:p>
            <w:pPr>
              <w:spacing w:after="0"/>
              <w:rPr>
                <w:sz w:val="19"/>
                <w:szCs w:val="19"/>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223,606</w:t>
            </w:r>
          </w:p>
        </w:tc>
        <w:tc>
          <w:tcPr>
            <w:tcW w:w="12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11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254,895</w:t>
            </w:r>
          </w:p>
        </w:tc>
        <w:tc>
          <w:tcPr>
            <w:tcW w:w="1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11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226,040</w:t>
            </w:r>
          </w:p>
        </w:tc>
        <w:tc>
          <w:tcPr>
            <w:tcW w:w="10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254,791</w:t>
            </w:r>
          </w:p>
        </w:tc>
      </w:tr>
      <w:tr>
        <w:trPr>
          <w:trHeight w:val="284"/>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1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Basic Earnings per Share</w:t>
            </w: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0.79</w:t>
            </w:r>
          </w:p>
        </w:tc>
        <w:tc>
          <w:tcPr>
            <w:tcW w:w="120" w:type="dxa"/>
            <w:vAlign w:val="bottom"/>
            <w:shd w:val="clear" w:color="auto" w:fill="E5E5E5"/>
          </w:tcPr>
          <w:p>
            <w:pPr>
              <w:spacing w:after="0"/>
              <w:rPr>
                <w:sz w:val="23"/>
                <w:szCs w:val="23"/>
                <w:color w:val="auto"/>
              </w:rPr>
            </w:pPr>
          </w:p>
        </w:tc>
        <w:tc>
          <w:tcPr>
            <w:tcW w:w="4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0.42</w:t>
            </w:r>
          </w:p>
        </w:tc>
        <w:tc>
          <w:tcPr>
            <w:tcW w:w="120" w:type="dxa"/>
            <w:vAlign w:val="bottom"/>
            <w:shd w:val="clear" w:color="auto" w:fill="E5E5E5"/>
          </w:tcPr>
          <w:p>
            <w:pPr>
              <w:spacing w:after="0"/>
              <w:rPr>
                <w:sz w:val="23"/>
                <w:szCs w:val="23"/>
                <w:color w:val="auto"/>
              </w:rPr>
            </w:pP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E5E5E5"/>
          </w:tcPr>
          <w:p>
            <w:pPr>
              <w:spacing w:after="0"/>
              <w:rPr>
                <w:sz w:val="23"/>
                <w:szCs w:val="23"/>
                <w:color w:val="auto"/>
              </w:rPr>
            </w:pPr>
          </w:p>
        </w:tc>
        <w:tc>
          <w:tcPr>
            <w:tcW w:w="5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0.50</w:t>
            </w:r>
          </w:p>
        </w:tc>
      </w:tr>
      <w:tr>
        <w:trPr>
          <w:trHeight w:val="284"/>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1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Diluted Earnings per Share:</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11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540" w:type="dxa"/>
            <w:vAlign w:val="bottom"/>
            <w:shd w:val="clear" w:color="auto" w:fill="E5E5E5"/>
          </w:tcPr>
          <w:p>
            <w:pPr>
              <w:spacing w:after="0"/>
              <w:rPr>
                <w:sz w:val="23"/>
                <w:szCs w:val="23"/>
                <w:color w:val="auto"/>
              </w:rPr>
            </w:pPr>
          </w:p>
        </w:tc>
        <w:tc>
          <w:tcPr>
            <w:tcW w:w="920" w:type="dxa"/>
            <w:vAlign w:val="bottom"/>
            <w:shd w:val="clear" w:color="auto" w:fill="E5E5E5"/>
          </w:tcPr>
          <w:p>
            <w:pPr>
              <w:spacing w:after="0"/>
              <w:rPr>
                <w:sz w:val="23"/>
                <w:szCs w:val="23"/>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 Attributable to Xerox</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2"/>
                <w:szCs w:val="22"/>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135</w:t>
            </w:r>
          </w:p>
        </w:tc>
      </w:tr>
      <w:tr>
        <w:trPr>
          <w:trHeight w:val="270"/>
        </w:trPr>
        <w:tc>
          <w:tcPr>
            <w:tcW w:w="51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Accrued dividends on preferred stock</w:t>
            </w:r>
          </w:p>
        </w:tc>
        <w:tc>
          <w:tcPr>
            <w:tcW w:w="340" w:type="dxa"/>
            <w:vAlign w:val="bottom"/>
            <w:shd w:val="clear" w:color="auto" w:fill="E5E5E5"/>
          </w:tcPr>
          <w:p>
            <w:pPr>
              <w:spacing w:after="0"/>
              <w:rPr>
                <w:sz w:val="23"/>
                <w:szCs w:val="23"/>
                <w:color w:val="auto"/>
              </w:rPr>
            </w:pPr>
          </w:p>
        </w:tc>
        <w:tc>
          <w:tcPr>
            <w:tcW w:w="128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23"/>
                <w:szCs w:val="23"/>
                <w:color w:val="auto"/>
              </w:rPr>
            </w:pPr>
          </w:p>
        </w:tc>
        <w:tc>
          <w:tcPr>
            <w:tcW w:w="11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22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spacing w:after="0"/>
              <w:rPr>
                <w:sz w:val="23"/>
                <w:szCs w:val="23"/>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r>
      <w:tr>
        <w:trPr>
          <w:trHeight w:val="283"/>
        </w:trPr>
        <w:tc>
          <w:tcPr>
            <w:tcW w:w="516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Adjusted net income available to common shareholders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Borders>
              <w:bottom w:val="single" w:sz="8" w:color="E5E5E5"/>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E5E5E5"/>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E5E5E5"/>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128</w:t>
            </w:r>
          </w:p>
        </w:tc>
      </w:tr>
      <w:tr>
        <w:trPr>
          <w:trHeight w:val="224"/>
        </w:trPr>
        <w:tc>
          <w:tcPr>
            <w:tcW w:w="51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E5E5E5"/>
          </w:tcPr>
          <w:p>
            <w:pPr>
              <w:spacing w:after="0"/>
              <w:rPr>
                <w:sz w:val="19"/>
                <w:szCs w:val="19"/>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223,606</w:t>
            </w:r>
          </w:p>
        </w:tc>
        <w:tc>
          <w:tcPr>
            <w:tcW w:w="12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11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254,895</w:t>
            </w:r>
          </w:p>
        </w:tc>
        <w:tc>
          <w:tcPr>
            <w:tcW w:w="1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11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226,040</w:t>
            </w:r>
          </w:p>
        </w:tc>
        <w:tc>
          <w:tcPr>
            <w:tcW w:w="10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254,791</w:t>
            </w: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Common shares issuable with respect to:</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160" w:type="dxa"/>
            <w:vAlign w:val="bottom"/>
            <w:gridSpan w:val="2"/>
            <w:shd w:val="clear" w:color="auto" w:fill="E5E5E5"/>
          </w:tcPr>
          <w:p>
            <w:pPr>
              <w:ind w:left="180"/>
              <w:spacing w:after="0"/>
              <w:rPr>
                <w:sz w:val="20"/>
                <w:szCs w:val="20"/>
                <w:color w:val="auto"/>
              </w:rPr>
            </w:pPr>
            <w:r>
              <w:rPr>
                <w:rFonts w:ascii="Arial" w:cs="Arial" w:eastAsia="Arial" w:hAnsi="Arial"/>
                <w:sz w:val="14"/>
                <w:szCs w:val="14"/>
                <w:color w:val="auto"/>
              </w:rPr>
              <w:t>Stock options</w:t>
            </w:r>
          </w:p>
        </w:tc>
        <w:tc>
          <w:tcPr>
            <w:tcW w:w="340" w:type="dxa"/>
            <w:vAlign w:val="bottom"/>
            <w:shd w:val="clear" w:color="auto" w:fill="E5E5E5"/>
          </w:tcPr>
          <w:p>
            <w:pPr>
              <w:spacing w:after="0"/>
              <w:rPr>
                <w:sz w:val="24"/>
                <w:szCs w:val="24"/>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E5E5E5"/>
          </w:tcPr>
          <w:p>
            <w:pPr>
              <w:spacing w:after="0"/>
              <w:rPr>
                <w:sz w:val="24"/>
                <w:szCs w:val="24"/>
                <w:color w:val="auto"/>
              </w:rPr>
            </w:pPr>
          </w:p>
        </w:tc>
        <w:tc>
          <w:tcPr>
            <w:tcW w:w="400" w:type="dxa"/>
            <w:vAlign w:val="bottom"/>
            <w:shd w:val="clear" w:color="auto" w:fill="E5E5E5"/>
          </w:tcPr>
          <w:p>
            <w:pPr>
              <w:spacing w:after="0"/>
              <w:rPr>
                <w:sz w:val="24"/>
                <w:szCs w:val="24"/>
                <w:color w:val="auto"/>
              </w:rPr>
            </w:pPr>
          </w:p>
        </w:tc>
        <w:tc>
          <w:tcPr>
            <w:tcW w:w="122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5E5E5"/>
          </w:tcPr>
          <w:p>
            <w:pPr>
              <w:spacing w:after="0"/>
              <w:rPr>
                <w:sz w:val="24"/>
                <w:szCs w:val="24"/>
                <w:color w:val="auto"/>
              </w:rPr>
            </w:pPr>
          </w:p>
        </w:tc>
        <w:tc>
          <w:tcPr>
            <w:tcW w:w="540" w:type="dxa"/>
            <w:vAlign w:val="bottom"/>
            <w:shd w:val="clear" w:color="auto" w:fill="E5E5E5"/>
          </w:tcPr>
          <w:p>
            <w:pPr>
              <w:spacing w:after="0"/>
              <w:rPr>
                <w:sz w:val="24"/>
                <w:szCs w:val="24"/>
                <w:color w:val="auto"/>
              </w:rPr>
            </w:pP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Restricted stock and performance shares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4,866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3,052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4,637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2,931</w:t>
            </w:r>
          </w:p>
        </w:tc>
      </w:tr>
      <w:tr>
        <w:trPr>
          <w:trHeight w:val="270"/>
        </w:trPr>
        <w:tc>
          <w:tcPr>
            <w:tcW w:w="5160" w:type="dxa"/>
            <w:vAlign w:val="bottom"/>
            <w:gridSpan w:val="2"/>
            <w:shd w:val="clear" w:color="auto" w:fill="E5E5E5"/>
          </w:tcPr>
          <w:p>
            <w:pPr>
              <w:ind w:left="180"/>
              <w:spacing w:after="0"/>
              <w:rPr>
                <w:sz w:val="20"/>
                <w:szCs w:val="20"/>
                <w:color w:val="auto"/>
              </w:rPr>
            </w:pPr>
            <w:r>
              <w:rPr>
                <w:rFonts w:ascii="Arial" w:cs="Arial" w:eastAsia="Arial" w:hAnsi="Arial"/>
                <w:sz w:val="14"/>
                <w:szCs w:val="14"/>
                <w:color w:val="auto"/>
              </w:rPr>
              <w:t>Convertible preferred stock</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6,742</w:t>
            </w:r>
          </w:p>
        </w:tc>
        <w:tc>
          <w:tcPr>
            <w:tcW w:w="12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122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6,742</w:t>
            </w:r>
          </w:p>
        </w:tc>
        <w:tc>
          <w:tcPr>
            <w:tcW w:w="100" w:type="dxa"/>
            <w:vAlign w:val="bottom"/>
            <w:shd w:val="clear" w:color="auto" w:fill="E5E5E5"/>
          </w:tcPr>
          <w:p>
            <w:pPr>
              <w:spacing w:after="0"/>
              <w:rPr>
                <w:sz w:val="23"/>
                <w:szCs w:val="23"/>
                <w:color w:val="auto"/>
              </w:rPr>
            </w:pPr>
          </w:p>
        </w:tc>
        <w:tc>
          <w:tcPr>
            <w:tcW w:w="540" w:type="dxa"/>
            <w:vAlign w:val="bottom"/>
            <w:shd w:val="clear" w:color="auto" w:fill="E5E5E5"/>
          </w:tcPr>
          <w:p>
            <w:pPr>
              <w:spacing w:after="0"/>
              <w:rPr>
                <w:sz w:val="23"/>
                <w:szCs w:val="23"/>
                <w:color w:val="auto"/>
              </w:rPr>
            </w:pP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516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Adjusted weighted average common shares outstanding</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235,279</w:t>
            </w:r>
          </w:p>
        </w:tc>
        <w:tc>
          <w:tcPr>
            <w:tcW w:w="120" w:type="dxa"/>
            <w:vAlign w:val="bottom"/>
            <w:tcBorders>
              <w:bottom w:val="single" w:sz="8" w:color="E5E5E5"/>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257,947</w:t>
            </w:r>
          </w:p>
        </w:tc>
        <w:tc>
          <w:tcPr>
            <w:tcW w:w="120" w:type="dxa"/>
            <w:vAlign w:val="bottom"/>
            <w:tcBorders>
              <w:bottom w:val="single" w:sz="8" w:color="E5E5E5"/>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237,453</w:t>
            </w:r>
          </w:p>
        </w:tc>
        <w:tc>
          <w:tcPr>
            <w:tcW w:w="100" w:type="dxa"/>
            <w:vAlign w:val="bottom"/>
            <w:tcBorders>
              <w:bottom w:val="single" w:sz="8" w:color="E5E5E5"/>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257,722</w:t>
            </w:r>
          </w:p>
        </w:tc>
      </w:tr>
      <w:tr>
        <w:trPr>
          <w:trHeight w:val="264"/>
        </w:trPr>
        <w:tc>
          <w:tcPr>
            <w:tcW w:w="504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34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400" w:type="dxa"/>
            <w:vAlign w:val="bottom"/>
            <w:tcBorders>
              <w:bottom w:val="single" w:sz="8" w:color="auto"/>
            </w:tcBorders>
            <w:shd w:val="clear" w:color="auto" w:fill="E5E5E5"/>
          </w:tcPr>
          <w:p>
            <w:pPr>
              <w:spacing w:after="0"/>
              <w:rPr>
                <w:sz w:val="22"/>
                <w:szCs w:val="22"/>
                <w:color w:val="auto"/>
              </w:rPr>
            </w:pPr>
          </w:p>
        </w:tc>
        <w:tc>
          <w:tcPr>
            <w:tcW w:w="1100" w:type="dxa"/>
            <w:vAlign w:val="bottom"/>
            <w:tcBorders>
              <w:bottom w:val="single" w:sz="8" w:color="auto"/>
            </w:tcBorders>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340" w:type="dxa"/>
            <w:vAlign w:val="bottom"/>
            <w:tcBorders>
              <w:bottom w:val="single" w:sz="8" w:color="auto"/>
            </w:tcBorders>
            <w:shd w:val="clear" w:color="auto" w:fill="E5E5E5"/>
          </w:tcPr>
          <w:p>
            <w:pPr>
              <w:spacing w:after="0"/>
              <w:rPr>
                <w:sz w:val="22"/>
                <w:szCs w:val="22"/>
                <w:color w:val="auto"/>
              </w:rPr>
            </w:pPr>
          </w:p>
        </w:tc>
        <w:tc>
          <w:tcPr>
            <w:tcW w:w="1120" w:type="dxa"/>
            <w:vAlign w:val="bottom"/>
            <w:tcBorders>
              <w:bottom w:val="single" w:sz="8" w:color="auto"/>
            </w:tcBorders>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540" w:type="dxa"/>
            <w:vAlign w:val="bottom"/>
            <w:tcBorders>
              <w:bottom w:val="single" w:sz="8" w:color="auto"/>
            </w:tcBorders>
            <w:shd w:val="clear" w:color="auto" w:fill="E5E5E5"/>
          </w:tcPr>
          <w:p>
            <w:pPr>
              <w:spacing w:after="0"/>
              <w:rPr>
                <w:sz w:val="22"/>
                <w:szCs w:val="22"/>
                <w:color w:val="auto"/>
              </w:rPr>
            </w:pPr>
          </w:p>
        </w:tc>
        <w:tc>
          <w:tcPr>
            <w:tcW w:w="920" w:type="dxa"/>
            <w:vAlign w:val="bottom"/>
            <w:tcBorders>
              <w:bottom w:val="single" w:sz="8" w:color="auto"/>
            </w:tcBorders>
            <w:shd w:val="clear" w:color="auto" w:fill="E5E5E5"/>
          </w:tcPr>
          <w:p>
            <w:pPr>
              <w:spacing w:after="0"/>
              <w:rPr>
                <w:sz w:val="22"/>
                <w:szCs w:val="22"/>
                <w:color w:val="auto"/>
              </w:rPr>
            </w:pPr>
          </w:p>
        </w:tc>
      </w:tr>
      <w:tr>
        <w:trPr>
          <w:trHeight w:val="277"/>
        </w:trPr>
        <w:tc>
          <w:tcPr>
            <w:tcW w:w="516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Diluted Earnings per Share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0.77</w:t>
            </w:r>
          </w:p>
        </w:tc>
        <w:tc>
          <w:tcPr>
            <w:tcW w:w="120" w:type="dxa"/>
            <w:vAlign w:val="bottom"/>
            <w:tcBorders>
              <w:bottom w:val="single" w:sz="8" w:color="E5E5E5"/>
            </w:tcBorders>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E5E5E5"/>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E5E5E5"/>
            </w:tcBorders>
          </w:tcPr>
          <w:p>
            <w:pPr>
              <w:spacing w:after="0"/>
              <w:rPr>
                <w:sz w:val="24"/>
                <w:szCs w:val="24"/>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0.50</w:t>
            </w:r>
          </w:p>
        </w:tc>
      </w:tr>
      <w:tr>
        <w:trPr>
          <w:trHeight w:val="264"/>
        </w:trPr>
        <w:tc>
          <w:tcPr>
            <w:tcW w:w="504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400" w:type="dxa"/>
            <w:vAlign w:val="bottom"/>
            <w:shd w:val="clear" w:color="auto" w:fill="E5E5E5"/>
          </w:tcPr>
          <w:p>
            <w:pPr>
              <w:spacing w:after="0"/>
              <w:rPr>
                <w:sz w:val="22"/>
                <w:szCs w:val="22"/>
                <w:color w:val="auto"/>
              </w:rPr>
            </w:pPr>
          </w:p>
        </w:tc>
        <w:tc>
          <w:tcPr>
            <w:tcW w:w="110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2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540" w:type="dxa"/>
            <w:vAlign w:val="bottom"/>
            <w:shd w:val="clear" w:color="auto" w:fill="E5E5E5"/>
          </w:tcPr>
          <w:p>
            <w:pPr>
              <w:spacing w:after="0"/>
              <w:rPr>
                <w:sz w:val="22"/>
                <w:szCs w:val="22"/>
                <w:color w:val="auto"/>
              </w:rPr>
            </w:pPr>
          </w:p>
        </w:tc>
        <w:tc>
          <w:tcPr>
            <w:tcW w:w="920" w:type="dxa"/>
            <w:vAlign w:val="bottom"/>
            <w:shd w:val="clear" w:color="auto" w:fill="E5E5E5"/>
          </w:tcPr>
          <w:p>
            <w:pPr>
              <w:spacing w:after="0"/>
              <w:rPr>
                <w:sz w:val="22"/>
                <w:szCs w:val="22"/>
                <w:color w:val="auto"/>
              </w:rPr>
            </w:pPr>
          </w:p>
        </w:tc>
      </w:tr>
      <w:tr>
        <w:trPr>
          <w:trHeight w:val="19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The following securities were not included in the computation of diluted</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2"/>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earnings per share as they were either contingently issuable shares or shares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8"/>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that if included would have been anti-dilutive:</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6"/>
        </w:trPr>
        <w:tc>
          <w:tcPr>
            <w:tcW w:w="51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Stock options</w:t>
            </w:r>
          </w:p>
        </w:tc>
        <w:tc>
          <w:tcPr>
            <w:tcW w:w="340" w:type="dxa"/>
            <w:vAlign w:val="bottom"/>
            <w:shd w:val="clear" w:color="auto" w:fill="E5E5E5"/>
          </w:tcPr>
          <w:p>
            <w:pPr>
              <w:spacing w:after="0"/>
              <w:rPr>
                <w:sz w:val="24"/>
                <w:szCs w:val="24"/>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848</w:t>
            </w:r>
          </w:p>
        </w:tc>
        <w:tc>
          <w:tcPr>
            <w:tcW w:w="120" w:type="dxa"/>
            <w:vAlign w:val="bottom"/>
            <w:shd w:val="clear" w:color="auto" w:fill="E5E5E5"/>
          </w:tcPr>
          <w:p>
            <w:pPr>
              <w:spacing w:after="0"/>
              <w:rPr>
                <w:sz w:val="24"/>
                <w:szCs w:val="24"/>
                <w:color w:val="auto"/>
              </w:rPr>
            </w:pPr>
          </w:p>
        </w:tc>
        <w:tc>
          <w:tcPr>
            <w:tcW w:w="40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879</w:t>
            </w:r>
          </w:p>
        </w:tc>
        <w:tc>
          <w:tcPr>
            <w:tcW w:w="100" w:type="dxa"/>
            <w:vAlign w:val="bottom"/>
            <w:shd w:val="clear" w:color="auto" w:fill="E5E5E5"/>
          </w:tcPr>
          <w:p>
            <w:pPr>
              <w:spacing w:after="0"/>
              <w:rPr>
                <w:sz w:val="24"/>
                <w:szCs w:val="24"/>
                <w:color w:val="auto"/>
              </w:rPr>
            </w:pPr>
          </w:p>
        </w:tc>
        <w:tc>
          <w:tcPr>
            <w:tcW w:w="540" w:type="dxa"/>
            <w:vAlign w:val="bottom"/>
            <w:shd w:val="clear" w:color="auto" w:fill="E5E5E5"/>
          </w:tcPr>
          <w:p>
            <w:pPr>
              <w:spacing w:after="0"/>
              <w:rPr>
                <w:sz w:val="24"/>
                <w:szCs w:val="24"/>
                <w:color w:val="auto"/>
              </w:rPr>
            </w:pP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1,097</w:t>
            </w: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Restricted stock and performance shares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2,357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4,329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2,587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4,450</w:t>
            </w:r>
          </w:p>
        </w:tc>
      </w:tr>
      <w:tr>
        <w:trPr>
          <w:trHeight w:val="270"/>
        </w:trPr>
        <w:tc>
          <w:tcPr>
            <w:tcW w:w="51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Convertible preferred stock</w:t>
            </w:r>
          </w:p>
        </w:tc>
        <w:tc>
          <w:tcPr>
            <w:tcW w:w="340" w:type="dxa"/>
            <w:vAlign w:val="bottom"/>
            <w:shd w:val="clear" w:color="auto" w:fill="E5E5E5"/>
          </w:tcPr>
          <w:p>
            <w:pPr>
              <w:spacing w:after="0"/>
              <w:rPr>
                <w:sz w:val="23"/>
                <w:szCs w:val="23"/>
                <w:color w:val="auto"/>
              </w:rPr>
            </w:pPr>
          </w:p>
        </w:tc>
        <w:tc>
          <w:tcPr>
            <w:tcW w:w="128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23"/>
                <w:szCs w:val="23"/>
                <w:color w:val="auto"/>
              </w:rPr>
            </w:pPr>
          </w:p>
        </w:tc>
        <w:tc>
          <w:tcPr>
            <w:tcW w:w="11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6,742</w:t>
            </w:r>
          </w:p>
        </w:tc>
        <w:tc>
          <w:tcPr>
            <w:tcW w:w="12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22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spacing w:after="0"/>
              <w:rPr>
                <w:sz w:val="23"/>
                <w:szCs w:val="23"/>
                <w:color w:val="auto"/>
              </w:rPr>
            </w:pP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6,742</w:t>
            </w:r>
          </w:p>
        </w:tc>
      </w:tr>
      <w:tr>
        <w:trPr>
          <w:trHeight w:val="283"/>
        </w:trPr>
        <w:tc>
          <w:tcPr>
            <w:tcW w:w="516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Total Anti-Dilutive Securities</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3,205</w:t>
            </w:r>
          </w:p>
        </w:tc>
        <w:tc>
          <w:tcPr>
            <w:tcW w:w="120" w:type="dxa"/>
            <w:vAlign w:val="bottom"/>
            <w:tcBorders>
              <w:bottom w:val="single" w:sz="8" w:color="E5E5E5"/>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12,168</w:t>
            </w:r>
          </w:p>
        </w:tc>
        <w:tc>
          <w:tcPr>
            <w:tcW w:w="120" w:type="dxa"/>
            <w:vAlign w:val="bottom"/>
            <w:tcBorders>
              <w:bottom w:val="single" w:sz="8" w:color="E5E5E5"/>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3,466</w:t>
            </w:r>
          </w:p>
        </w:tc>
        <w:tc>
          <w:tcPr>
            <w:tcW w:w="100" w:type="dxa"/>
            <w:vAlign w:val="bottom"/>
            <w:tcBorders>
              <w:bottom w:val="single" w:sz="8" w:color="E5E5E5"/>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12,289</w:t>
            </w:r>
          </w:p>
        </w:tc>
      </w:tr>
      <w:tr>
        <w:trPr>
          <w:trHeight w:val="264"/>
        </w:trPr>
        <w:tc>
          <w:tcPr>
            <w:tcW w:w="504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400" w:type="dxa"/>
            <w:vAlign w:val="bottom"/>
            <w:shd w:val="clear" w:color="auto" w:fill="E5E5E5"/>
          </w:tcPr>
          <w:p>
            <w:pPr>
              <w:spacing w:after="0"/>
              <w:rPr>
                <w:sz w:val="22"/>
                <w:szCs w:val="22"/>
                <w:color w:val="auto"/>
              </w:rPr>
            </w:pPr>
          </w:p>
        </w:tc>
        <w:tc>
          <w:tcPr>
            <w:tcW w:w="110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2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540" w:type="dxa"/>
            <w:vAlign w:val="bottom"/>
            <w:shd w:val="clear" w:color="auto" w:fill="E5E5E5"/>
          </w:tcPr>
          <w:p>
            <w:pPr>
              <w:spacing w:after="0"/>
              <w:rPr>
                <w:sz w:val="22"/>
                <w:szCs w:val="22"/>
                <w:color w:val="auto"/>
              </w:rPr>
            </w:pPr>
          </w:p>
        </w:tc>
        <w:tc>
          <w:tcPr>
            <w:tcW w:w="920" w:type="dxa"/>
            <w:vAlign w:val="bottom"/>
            <w:shd w:val="clear" w:color="auto" w:fill="E5E5E5"/>
          </w:tcPr>
          <w:p>
            <w:pPr>
              <w:spacing w:after="0"/>
              <w:rPr>
                <w:sz w:val="22"/>
                <w:szCs w:val="22"/>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Dividends per Common Share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0.50</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2" w:right="239" w:bottom="1440" w:gutter="0" w:footer="0" w:header="0"/>
        </w:sectPr>
      </w:pPr>
    </w:p>
    <w:bookmarkStart w:id="30" w:name="page31"/>
    <w:bookmarkEnd w:id="30"/>
    <w:p>
      <w:pPr>
        <w:jc w:val="center"/>
        <w:ind w:right="-79"/>
        <w:spacing w:after="0"/>
        <w:rPr>
          <w:sz w:val="20"/>
          <w:szCs w:val="20"/>
          <w:color w:val="auto"/>
        </w:rPr>
      </w:pPr>
      <w:r>
        <w:rPr>
          <w:rFonts w:ascii="Arial" w:cs="Arial" w:eastAsia="Arial" w:hAnsi="Arial"/>
          <w:sz w:val="25"/>
          <w:szCs w:val="25"/>
          <w:b w:val="1"/>
          <w:bCs w:val="1"/>
          <w:color w:val="DA2031"/>
        </w:rPr>
        <w:t>APPENDIX II</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DA2031"/>
        </w:rPr>
        <w:t>Xerox Corporation</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DA2031"/>
        </w:rPr>
        <w:t>Geographic Sales Channels and Product/Offering Definitions</w:t>
      </w:r>
    </w:p>
    <w:p>
      <w:pPr>
        <w:spacing w:after="0" w:line="200" w:lineRule="exact"/>
        <w:rPr>
          <w:sz w:val="20"/>
          <w:szCs w:val="20"/>
          <w:color w:val="auto"/>
        </w:rPr>
      </w:pPr>
    </w:p>
    <w:p>
      <w:pPr>
        <w:spacing w:after="0" w:line="228"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Our business is aligned to a geographic focus and is primarily organized on the basis of go-to-market sales channels, which are structured to serve a range of customers for our products and services. In 2019 we changed our geographic structure to create a more streamlined, flatter and more effective organization, as follows:</w:t>
      </w:r>
    </w:p>
    <w:p>
      <w:pPr>
        <w:spacing w:after="0" w:line="9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Americas, which includes our sales channels in the U.S. and Canada, as well as Mexico, and Central and South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EMEA, which includes our sales channels in Europe, the Middle East, Africa and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primarily includes our OEM business, as well as sales to and royalties from Fuji Xerox, and our licensing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products and offerings include:</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“Entry”, which includes A4 devices and desktop printers. Prices in this product group can range from approximately $150 to $3,000.</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“Mid-Range”, which includes A3 Office and Light Production devices that generally serve workgroup environments in mid to large enterprises. Prices in this product group can range from approximately $2,000 to $75,000+.</w:t>
      </w:r>
    </w:p>
    <w:p>
      <w:pPr>
        <w:ind w:left="660" w:right="14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“High-End”, which includes production printing and publishing systems that generally serve the graphic communications marketplace and large enterprises. Prices for these systems can range from approximately $30,000 to $1,000,000+.</w:t>
      </w:r>
    </w:p>
    <w:p>
      <w:pPr>
        <w:ind w:left="660" w:hanging="328"/>
        <w:spacing w:after="0" w:line="25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Xerox Services, formerly known as Managed Document Services (MDS), which includes solutions and services that span from managing print to automating processes to managing content. Our primary offerings are Intelligent Workplace Services (IWS), which is our rebranded Managed Print Services, as well as Digital and Cloud Print Services (including centralized print services). Xerox Services also includes Communication and Marketing Solutions that were previously excluded from our former MDS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582" w:right="31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25"/>
          <w:szCs w:val="25"/>
          <w:b w:val="1"/>
          <w:bCs w:val="1"/>
          <w:color w:val="DA2031"/>
        </w:rPr>
        <w:t>APPENDIX III</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DA2031"/>
        </w:rPr>
        <w:t>Change in Presentation</w:t>
      </w:r>
    </w:p>
    <w:p>
      <w:pPr>
        <w:spacing w:after="0" w:line="200" w:lineRule="exact"/>
        <w:rPr>
          <w:sz w:val="20"/>
          <w:szCs w:val="20"/>
          <w:color w:val="auto"/>
        </w:rPr>
      </w:pPr>
    </w:p>
    <w:p>
      <w:pPr>
        <w:spacing w:after="0" w:line="25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During first quarter 2019, we realigned portions of our business to support our new revenue strategy. This realignment included the combination and consolidation of certain sales units to better service customers consistently across the company. In connection with that realignment, we changed the classification of revenues and those related costs from certain service arrangements to consistently conform the presentation of those amounts among our various business units. Prior year amounts were also revised as follows to conform with the 2019 presentation. The revised presentation does not impact total revenues, total expenses or net income.</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20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8"/>
        </w:trPr>
        <w:tc>
          <w:tcPr>
            <w:tcW w:w="6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rPr>
              <w:t>June 30, 2018</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64"/>
        </w:trPr>
        <w:tc>
          <w:tcPr>
            <w:tcW w:w="6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color w:val="auto"/>
              </w:rPr>
              <w:t>As Reported</w:t>
            </w:r>
          </w:p>
        </w:tc>
        <w:tc>
          <w:tcPr>
            <w:tcW w:w="200" w:type="dxa"/>
            <w:vAlign w:val="bottom"/>
          </w:tcPr>
          <w:p>
            <w:pPr>
              <w:spacing w:after="0"/>
              <w:rPr>
                <w:sz w:val="22"/>
                <w:szCs w:val="22"/>
                <w:color w:val="auto"/>
              </w:rPr>
            </w:pPr>
          </w:p>
        </w:tc>
        <w:tc>
          <w:tcPr>
            <w:tcW w:w="1460" w:type="dxa"/>
            <w:vAlign w:val="bottom"/>
            <w:gridSpan w:val="2"/>
          </w:tcPr>
          <w:p>
            <w:pPr>
              <w:ind w:left="32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22"/>
                <w:szCs w:val="22"/>
                <w:color w:val="auto"/>
              </w:rPr>
            </w:pPr>
          </w:p>
        </w:tc>
        <w:tc>
          <w:tcPr>
            <w:tcW w:w="1320" w:type="dxa"/>
            <w:vAlign w:val="bottom"/>
          </w:tcPr>
          <w:p>
            <w:pPr>
              <w:jc w:val="right"/>
              <w:ind w:right="368"/>
              <w:spacing w:after="0"/>
              <w:rPr>
                <w:sz w:val="20"/>
                <w:szCs w:val="20"/>
                <w:color w:val="auto"/>
              </w:rPr>
            </w:pPr>
            <w:r>
              <w:rPr>
                <w:rFonts w:ascii="Arial" w:cs="Arial" w:eastAsia="Arial" w:hAnsi="Arial"/>
                <w:sz w:val="14"/>
                <w:szCs w:val="14"/>
                <w:color w:val="auto"/>
              </w:rPr>
              <w:t>As Revised</w:t>
            </w:r>
          </w:p>
        </w:tc>
      </w:tr>
      <w:tr>
        <w:trPr>
          <w:trHeight w:val="256"/>
        </w:trPr>
        <w:tc>
          <w:tcPr>
            <w:tcW w:w="6380" w:type="dxa"/>
            <w:vAlign w:val="bottom"/>
            <w:tcBorders>
              <w:top w:val="single" w:sz="8" w:color="E5E5E5"/>
            </w:tcBorders>
            <w:shd w:val="clear" w:color="auto" w:fill="E5E5E5"/>
          </w:tcPr>
          <w:p>
            <w:pPr>
              <w:ind w:left="280"/>
              <w:spacing w:after="0"/>
              <w:rPr>
                <w:sz w:val="20"/>
                <w:szCs w:val="20"/>
                <w:color w:val="auto"/>
              </w:rPr>
            </w:pPr>
            <w:r>
              <w:rPr>
                <w:rFonts w:ascii="Arial" w:cs="Arial" w:eastAsia="Arial" w:hAnsi="Arial"/>
                <w:sz w:val="14"/>
                <w:szCs w:val="14"/>
                <w:color w:val="auto"/>
              </w:rPr>
              <w:t>Sales</w:t>
            </w:r>
          </w:p>
        </w:tc>
        <w:tc>
          <w:tcPr>
            <w:tcW w:w="260" w:type="dxa"/>
            <w:vAlign w:val="bottom"/>
            <w:tcBorders>
              <w:top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1,017</w:t>
            </w:r>
          </w:p>
        </w:tc>
        <w:tc>
          <w:tcPr>
            <w:tcW w:w="120" w:type="dxa"/>
            <w:vAlign w:val="bottom"/>
            <w:tcBorders>
              <w:top w:val="single" w:sz="8" w:color="E5E5E5"/>
            </w:tcBorders>
            <w:shd w:val="clear" w:color="auto" w:fill="E5E5E5"/>
          </w:tcPr>
          <w:p>
            <w:pPr>
              <w:spacing w:after="0"/>
              <w:rPr>
                <w:sz w:val="22"/>
                <w:szCs w:val="22"/>
                <w:color w:val="auto"/>
              </w:rPr>
            </w:pPr>
          </w:p>
        </w:tc>
        <w:tc>
          <w:tcPr>
            <w:tcW w:w="200" w:type="dxa"/>
            <w:vAlign w:val="bottom"/>
            <w:tcBorders>
              <w:top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E5E5E5"/>
            </w:tcBorders>
            <w:shd w:val="clear" w:color="auto" w:fill="E5E5E5"/>
          </w:tcPr>
          <w:p>
            <w:pPr>
              <w:spacing w:after="0"/>
              <w:rPr>
                <w:sz w:val="22"/>
                <w:szCs w:val="22"/>
                <w:color w:val="auto"/>
              </w:rPr>
            </w:pPr>
          </w:p>
        </w:tc>
        <w:tc>
          <w:tcPr>
            <w:tcW w:w="260" w:type="dxa"/>
            <w:vAlign w:val="bottom"/>
            <w:tcBorders>
              <w:top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927</w:t>
            </w:r>
          </w:p>
        </w:tc>
      </w:tr>
      <w:tr>
        <w:trPr>
          <w:trHeight w:val="264"/>
        </w:trPr>
        <w:tc>
          <w:tcPr>
            <w:tcW w:w="6380" w:type="dxa"/>
            <w:vAlign w:val="bottom"/>
          </w:tcPr>
          <w:p>
            <w:pPr>
              <w:ind w:left="280"/>
              <w:spacing w:after="0"/>
              <w:rPr>
                <w:sz w:val="20"/>
                <w:szCs w:val="20"/>
                <w:color w:val="auto"/>
              </w:rPr>
            </w:pPr>
            <w:r>
              <w:rPr>
                <w:rFonts w:ascii="Arial" w:cs="Arial" w:eastAsia="Arial" w:hAnsi="Arial"/>
                <w:sz w:val="14"/>
                <w:szCs w:val="14"/>
                <w:color w:val="auto"/>
              </w:rPr>
              <w:t>Services, maintenance and rentals</w:t>
            </w:r>
          </w:p>
        </w:tc>
        <w:tc>
          <w:tcPr>
            <w:tcW w:w="260" w:type="dxa"/>
            <w:vAlign w:val="bottom"/>
          </w:tcPr>
          <w:p>
            <w:pPr>
              <w:spacing w:after="0"/>
              <w:rPr>
                <w:sz w:val="22"/>
                <w:szCs w:val="22"/>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1,425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1,515</w:t>
            </w:r>
          </w:p>
        </w:tc>
      </w:tr>
      <w:tr>
        <w:trPr>
          <w:trHeight w:val="290"/>
        </w:trPr>
        <w:tc>
          <w:tcPr>
            <w:tcW w:w="638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136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136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1320" w:type="dxa"/>
            <w:vAlign w:val="bottom"/>
            <w:shd w:val="clear" w:color="auto" w:fill="E5E5E5"/>
          </w:tcPr>
          <w:p>
            <w:pPr>
              <w:spacing w:after="0"/>
              <w:rPr>
                <w:sz w:val="24"/>
                <w:szCs w:val="24"/>
                <w:color w:val="auto"/>
              </w:rPr>
            </w:pPr>
          </w:p>
        </w:tc>
      </w:tr>
      <w:tr>
        <w:trPr>
          <w:trHeight w:val="264"/>
        </w:trPr>
        <w:tc>
          <w:tcPr>
            <w:tcW w:w="6380" w:type="dxa"/>
            <w:vAlign w:val="bottom"/>
          </w:tcPr>
          <w:p>
            <w:pPr>
              <w:ind w:left="280"/>
              <w:spacing w:after="0"/>
              <w:rPr>
                <w:sz w:val="20"/>
                <w:szCs w:val="20"/>
                <w:color w:val="auto"/>
              </w:rPr>
            </w:pPr>
            <w:r>
              <w:rPr>
                <w:rFonts w:ascii="Arial" w:cs="Arial" w:eastAsia="Arial" w:hAnsi="Arial"/>
                <w:sz w:val="14"/>
                <w:szCs w:val="14"/>
                <w:color w:val="auto"/>
              </w:rPr>
              <w:t>Cost of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593</w:t>
            </w:r>
          </w:p>
        </w:tc>
      </w:tr>
      <w:tr>
        <w:trPr>
          <w:trHeight w:val="276"/>
        </w:trPr>
        <w:tc>
          <w:tcPr>
            <w:tcW w:w="6380" w:type="dxa"/>
            <w:vAlign w:val="bottom"/>
            <w:shd w:val="clear" w:color="auto" w:fill="E5E5E5"/>
          </w:tcPr>
          <w:p>
            <w:pPr>
              <w:ind w:left="280"/>
              <w:spacing w:after="0"/>
              <w:rPr>
                <w:sz w:val="20"/>
                <w:szCs w:val="20"/>
                <w:color w:val="auto"/>
              </w:rPr>
            </w:pPr>
            <w:r>
              <w:rPr>
                <w:rFonts w:ascii="Arial" w:cs="Arial" w:eastAsia="Arial" w:hAnsi="Arial"/>
                <w:sz w:val="14"/>
                <w:szCs w:val="14"/>
                <w:color w:val="auto"/>
              </w:rPr>
              <w:t>Cost of services, maintenance and rentals</w:t>
            </w:r>
          </w:p>
        </w:tc>
        <w:tc>
          <w:tcPr>
            <w:tcW w:w="260" w:type="dxa"/>
            <w:vAlign w:val="bottom"/>
            <w:shd w:val="clear" w:color="auto" w:fill="E5E5E5"/>
          </w:tcPr>
          <w:p>
            <w:pPr>
              <w:spacing w:after="0"/>
              <w:rPr>
                <w:sz w:val="24"/>
                <w:szCs w:val="24"/>
                <w:color w:val="auto"/>
              </w:rPr>
            </w:pPr>
          </w:p>
        </w:tc>
        <w:tc>
          <w:tcPr>
            <w:tcW w:w="13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854</w:t>
            </w:r>
          </w:p>
        </w:tc>
        <w:tc>
          <w:tcPr>
            <w:tcW w:w="12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13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13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sectPr>
      <w:pgSz w:w="11900" w:h="16838" w:orient="portrait"/>
      <w:cols w:equalWidth="0" w:num="1">
        <w:col w:w="11400"/>
      </w:cols>
      <w:pgMar w:left="240" w:top="58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lvl w:ilvl="1">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lvl w:ilvl="1">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lvl w:ilvl="1">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2019-12-28T09:44:36Z</dcterms:created>
  <dcterms:modified xsi:type="dcterms:W3CDTF">2019-12-28T09:44:36Z</dcterms:modified>
</cp:coreProperties>
</file>