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001-04471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ACS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220980</wp:posOffset>
            </wp:positionV>
            <wp:extent cx="94361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361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XEROX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2"/>
              </w:rPr>
              <w:t>New York</w:t>
            </w:r>
          </w:p>
        </w:tc>
        <w:tc>
          <w:tcPr>
            <w:tcW w:w="3540" w:type="dxa"/>
            <w:vAlign w:val="bottom"/>
          </w:tcPr>
          <w:p>
            <w:pPr>
              <w:jc w:val="center"/>
              <w:ind w:right="1790"/>
              <w:spacing w:after="0"/>
              <w:rPr>
                <w:sz w:val="20"/>
                <w:szCs w:val="20"/>
                <w:color w:val="auto"/>
              </w:rPr>
            </w:pPr>
            <w:r>
              <w:rPr>
                <w:rFonts w:ascii="Arial" w:cs="Arial" w:eastAsia="Arial" w:hAnsi="Arial"/>
                <w:sz w:val="18"/>
                <w:szCs w:val="18"/>
                <w:b w:val="1"/>
                <w:bCs w:val="1"/>
                <w:color w:val="auto"/>
                <w:w w:val="89"/>
              </w:rPr>
              <w:t>16-0468020</w:t>
            </w:r>
          </w:p>
        </w:tc>
      </w:tr>
      <w:tr>
        <w:trPr>
          <w:trHeight w:val="216"/>
        </w:trPr>
        <w:tc>
          <w:tcPr>
            <w:tcW w:w="7880" w:type="dxa"/>
            <w:vAlign w:val="bottom"/>
          </w:tcPr>
          <w:p>
            <w:pPr>
              <w:jc w:val="center"/>
              <w:ind w:right="2410"/>
              <w:spacing w:after="0"/>
              <w:rPr>
                <w:sz w:val="20"/>
                <w:szCs w:val="20"/>
                <w:color w:val="auto"/>
              </w:rPr>
            </w:pPr>
            <w:r>
              <w:rPr>
                <w:rFonts w:ascii="Arial" w:cs="Arial" w:eastAsia="Arial" w:hAnsi="Arial"/>
                <w:sz w:val="18"/>
                <w:szCs w:val="18"/>
                <w:b w:val="1"/>
                <w:bCs w:val="1"/>
                <w:color w:val="auto"/>
                <w:w w:val="91"/>
              </w:rPr>
              <w:t>(State or other jurisdiction of</w:t>
            </w:r>
          </w:p>
        </w:tc>
        <w:tc>
          <w:tcPr>
            <w:tcW w:w="35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78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incorporation or organization)</w:t>
            </w:r>
          </w:p>
        </w:tc>
        <w:tc>
          <w:tcPr>
            <w:tcW w:w="35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7880" w:type="dxa"/>
            <w:vAlign w:val="bottom"/>
          </w:tcPr>
          <w:p>
            <w:pPr>
              <w:jc w:val="center"/>
              <w:ind w:right="2350"/>
              <w:spacing w:after="0"/>
              <w:rPr>
                <w:sz w:val="20"/>
                <w:szCs w:val="20"/>
                <w:color w:val="auto"/>
              </w:rPr>
            </w:pPr>
            <w:r>
              <w:rPr>
                <w:rFonts w:ascii="Arial" w:cs="Arial" w:eastAsia="Arial" w:hAnsi="Arial"/>
                <w:sz w:val="18"/>
                <w:szCs w:val="18"/>
                <w:b w:val="1"/>
                <w:bCs w:val="1"/>
                <w:color w:val="auto"/>
                <w:w w:val="89"/>
              </w:rPr>
              <w:t>P.O. Box 4505, 45 Glover Avenue</w:t>
            </w:r>
          </w:p>
        </w:tc>
        <w:tc>
          <w:tcPr>
            <w:tcW w:w="3540" w:type="dxa"/>
            <w:vAlign w:val="bottom"/>
          </w:tcPr>
          <w:p>
            <w:pPr>
              <w:spacing w:after="0"/>
              <w:rPr>
                <w:sz w:val="24"/>
                <w:szCs w:val="24"/>
                <w:color w:val="auto"/>
              </w:rPr>
            </w:pPr>
          </w:p>
        </w:tc>
      </w:tr>
      <w:tr>
        <w:trPr>
          <w:trHeight w:val="216"/>
        </w:trPr>
        <w:tc>
          <w:tcPr>
            <w:tcW w:w="78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Norwalk, Connecticut</w:t>
            </w:r>
          </w:p>
        </w:tc>
        <w:tc>
          <w:tcPr>
            <w:tcW w:w="3540" w:type="dxa"/>
            <w:vAlign w:val="bottom"/>
          </w:tcPr>
          <w:p>
            <w:pPr>
              <w:jc w:val="center"/>
              <w:ind w:right="1790"/>
              <w:spacing w:after="0"/>
              <w:rPr>
                <w:sz w:val="20"/>
                <w:szCs w:val="20"/>
                <w:color w:val="auto"/>
              </w:rPr>
            </w:pPr>
            <w:r>
              <w:rPr>
                <w:rFonts w:ascii="Arial" w:cs="Arial" w:eastAsia="Arial" w:hAnsi="Arial"/>
                <w:sz w:val="18"/>
                <w:szCs w:val="18"/>
                <w:b w:val="1"/>
                <w:bCs w:val="1"/>
                <w:color w:val="auto"/>
                <w:w w:val="89"/>
              </w:rPr>
              <w:t>06856-4505</w:t>
            </w:r>
          </w:p>
        </w:tc>
      </w:tr>
      <w:tr>
        <w:trPr>
          <w:trHeight w:val="234"/>
        </w:trPr>
        <w:tc>
          <w:tcPr>
            <w:tcW w:w="7880" w:type="dxa"/>
            <w:vAlign w:val="bottom"/>
          </w:tcPr>
          <w:p>
            <w:pPr>
              <w:jc w:val="center"/>
              <w:ind w:right="23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5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(Zip Code)</w:t>
            </w:r>
          </w:p>
        </w:tc>
      </w:tr>
      <w:tr>
        <w:trPr>
          <w:trHeight w:val="306"/>
        </w:trPr>
        <w:tc>
          <w:tcPr>
            <w:tcW w:w="7880" w:type="dxa"/>
            <w:vAlign w:val="bottom"/>
          </w:tcPr>
          <w:p>
            <w:pPr>
              <w:jc w:val="right"/>
              <w:ind w:right="1510"/>
              <w:spacing w:after="0"/>
              <w:rPr>
                <w:sz w:val="20"/>
                <w:szCs w:val="20"/>
                <w:color w:val="auto"/>
              </w:rPr>
            </w:pPr>
            <w:r>
              <w:rPr>
                <w:rFonts w:ascii="Arial" w:cs="Arial" w:eastAsia="Arial" w:hAnsi="Arial"/>
                <w:sz w:val="18"/>
                <w:szCs w:val="18"/>
                <w:b w:val="1"/>
                <w:bCs w:val="1"/>
                <w:color w:val="auto"/>
              </w:rPr>
              <w:t>(203) 968-3000</w:t>
            </w:r>
          </w:p>
        </w:tc>
        <w:tc>
          <w:tcPr>
            <w:tcW w:w="3540" w:type="dxa"/>
            <w:vAlign w:val="bottom"/>
          </w:tcPr>
          <w:p>
            <w:pPr>
              <w:spacing w:after="0"/>
              <w:rPr>
                <w:sz w:val="24"/>
                <w:szCs w:val="24"/>
                <w:color w:val="auto"/>
              </w:rPr>
            </w:pPr>
          </w:p>
        </w:tc>
      </w:tr>
      <w:tr>
        <w:trPr>
          <w:trHeight w:val="234"/>
        </w:trPr>
        <w:tc>
          <w:tcPr>
            <w:tcW w:w="7880" w:type="dxa"/>
            <w:vAlign w:val="bottom"/>
          </w:tcPr>
          <w:p>
            <w:pPr>
              <w:jc w:val="center"/>
              <w:ind w:left="34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40" w:type="dxa"/>
            <w:vAlign w:val="bottom"/>
          </w:tcPr>
          <w:p>
            <w:pPr>
              <w:spacing w:after="0"/>
              <w:rPr>
                <w:sz w:val="20"/>
                <w:szCs w:val="20"/>
                <w:color w:val="auto"/>
              </w:rPr>
            </w:pPr>
          </w:p>
        </w:tc>
      </w:tr>
      <w:tr>
        <w:trPr>
          <w:trHeight w:val="203"/>
        </w:trPr>
        <w:tc>
          <w:tcPr>
            <w:tcW w:w="78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r>
      <w:tr>
        <w:trPr>
          <w:trHeight w:val="28"/>
        </w:trPr>
        <w:tc>
          <w:tcPr>
            <w:tcW w:w="78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618"/>
        </w:trPr>
        <w:tc>
          <w:tcPr>
            <w:tcW w:w="788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REQUIRED INFORMATION</w:t>
      </w:r>
    </w:p>
    <w:p>
      <w:pPr>
        <w:spacing w:after="0" w:line="121"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ACS Savings Plan is subject to the requirements of the Employee Retirement Income Security Act of 1974 (“ERISA”). Included herein is a copy of the most recent financial statements and schedules of the ACS Savings Plan prepared in accordance with the financial reporting requirements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60" w:type="dxa"/>
            <w:vAlign w:val="bottom"/>
            <w:gridSpan w:val="6"/>
            <w:vMerge w:val="restart"/>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REPORT OF INDEPENDENT REGISTERED PUBLIC ACCOUNTANTS</w:t>
              </w:r>
            </w:hyperlink>
          </w:p>
        </w:tc>
        <w:tc>
          <w:tcPr>
            <w:tcW w:w="5180" w:type="dxa"/>
            <w:vAlign w:val="bottom"/>
            <w:gridSpan w:val="3"/>
            <w:vMerge w:val="restart"/>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174"/>
        </w:trPr>
        <w:tc>
          <w:tcPr>
            <w:tcW w:w="5460" w:type="dxa"/>
            <w:vAlign w:val="bottom"/>
            <w:tcBorders>
              <w:bottom w:val="single" w:sz="8" w:color="0000EE"/>
            </w:tcBorders>
            <w:gridSpan w:val="6"/>
            <w:vMerge w:val="continue"/>
          </w:tcPr>
          <w:p>
            <w:pPr>
              <w:spacing w:after="0"/>
              <w:rPr>
                <w:sz w:val="14"/>
                <w:szCs w:val="14"/>
                <w:color w:val="auto"/>
              </w:rPr>
            </w:pPr>
          </w:p>
        </w:tc>
        <w:tc>
          <w:tcPr>
            <w:tcW w:w="5180" w:type="dxa"/>
            <w:vAlign w:val="bottom"/>
            <w:gridSpan w:val="3"/>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06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Statements of Net Assets Available for Plan Benefits as of December 31, 2009 and 2008</w:t>
              </w:r>
            </w:hyperlink>
          </w:p>
        </w:tc>
        <w:tc>
          <w:tcPr>
            <w:tcW w:w="4060" w:type="dxa"/>
            <w:vAlign w:val="bottom"/>
            <w:gridSpan w:val="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Statement of Changes in Net Assets Available for Plan Benefits for the Year Ended December 31, 2009</w:t>
              </w:r>
            </w:hyperlink>
          </w:p>
        </w:tc>
        <w:tc>
          <w:tcPr>
            <w:tcW w:w="29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2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9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SUPPLEMENTAL SCHEDULE</w:t>
              </w:r>
            </w:hyperlink>
          </w:p>
        </w:tc>
        <w:tc>
          <w:tcPr>
            <w:tcW w:w="8260" w:type="dxa"/>
            <w:vAlign w:val="bottom"/>
            <w:gridSpan w:val="5"/>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0580" w:type="dxa"/>
            <w:vAlign w:val="bottom"/>
            <w:gridSpan w:val="8"/>
          </w:tcPr>
          <w:p>
            <w:pPr>
              <w:spacing w:after="0"/>
              <w:rPr>
                <w:sz w:val="20"/>
                <w:szCs w:val="20"/>
                <w:color w:val="auto"/>
              </w:rPr>
            </w:pPr>
            <w:r>
              <w:rPr>
                <w:rFonts w:ascii="Arial" w:cs="Arial" w:eastAsia="Arial" w:hAnsi="Arial"/>
                <w:sz w:val="18"/>
                <w:szCs w:val="18"/>
                <w:color w:val="0000EE"/>
              </w:rPr>
              <w:t>CONSENT OF CHAPMAN, HEXT AND CO. P.C.</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320" w:type="dxa"/>
            <w:vAlign w:val="bottom"/>
            <w:tcBorders>
              <w:top w:val="single" w:sz="8" w:color="0000EE"/>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Plan Committee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ACS Savings Plan</w:t>
      </w:r>
    </w:p>
    <w:p>
      <w:pPr>
        <w:spacing w:after="0" w:line="10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ACS Savings Plan (“the Plan”) as of December 31, 2009 and 2008, and the related statement of changes in net assets available for benefits for the year ended December 31, 2009.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B, the Plan adopted the FASB Accounting Standard Codification (the “FASB Codification”) on July 1, 2009.</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2009 and 2008, and the changes in net assets available for benefits for the year ended December 31, 2009 in conformity with accounting principles generally accepted in the United States of America.</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audits were performed for the purpose of forming an opinion on the basic financial statements taken as a whole. The supplemental schedule on pages 20 through 23, together referred to as “supplemental schedule,” are presented for the purpose of additional analysis and are not a required part of the basic financial statements but are supplementary information required by the Department of Labor’s </w:t>
      </w:r>
      <w:r>
        <w:rPr>
          <w:rFonts w:ascii="Arial" w:cs="Arial" w:eastAsia="Arial" w:hAnsi="Arial"/>
          <w:sz w:val="17"/>
          <w:szCs w:val="17"/>
          <w:i w:val="1"/>
          <w:iCs w:val="1"/>
          <w:color w:val="auto"/>
        </w:rPr>
        <w:t>Rules and Regulations for Reporting and Disclosure under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 Retirement Income Security Act of 1974. </w:t>
      </w:r>
      <w:r>
        <w:rPr>
          <w:rFonts w:ascii="Arial" w:cs="Arial" w:eastAsia="Arial" w:hAnsi="Arial"/>
          <w:sz w:val="17"/>
          <w:szCs w:val="17"/>
          <w:color w:val="auto"/>
        </w:rPr>
        <w:t>The supplemental information is the responsibility of the Plan’s management. The supplemental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has been subjected to the auditing procedures applied in the audits of the basic financial statements and, in our opinion, are fairly stated in all material respects in relation to the basic financial statements taken as a whole.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Chapman, Hext &amp; Co., P.C.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Richardson,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2010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PLAN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536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 bearing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Participant directed investments (at fair value)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623,365,436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499,476,560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623,365,635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499,528,907</w:t>
            </w:r>
          </w:p>
        </w:tc>
        <w:tc>
          <w:tcPr>
            <w:tcW w:w="0" w:type="dxa"/>
            <w:vAlign w:val="bottom"/>
          </w:tcPr>
          <w:p>
            <w:pPr>
              <w:spacing w:after="0"/>
              <w:rPr>
                <w:sz w:val="1"/>
                <w:szCs w:val="1"/>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color w:val="auto"/>
              </w:rPr>
              <w:t>Contributions receivable</w:t>
            </w: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Participants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1,790,368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contributions receivable</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1,790,368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625,156,003</w:t>
            </w:r>
          </w:p>
        </w:tc>
        <w:tc>
          <w:tcPr>
            <w:tcW w:w="3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502,374,512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518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payables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625,156,003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502,359,862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(928,459)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(7,574,385)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Net assets available for Plan benefits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624,227,544</w:t>
            </w:r>
          </w:p>
        </w:tc>
        <w:tc>
          <w:tcPr>
            <w:tcW w:w="3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494,785,477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independent auditors’ report and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6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240" w:type="dxa"/>
            <w:vAlign w:val="bottom"/>
          </w:tcPr>
          <w:p>
            <w:pPr>
              <w:jc w:val="center"/>
              <w:ind w:left="370"/>
              <w:spacing w:after="0"/>
              <w:rPr>
                <w:sz w:val="20"/>
                <w:szCs w:val="20"/>
                <w:color w:val="auto"/>
              </w:rPr>
            </w:pPr>
            <w:r>
              <w:rPr>
                <w:rFonts w:ascii="Arial" w:cs="Arial" w:eastAsia="Arial" w:hAnsi="Arial"/>
                <w:sz w:val="18"/>
                <w:szCs w:val="18"/>
                <w:color w:val="auto"/>
                <w:w w:val="95"/>
              </w:rPr>
              <w:t>ACS SAVINGS PLAN</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40" w:type="dxa"/>
            <w:vAlign w:val="bottom"/>
          </w:tcPr>
          <w:p>
            <w:pPr>
              <w:jc w:val="center"/>
              <w:ind w:left="390"/>
              <w:spacing w:after="0"/>
              <w:rPr>
                <w:sz w:val="20"/>
                <w:szCs w:val="20"/>
                <w:color w:val="auto"/>
              </w:rPr>
            </w:pPr>
            <w:r>
              <w:rPr>
                <w:rFonts w:ascii="Arial" w:cs="Arial" w:eastAsia="Arial" w:hAnsi="Arial"/>
                <w:sz w:val="18"/>
                <w:szCs w:val="18"/>
                <w:color w:val="auto"/>
                <w:w w:val="95"/>
              </w:rPr>
              <w:t>STATEMENT OF CHANGES IN NET ASSETS AVAILABLE FOR PLAN BENEFITS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40" w:type="dxa"/>
            <w:vAlign w:val="bottom"/>
          </w:tcPr>
          <w:p>
            <w:pPr>
              <w:jc w:val="center"/>
              <w:ind w:left="370"/>
              <w:spacing w:after="0"/>
              <w:rPr>
                <w:sz w:val="20"/>
                <w:szCs w:val="20"/>
                <w:color w:val="auto"/>
              </w:rPr>
            </w:pPr>
            <w:r>
              <w:rPr>
                <w:rFonts w:ascii="Arial" w:cs="Arial" w:eastAsia="Arial" w:hAnsi="Arial"/>
                <w:sz w:val="18"/>
                <w:szCs w:val="18"/>
                <w:color w:val="auto"/>
                <w:w w:val="89"/>
              </w:rPr>
              <w:t>For the Year Ended December 31, 2009</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Earnings on investments</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appreciation in fair value of assets</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$ 122,484,095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gridSpan w:val="2"/>
          </w:tcPr>
          <w:p>
            <w:pPr>
              <w:ind w:left="400"/>
              <w:spacing w:after="0"/>
              <w:rPr>
                <w:sz w:val="20"/>
                <w:szCs w:val="20"/>
                <w:color w:val="auto"/>
              </w:rPr>
            </w:pPr>
            <w:r>
              <w:rPr>
                <w:rFonts w:ascii="Arial" w:cs="Arial" w:eastAsia="Arial" w:hAnsi="Arial"/>
                <w:sz w:val="18"/>
                <w:szCs w:val="18"/>
                <w:color w:val="auto"/>
              </w:rPr>
              <w:t>Interest</w:t>
            </w:r>
          </w:p>
        </w:tc>
        <w:tc>
          <w:tcPr>
            <w:tcW w:w="7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earnings on investments</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123,642,929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Contributions</w:t>
            </w:r>
          </w:p>
        </w:tc>
        <w:tc>
          <w:tcPr>
            <w:tcW w:w="7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00"/>
              <w:spacing w:after="0"/>
              <w:rPr>
                <w:sz w:val="20"/>
                <w:szCs w:val="20"/>
                <w:color w:val="auto"/>
              </w:rPr>
            </w:pPr>
            <w:r>
              <w:rPr>
                <w:rFonts w:ascii="Arial" w:cs="Arial" w:eastAsia="Arial" w:hAnsi="Arial"/>
                <w:sz w:val="18"/>
                <w:szCs w:val="18"/>
                <w:color w:val="auto"/>
              </w:rPr>
              <w:t>Participants</w:t>
            </w: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54,171,356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Participant rollovers</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5,222,347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gridSpan w:val="2"/>
          </w:tcPr>
          <w:p>
            <w:pPr>
              <w:ind w:left="600"/>
              <w:spacing w:after="0"/>
              <w:rPr>
                <w:sz w:val="20"/>
                <w:szCs w:val="20"/>
                <w:color w:val="auto"/>
              </w:rPr>
            </w:pPr>
            <w:r>
              <w:rPr>
                <w:rFonts w:ascii="Arial" w:cs="Arial" w:eastAsia="Arial" w:hAnsi="Arial"/>
                <w:sz w:val="18"/>
                <w:szCs w:val="18"/>
                <w:color w:val="auto"/>
              </w:rPr>
              <w:t>Total contributions</w:t>
            </w:r>
          </w:p>
        </w:tc>
        <w:tc>
          <w:tcPr>
            <w:tcW w:w="7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62,903,428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additions</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186,546,357</w:t>
            </w:r>
          </w:p>
        </w:tc>
        <w:tc>
          <w:tcPr>
            <w:tcW w:w="0" w:type="dxa"/>
            <w:vAlign w:val="bottom"/>
          </w:tcPr>
          <w:p>
            <w:pPr>
              <w:spacing w:after="0"/>
              <w:rPr>
                <w:sz w:val="1"/>
                <w:szCs w:val="1"/>
                <w:color w:val="auto"/>
              </w:rPr>
            </w:pPr>
          </w:p>
        </w:tc>
      </w:tr>
      <w:tr>
        <w:trPr>
          <w:trHeight w:val="439"/>
        </w:trPr>
        <w:tc>
          <w:tcPr>
            <w:tcW w:w="9600" w:type="dxa"/>
            <w:vAlign w:val="bottom"/>
            <w:gridSpan w:val="3"/>
          </w:tcPr>
          <w:p>
            <w:pPr>
              <w:spacing w:after="0"/>
              <w:rPr>
                <w:sz w:val="20"/>
                <w:szCs w:val="20"/>
                <w:color w:val="auto"/>
              </w:rPr>
            </w:pPr>
            <w:r>
              <w:rPr>
                <w:rFonts w:ascii="Arial" w:cs="Arial" w:eastAsia="Arial" w:hAnsi="Arial"/>
                <w:sz w:val="18"/>
                <w:szCs w:val="18"/>
                <w:color w:val="auto"/>
              </w:rPr>
              <w:t>DEDUCTIONS FROM NET ASSETS ATTRIBUTED TO:</w:t>
            </w:r>
          </w:p>
        </w:tc>
        <w:tc>
          <w:tcPr>
            <w:tcW w:w="7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57,989,990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Plan expenses</w:t>
            </w:r>
          </w:p>
        </w:tc>
        <w:tc>
          <w:tcPr>
            <w:tcW w:w="7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7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59,176,547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Increase in net plan assets before net transfers to the plan</w:t>
            </w: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127,369,810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IN DUE TO MERGERS (NOTE J)</w:t>
            </w:r>
          </w:p>
        </w:tc>
        <w:tc>
          <w:tcPr>
            <w:tcW w:w="7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Increase in net assets</w:t>
            </w: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129,442,067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PLAN BENEFITS:</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Beginning of the year</w:t>
            </w: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494,785,477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End of the year</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624,227,544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40" w:type="dxa"/>
            <w:vAlign w:val="bottom"/>
            <w:vMerge w:val="restart"/>
          </w:tcPr>
          <w:p>
            <w:pPr>
              <w:jc w:val="center"/>
              <w:ind w:left="390"/>
              <w:spacing w:after="0"/>
              <w:rPr>
                <w:sz w:val="20"/>
                <w:szCs w:val="20"/>
                <w:color w:val="auto"/>
              </w:rPr>
            </w:pPr>
            <w:r>
              <w:rPr>
                <w:rFonts w:ascii="Arial" w:cs="Arial" w:eastAsia="Arial" w:hAnsi="Arial"/>
                <w:sz w:val="18"/>
                <w:szCs w:val="18"/>
                <w:color w:val="auto"/>
                <w:w w:val="89"/>
              </w:rPr>
              <w:t>See independent auditors’ report and accompanying notes to financial statements.</w:t>
            </w:r>
          </w:p>
        </w:tc>
        <w:tc>
          <w:tcPr>
            <w:tcW w:w="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0" w:type="dxa"/>
            <w:vAlign w:val="bottom"/>
            <w:gridSpan w:val="3"/>
          </w:tcPr>
          <w:p>
            <w:pPr>
              <w:jc w:val="center"/>
              <w:ind w:left="1730"/>
              <w:spacing w:after="0"/>
              <w:rPr>
                <w:sz w:val="20"/>
                <w:szCs w:val="20"/>
                <w:color w:val="auto"/>
              </w:rPr>
            </w:pPr>
            <w:r>
              <w:rPr>
                <w:rFonts w:ascii="Arial" w:cs="Arial" w:eastAsia="Arial" w:hAnsi="Arial"/>
                <w:sz w:val="18"/>
                <w:szCs w:val="18"/>
                <w:color w:val="auto"/>
                <w:w w:val="93"/>
              </w:rPr>
              <w:t>- 3 -</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2009 and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A — PLAN DESCRIPTION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description of the ACS Savings Plan (the “Plan”) provides only general information. Affiliated Computer Services, Inc., a Xerox company (the “Company”) is the sponsor and administrator of the Plan. Mellon Bank N.A. is the Plan Trustee. Participants should refer to the Plan agreement for a more complete description of the Plan’s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Plan as amended and restated was established January 1, 1989, upon conversion of an existing employee contribution savings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provisions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Contributions are by salary reduction and are at the employee’s discretion within limits imposed by the 401(k) provisions of the Plan and the applicable Internal Revenue Code sections. The participant accounts are “participant directed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Plan was amended during the years ended December 31, 2009 and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2009 plan amendments are as follows:</w:t>
      </w:r>
    </w:p>
    <w:p>
      <w:pPr>
        <w:spacing w:after="0" w:line="117" w:lineRule="exact"/>
        <w:rPr>
          <w:sz w:val="20"/>
          <w:szCs w:val="20"/>
          <w:color w:val="auto"/>
        </w:rPr>
      </w:pPr>
    </w:p>
    <w:p>
      <w:pPr>
        <w:ind w:left="240" w:right="60"/>
        <w:spacing w:after="0" w:line="276" w:lineRule="auto"/>
        <w:rPr>
          <w:sz w:val="20"/>
          <w:szCs w:val="20"/>
          <w:color w:val="auto"/>
        </w:rPr>
      </w:pPr>
      <w:r>
        <w:rPr>
          <w:rFonts w:ascii="Arial" w:cs="Arial" w:eastAsia="Arial" w:hAnsi="Arial"/>
          <w:sz w:val="17"/>
          <w:szCs w:val="17"/>
          <w:color w:val="auto"/>
        </w:rPr>
        <w:t>On January 31, 2008, the Company submitted a proposed version of the Plan to the Internal Revenue Service (the “IRS”) as part of the application to request a favorable determination letter on the Plan. In response to comments from the IRS, certain proposed amendments were submitted. In addition, 13 amendments to the Plan had been adopted or proposed as of the date the IRS reviewed the restated Plan. Accordingly, a revised working copy of the Plan was submitted to the IRS on February 6, 2009. On March 3, 2009, the IRS issued a favorable determination letter on the working copy of the Plan that included the required amendments and the proposed and adopted amendments.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January 2009, the Plan was amended to suspend the matching contribution provision and make it a discretionary feature.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January 2009, the Plan was amended to allow participants to make Roth 401(k) contributions.</w:t>
      </w:r>
    </w:p>
    <w:p>
      <w:pPr>
        <w:spacing w:after="0" w:line="117" w:lineRule="exact"/>
        <w:rPr>
          <w:sz w:val="20"/>
          <w:szCs w:val="20"/>
          <w:color w:val="auto"/>
        </w:rPr>
      </w:pPr>
    </w:p>
    <w:p>
      <w:pPr>
        <w:ind w:left="240" w:right="240"/>
        <w:spacing w:after="0" w:line="308" w:lineRule="auto"/>
        <w:rPr>
          <w:sz w:val="20"/>
          <w:szCs w:val="20"/>
          <w:color w:val="auto"/>
        </w:rPr>
      </w:pPr>
      <w:r>
        <w:rPr>
          <w:rFonts w:ascii="Arial" w:cs="Arial" w:eastAsia="Arial" w:hAnsi="Arial"/>
          <w:sz w:val="17"/>
          <w:szCs w:val="17"/>
          <w:color w:val="auto"/>
        </w:rPr>
        <w:t>On March 1, 2009, the CompIQ Corporation 401(k) Profit Sharing Plan merged into the ACS Savings Plan. A transfer of all assets and liabilities of the CompIQ Corporation 401(k) Plan to the ACS Plan was authorized. Eligible employees of CompIQ Corporation shall participate in the Plan.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A — PLAN DESCRIPTION</w:t>
      </w:r>
    </w:p>
    <w:p>
      <w:pPr>
        <w:spacing w:after="0" w:line="117" w:lineRule="exact"/>
        <w:rPr>
          <w:sz w:val="20"/>
          <w:szCs w:val="20"/>
          <w:color w:val="auto"/>
        </w:rPr>
      </w:pPr>
    </w:p>
    <w:p>
      <w:pPr>
        <w:ind w:left="240" w:right="800"/>
        <w:spacing w:after="0" w:line="308" w:lineRule="auto"/>
        <w:rPr>
          <w:sz w:val="20"/>
          <w:szCs w:val="20"/>
          <w:color w:val="auto"/>
        </w:rPr>
      </w:pPr>
      <w:r>
        <w:rPr>
          <w:rFonts w:ascii="Arial" w:cs="Arial" w:eastAsia="Arial" w:hAnsi="Arial"/>
          <w:sz w:val="17"/>
          <w:szCs w:val="17"/>
          <w:color w:val="auto"/>
        </w:rPr>
        <w:t>On March 1, 2009, the Plan was amended to allow the Board of Directors to delegate authority to amend the Plan to the Benefits Administrative Committee for purposes of complying with statutes or rulings of a judicial body as necessitated for administrative purposes.</w:t>
      </w:r>
    </w:p>
    <w:p>
      <w:pPr>
        <w:spacing w:after="0" w:line="38" w:lineRule="exact"/>
        <w:rPr>
          <w:sz w:val="20"/>
          <w:szCs w:val="20"/>
          <w:color w:val="auto"/>
        </w:rPr>
      </w:pPr>
    </w:p>
    <w:p>
      <w:pPr>
        <w:ind w:left="240" w:right="100"/>
        <w:spacing w:after="0" w:line="312" w:lineRule="auto"/>
        <w:rPr>
          <w:sz w:val="20"/>
          <w:szCs w:val="20"/>
          <w:color w:val="auto"/>
        </w:rPr>
      </w:pPr>
      <w:r>
        <w:rPr>
          <w:rFonts w:ascii="Arial" w:cs="Arial" w:eastAsia="Arial" w:hAnsi="Arial"/>
          <w:sz w:val="16"/>
          <w:szCs w:val="16"/>
          <w:color w:val="auto"/>
        </w:rPr>
        <w:t>On September 10, 2009, The Pharm/Dur, Inc. 401(k) Plan merged into the ACS Savings Plan. A transfer of all assets and liabilities of the Pharm/Dur, Inc. 401(k) Plan to the ACS Savings Plan was authorized. Eligible employees of Pharm/Dur, Inc. shall participate in the Plan. Additionally, affected former employees of Pharm/Dur, Inc. received a one-time special employer contribution for the 2009 plan year which was 100% vested.</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December 28, 2009, the Plan was amended to comply with certain provisions of the Pension Protection Act of 2006 (“PPA”).</w:t>
      </w:r>
    </w:p>
    <w:p>
      <w:pPr>
        <w:spacing w:after="0" w:line="117"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During 2009, the Company entered into outsourcing arrangements, and as a result of those arrangements, certain affected employees became ACS employees. The Plan was amended to allow former employees of WellPoint, Inc., First National of Nebraska, Inc. and Novell, Inc. to begin participating in the Plan.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Employees would receive the ACS corporate benefit structure effective on and after the date they are eligible to participate in the Plan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Prior Employer</w:t>
            </w:r>
          </w:p>
        </w:tc>
        <w:tc>
          <w:tcPr>
            <w:tcW w:w="46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ACS Participation Eligibility Date</w:t>
            </w:r>
          </w:p>
        </w:tc>
      </w:tr>
      <w:tr>
        <w:trPr>
          <w:trHeight w:val="195"/>
        </w:trPr>
        <w:tc>
          <w:tcPr>
            <w:tcW w:w="5500" w:type="dxa"/>
            <w:vAlign w:val="bottom"/>
          </w:tcPr>
          <w:p>
            <w:pPr>
              <w:spacing w:after="0" w:line="195" w:lineRule="exact"/>
              <w:rPr>
                <w:sz w:val="20"/>
                <w:szCs w:val="20"/>
                <w:color w:val="auto"/>
              </w:rPr>
            </w:pPr>
            <w:r>
              <w:rPr>
                <w:rFonts w:ascii="Arial" w:cs="Arial" w:eastAsia="Arial" w:hAnsi="Arial"/>
                <w:sz w:val="18"/>
                <w:szCs w:val="18"/>
                <w:color w:val="auto"/>
              </w:rPr>
              <w:t>Well Point, Inc.</w:t>
            </w:r>
          </w:p>
        </w:tc>
        <w:tc>
          <w:tcPr>
            <w:tcW w:w="460" w:type="dxa"/>
            <w:vAlign w:val="bottom"/>
          </w:tcPr>
          <w:p>
            <w:pPr>
              <w:spacing w:after="0"/>
              <w:rPr>
                <w:sz w:val="16"/>
                <w:szCs w:val="16"/>
                <w:color w:val="auto"/>
              </w:rPr>
            </w:pPr>
          </w:p>
        </w:tc>
        <w:tc>
          <w:tcPr>
            <w:tcW w:w="5460" w:type="dxa"/>
            <w:vAlign w:val="bottom"/>
          </w:tcPr>
          <w:p>
            <w:pPr>
              <w:jc w:val="center"/>
              <w:spacing w:after="0" w:line="195" w:lineRule="exact"/>
              <w:rPr>
                <w:sz w:val="20"/>
                <w:szCs w:val="20"/>
                <w:color w:val="auto"/>
              </w:rPr>
            </w:pPr>
            <w:r>
              <w:rPr>
                <w:rFonts w:ascii="Arial" w:cs="Arial" w:eastAsia="Arial" w:hAnsi="Arial"/>
                <w:sz w:val="18"/>
                <w:szCs w:val="18"/>
                <w:color w:val="auto"/>
                <w:w w:val="87"/>
              </w:rPr>
              <w:t>June 18, 2009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First National of Nebraska, Inc.</w:t>
            </w: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July 23, 2009</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Novell, Inc.</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September 3, 2009</w:t>
            </w:r>
          </w:p>
        </w:tc>
      </w:tr>
      <w:tr>
        <w:trPr>
          <w:trHeight w:val="324"/>
        </w:trPr>
        <w:tc>
          <w:tcPr>
            <w:tcW w:w="5500" w:type="dxa"/>
            <w:vAlign w:val="bottom"/>
          </w:tcPr>
          <w:p>
            <w:pPr>
              <w:spacing w:after="0"/>
              <w:rPr>
                <w:sz w:val="20"/>
                <w:szCs w:val="20"/>
                <w:color w:val="auto"/>
              </w:rPr>
            </w:pPr>
            <w:r>
              <w:rPr>
                <w:rFonts w:ascii="Arial" w:cs="Arial" w:eastAsia="Arial" w:hAnsi="Arial"/>
                <w:sz w:val="18"/>
                <w:szCs w:val="18"/>
                <w:color w:val="auto"/>
              </w:rPr>
              <w:t>A summary of the 2008 plan amendments are as follows:</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line="94"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color w:val="auto"/>
        </w:rPr>
        <w:t>On March 1, 2008, the CDR Associates, LLC 401(k) Plan merged into the ACS Savings Plan. A transfer of all assets and liabilities of the CDR Associates, LLC 401(k) Plan to the ACS Plan was authorized. Eligible employees of CDR Associates, LLC shall participate in the Plan.</w:t>
      </w:r>
    </w:p>
    <w:p>
      <w:pPr>
        <w:spacing w:after="0" w:line="62"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color w:val="auto"/>
        </w:rPr>
        <w:t>On March 1, 2008, the Intellinex 401(k) Savings Plan merged into the ACS Savings Plan. A transfer of all assets and liabilities of the Intellinex 401(k) Savings Plan to the ACS Plan was authorized. Eligible employees of Intellinex shall participate in the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A — PLAN DESCRIPTION</w:t>
      </w:r>
    </w:p>
    <w:p>
      <w:pPr>
        <w:spacing w:after="0" w:line="117"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color w:val="auto"/>
        </w:rPr>
        <w:t>On June 17, 2008, pursuant to the Pension Protection Act of 2006, the ACS Plan was amended to permit non-spouse beneficiaries of deceased participants to directly roll their distributions to individual retirement accounts (“IRA”) that are treated as inherited IRAs.</w:t>
      </w:r>
    </w:p>
    <w:p>
      <w:pPr>
        <w:spacing w:after="0" w:line="62"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On July 1, 2008, the Bowers and Associates, Inc. 401(k) Profit Sharing Plan merged into the ACS Savings Plan. A transfer of all assets and liabilities of the Bowers and Associates, Inc. 401(k) Savings Plan to the ACS Plan was authorized. Eligible employees of Bowers and Associates shall participate in the Plan.</w:t>
      </w:r>
    </w:p>
    <w:p>
      <w:pPr>
        <w:spacing w:after="0" w:line="73"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color w:val="auto"/>
        </w:rPr>
        <w:t>During 2008, the Company entered into outsourcing arrangements, and as a result of those arrangements, certain affected employees became ACS employees. The Plan was amended to allow former employees of Communications Development, Inc.; Orbital Sciences Corporation; Statit Software, Inc.; Student Loan Finance Corporation; The Hertz Corporation; First Health; Trane; Adaptive Marketing, LLC and CompIQ Corporation to begin participating in the Plan.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Employees would receive the ACS corporate benefit structure effective on and after the date they are eligible to participate in the Plan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80" w:type="dxa"/>
            <w:vAlign w:val="bottom"/>
            <w:tcBorders>
              <w:bottom w:val="single" w:sz="8" w:color="auto"/>
            </w:tcBorders>
          </w:tcPr>
          <w:p>
            <w:pPr>
              <w:ind w:left="2280"/>
              <w:spacing w:after="0"/>
              <w:rPr>
                <w:sz w:val="20"/>
                <w:szCs w:val="20"/>
                <w:color w:val="auto"/>
              </w:rPr>
            </w:pPr>
            <w:r>
              <w:rPr>
                <w:rFonts w:ascii="Arial" w:cs="Arial" w:eastAsia="Arial" w:hAnsi="Arial"/>
                <w:sz w:val="14"/>
                <w:szCs w:val="14"/>
                <w:color w:val="auto"/>
              </w:rPr>
              <w:t>Prior Employer</w:t>
            </w:r>
          </w:p>
        </w:tc>
        <w:tc>
          <w:tcPr>
            <w:tcW w:w="46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ACS Participation Eligibility Date</w:t>
            </w:r>
          </w:p>
        </w:tc>
      </w:tr>
      <w:tr>
        <w:trPr>
          <w:trHeight w:val="195"/>
        </w:trPr>
        <w:tc>
          <w:tcPr>
            <w:tcW w:w="20" w:type="dxa"/>
            <w:vAlign w:val="bottom"/>
          </w:tcPr>
          <w:p>
            <w:pPr>
              <w:spacing w:after="0"/>
              <w:rPr>
                <w:sz w:val="16"/>
                <w:szCs w:val="16"/>
                <w:color w:val="auto"/>
              </w:rPr>
            </w:pP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Communications Development, Inc.</w:t>
            </w:r>
          </w:p>
        </w:tc>
        <w:tc>
          <w:tcPr>
            <w:tcW w:w="460" w:type="dxa"/>
            <w:vAlign w:val="bottom"/>
          </w:tcPr>
          <w:p>
            <w:pPr>
              <w:spacing w:after="0"/>
              <w:rPr>
                <w:sz w:val="16"/>
                <w:szCs w:val="16"/>
                <w:color w:val="auto"/>
              </w:rPr>
            </w:pPr>
          </w:p>
        </w:tc>
        <w:tc>
          <w:tcPr>
            <w:tcW w:w="5460" w:type="dxa"/>
            <w:vAlign w:val="bottom"/>
          </w:tcPr>
          <w:p>
            <w:pPr>
              <w:jc w:val="center"/>
              <w:spacing w:after="0" w:line="195" w:lineRule="exact"/>
              <w:rPr>
                <w:sz w:val="20"/>
                <w:szCs w:val="20"/>
                <w:color w:val="auto"/>
              </w:rPr>
            </w:pPr>
            <w:r>
              <w:rPr>
                <w:rFonts w:ascii="Arial" w:cs="Arial" w:eastAsia="Arial" w:hAnsi="Arial"/>
                <w:sz w:val="18"/>
                <w:szCs w:val="18"/>
                <w:color w:val="auto"/>
                <w:w w:val="92"/>
              </w:rPr>
              <w:t>May 1, 2008</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Orbital Sciences Corporation</w:t>
            </w: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June 1, 2008</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Statit Software, Inc.</w:t>
            </w: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July 1, 2008</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Student Loan Finance Corporation</w:t>
            </w: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July 1, 2008</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The Hertz Corporation</w:t>
            </w: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July 21, 2008</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First Health</w:t>
            </w: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November 1, 2008</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Trane</w:t>
            </w: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November 1, 2008</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Adaptive Marketing, LLC</w:t>
            </w:r>
          </w:p>
        </w:tc>
        <w:tc>
          <w:tcPr>
            <w:tcW w:w="4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December 1, 2008</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CompIQ Corporation</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December 29, 2008</w:t>
            </w:r>
          </w:p>
        </w:tc>
      </w:tr>
    </w:tbl>
    <w:p>
      <w:pPr>
        <w:spacing w:after="0" w:line="94" w:lineRule="exact"/>
        <w:rPr>
          <w:sz w:val="20"/>
          <w:szCs w:val="20"/>
          <w:color w:val="auto"/>
        </w:rPr>
      </w:pPr>
    </w:p>
    <w:p>
      <w:pPr>
        <w:ind w:left="240" w:right="280"/>
        <w:spacing w:after="0" w:line="302" w:lineRule="auto"/>
        <w:rPr>
          <w:sz w:val="20"/>
          <w:szCs w:val="20"/>
          <w:color w:val="auto"/>
        </w:rPr>
      </w:pPr>
      <w:r>
        <w:rPr>
          <w:rFonts w:ascii="Arial" w:cs="Arial" w:eastAsia="Arial" w:hAnsi="Arial"/>
          <w:sz w:val="16"/>
          <w:szCs w:val="16"/>
          <w:color w:val="auto"/>
        </w:rPr>
        <w:t>On December 2, 2008 the ACS Plan was amended to permit amounts attributable to Roth contributions directly rolled over from a qualified plan to be accounted for separately within the rollover account beginning January 1, 2009. The Amendment provides that effective January 1, 2008, employees of acquired companies will become eligible to participate only after they are paid through the Company’s payroll system. The Amendment increases the maximum payroll deferral percentage for non-highly compensated employees from 18% to 75% effective January 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A — PLAN DESCRIPTION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Deferral</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Plan is a defined contribution plan wherein participants elect to reduce their compensation and have such reductions contributed to the Plan on their behalf. Generally, the Plan covers all eligible employees of the Company who elect to participate except those who are leased or are nonresident aliens not receiving United States source income. The Plan also allows for rollovers from other plans.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Employees are eligible to contribute on their date of hire or as soon thereafter as administratively feasible. In January 2009, the Plan was amended to suspend the matching contribution provision and make it a discretionary feature. Participating employees are eligible for discretionary matching contributions immediately following completion of a one-year period of service.</w:t>
      </w:r>
    </w:p>
    <w:p>
      <w:pPr>
        <w:spacing w:after="0" w:line="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2008, employees can elect to contribute to the Plan for not less than 1% nor more than 18% of compensation. The term “compensation” for calculation of deferral shall be base pay, overtime and commissions. Effective January 1, 2009 with the Roth amendment, maximum deferral percentage shall be in multiples of 1% and the maximum percentage shall be 75%. If a participant made both pre-tax contributions and Roth contributions for the applicable calendar year, excess contributions shall be attributed first to the participant’s pre-tax contributions and second to the participant’s Roth contributions.</w:t>
      </w:r>
    </w:p>
    <w:p>
      <w:pPr>
        <w:spacing w:after="0" w:line="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maximum of contributions allowed by the Internal Revenue Service were $16,500 and $15,500 for 2009 and 2008, respectively. In 2008, the Company matched the deferral contributions of 25% of pre-tax deferral up to 6% of compensation. In 2009, the match contributions were suspended. In 2009 and 2008, the Company provided discretionary contributions for certain former employees of the State of Indiana. The amounts of discretionary contributions were a percentage of the employee’s compensation. Such percentage was dependent on the employee’s age and service, each measured in years and completed months as of December 31 of the calendar years for which the discretionary contributions were made, in accordance with the below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60" w:type="dxa"/>
            <w:vAlign w:val="bottom"/>
            <w:gridSpan w:val="2"/>
          </w:tcPr>
          <w:p>
            <w:pPr>
              <w:spacing w:after="0"/>
              <w:rPr>
                <w:sz w:val="20"/>
                <w:szCs w:val="20"/>
                <w:color w:val="auto"/>
              </w:rPr>
            </w:pPr>
            <w:r>
              <w:rPr>
                <w:rFonts w:ascii="Arial" w:cs="Arial" w:eastAsia="Arial" w:hAnsi="Arial"/>
                <w:sz w:val="14"/>
                <w:szCs w:val="14"/>
                <w:color w:val="auto"/>
              </w:rPr>
              <w:t>Age plus service</w:t>
            </w:r>
          </w:p>
        </w:tc>
        <w:tc>
          <w:tcPr>
            <w:tcW w:w="3920" w:type="dxa"/>
            <w:vAlign w:val="bottom"/>
          </w:tcPr>
          <w:p>
            <w:pPr>
              <w:spacing w:after="0"/>
              <w:rPr>
                <w:sz w:val="14"/>
                <w:szCs w:val="14"/>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color w:val="auto"/>
              </w:rPr>
              <w:t>Discretionary contribution percentage</w:t>
            </w: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45</w:t>
            </w:r>
          </w:p>
        </w:tc>
        <w:tc>
          <w:tcPr>
            <w:tcW w:w="3920" w:type="dxa"/>
            <w:vAlign w:val="bottom"/>
            <w:tcBorders>
              <w:top w:val="single" w:sz="8" w:color="auto"/>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At least 45 but less than 55</w:t>
            </w:r>
          </w:p>
        </w:tc>
        <w:tc>
          <w:tcPr>
            <w:tcW w:w="7660" w:type="dxa"/>
            <w:vAlign w:val="bottom"/>
            <w:gridSpan w:val="3"/>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At least 55 but less than 65</w:t>
            </w:r>
          </w:p>
        </w:tc>
        <w:tc>
          <w:tcPr>
            <w:tcW w:w="766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More than 65</w:t>
            </w:r>
          </w:p>
        </w:tc>
        <w:tc>
          <w:tcPr>
            <w:tcW w:w="7660" w:type="dxa"/>
            <w:vAlign w:val="bottom"/>
            <w:gridSpan w:val="3"/>
          </w:tcPr>
          <w:p>
            <w:pPr>
              <w:jc w:val="right"/>
              <w:ind w:right="690"/>
              <w:spacing w:after="0"/>
              <w:rPr>
                <w:sz w:val="20"/>
                <w:szCs w:val="20"/>
                <w:color w:val="auto"/>
              </w:rPr>
            </w:pPr>
            <w:r>
              <w:rPr>
                <w:rFonts w:ascii="Arial" w:cs="Arial" w:eastAsia="Arial" w:hAnsi="Arial"/>
                <w:sz w:val="18"/>
                <w:szCs w:val="18"/>
                <w:color w:val="auto"/>
              </w:rPr>
              <w:t>13%</w:t>
            </w:r>
          </w:p>
        </w:tc>
      </w:tr>
      <w:tr>
        <w:trPr>
          <w:trHeight w:val="39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20" w:type="dxa"/>
            <w:vAlign w:val="bottom"/>
          </w:tcPr>
          <w:p>
            <w:pPr>
              <w:jc w:val="right"/>
              <w:ind w:right="1730"/>
              <w:spacing w:after="0"/>
              <w:rPr>
                <w:sz w:val="20"/>
                <w:szCs w:val="20"/>
                <w:color w:val="auto"/>
              </w:rPr>
            </w:pPr>
            <w:r>
              <w:rPr>
                <w:rFonts w:ascii="Arial" w:cs="Arial" w:eastAsia="Arial" w:hAnsi="Arial"/>
                <w:sz w:val="18"/>
                <w:szCs w:val="18"/>
                <w:color w:val="auto"/>
              </w:rPr>
              <w:t>- 7 -</w:t>
            </w: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A — PLAN DESCRIPTION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Participating employees are eligible to make catch-up contributions under the Plan provided the participating employees have attained or will attain the age of 50 before the close of the year. The amount of catch-up contributions allowed by the Internal Revenue Services was $5,500 and $5,000 for 2009 and 2008, respectively. The catch-up contributions are excluded in calculating any matching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All matching contributions have been allocated in accordance with Participant’s investment elections.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participant’s account is credited with the participant’s salary deferral. Investment income or loss is allocated daily based on the ratio of each participant’s account balance at the end of each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Vesting of all employer contributions occurs at the following rates for employees enrolled in the Plan. Employee contributions and rollover contributions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 vested. The vesting schedule applicable to matching contributions in 2009 and 2008 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60" w:type="dxa"/>
            <w:vAlign w:val="bottom"/>
            <w:gridSpan w:val="2"/>
          </w:tcPr>
          <w:p>
            <w:pPr>
              <w:spacing w:after="0"/>
              <w:rPr>
                <w:sz w:val="20"/>
                <w:szCs w:val="20"/>
                <w:color w:val="auto"/>
              </w:rPr>
            </w:pPr>
            <w:r>
              <w:rPr>
                <w:rFonts w:ascii="Arial" w:cs="Arial" w:eastAsia="Arial" w:hAnsi="Arial"/>
                <w:sz w:val="14"/>
                <w:szCs w:val="14"/>
                <w:color w:val="auto"/>
              </w:rPr>
              <w:t>Years in Vesting Service</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5"/>
              </w:rPr>
              <w:t>Vested Interest</w:t>
            </w:r>
          </w:p>
        </w:tc>
      </w:tr>
      <w:tr>
        <w:trPr>
          <w:trHeight w:val="210"/>
        </w:trPr>
        <w:tc>
          <w:tcPr>
            <w:tcW w:w="20" w:type="dxa"/>
            <w:vAlign w:val="bottom"/>
          </w:tcPr>
          <w:p>
            <w:pPr>
              <w:spacing w:after="0"/>
              <w:rPr>
                <w:sz w:val="18"/>
                <w:szCs w:val="18"/>
                <w:color w:val="auto"/>
              </w:rPr>
            </w:pPr>
          </w:p>
        </w:tc>
        <w:tc>
          <w:tcPr>
            <w:tcW w:w="9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two years</w:t>
            </w: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Two to three years</w:t>
            </w:r>
          </w:p>
        </w:tc>
        <w:tc>
          <w:tcPr>
            <w:tcW w:w="1560" w:type="dxa"/>
            <w:vAlign w:val="bottom"/>
            <w:gridSpan w:val="2"/>
          </w:tcPr>
          <w:p>
            <w:pPr>
              <w:jc w:val="right"/>
              <w:ind w:right="139"/>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Three or more years</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Participants may borrow from their fund accounts, through a loan transaction, a minimum of $1,000 or up to a maximum of $50,000 not to exceed 50% of their vested account balance.</w:t>
      </w:r>
    </w:p>
    <w:p>
      <w:pPr>
        <w:spacing w:after="0" w:line="6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balance in the participant’s account is used to secure the loans. These loan transactions are treated as a transfer between the investment fund and the participant notes fund. The loan terms range from one to five years or within a reasonable time if the purpose of the loan is to acquire a primary residence. The interest rate on loan transactions is commensurate with current rates. As of December 31, 2009 and 2008, interest rates on outstanding loan balances ranged from 4.25% to 11.0%. Total loans outstanding as of December 31, 2009 and 2008, were $20,376,984 and $18,987,003,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PLAN DESCRIPTION</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Principal and interest are paid ratably through payroll deductions. Participant notes receivable are valued at cost, which approximates fair values. A participant may not have more than two loans outstanding at the same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it has not expressed any intent to do so, the Company’s Board of Directors may terminate the Plan at any time. Upon termination, the Board of Directors may elect to distribute to each participant, or his or her beneficiary, the proportionate share of the Plan’s assets as determined by the individual account balances on the date of termination, or continue the existence of the trust for the purpose of paying benefits as they become due under the terms of the Plan. In addition, upon termination of the Plan, the participants’ vested interest in employer contributions shall be 100%.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Upon termination of service, a participant may elect to receive a lump-sum amount equal to the value of his or her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Forfeitures are used to reduce employer matching or profit sharing contributions or plan administrative expenses. At December 31, 2009 and 2008, the Plan maintained a balance of $8,681 and $8,354, respectively, in forfeited non-vested accounts and utilized $161,781 and $347,341, respectively, in forfeitures to offset employer contributions and plan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Administrative Costs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Plan expenses, such as trustee and recordkeeping charges, are covered by a per-participant fee based on the participant’s account balance. To calculate the per-participant fee, the Administrative Committee projected these expenses for the plan year 2009 and 2008 and divided the total expenses by the total plan assets as of December 31, 2009 and 2008, respectively. The resulting percentage of 24.8 and 20.4 basis points was applied to each participant’s account balance as of January 1, 2009 and 2008, respectively. This amount is subtracted from each participant’s account on a quarterly basis throughout the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the policy of the Plan sponsor to remit the employee and employer contribution three business days after the date of payroll.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2009 and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summary of significant accounting policies of the Plan is presented to assist in understanding the financial statements. The financial statements and notes are representations of the Plan’s administrator, who is responsible for their integrity and objectivity. The accounting policies conform to accounting principles generally accepted in the United States of America and have been consistently applied in the preparation of the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plan administrator to make estimates and assumptions that affect certain reported amounts and disclosures, such as fair value. Actual results may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Investment Contracts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accordance with current authoritative guidance, investment contracts held by a defined-contribution plan are required to be reported at fair value. However, contract value is the relevant measurement attribute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As required by the current authoritative guidance, the statements of net assets available for benefits should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Plan has an investment election in the Wells Fargo Synthetic Stable Value fund. As of December 31, 2009 and 2008 the balance in this fund was</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$115,073,650 and $121,027,694, respectively. The Custodian estimates that the contract value is approximately $0.9 million less and $7.6 million less than the fair value for the years ended December 31, 2009 and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Mellon Bank N.A. holds the Plan investments. The fair value per unit/share is stated at quoted market prices as determined by Mellon Bank N.A. Purchases and sales of securities are recorded on a trade-date basis. Dividends are recorded on the ex-dividend date. Interest income is recorded on the accrual basis.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B — SUMMARY OF SIGNIFICANT ACCOUNTING POLICIES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Plan presents, in the Statement of Changes in Net Assets Available for Benefits, the net appreciation (depreciation) in the fair value of its investments, which consists of the realized gains (losses) and the unrealized appreciation (depreciation) on those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 are recorded when paid.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Effective for the Plan on July 1, 2009, the FASB Accounting Standard Codification (the “FASB Codification”) is the source of authoritative accounting principles recognized by the FASB. The FASB Codification identifies the sources of accounting principles and the framework for selecting the principles to be used in the preparation of financial statements of nongovernmental entities presented in conformity with generally accepted accounting principles in the United States of America. The application of the FASB codification did not have an impact on the Plan’s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C — PLAN LEGAL MATTERS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is subject to various outstanding legal proceedings. In 2006, the Plan was named as a defendant in the derivative lawsuit investigation. Two lawsuits were filed under the Employee Retirement Income Security Act (“ERISA”) alleging breach of ERISA fiduciary duties by the directors and officers as well as the ACS Benefits Administrative Committee, in connection with the retention of ACS Class A common stock as an investment option in light of the alleged stock option issues, as follows:</w:t>
      </w:r>
    </w:p>
    <w:p>
      <w:pPr>
        <w:spacing w:after="0" w:line="79" w:lineRule="exact"/>
        <w:rPr>
          <w:sz w:val="20"/>
          <w:szCs w:val="20"/>
          <w:color w:val="auto"/>
        </w:rPr>
      </w:pPr>
    </w:p>
    <w:p>
      <w:pPr>
        <w:ind w:left="660" w:hanging="314"/>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u w:val="single" w:color="auto"/>
          <w:color w:val="auto"/>
        </w:rPr>
        <w:t>Terri Simeon, on behalf of Herself and All Others Similarly Situated, Plaintiff, vs. Affiliated Computer Services, Inc., Darwin Deason, Mark A. King, Lynn R. Blodgett, Jeffrey A. Rich, Joseph O’Neill, Frank Rossi, J. Livingston Kosberg, Dennis McCuistion, The Retirement Committee of the ACS Savings Plan, and John Does 1-30</w:t>
      </w:r>
      <w:r>
        <w:rPr>
          <w:rFonts w:ascii="Arial" w:cs="Arial" w:eastAsia="Arial" w:hAnsi="Arial"/>
          <w:sz w:val="18"/>
          <w:szCs w:val="18"/>
          <w:color w:val="auto"/>
        </w:rPr>
        <w:t>, Civil Action No. 306-CV-1592P, in the United States District Court for the Northern District of Texas, Dallas Division, filed August 31, 2006.</w:t>
      </w:r>
    </w:p>
    <w:p>
      <w:pPr>
        <w:spacing w:after="0" w:line="92" w:lineRule="exact"/>
        <w:rPr>
          <w:rFonts w:ascii="Arial" w:cs="Arial" w:eastAsia="Arial" w:hAnsi="Arial"/>
          <w:sz w:val="18"/>
          <w:szCs w:val="18"/>
          <w:b w:val="1"/>
          <w:bCs w:val="1"/>
          <w:color w:val="auto"/>
        </w:rPr>
      </w:pPr>
    </w:p>
    <w:p>
      <w:pPr>
        <w:ind w:left="660" w:right="120" w:hanging="314"/>
        <w:spacing w:after="0" w:line="30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u w:val="single" w:color="auto"/>
          <w:color w:val="auto"/>
        </w:rPr>
        <w:t>Kyle Burke, Individually and on behalf of All Others Similarly Situated, Plaintiff, vs. Affiliated Computer Services, Inc., the ACS Administrative Committee, Lora Villarreal, Kellar Nevill, Gladys Mitchell, Meg Cino, Mike Miller, John Crysler, Van Johnson, Scott Bell, Anne Meli, David Lotocki, Randall Booth, Pam Trutna, Brett Jakovac, Jeffrey A. Rich, Mark A. King, Darwin Deason, Joseph P. O’Neill, and J. Livingston Kosberg</w:t>
      </w:r>
      <w:r>
        <w:rPr>
          <w:rFonts w:ascii="Arial" w:cs="Arial" w:eastAsia="Arial" w:hAnsi="Arial"/>
          <w:sz w:val="16"/>
          <w:szCs w:val="16"/>
          <w:color w:val="auto"/>
        </w:rPr>
        <w:t>, Case No. 306-CV-02379-M, in the United States District Court for the Northern District of Texas, Dallas Division, filed September 15, 2006.</w:t>
      </w:r>
    </w:p>
    <w:p>
      <w:pPr>
        <w:spacing w:after="0" w:line="127" w:lineRule="exact"/>
        <w:rPr>
          <w:rFonts w:ascii="Arial" w:cs="Arial" w:eastAsia="Arial" w:hAnsi="Arial"/>
          <w:sz w:val="16"/>
          <w:szCs w:val="16"/>
          <w:b w:val="1"/>
          <w:bCs w:val="1"/>
          <w:color w:val="auto"/>
        </w:rPr>
      </w:pPr>
    </w:p>
    <w:p>
      <w:pPr>
        <w:ind w:left="5620" w:hanging="98"/>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C — PLAN LEGAL MATTERS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On February 12, 2007, the </w:t>
      </w:r>
      <w:r>
        <w:rPr>
          <w:rFonts w:ascii="Arial" w:cs="Arial" w:eastAsia="Arial" w:hAnsi="Arial"/>
          <w:sz w:val="18"/>
          <w:szCs w:val="18"/>
          <w:u w:val="single" w:color="auto"/>
          <w:color w:val="auto"/>
        </w:rPr>
        <w:t>Simeon</w:t>
      </w:r>
      <w:r>
        <w:rPr>
          <w:rFonts w:ascii="Arial" w:cs="Arial" w:eastAsia="Arial" w:hAnsi="Arial"/>
          <w:sz w:val="18"/>
          <w:szCs w:val="18"/>
          <w:color w:val="auto"/>
        </w:rPr>
        <w:t xml:space="preserve"> case and the </w:t>
      </w:r>
      <w:r>
        <w:rPr>
          <w:rFonts w:ascii="Arial" w:cs="Arial" w:eastAsia="Arial" w:hAnsi="Arial"/>
          <w:sz w:val="18"/>
          <w:szCs w:val="18"/>
          <w:u w:val="single" w:color="auto"/>
          <w:color w:val="auto"/>
        </w:rPr>
        <w:t>Burke</w:t>
      </w:r>
      <w:r>
        <w:rPr>
          <w:rFonts w:ascii="Arial" w:cs="Arial" w:eastAsia="Arial" w:hAnsi="Arial"/>
          <w:sz w:val="18"/>
          <w:szCs w:val="18"/>
          <w:color w:val="auto"/>
        </w:rPr>
        <w:t xml:space="preserve"> case were consolidated into one case, under the caption, </w:t>
      </w:r>
      <w:r>
        <w:rPr>
          <w:rFonts w:ascii="Arial" w:cs="Arial" w:eastAsia="Arial" w:hAnsi="Arial"/>
          <w:sz w:val="18"/>
          <w:szCs w:val="18"/>
          <w:u w:val="single" w:color="auto"/>
          <w:color w:val="auto"/>
        </w:rPr>
        <w:t>In re Affiliated Computer Systems [sic]</w:t>
      </w:r>
      <w:r>
        <w:rPr>
          <w:rFonts w:ascii="Arial" w:cs="Arial" w:eastAsia="Arial" w:hAnsi="Arial"/>
          <w:sz w:val="18"/>
          <w:szCs w:val="18"/>
          <w:color w:val="auto"/>
        </w:rPr>
        <w:t xml:space="preserve"> </w:t>
      </w:r>
      <w:r>
        <w:rPr>
          <w:rFonts w:ascii="Arial" w:cs="Arial" w:eastAsia="Arial" w:hAnsi="Arial"/>
          <w:sz w:val="18"/>
          <w:szCs w:val="18"/>
          <w:u w:val="single" w:color="auto"/>
          <w:color w:val="auto"/>
        </w:rPr>
        <w:t>ERISA Litigation</w:t>
      </w:r>
      <w:r>
        <w:rPr>
          <w:rFonts w:ascii="Arial" w:cs="Arial" w:eastAsia="Arial" w:hAnsi="Arial"/>
          <w:sz w:val="18"/>
          <w:szCs w:val="18"/>
          <w:color w:val="auto"/>
        </w:rPr>
        <w:t xml:space="preserve">, Master File No. 3:06-CV-1592-M. On December 20, 2007, an Order Preliminarily Approving Settlement was entered in the </w:t>
      </w:r>
      <w:r>
        <w:rPr>
          <w:rFonts w:ascii="Arial" w:cs="Arial" w:eastAsia="Arial" w:hAnsi="Arial"/>
          <w:sz w:val="18"/>
          <w:szCs w:val="18"/>
          <w:u w:val="single" w:color="auto"/>
          <w:color w:val="auto"/>
        </w:rPr>
        <w:t>In re Affiliated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Computer Systems [sic] ERISA Litigation</w:t>
      </w:r>
      <w:r>
        <w:rPr>
          <w:rFonts w:ascii="Arial" w:cs="Arial" w:eastAsia="Arial" w:hAnsi="Arial"/>
          <w:sz w:val="18"/>
          <w:szCs w:val="18"/>
          <w:color w:val="auto"/>
        </w:rPr>
        <w:t xml:space="preserve"> consolidated case.</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Principally, the settlement provides for a payment to the plaintiffs and the ACS Savings Plan of a total of $1.5 million, which includes attorney fees and received final approval of the court at a hearing held October 23, 2008. During 2009, this matter was settled and the Plan received $962,106, the payment was treated as contributions to the affected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D — INCOME TAX STATUS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obtained its last determination letter on March 9, 2009, in which the Internal Revenue Service stated that the Plan as then designed, was in compliance with the applicable requirements of the Internal Revenue Code. The Plan has been amended since receiving the determination letter. However, the plan administrator and the plan’s tax counsel believe that the plan is currently designed and being operated in compliance with the applicable requirements of the Internal Revenue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E —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Plan maintains the following investments representing 5% or more of net assets available for benefits at December 31, 2009 and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2009</w:t>
            </w:r>
          </w:p>
        </w:tc>
        <w:tc>
          <w:tcPr>
            <w:tcW w:w="480" w:type="dxa"/>
            <w:vAlign w:val="bottom"/>
          </w:tcPr>
          <w:p>
            <w:pPr>
              <w:spacing w:after="0"/>
              <w:rPr>
                <w:sz w:val="14"/>
                <w:szCs w:val="14"/>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color w:val="auto"/>
              </w:rPr>
              <w:t>2008</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Value Fund</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$115,073,650</w:t>
            </w:r>
          </w:p>
        </w:tc>
        <w:tc>
          <w:tcPr>
            <w:tcW w:w="20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$121,027,694</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Harbor Capital Appreciation Fund</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64,382,282</w:t>
            </w:r>
          </w:p>
        </w:tc>
        <w:tc>
          <w:tcPr>
            <w:tcW w:w="2000" w:type="dxa"/>
            <w:vAlign w:val="bottom"/>
            <w:gridSpan w:val="2"/>
          </w:tcPr>
          <w:p>
            <w:pPr>
              <w:jc w:val="right"/>
              <w:ind w:right="219"/>
              <w:spacing w:after="0"/>
              <w:rPr>
                <w:sz w:val="20"/>
                <w:szCs w:val="20"/>
                <w:color w:val="auto"/>
              </w:rPr>
            </w:pPr>
            <w:r>
              <w:rPr>
                <w:rFonts w:ascii="Arial" w:cs="Arial" w:eastAsia="Arial" w:hAnsi="Arial"/>
                <w:sz w:val="18"/>
                <w:szCs w:val="18"/>
                <w:color w:val="auto"/>
              </w:rPr>
              <w:t>47,320,014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Moderate Unit</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44,716,387</w:t>
            </w:r>
          </w:p>
        </w:tc>
        <w:tc>
          <w:tcPr>
            <w:tcW w:w="20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31,471,737</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36,564,814</w:t>
            </w:r>
          </w:p>
        </w:tc>
        <w:tc>
          <w:tcPr>
            <w:tcW w:w="2000" w:type="dxa"/>
            <w:vAlign w:val="bottom"/>
            <w:gridSpan w:val="2"/>
          </w:tcPr>
          <w:p>
            <w:pPr>
              <w:jc w:val="right"/>
              <w:ind w:right="219"/>
              <w:spacing w:after="0"/>
              <w:rPr>
                <w:sz w:val="20"/>
                <w:szCs w:val="20"/>
                <w:color w:val="auto"/>
              </w:rPr>
            </w:pPr>
            <w:r>
              <w:rPr>
                <w:rFonts w:ascii="Arial" w:cs="Arial" w:eastAsia="Arial" w:hAnsi="Arial"/>
                <w:sz w:val="18"/>
                <w:szCs w:val="18"/>
                <w:color w:val="auto"/>
              </w:rPr>
              <w:t>28,979,201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Fidelity Low-Priced Stock Fund</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33,378,902</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N/A</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Mellon Stock Unit</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31,754,231</w:t>
            </w:r>
          </w:p>
        </w:tc>
        <w:tc>
          <w:tcPr>
            <w:tcW w:w="2000" w:type="dxa"/>
            <w:vAlign w:val="bottom"/>
            <w:gridSpan w:val="2"/>
          </w:tcPr>
          <w:p>
            <w:pPr>
              <w:jc w:val="right"/>
              <w:ind w:right="219"/>
              <w:spacing w:after="0"/>
              <w:rPr>
                <w:sz w:val="20"/>
                <w:szCs w:val="20"/>
                <w:color w:val="auto"/>
              </w:rPr>
            </w:pPr>
            <w:r>
              <w:rPr>
                <w:rFonts w:ascii="Arial" w:cs="Arial" w:eastAsia="Arial" w:hAnsi="Arial"/>
                <w:sz w:val="18"/>
                <w:szCs w:val="18"/>
                <w:color w:val="auto"/>
              </w:rPr>
              <w:t>25,774,884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ACS Stock Fund</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N/A</w:t>
            </w:r>
          </w:p>
        </w:tc>
        <w:tc>
          <w:tcPr>
            <w:tcW w:w="20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25,854,206</w:t>
            </w:r>
          </w:p>
        </w:tc>
      </w:tr>
    </w:tbl>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Plan invests in various investment securities which, in general, are exposed to various risks, such as interest rate, credit and overall market volatility risks. Further, due to the level of risk associated with certain investment securities it is at least reasonably possible that changes in values of investment securities will occur in the near term and that such changes could materially affect participants’ account balances and the amounts reported in the Statements of Net Assets Available for Benefits.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E —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2009 and 2008, the Plan invested in a Master Trust arrangement consisting of common stock and mutual funds. Investment information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Master Trust arrangement during 2009 and 2008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34,003,116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30,194,940</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3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179,985,073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135,266,494</w:t>
            </w:r>
          </w:p>
        </w:tc>
      </w:tr>
      <w:tr>
        <w:trPr>
          <w:trHeight w:val="223"/>
        </w:trPr>
        <w:tc>
          <w:tcPr>
            <w:tcW w:w="60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213,988,189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165,461,434</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center"/>
              <w:ind w:right="440"/>
              <w:spacing w:after="0"/>
              <w:rPr>
                <w:sz w:val="20"/>
                <w:szCs w:val="20"/>
                <w:color w:val="auto"/>
              </w:rPr>
            </w:pPr>
            <w:r>
              <w:rPr>
                <w:rFonts w:ascii="Arial" w:cs="Arial" w:eastAsia="Arial" w:hAnsi="Arial"/>
                <w:sz w:val="14"/>
                <w:szCs w:val="14"/>
                <w:color w:val="auto"/>
                <w:w w:val="89"/>
              </w:rPr>
              <w:t>Year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Year Ended</w:t>
            </w:r>
          </w:p>
        </w:tc>
      </w:tr>
      <w:tr>
        <w:trPr>
          <w:trHeight w:val="149"/>
        </w:trPr>
        <w:tc>
          <w:tcPr>
            <w:tcW w:w="6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440"/>
              <w:spacing w:after="0" w:line="149" w:lineRule="exact"/>
              <w:rPr>
                <w:sz w:val="20"/>
                <w:szCs w:val="20"/>
                <w:color w:val="auto"/>
              </w:rPr>
            </w:pPr>
            <w:r>
              <w:rPr>
                <w:rFonts w:ascii="Arial" w:cs="Arial" w:eastAsia="Arial" w:hAnsi="Arial"/>
                <w:sz w:val="14"/>
                <w:szCs w:val="14"/>
                <w:color w:val="auto"/>
                <w:w w:val="93"/>
              </w:rPr>
              <w:t>December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6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2009</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assets:</w:t>
            </w:r>
          </w:p>
        </w:tc>
        <w:tc>
          <w:tcPr>
            <w:tcW w:w="2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Contributions</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25,087,600</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124,219,221</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Received from prior trustee/custodian</w:t>
            </w:r>
          </w:p>
        </w:tc>
        <w:tc>
          <w:tcPr>
            <w:tcW w:w="2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919,502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4,995,838</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Interest/dividends</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115,783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114,982</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appreciation/depreciation of investments</w:t>
            </w:r>
          </w:p>
        </w:tc>
        <w:tc>
          <w:tcPr>
            <w:tcW w:w="2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40,031,278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(44,707,290)</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Net forfeitures</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8"/>
                <w:szCs w:val="18"/>
                <w:color w:val="auto"/>
              </w:rPr>
              <w:t>(48,869)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(29,995)</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 to participants</w:t>
            </w:r>
          </w:p>
        </w:tc>
        <w:tc>
          <w:tcPr>
            <w:tcW w:w="2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2"/>
              </w:rPr>
              <w:t>(15,983,327)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(41,659,382)</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Administrative and miscellaneous expense</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8"/>
                <w:szCs w:val="18"/>
                <w:color w:val="auto"/>
              </w:rPr>
              <w:t>(383,492)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(170,361)</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transfer to/from the Fund</w:t>
            </w:r>
          </w:p>
        </w:tc>
        <w:tc>
          <w:tcPr>
            <w:tcW w:w="2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(1,211,720)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88,676,135</w:t>
            </w:r>
          </w:p>
        </w:tc>
      </w:tr>
      <w:tr>
        <w:trPr>
          <w:trHeight w:val="223"/>
        </w:trPr>
        <w:tc>
          <w:tcPr>
            <w:tcW w:w="6040" w:type="dxa"/>
            <w:vAlign w:val="bottom"/>
          </w:tcPr>
          <w:p>
            <w:pPr>
              <w:spacing w:after="0"/>
              <w:rPr>
                <w:sz w:val="19"/>
                <w:szCs w:val="19"/>
                <w:color w:val="auto"/>
              </w:rPr>
            </w:pPr>
          </w:p>
        </w:tc>
        <w:tc>
          <w:tcPr>
            <w:tcW w:w="26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48,526,755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131,439,148</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Assets of the Master Trust Investment at December 31, 2009 and 2008 were equal to the aggregate value of the assets of the Master Trust Investment less the value of the accrued liabilities of the Master Trust Investment. The assets of the Master Trust Investment were determined in accordance with generally recognized valuation procedures based upon prices and quotes from independent pricing services.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closing prices reported in the active markets in which the securities are traded were used to value the investments in the Master Trust. The following table sets forth by level, within the fair value hierarchy, the Master Trust’s assets at fair value as of December 31, 2009 and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E — INVESTMENTS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Trust Assets at Fair Value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2</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$ 179,985,073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$ 179,985,073</w:t>
            </w: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Common stocks</w:t>
            </w:r>
          </w:p>
        </w:tc>
        <w:tc>
          <w:tcPr>
            <w:tcW w:w="29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34,003,116</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34,003,116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at fair value</w:t>
            </w:r>
          </w:p>
        </w:tc>
        <w:tc>
          <w:tcPr>
            <w:tcW w:w="29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213,988,189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88"/>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w w:val="88"/>
              </w:rPr>
              <w:t>—</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213,988,189</w:t>
            </w: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Master Trust Assets at Fair Value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56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As of December 31, 2008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Level 1</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2</w:t>
            </w: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$ 135,266,494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$ 135,266,494</w:t>
            </w: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Common stocks</w:t>
            </w:r>
          </w:p>
        </w:tc>
        <w:tc>
          <w:tcPr>
            <w:tcW w:w="29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30,194,940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30,194,940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at fair value</w:t>
            </w:r>
          </w:p>
        </w:tc>
        <w:tc>
          <w:tcPr>
            <w:tcW w:w="4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165,461,434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165,461,434</w:t>
            </w: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year ended December 31, 2009, the Plan’s investments (including gains and losses on investments bought and sold, as well as held during the year) appreciated in value by $122,484,095. During the year ended December 31, 2008, the Plan’s investments (including gains and losses on investments bought and sold, as well as held during the year) depreciated in value by $170,570,917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$ 114,454,125</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(170,442,448)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Nonemployee corporate stock</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2,056,062</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(965,715)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ACS Stock Fund</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5,973,908</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837,246</w:t>
            </w:r>
          </w:p>
        </w:tc>
      </w:tr>
      <w:tr>
        <w:trPr>
          <w:trHeight w:val="223"/>
        </w:trPr>
        <w:tc>
          <w:tcPr>
            <w:tcW w:w="8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122,484,095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(170,570,917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F — INVESTMENT CONTRACTS WITH INSURANCE COMPANY</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Plan holds a fully benefit-responsive investment contract with Wells Fargo Synthetic Stable Value Fund (“Wells Fargo”). Wells Fargo maintains the contributions in a general account. The account is credited with earnings on the investments and is charged for Plan withdrawals and administrative expenses charged by Wells Fargo. Discontinuance of the contract would result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F — INVESTMENT CONTRACTS WITH INSURANCE COMPANY</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surrender charges and market value adjustments as defined by the contract. The contract is included in the financial statements at fair value as reported to the Plan by Wells Fargo. Contract value represents deposits made under the contract, plus earnings at guaranteed crediting rates, less withdrawals and administrative expenses. Principal and interest at crediting rates, which are announced in advance on an annual basis, are guaranteed; however, there is no stated maturity date. The average yield for the year ended December 31, 2009 and 2008 was 4.14% and 6.19%, respectively. The average credit yield for the year ended December 31, 2009 and 2008 was 4.56% and 4.79%,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Current authoritative guidance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current authoritative guidance are described as follows: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1" w:lineRule="exact"/>
        <w:rPr>
          <w:sz w:val="20"/>
          <w:szCs w:val="20"/>
          <w:color w:val="auto"/>
        </w:rPr>
      </w:pPr>
    </w:p>
    <w:p>
      <w:pPr>
        <w:ind w:left="1000" w:right="180" w:hanging="661"/>
        <w:spacing w:after="0" w:line="308" w:lineRule="auto"/>
        <w:rPr>
          <w:sz w:val="20"/>
          <w:szCs w:val="20"/>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 reflecting management’s own assumptions about the inputs used in pricing the asset or liability.</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Following is a description of the valuation methodologies used for assets measured at fair value.</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Common stocks, corporate bonds and U.S. government securities: </w:t>
      </w:r>
      <w:r>
        <w:rPr>
          <w:rFonts w:ascii="Arial" w:cs="Arial" w:eastAsia="Arial" w:hAnsi="Arial"/>
          <w:sz w:val="18"/>
          <w:szCs w:val="18"/>
          <w:color w:val="auto"/>
        </w:rPr>
        <w:t>Valued at the closing price reported on the active market on which the individual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traded.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net asset value (NAV) of shares held by the plan at year end.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Participant loans: </w:t>
      </w:r>
      <w:r>
        <w:rPr>
          <w:rFonts w:ascii="Arial" w:cs="Arial" w:eastAsia="Arial" w:hAnsi="Arial"/>
          <w:sz w:val="18"/>
          <w:szCs w:val="18"/>
          <w:color w:val="auto"/>
        </w:rPr>
        <w:t>Valued at amortized cost, which approximates fair value.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Guaranteed investment contract: </w:t>
      </w:r>
      <w:r>
        <w:rPr>
          <w:rFonts w:ascii="Arial" w:cs="Arial" w:eastAsia="Arial" w:hAnsi="Arial"/>
          <w:sz w:val="18"/>
          <w:szCs w:val="18"/>
          <w:color w:val="auto"/>
        </w:rPr>
        <w:t>Valued at fair value by discounting the related cash flows based on current yields of similar instruments with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durations considering the credit-worthiness of the issuer.</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2009 and 2008: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at Fair Value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$ 451,126,922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$ 451,126,922</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Wells Fargo synthetic stable value fund</w:t>
            </w:r>
          </w:p>
        </w:tc>
        <w:tc>
          <w:tcPr>
            <w:tcW w:w="15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115,073,650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115,073,650</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Corporate stocks</w:t>
            </w:r>
          </w:p>
        </w:tc>
        <w:tc>
          <w:tcPr>
            <w:tcW w:w="2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34,003,117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34,003,117</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Participant loans</w:t>
            </w:r>
          </w:p>
        </w:tc>
        <w:tc>
          <w:tcPr>
            <w:tcW w:w="15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20,376,984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20,376,984</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2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2,016,891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2,016,891</w:t>
            </w: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Self Directed Brokerage Accounts</w:t>
            </w:r>
          </w:p>
        </w:tc>
        <w:tc>
          <w:tcPr>
            <w:tcW w:w="15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767,872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at fair value</w:t>
            </w:r>
          </w:p>
        </w:tc>
        <w:tc>
          <w:tcPr>
            <w:tcW w:w="1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487,914,802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135,450,634</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623,365,436</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0" w:type="dxa"/>
            <w:vAlign w:val="bottom"/>
            <w:gridSpan w:val="2"/>
          </w:tcPr>
          <w:p>
            <w:pPr>
              <w:jc w:val="right"/>
              <w:ind w:right="794"/>
              <w:spacing w:after="0"/>
              <w:rPr>
                <w:sz w:val="20"/>
                <w:szCs w:val="20"/>
                <w:color w:val="auto"/>
              </w:rPr>
            </w:pPr>
            <w:r>
              <w:rPr>
                <w:rFonts w:ascii="Arial" w:cs="Arial" w:eastAsia="Arial" w:hAnsi="Arial"/>
                <w:sz w:val="18"/>
                <w:szCs w:val="18"/>
                <w:color w:val="auto"/>
              </w:rPr>
              <w:t>- 16 -</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at Fair Value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$ 327,356,485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$ 327,356,485</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Wells Fargo synthetic stable value fund</w:t>
            </w:r>
          </w:p>
        </w:tc>
        <w:tc>
          <w:tcPr>
            <w:tcW w:w="14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121,027,694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121,027,694</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Corporate stocks</w:t>
            </w:r>
          </w:p>
        </w:tc>
        <w:tc>
          <w:tcPr>
            <w:tcW w:w="2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30,209,590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30,209,590</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Participant loans</w:t>
            </w:r>
          </w:p>
        </w:tc>
        <w:tc>
          <w:tcPr>
            <w:tcW w:w="14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18,987,003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18,987,003</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2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1,438,246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1,438,246</w:t>
            </w: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Self Directed Brokerage Accounts</w:t>
            </w:r>
          </w:p>
        </w:tc>
        <w:tc>
          <w:tcPr>
            <w:tcW w:w="14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457,542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at fair value</w:t>
            </w:r>
          </w:p>
        </w:tc>
        <w:tc>
          <w:tcPr>
            <w:tcW w:w="2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359,461,863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140,014,697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499,476,560</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H — RELATED PARTY TRANSACTIONS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Plan invested in investments managed by Mellon Bank N.A. the custodian of the Plan’s assets, as defined by the Plan. These transactions qualify as party-in-interest transactions. However, these transactions are exempt from the prohibited transaction rules.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Plan allows for participant loans. These loans qualify as party-in-interest transactions. However, these transactions are exempt from the prohibited transaction rules.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provides certain accounting, administrative, and investment management services to the Plan. The Plan paid $1,281,715 and $965,677 for the services rendered for 2009 and 2008, respectively. These transactions are exempt party-in-interest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I — DERIVATIVES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The Plan has no instruments that, in whole or part, are accounted for as a derivative instrument under current authoritative guidance in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during the current plan 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2009 and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J — PLAN MERGERS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Plan mergers for 2009 are as follows:</w:t>
      </w:r>
    </w:p>
    <w:p>
      <w:pPr>
        <w:spacing w:after="0" w:line="117" w:lineRule="exact"/>
        <w:rPr>
          <w:sz w:val="20"/>
          <w:szCs w:val="20"/>
          <w:color w:val="auto"/>
        </w:rPr>
      </w:pPr>
    </w:p>
    <w:p>
      <w:pPr>
        <w:ind w:left="240" w:right="540"/>
        <w:spacing w:after="0" w:line="277" w:lineRule="auto"/>
        <w:rPr>
          <w:sz w:val="20"/>
          <w:szCs w:val="20"/>
          <w:color w:val="auto"/>
        </w:rPr>
      </w:pPr>
      <w:r>
        <w:rPr>
          <w:rFonts w:ascii="Arial" w:cs="Arial" w:eastAsia="Arial" w:hAnsi="Arial"/>
          <w:sz w:val="18"/>
          <w:szCs w:val="18"/>
          <w:color w:val="auto"/>
        </w:rPr>
        <w:t>Assets of CompIQ 401(k) Savings Plan were transferred into the ACS Savings Plan on March 1, 2009. The funds transferred totaled approximately $915,916 and were reinvested with Mellon in similar investments.</w:t>
      </w:r>
    </w:p>
    <w:p>
      <w:pPr>
        <w:spacing w:after="0" w:line="62"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color w:val="auto"/>
        </w:rPr>
        <w:t>Assets of Pharm/Dur, Inc. 401(k) Plan were transferred into the ACS Savings Plan on December 1, 2009. The funds transferred totaled approximately $638,026 and were reinvested with Mellon in similar investments.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 loans of $518,315 were also transferred into the Plan through various mergers.</w:t>
      </w:r>
    </w:p>
    <w:p>
      <w:pPr>
        <w:spacing w:after="0" w:line="117"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color w:val="auto"/>
        </w:rPr>
        <w:t>The Statement of Changes in Net Assets Available for Benefits includes the activity from the employees of these companies from the date the assets were merged into the ACS Savings Plan to December 31,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Plan mergers for 2008 are as follows:</w:t>
      </w:r>
    </w:p>
    <w:p>
      <w:pPr>
        <w:spacing w:after="0" w:line="117"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color w:val="auto"/>
        </w:rPr>
        <w:t>Assets of CDR Associates, LLC 401(k) Plan were transferred into the ACS Savings Plan in March 2008. The funds transferred totaled approximately $1,988,835 and were reinvested with Mellon in similar investments.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Assets of Intellinex 401(k) Savings Plan were transferred into the ACS Savings Plan in March 2008. The funds transferred totaled approximately</w:t>
      </w:r>
    </w:p>
    <w:p>
      <w:pPr>
        <w:spacing w:after="0" w:line="35" w:lineRule="exact"/>
        <w:rPr>
          <w:sz w:val="20"/>
          <w:szCs w:val="20"/>
          <w:color w:val="auto"/>
        </w:rPr>
      </w:pPr>
    </w:p>
    <w:p>
      <w:pPr>
        <w:ind w:left="240" w:right="280"/>
        <w:spacing w:after="0" w:line="261" w:lineRule="auto"/>
        <w:rPr>
          <w:sz w:val="20"/>
          <w:szCs w:val="20"/>
          <w:color w:val="auto"/>
        </w:rPr>
      </w:pPr>
      <w:r>
        <w:rPr>
          <w:rFonts w:ascii="Arial" w:cs="Arial" w:eastAsia="Arial" w:hAnsi="Arial"/>
          <w:sz w:val="18"/>
          <w:szCs w:val="18"/>
          <w:color w:val="auto"/>
        </w:rPr>
        <w:t>$17,821,156. $4,811,355 of the assets were transferred in-kind to existing Plan mutual funds. $13,009,801 of the assets were reinvested with Mellon in similar investments.</w:t>
      </w:r>
    </w:p>
    <w:p>
      <w:pPr>
        <w:spacing w:after="0" w:line="76"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Assets of Bowers and Associates, Inc., 401(k) Profit Sharing Plan were transferred into the ACS Savings Plan on February 19, 2008. The funds transferred totaled approximately $1,970,465 and were reinvested with Mellon in similar investments.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 loans of $431,589 were also transferred into the Plan through various mergers.</w:t>
      </w:r>
    </w:p>
    <w:p>
      <w:pPr>
        <w:spacing w:after="0" w:line="117"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color w:val="auto"/>
        </w:rPr>
        <w:t>The Statement of Changes in Net Assets Available for Benefits includes the activity from the employees of these companies from the date the assets were merged into the ACS Savings Plan to December 31, 2008.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December 31, 2009 and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K — RISKS AND UNCERTAINTIES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Plan invests in a variety of investment funds. Investments in general are exposed to various risks, such as interest rate, credit, and overall volatility risk. Due to the level of risk associated with certain investments, it is reasonably possible that changes in the values of investments will occur in the near term and that such changes could materially affect the amounts reported in the statement of Net Assets Available for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the normal course of business, the Company may consolidate additional subsidiaries into or eliminate current subsidiaries from the ACS Savings Plan.</w:t>
      </w:r>
    </w:p>
    <w:p>
      <w:pPr>
        <w:spacing w:after="0" w:line="1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September 2009 Xerox entered into a definitive agreement to acquire Affiliated Computer Services, Inc. in a cash and stock transaction. The acquisition closed on February 5, 2010. On February 28, 2010 the ACS Stock Fund was converted to The Xerox Stock Fund.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Plan Sponsor has evaluated subsequent events through June 22, 2010, the date which the financial statements were available to be issued.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NOTE M — SEPARATED PARTICIPANTS WITH VESTED BENEFITS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were 6,143 and 6,473 terminated participants with vested benefits of $171,619,146 and $140,947,038 as of December 31, 2009 and 2008,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N — FORM 5500</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Form 5500 was not available for review at the time of filing the audited financial statements on Form 11-K with the Securities and Exchange Commission. However, in order to comply with ERISA, a comparison and reconciliation of the audited financial statements with the Form 5500 will occur before the Form 5500 is finalized and filed (with the accompanying audited financial statements). The plan administrator does not anticipate any changes to these financial statements as a result of this reconciliation.</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SUPPLEMENTAL SCHEDULE</w:t>
      </w:r>
    </w:p>
    <w:p>
      <w:pPr>
        <w:spacing w:after="0" w:line="21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#51-0310342 PLAN NUMBER 333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120" w:type="dxa"/>
            <w:vAlign w:val="bottom"/>
          </w:tcPr>
          <w:p>
            <w:pPr>
              <w:ind w:left="100"/>
              <w:spacing w:after="0"/>
              <w:rPr>
                <w:sz w:val="20"/>
                <w:szCs w:val="20"/>
                <w:color w:val="auto"/>
              </w:rPr>
            </w:pPr>
            <w:r>
              <w:rPr>
                <w:rFonts w:ascii="Arial" w:cs="Arial" w:eastAsia="Arial" w:hAnsi="Arial"/>
                <w:sz w:val="14"/>
                <w:szCs w:val="14"/>
                <w:color w:val="auto"/>
              </w:rPr>
              <w:t>(b) Identity of Issue, Borrower, Lessor or Similar</w:t>
            </w:r>
          </w:p>
        </w:tc>
        <w:tc>
          <w:tcPr>
            <w:tcW w:w="5060" w:type="dxa"/>
            <w:vAlign w:val="bottom"/>
          </w:tcPr>
          <w:p>
            <w:pPr>
              <w:ind w:left="220"/>
              <w:spacing w:after="0"/>
              <w:rPr>
                <w:sz w:val="20"/>
                <w:szCs w:val="20"/>
                <w:color w:val="auto"/>
              </w:rPr>
            </w:pPr>
            <w:r>
              <w:rPr>
                <w:rFonts w:ascii="Arial" w:cs="Arial" w:eastAsia="Arial" w:hAnsi="Arial"/>
                <w:sz w:val="14"/>
                <w:szCs w:val="14"/>
                <w:color w:val="auto"/>
                <w:w w:val="98"/>
              </w:rPr>
              <w:t>(c) Description of investment, including maturity date, rate of interest, collateral,</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280" w:type="dxa"/>
            <w:vAlign w:val="bottom"/>
          </w:tcPr>
          <w:p>
            <w:pPr>
              <w:spacing w:after="0"/>
              <w:rPr>
                <w:sz w:val="20"/>
                <w:szCs w:val="20"/>
                <w:color w:val="auto"/>
              </w:rPr>
            </w:pPr>
            <w:r>
              <w:rPr>
                <w:rFonts w:ascii="Arial" w:cs="Arial" w:eastAsia="Arial" w:hAnsi="Arial"/>
                <w:sz w:val="14"/>
                <w:szCs w:val="14"/>
                <w:color w:val="auto"/>
              </w:rPr>
              <w:t>(a)</w:t>
            </w:r>
          </w:p>
        </w:tc>
        <w:tc>
          <w:tcPr>
            <w:tcW w:w="3120" w:type="dxa"/>
            <w:vAlign w:val="bottom"/>
          </w:tcPr>
          <w:p>
            <w:pPr>
              <w:ind w:left="100"/>
              <w:spacing w:after="0"/>
              <w:rPr>
                <w:sz w:val="20"/>
                <w:szCs w:val="20"/>
                <w:color w:val="auto"/>
              </w:rPr>
            </w:pPr>
            <w:r>
              <w:rPr>
                <w:rFonts w:ascii="Arial" w:cs="Arial" w:eastAsia="Arial" w:hAnsi="Arial"/>
                <w:sz w:val="14"/>
                <w:szCs w:val="14"/>
                <w:color w:val="auto"/>
              </w:rPr>
              <w:t>Party</w:t>
            </w:r>
          </w:p>
        </w:tc>
        <w:tc>
          <w:tcPr>
            <w:tcW w:w="5060" w:type="dxa"/>
            <w:vAlign w:val="bottom"/>
          </w:tcPr>
          <w:p>
            <w:pPr>
              <w:ind w:left="220"/>
              <w:spacing w:after="0"/>
              <w:rPr>
                <w:sz w:val="20"/>
                <w:szCs w:val="20"/>
                <w:color w:val="auto"/>
              </w:rPr>
            </w:pPr>
            <w:r>
              <w:rPr>
                <w:rFonts w:ascii="Arial" w:cs="Arial" w:eastAsia="Arial" w:hAnsi="Arial"/>
                <w:sz w:val="14"/>
                <w:szCs w:val="14"/>
                <w:color w:val="auto"/>
              </w:rPr>
              <w:t>par, or maturity value</w:t>
            </w:r>
          </w:p>
        </w:tc>
        <w:tc>
          <w:tcPr>
            <w:tcW w:w="1100" w:type="dxa"/>
            <w:vAlign w:val="bottom"/>
          </w:tcPr>
          <w:p>
            <w:pPr>
              <w:ind w:left="200"/>
              <w:spacing w:after="0"/>
              <w:rPr>
                <w:sz w:val="20"/>
                <w:szCs w:val="20"/>
                <w:color w:val="auto"/>
              </w:rPr>
            </w:pPr>
            <w:r>
              <w:rPr>
                <w:rFonts w:ascii="Arial" w:cs="Arial" w:eastAsia="Arial" w:hAnsi="Arial"/>
                <w:sz w:val="14"/>
                <w:szCs w:val="14"/>
                <w:color w:val="auto"/>
              </w:rPr>
              <w:t>(d) Cost</w:t>
            </w:r>
          </w:p>
        </w:tc>
        <w:tc>
          <w:tcPr>
            <w:tcW w:w="1860" w:type="dxa"/>
            <w:vAlign w:val="bottom"/>
            <w:gridSpan w:val="2"/>
          </w:tcPr>
          <w:p>
            <w:pPr>
              <w:ind w:left="420"/>
              <w:spacing w:after="0"/>
              <w:rPr>
                <w:sz w:val="20"/>
                <w:szCs w:val="20"/>
                <w:color w:val="auto"/>
              </w:rPr>
            </w:pPr>
            <w:r>
              <w:rPr>
                <w:rFonts w:ascii="Arial" w:cs="Arial" w:eastAsia="Arial" w:hAnsi="Arial"/>
                <w:sz w:val="14"/>
                <w:szCs w:val="14"/>
                <w:color w:val="auto"/>
              </w:rPr>
              <w:t>(e) Current Value</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American Beacon FDS Small Cap Value Fund</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9,098,671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Blackrock International Opportunities II</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2,242,412</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Blair William Small Cap Growth Fund</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5,652,582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Breitburn Energy Partners LP</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2,118</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Brokerage Account – Self Directed</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762,731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CGM Focus Fund</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9,859</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CGM Trust Realty Fund</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Commonwealth International Australia/New Zealand Fund</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Davis NY Venture Fund</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21,709,861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Deutsche Bank AG London Gold Double Long Exchg</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26,440</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Direxion Shs ETF Tr Daily Finl Bear</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Direxion Shs ETF Tr Large Cap Bear</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5,817</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Dodge &amp; Cox International Stock Fund</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3,471,873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Dreyfus 100% US Treasury Money Market Fund</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529,629</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Dreyfus Premier International Greater China Fund</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EB Temporary Investment Fund II</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1,487,261</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EV Energy Partners</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Fairholme Income Fund</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51,753</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 Advisor Floating Rate High Income Fund</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Fidelity Diversified International Fund</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36,564,814</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Aggressive Unit</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3,725,019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Conservative Unit</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12,707,595</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Stock Unit</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736,994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Mellon Agg Bond Unit</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26,763,500</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Mellon Midcap Unit</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24,259,896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Mellon Small Cap Unit</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1,005,130</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Mellon Stock Unit</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31,754,232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Moderate Aggressive Unit</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21,623,521</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Moderate Conservative Unit</w:t>
            </w: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12,692,800</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60" w:type="dxa"/>
            <w:vAlign w:val="bottom"/>
          </w:tcPr>
          <w:p>
            <w:pPr>
              <w:ind w:left="220"/>
              <w:spacing w:after="0"/>
              <w:rPr>
                <w:sz w:val="20"/>
                <w:szCs w:val="20"/>
                <w:color w:val="auto"/>
              </w:rPr>
            </w:pPr>
            <w:r>
              <w:rPr>
                <w:rFonts w:ascii="Arial" w:cs="Arial" w:eastAsia="Arial" w:hAnsi="Arial"/>
                <w:sz w:val="18"/>
                <w:szCs w:val="18"/>
                <w:color w:val="auto"/>
              </w:rPr>
              <w:t>Moderate Unit</w:t>
            </w: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44,716,387</w:t>
            </w:r>
          </w:p>
        </w:tc>
      </w:tr>
      <w:tr>
        <w:trPr>
          <w:trHeight w:val="391"/>
        </w:trPr>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060" w:type="dxa"/>
            <w:vAlign w:val="bottom"/>
          </w:tcPr>
          <w:p>
            <w:pPr>
              <w:ind w:left="2120"/>
              <w:spacing w:after="0"/>
              <w:rPr>
                <w:sz w:val="20"/>
                <w:szCs w:val="20"/>
                <w:color w:val="auto"/>
              </w:rPr>
            </w:pPr>
            <w:r>
              <w:rPr>
                <w:rFonts w:ascii="Arial" w:cs="Arial" w:eastAsia="Arial" w:hAnsi="Arial"/>
                <w:sz w:val="18"/>
                <w:szCs w:val="18"/>
                <w:color w:val="auto"/>
              </w:rPr>
              <w:t>- 21 -</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ACS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#51-0310342 PLAN NUMBER 333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140" w:type="dxa"/>
            <w:vAlign w:val="bottom"/>
          </w:tcPr>
          <w:p>
            <w:pPr>
              <w:ind w:left="100"/>
              <w:spacing w:after="0"/>
              <w:rPr>
                <w:sz w:val="20"/>
                <w:szCs w:val="20"/>
                <w:color w:val="auto"/>
              </w:rPr>
            </w:pPr>
            <w:r>
              <w:rPr>
                <w:rFonts w:ascii="Arial" w:cs="Arial" w:eastAsia="Arial" w:hAnsi="Arial"/>
                <w:sz w:val="14"/>
                <w:szCs w:val="14"/>
                <w:color w:val="auto"/>
              </w:rPr>
              <w:t>(b) Identity of Issue, Borrower, Lessor or Similar</w:t>
            </w:r>
          </w:p>
        </w:tc>
        <w:tc>
          <w:tcPr>
            <w:tcW w:w="5040" w:type="dxa"/>
            <w:vAlign w:val="bottom"/>
          </w:tcPr>
          <w:p>
            <w:pPr>
              <w:ind w:left="220"/>
              <w:spacing w:after="0"/>
              <w:rPr>
                <w:sz w:val="20"/>
                <w:szCs w:val="20"/>
                <w:color w:val="auto"/>
              </w:rPr>
            </w:pPr>
            <w:r>
              <w:rPr>
                <w:rFonts w:ascii="Arial" w:cs="Arial" w:eastAsia="Arial" w:hAnsi="Arial"/>
                <w:sz w:val="14"/>
                <w:szCs w:val="14"/>
                <w:color w:val="auto"/>
                <w:w w:val="97"/>
              </w:rPr>
              <w:t>(c) Description of investment, including maturity date, rate of interest, collateral,</w:t>
            </w: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80" w:type="dxa"/>
            <w:vAlign w:val="bottom"/>
          </w:tcPr>
          <w:p>
            <w:pPr>
              <w:spacing w:after="0"/>
              <w:rPr>
                <w:sz w:val="20"/>
                <w:szCs w:val="20"/>
                <w:color w:val="auto"/>
              </w:rPr>
            </w:pPr>
            <w:r>
              <w:rPr>
                <w:rFonts w:ascii="Arial" w:cs="Arial" w:eastAsia="Arial" w:hAnsi="Arial"/>
                <w:sz w:val="14"/>
                <w:szCs w:val="14"/>
                <w:color w:val="auto"/>
              </w:rPr>
              <w:t>(a)</w:t>
            </w:r>
          </w:p>
        </w:tc>
        <w:tc>
          <w:tcPr>
            <w:tcW w:w="3140" w:type="dxa"/>
            <w:vAlign w:val="bottom"/>
          </w:tcPr>
          <w:p>
            <w:pPr>
              <w:ind w:left="100"/>
              <w:spacing w:after="0"/>
              <w:rPr>
                <w:sz w:val="20"/>
                <w:szCs w:val="20"/>
                <w:color w:val="auto"/>
              </w:rPr>
            </w:pPr>
            <w:r>
              <w:rPr>
                <w:rFonts w:ascii="Arial" w:cs="Arial" w:eastAsia="Arial" w:hAnsi="Arial"/>
                <w:sz w:val="14"/>
                <w:szCs w:val="14"/>
                <w:color w:val="auto"/>
              </w:rPr>
              <w:t>Party</w:t>
            </w:r>
          </w:p>
        </w:tc>
        <w:tc>
          <w:tcPr>
            <w:tcW w:w="5040" w:type="dxa"/>
            <w:vAlign w:val="bottom"/>
          </w:tcPr>
          <w:p>
            <w:pPr>
              <w:ind w:left="220"/>
              <w:spacing w:after="0"/>
              <w:rPr>
                <w:sz w:val="20"/>
                <w:szCs w:val="20"/>
                <w:color w:val="auto"/>
              </w:rPr>
            </w:pPr>
            <w:r>
              <w:rPr>
                <w:rFonts w:ascii="Arial" w:cs="Arial" w:eastAsia="Arial" w:hAnsi="Arial"/>
                <w:sz w:val="14"/>
                <w:szCs w:val="14"/>
                <w:color w:val="auto"/>
              </w:rPr>
              <w:t>par, or maturity value</w:t>
            </w:r>
          </w:p>
        </w:tc>
        <w:tc>
          <w:tcPr>
            <w:tcW w:w="1040" w:type="dxa"/>
            <w:vAlign w:val="bottom"/>
          </w:tcPr>
          <w:p>
            <w:pPr>
              <w:ind w:left="140"/>
              <w:spacing w:after="0"/>
              <w:rPr>
                <w:sz w:val="20"/>
                <w:szCs w:val="20"/>
                <w:color w:val="auto"/>
              </w:rPr>
            </w:pPr>
            <w:r>
              <w:rPr>
                <w:rFonts w:ascii="Arial" w:cs="Arial" w:eastAsia="Arial" w:hAnsi="Arial"/>
                <w:sz w:val="14"/>
                <w:szCs w:val="14"/>
                <w:color w:val="auto"/>
              </w:rPr>
              <w:t>(d) Cost</w:t>
            </w:r>
          </w:p>
        </w:tc>
        <w:tc>
          <w:tcPr>
            <w:tcW w:w="1920" w:type="dxa"/>
            <w:vAlign w:val="bottom"/>
            <w:gridSpan w:val="2"/>
          </w:tcPr>
          <w:p>
            <w:pPr>
              <w:ind w:left="440"/>
              <w:spacing w:after="0"/>
              <w:rPr>
                <w:sz w:val="20"/>
                <w:szCs w:val="20"/>
                <w:color w:val="auto"/>
              </w:rPr>
            </w:pPr>
            <w:r>
              <w:rPr>
                <w:rFonts w:ascii="Arial" w:cs="Arial" w:eastAsia="Arial" w:hAnsi="Arial"/>
                <w:sz w:val="14"/>
                <w:szCs w:val="14"/>
                <w:color w:val="auto"/>
              </w:rPr>
              <w:t>(e) Current Value</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 Investment Japan Small Cos Fund</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Fidelity Low-Priced Stock Fund</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33,378,902</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FPA Crescent Portfolio</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Franklin Small Cap Growth Fund I – Class A</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1,829</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Gaebelli Asset Ben International Fund</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41,031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Guinness Atkinson Global Energy Fund</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11,836</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Harbor Cap Appreciation Fund</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64,382,282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w w:val="93"/>
              </w:rPr>
              <w:t>Harris Assoc Investment Oakmark International Small Cap Fund</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18,355</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India Fund Inc.</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Ishares S&amp;P GSCI Comodity Indexed Trust</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Ishares Silver Fund</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21,501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Ishares FTSE Xinhaw China 25 Index Fund</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19,017</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Ishares S&amp;P US Preferred Stock Index Fund</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Janus Investment Global Technology Fund</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Jennison Sector Class A Fund</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John Hancock Income Fund III</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18,621</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Kinetics Paradigm Mutual Funds</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2,964,021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Lazard Emerging Markets Portfolio</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9,344,613</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 Vectors ETF Gold Miners</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Market Vectors ETF Steel</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Meridian Income Fund</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49,003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Old Mut Advisor Funds II Select Growth (Class Z)</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1,312</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Powershares Multi Sector Commodity Power Shares</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Profunds Ultra Emerging Markets</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Proshares Ultra Basic Mater</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Proshares Ultra Finls</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22,790</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Proshares Ultra Real Estate</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6,890</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Mellon Bank, N.A</w:t>
            </w:r>
          </w:p>
        </w:tc>
        <w:tc>
          <w:tcPr>
            <w:tcW w:w="5040" w:type="dxa"/>
            <w:vAlign w:val="bottom"/>
          </w:tcPr>
          <w:p>
            <w:pPr>
              <w:ind w:left="220"/>
              <w:spacing w:after="0"/>
              <w:rPr>
                <w:sz w:val="20"/>
                <w:szCs w:val="20"/>
                <w:color w:val="auto"/>
              </w:rPr>
            </w:pPr>
            <w:r>
              <w:rPr>
                <w:rFonts w:ascii="Arial" w:cs="Arial" w:eastAsia="Arial" w:hAnsi="Arial"/>
                <w:sz w:val="18"/>
                <w:szCs w:val="18"/>
                <w:color w:val="auto"/>
              </w:rPr>
              <w:t>Proshares Ultrashort Traded Fund</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952</w:t>
            </w:r>
          </w:p>
        </w:tc>
      </w:tr>
      <w:tr>
        <w:trPr>
          <w:trHeight w:val="391"/>
        </w:trPr>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040" w:type="dxa"/>
            <w:vAlign w:val="bottom"/>
          </w:tcPr>
          <w:p>
            <w:pPr>
              <w:ind w:left="2100"/>
              <w:spacing w:after="0"/>
              <w:rPr>
                <w:sz w:val="20"/>
                <w:szCs w:val="20"/>
                <w:color w:val="auto"/>
              </w:rPr>
            </w:pPr>
            <w:r>
              <w:rPr>
                <w:rFonts w:ascii="Arial" w:cs="Arial" w:eastAsia="Arial" w:hAnsi="Arial"/>
                <w:sz w:val="18"/>
                <w:szCs w:val="18"/>
                <w:color w:val="auto"/>
              </w:rPr>
              <w:t>- 22 -</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120" w:type="dxa"/>
            <w:vAlign w:val="bottom"/>
            <w:gridSpan w:val="2"/>
          </w:tcPr>
          <w:p>
            <w:pPr>
              <w:ind w:left="100"/>
              <w:spacing w:after="0"/>
              <w:rPr>
                <w:sz w:val="20"/>
                <w:szCs w:val="20"/>
                <w:color w:val="auto"/>
              </w:rPr>
            </w:pPr>
            <w:r>
              <w:rPr>
                <w:rFonts w:ascii="Arial" w:cs="Arial" w:eastAsia="Arial" w:hAnsi="Arial"/>
                <w:sz w:val="14"/>
                <w:szCs w:val="14"/>
                <w:color w:val="auto"/>
              </w:rPr>
              <w:t>(b) Identity of Issue, Borrower, Lessor or Similar</w:t>
            </w:r>
          </w:p>
        </w:tc>
        <w:tc>
          <w:tcPr>
            <w:tcW w:w="5000" w:type="dxa"/>
            <w:vAlign w:val="bottom"/>
          </w:tcPr>
          <w:p>
            <w:pPr>
              <w:ind w:left="220"/>
              <w:spacing w:after="0"/>
              <w:rPr>
                <w:sz w:val="20"/>
                <w:szCs w:val="20"/>
                <w:color w:val="auto"/>
              </w:rPr>
            </w:pPr>
            <w:r>
              <w:rPr>
                <w:rFonts w:ascii="Arial" w:cs="Arial" w:eastAsia="Arial" w:hAnsi="Arial"/>
                <w:sz w:val="14"/>
                <w:szCs w:val="14"/>
                <w:color w:val="auto"/>
                <w:w w:val="97"/>
              </w:rPr>
              <w:t>(c) Description of investment, including maturity date, rate of interest, collateral,</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80" w:type="dxa"/>
            <w:vAlign w:val="bottom"/>
          </w:tcPr>
          <w:p>
            <w:pPr>
              <w:spacing w:after="0"/>
              <w:rPr>
                <w:sz w:val="20"/>
                <w:szCs w:val="20"/>
                <w:color w:val="auto"/>
              </w:rPr>
            </w:pPr>
            <w:r>
              <w:rPr>
                <w:rFonts w:ascii="Arial" w:cs="Arial" w:eastAsia="Arial" w:hAnsi="Arial"/>
                <w:sz w:val="14"/>
                <w:szCs w:val="14"/>
                <w:color w:val="auto"/>
              </w:rPr>
              <w:t>(a)</w:t>
            </w:r>
          </w:p>
        </w:tc>
        <w:tc>
          <w:tcPr>
            <w:tcW w:w="3120" w:type="dxa"/>
            <w:vAlign w:val="bottom"/>
            <w:gridSpan w:val="2"/>
          </w:tcPr>
          <w:p>
            <w:pPr>
              <w:ind w:left="100"/>
              <w:spacing w:after="0"/>
              <w:rPr>
                <w:sz w:val="20"/>
                <w:szCs w:val="20"/>
                <w:color w:val="auto"/>
              </w:rPr>
            </w:pPr>
            <w:r>
              <w:rPr>
                <w:rFonts w:ascii="Arial" w:cs="Arial" w:eastAsia="Arial" w:hAnsi="Arial"/>
                <w:sz w:val="14"/>
                <w:szCs w:val="14"/>
                <w:color w:val="auto"/>
              </w:rPr>
              <w:t>Party</w:t>
            </w:r>
          </w:p>
        </w:tc>
        <w:tc>
          <w:tcPr>
            <w:tcW w:w="5000" w:type="dxa"/>
            <w:vAlign w:val="bottom"/>
          </w:tcPr>
          <w:p>
            <w:pPr>
              <w:ind w:left="220"/>
              <w:spacing w:after="0"/>
              <w:rPr>
                <w:sz w:val="20"/>
                <w:szCs w:val="20"/>
                <w:color w:val="auto"/>
              </w:rPr>
            </w:pPr>
            <w:r>
              <w:rPr>
                <w:rFonts w:ascii="Arial" w:cs="Arial" w:eastAsia="Arial" w:hAnsi="Arial"/>
                <w:sz w:val="14"/>
                <w:szCs w:val="14"/>
                <w:color w:val="auto"/>
              </w:rPr>
              <w:t>par, or maturity value</w:t>
            </w:r>
          </w:p>
        </w:tc>
        <w:tc>
          <w:tcPr>
            <w:tcW w:w="1060" w:type="dxa"/>
            <w:vAlign w:val="bottom"/>
            <w:gridSpan w:val="2"/>
          </w:tcPr>
          <w:p>
            <w:pPr>
              <w:ind w:left="120"/>
              <w:spacing w:after="0"/>
              <w:rPr>
                <w:sz w:val="20"/>
                <w:szCs w:val="20"/>
                <w:color w:val="auto"/>
              </w:rPr>
            </w:pPr>
            <w:r>
              <w:rPr>
                <w:rFonts w:ascii="Arial" w:cs="Arial" w:eastAsia="Arial" w:hAnsi="Arial"/>
                <w:sz w:val="14"/>
                <w:szCs w:val="14"/>
                <w:color w:val="auto"/>
              </w:rPr>
              <w:t>(d) Cost</w:t>
            </w:r>
          </w:p>
        </w:tc>
        <w:tc>
          <w:tcPr>
            <w:tcW w:w="1960" w:type="dxa"/>
            <w:vAlign w:val="bottom"/>
            <w:gridSpan w:val="4"/>
          </w:tcPr>
          <w:p>
            <w:pPr>
              <w:ind w:left="380"/>
              <w:spacing w:after="0"/>
              <w:rPr>
                <w:sz w:val="20"/>
                <w:szCs w:val="20"/>
                <w:color w:val="auto"/>
              </w:rPr>
            </w:pPr>
            <w:r>
              <w:rPr>
                <w:rFonts w:ascii="Arial" w:cs="Arial" w:eastAsia="Arial" w:hAnsi="Arial"/>
                <w:sz w:val="14"/>
                <w:szCs w:val="14"/>
                <w:color w:val="auto"/>
              </w:rPr>
              <w:t>(e) Current Value</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Proshares Ultrashort Finls</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Proshares Ultrashort S&amp;P 500</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2,804</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Proshares Ultrashort Lehman 20</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Proshares Ultrashort Real Estate</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Ridgeworth Seix High Yield</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11,652,940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Rowe T Price Latin American Fund</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17,246</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Royce Opportunity Fund</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Rydex Nasdaq-100 Fund</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49,100</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SPDR Gold Shares</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SPDR Unit Ser 1 S&amp;P Poors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3,343</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Oil Fund LP units</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United States Natural Gas Fund LP units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12,439</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Global Equity Fund</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24,468,728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Vanguard Fixed Income Inflation Protected Securities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11,711,962</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Specialized Portfolio Reit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10,125,576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Vanguard World Growth Fund</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20,817</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Windsor Income Fund II</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23,816,136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Wasatch Advisors Global Technology Fund</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5,403</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Wells Fargo Stable Value Fund</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114,145,191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Wisdomtree Trust India Earnings Fund</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Wisdomtree Trust International Fund</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tcPr>
          <w:p>
            <w:pPr>
              <w:ind w:left="220"/>
              <w:spacing w:after="0"/>
              <w:rPr>
                <w:sz w:val="20"/>
                <w:szCs w:val="20"/>
                <w:color w:val="auto"/>
              </w:rPr>
            </w:pPr>
            <w:r>
              <w:rPr>
                <w:rFonts w:ascii="Arial" w:cs="Arial" w:eastAsia="Arial" w:hAnsi="Arial"/>
                <w:sz w:val="18"/>
                <w:szCs w:val="18"/>
                <w:color w:val="auto"/>
              </w:rPr>
              <w:t>ACS Stock Fund</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30,396,010</w:t>
            </w: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Mellon Bank, N.A</w:t>
            </w: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Lockheed Martin Stock Fund</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3,607,107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300"/>
              <w:spacing w:after="0"/>
              <w:rPr>
                <w:sz w:val="20"/>
                <w:szCs w:val="20"/>
                <w:color w:val="auto"/>
              </w:rPr>
            </w:pPr>
            <w:r>
              <w:rPr>
                <w:rFonts w:ascii="Arial" w:cs="Arial" w:eastAsia="Arial" w:hAnsi="Arial"/>
                <w:sz w:val="18"/>
                <w:szCs w:val="18"/>
                <w:color w:val="auto"/>
              </w:rPr>
              <w:t>Participant loans at 3.5% to 11.0%</w:t>
            </w:r>
          </w:p>
        </w:tc>
        <w:tc>
          <w:tcPr>
            <w:tcW w:w="50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20,376,984</w:t>
            </w:r>
          </w:p>
        </w:tc>
      </w:tr>
      <w:tr>
        <w:trPr>
          <w:trHeight w:val="223"/>
        </w:trPr>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622,436,977</w:t>
            </w:r>
          </w:p>
        </w:tc>
      </w:tr>
      <w:tr>
        <w:trPr>
          <w:trHeight w:val="20"/>
        </w:trPr>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Denotes a party-in-interest</w:t>
            </w:r>
          </w:p>
        </w:tc>
        <w:tc>
          <w:tcPr>
            <w:tcW w:w="5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0" w:type="dxa"/>
            <w:vAlign w:val="bottom"/>
          </w:tcPr>
          <w:p>
            <w:pPr>
              <w:ind w:left="2120"/>
              <w:spacing w:after="0"/>
              <w:rPr>
                <w:sz w:val="20"/>
                <w:szCs w:val="20"/>
                <w:color w:val="auto"/>
              </w:rPr>
            </w:pPr>
            <w:r>
              <w:rPr>
                <w:rFonts w:ascii="Arial" w:cs="Arial" w:eastAsia="Arial" w:hAnsi="Arial"/>
                <w:sz w:val="18"/>
                <w:szCs w:val="18"/>
                <w:color w:val="auto"/>
              </w:rPr>
              <w:t>- 23 -</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ACS SAVINGS PLAN</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Lora Villarreal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Lora Villarreal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Plan Administrator,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People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ACS, A Xerox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2010</w:t>
      </w:r>
    </w:p>
    <w:p>
      <w:pPr>
        <w:spacing w:after="0" w:line="1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00"/>
          </w:cols>
          <w:pgMar w:left="240" w:top="419" w:right="6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hereby consent to the incorporation of our report dated June 22, 2010 relating to the financial statements of the ACS Savings Plan, which appears in this Form 11-K.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Chapman, Hext &amp; Co., P.C.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Richardson,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2019-12-10T03:30:22Z</dcterms:created>
  <dcterms:modified xsi:type="dcterms:W3CDTF">2019-12-10T03:30:22Z</dcterms:modified>
</cp:coreProperties>
</file>